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9B65B" w14:textId="77777777" w:rsidR="00F061A0" w:rsidRPr="00216226" w:rsidRDefault="00F061A0">
      <w:pPr>
        <w:widowControl w:val="0"/>
        <w:pBdr>
          <w:top w:val="nil"/>
          <w:left w:val="nil"/>
          <w:bottom w:val="nil"/>
          <w:right w:val="nil"/>
          <w:between w:val="nil"/>
        </w:pBdr>
        <w:spacing w:after="0" w:line="276" w:lineRule="auto"/>
        <w:rPr>
          <w:rFonts w:ascii="Arial" w:eastAsia="Arial" w:hAnsi="Arial" w:cs="Arial"/>
          <w:color w:val="000000"/>
          <w:lang w:val="es-ES_tradnl"/>
        </w:rPr>
      </w:pPr>
    </w:p>
    <w:tbl>
      <w:tblPr>
        <w:tblStyle w:val="a"/>
        <w:tblW w:w="9242" w:type="dxa"/>
        <w:jc w:val="center"/>
        <w:tblLayout w:type="fixed"/>
        <w:tblLook w:val="0400" w:firstRow="0" w:lastRow="0" w:firstColumn="0" w:lastColumn="0" w:noHBand="0" w:noVBand="1"/>
      </w:tblPr>
      <w:tblGrid>
        <w:gridCol w:w="9242"/>
      </w:tblGrid>
      <w:tr w:rsidR="00F061A0" w:rsidRPr="00216226" w14:paraId="01913B8C" w14:textId="77777777">
        <w:trPr>
          <w:trHeight w:val="4960"/>
          <w:jc w:val="center"/>
        </w:trPr>
        <w:tc>
          <w:tcPr>
            <w:tcW w:w="9242" w:type="dxa"/>
          </w:tcPr>
          <w:p w14:paraId="6D958577"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1C2E2037"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3096ACBB"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1F6D581A"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40D9B2F0"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7AB284B0"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2D995C89"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6F7FAC56"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100364C5"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6D3D810D"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6B8CC55C"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127C3B28"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42F63430"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7A3CFA4A"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105AD575" w14:textId="77777777" w:rsidR="00F061A0" w:rsidRPr="00216226" w:rsidRDefault="00F061A0">
            <w:pPr>
              <w:pBdr>
                <w:top w:val="nil"/>
                <w:left w:val="nil"/>
                <w:bottom w:val="nil"/>
                <w:right w:val="nil"/>
                <w:between w:val="nil"/>
              </w:pBdr>
              <w:spacing w:after="0" w:line="240" w:lineRule="auto"/>
              <w:jc w:val="center"/>
              <w:rPr>
                <w:smallCaps/>
                <w:color w:val="000000"/>
                <w:lang w:val="es-ES_tradnl"/>
              </w:rPr>
            </w:pPr>
          </w:p>
          <w:p w14:paraId="07BBA4A0" w14:textId="77777777" w:rsidR="00F061A0" w:rsidRPr="00216226" w:rsidRDefault="000C0F5B">
            <w:pPr>
              <w:pBdr>
                <w:top w:val="nil"/>
                <w:left w:val="nil"/>
                <w:bottom w:val="nil"/>
                <w:right w:val="nil"/>
                <w:between w:val="nil"/>
              </w:pBdr>
              <w:spacing w:after="0" w:line="240" w:lineRule="auto"/>
              <w:rPr>
                <w:smallCaps/>
                <w:color w:val="000000"/>
                <w:lang w:val="es-ES_tradnl"/>
              </w:rPr>
            </w:pPr>
            <w:r w:rsidRPr="00216226">
              <w:rPr>
                <w:smallCaps/>
                <w:noProof/>
                <w:color w:val="000000"/>
                <w:lang w:val="en-US" w:eastAsia="en-US"/>
              </w:rPr>
              <w:drawing>
                <wp:inline distT="0" distB="0" distL="0" distR="0" wp14:anchorId="42C09A89" wp14:editId="71F5400D">
                  <wp:extent cx="1654663" cy="2333212"/>
                  <wp:effectExtent l="0" t="0" r="0" b="0"/>
                  <wp:docPr id="1" name="image1.png" descr="../../Branding/APMG_RGB.png"/>
                  <wp:cNvGraphicFramePr/>
                  <a:graphic xmlns:a="http://schemas.openxmlformats.org/drawingml/2006/main">
                    <a:graphicData uri="http://schemas.openxmlformats.org/drawingml/2006/picture">
                      <pic:pic xmlns:pic="http://schemas.openxmlformats.org/drawingml/2006/picture">
                        <pic:nvPicPr>
                          <pic:cNvPr id="0" name="image1.png" descr="../../Branding/APMG_RGB.png"/>
                          <pic:cNvPicPr preferRelativeResize="0"/>
                        </pic:nvPicPr>
                        <pic:blipFill>
                          <a:blip r:embed="rId8"/>
                          <a:srcRect/>
                          <a:stretch>
                            <a:fillRect/>
                          </a:stretch>
                        </pic:blipFill>
                        <pic:spPr>
                          <a:xfrm>
                            <a:off x="0" y="0"/>
                            <a:ext cx="1654663" cy="2333212"/>
                          </a:xfrm>
                          <a:prstGeom prst="rect">
                            <a:avLst/>
                          </a:prstGeom>
                          <a:ln/>
                        </pic:spPr>
                      </pic:pic>
                    </a:graphicData>
                  </a:graphic>
                </wp:inline>
              </w:drawing>
            </w:r>
          </w:p>
          <w:p w14:paraId="44A74DAA" w14:textId="77777777" w:rsidR="00F061A0" w:rsidRPr="00216226" w:rsidRDefault="00F061A0">
            <w:pPr>
              <w:pBdr>
                <w:top w:val="nil"/>
                <w:left w:val="nil"/>
                <w:bottom w:val="nil"/>
                <w:right w:val="nil"/>
                <w:between w:val="nil"/>
              </w:pBdr>
              <w:spacing w:after="0" w:line="240" w:lineRule="auto"/>
              <w:rPr>
                <w:smallCaps/>
                <w:color w:val="000000"/>
                <w:lang w:val="es-ES_tradnl"/>
              </w:rPr>
            </w:pPr>
          </w:p>
          <w:p w14:paraId="615B4DCB" w14:textId="77777777" w:rsidR="00F061A0" w:rsidRPr="00216226" w:rsidRDefault="00F061A0">
            <w:pPr>
              <w:pBdr>
                <w:top w:val="nil"/>
                <w:left w:val="nil"/>
                <w:bottom w:val="nil"/>
                <w:right w:val="nil"/>
                <w:between w:val="nil"/>
              </w:pBdr>
              <w:spacing w:after="0" w:line="240" w:lineRule="auto"/>
              <w:rPr>
                <w:smallCaps/>
                <w:color w:val="000000"/>
                <w:lang w:val="es-ES_tradnl"/>
              </w:rPr>
            </w:pPr>
          </w:p>
          <w:p w14:paraId="06C45930" w14:textId="77777777" w:rsidR="00F061A0" w:rsidRPr="00216226" w:rsidRDefault="00F061A0">
            <w:pPr>
              <w:pBdr>
                <w:top w:val="single" w:sz="12" w:space="1" w:color="2683C6"/>
              </w:pBdr>
              <w:spacing w:line="240" w:lineRule="auto"/>
              <w:rPr>
                <w:smallCaps/>
                <w:color w:val="595959"/>
                <w:sz w:val="48"/>
                <w:szCs w:val="48"/>
                <w:lang w:val="es-ES_tradnl"/>
              </w:rPr>
            </w:pPr>
          </w:p>
          <w:p w14:paraId="359E4441" w14:textId="08A5AE36" w:rsidR="00F061A0" w:rsidRPr="00216226" w:rsidRDefault="00CB5827">
            <w:pPr>
              <w:pBdr>
                <w:top w:val="single" w:sz="12" w:space="1" w:color="2683C6"/>
              </w:pBdr>
              <w:spacing w:line="240" w:lineRule="auto"/>
              <w:rPr>
                <w:smallCaps/>
                <w:color w:val="595959"/>
                <w:sz w:val="48"/>
                <w:szCs w:val="48"/>
                <w:lang w:val="es-ES_tradnl"/>
              </w:rPr>
            </w:pPr>
            <w:r w:rsidRPr="00216226">
              <w:rPr>
                <w:smallCaps/>
                <w:color w:val="595959"/>
                <w:sz w:val="48"/>
                <w:szCs w:val="48"/>
                <w:lang w:val="es-ES_tradnl"/>
              </w:rPr>
              <w:t xml:space="preserve">Evaluaciones </w:t>
            </w:r>
            <w:r w:rsidR="00EE3AEC" w:rsidRPr="00216226">
              <w:rPr>
                <w:smallCaps/>
                <w:color w:val="595959"/>
                <w:sz w:val="48"/>
                <w:szCs w:val="48"/>
                <w:lang w:val="es-ES_tradnl"/>
              </w:rPr>
              <w:t xml:space="preserve">de </w:t>
            </w:r>
            <w:r w:rsidRPr="00216226">
              <w:rPr>
                <w:smallCaps/>
                <w:color w:val="595959"/>
                <w:sz w:val="48"/>
                <w:szCs w:val="48"/>
                <w:lang w:val="es-ES_tradnl"/>
              </w:rPr>
              <w:t xml:space="preserve">Países Focalizados </w:t>
            </w:r>
          </w:p>
          <w:p w14:paraId="13AD45D6" w14:textId="2B0CC08C" w:rsidR="00F061A0" w:rsidRPr="00216226" w:rsidRDefault="00FB6209">
            <w:pPr>
              <w:pBdr>
                <w:top w:val="single" w:sz="12" w:space="1" w:color="2683C6"/>
              </w:pBdr>
              <w:spacing w:line="240" w:lineRule="auto"/>
              <w:rPr>
                <w:smallCaps/>
                <w:color w:val="000000"/>
                <w:sz w:val="48"/>
                <w:szCs w:val="48"/>
                <w:lang w:val="es-ES_tradnl"/>
              </w:rPr>
            </w:pPr>
            <w:r w:rsidRPr="00216226">
              <w:rPr>
                <w:smallCaps/>
                <w:color w:val="000000"/>
                <w:sz w:val="48"/>
                <w:szCs w:val="48"/>
                <w:lang w:val="es-ES_tradnl"/>
              </w:rPr>
              <w:t>Evaluación de VIH</w:t>
            </w:r>
            <w:r w:rsidR="006B7F6B" w:rsidRPr="00216226">
              <w:rPr>
                <w:smallCaps/>
                <w:color w:val="000000"/>
                <w:sz w:val="48"/>
                <w:szCs w:val="48"/>
                <w:lang w:val="es-ES_tradnl"/>
              </w:rPr>
              <w:t xml:space="preserve"> </w:t>
            </w:r>
            <w:r w:rsidRPr="00216226">
              <w:rPr>
                <w:smallCaps/>
                <w:color w:val="000000"/>
                <w:sz w:val="48"/>
                <w:szCs w:val="48"/>
                <w:lang w:val="es-ES_tradnl"/>
              </w:rPr>
              <w:t xml:space="preserve">en Honduras </w:t>
            </w:r>
          </w:p>
          <w:p w14:paraId="795CDC82" w14:textId="65D9ADD7" w:rsidR="00F061A0" w:rsidRPr="00216226" w:rsidRDefault="00FB6209">
            <w:pPr>
              <w:pBdr>
                <w:top w:val="single" w:sz="12" w:space="1" w:color="2683C6"/>
              </w:pBdr>
              <w:spacing w:line="240" w:lineRule="auto"/>
              <w:rPr>
                <w:smallCaps/>
                <w:color w:val="595959"/>
                <w:sz w:val="36"/>
                <w:szCs w:val="36"/>
                <w:lang w:val="es-ES_tradnl"/>
              </w:rPr>
            </w:pPr>
            <w:r w:rsidRPr="00216226">
              <w:rPr>
                <w:smallCaps/>
                <w:color w:val="595959"/>
                <w:sz w:val="36"/>
                <w:szCs w:val="36"/>
                <w:lang w:val="es-ES_tradnl"/>
              </w:rPr>
              <w:t xml:space="preserve">Evaluación de Campo </w:t>
            </w:r>
          </w:p>
          <w:p w14:paraId="7A846926" w14:textId="5D4714BD" w:rsidR="00F061A0" w:rsidRPr="00216226" w:rsidRDefault="00147761">
            <w:pPr>
              <w:rPr>
                <w:lang w:val="es-ES_tradnl"/>
              </w:rPr>
            </w:pPr>
            <w:r>
              <w:rPr>
                <w:color w:val="000000"/>
                <w:lang w:val="es-ES_tradnl"/>
              </w:rPr>
              <w:t>Diciembre</w:t>
            </w:r>
            <w:r w:rsidR="00FB6209" w:rsidRPr="00216226">
              <w:rPr>
                <w:color w:val="000000"/>
                <w:lang w:val="es-ES_tradnl"/>
              </w:rPr>
              <w:t xml:space="preserve"> </w:t>
            </w:r>
            <w:r w:rsidR="006B7F6B" w:rsidRPr="00216226">
              <w:rPr>
                <w:color w:val="000000"/>
                <w:lang w:val="es-ES_tradnl"/>
              </w:rPr>
              <w:t>2019</w:t>
            </w:r>
          </w:p>
          <w:p w14:paraId="44C2D5CF" w14:textId="77777777" w:rsidR="00F061A0" w:rsidRPr="00216226" w:rsidRDefault="00F061A0">
            <w:pPr>
              <w:pBdr>
                <w:top w:val="nil"/>
                <w:left w:val="nil"/>
                <w:bottom w:val="nil"/>
                <w:right w:val="nil"/>
                <w:between w:val="nil"/>
              </w:pBdr>
              <w:spacing w:after="0" w:line="240" w:lineRule="auto"/>
              <w:rPr>
                <w:smallCaps/>
                <w:color w:val="000000"/>
                <w:lang w:val="es-ES_tradnl"/>
              </w:rPr>
            </w:pPr>
          </w:p>
        </w:tc>
      </w:tr>
    </w:tbl>
    <w:p w14:paraId="3BA61911" w14:textId="77777777" w:rsidR="00F061A0" w:rsidRPr="00216226" w:rsidRDefault="00F061A0">
      <w:pPr>
        <w:rPr>
          <w:lang w:val="es-ES_tradnl"/>
        </w:rPr>
      </w:pPr>
    </w:p>
    <w:p w14:paraId="6E1C6549" w14:textId="77777777" w:rsidR="00F061A0" w:rsidRPr="00216226" w:rsidRDefault="000C0F5B">
      <w:pPr>
        <w:spacing w:after="0" w:line="240" w:lineRule="auto"/>
        <w:rPr>
          <w:lang w:val="es-ES_tradnl"/>
        </w:rPr>
      </w:pPr>
      <w:r w:rsidRPr="00216226">
        <w:rPr>
          <w:lang w:val="es-ES_tradnl"/>
        </w:rPr>
        <w:br w:type="page"/>
      </w:r>
    </w:p>
    <w:p w14:paraId="52668B18" w14:textId="77777777" w:rsidR="00F061A0" w:rsidRPr="00216226" w:rsidRDefault="00F061A0">
      <w:pPr>
        <w:widowControl w:val="0"/>
        <w:pBdr>
          <w:top w:val="nil"/>
          <w:left w:val="nil"/>
          <w:bottom w:val="nil"/>
          <w:right w:val="nil"/>
          <w:between w:val="nil"/>
        </w:pBdr>
        <w:spacing w:after="0" w:line="276" w:lineRule="auto"/>
        <w:rPr>
          <w:lang w:val="es-ES_tradnl"/>
        </w:rPr>
        <w:sectPr w:rsidR="00F061A0" w:rsidRPr="00216226">
          <w:footerReference w:type="even" r:id="rId9"/>
          <w:footerReference w:type="default" r:id="rId10"/>
          <w:pgSz w:w="11906" w:h="16838"/>
          <w:pgMar w:top="1440" w:right="1440" w:bottom="1440" w:left="1440" w:header="706" w:footer="706" w:gutter="0"/>
          <w:pgNumType w:start="1"/>
          <w:cols w:space="720"/>
          <w:titlePg/>
        </w:sectPr>
      </w:pPr>
    </w:p>
    <w:p w14:paraId="2B4E4F1E" w14:textId="39993277" w:rsidR="005402CE" w:rsidRPr="00216226" w:rsidRDefault="00FB6209" w:rsidP="005660A4">
      <w:pPr>
        <w:pStyle w:val="Heading1"/>
        <w:spacing w:after="240"/>
        <w:rPr>
          <w:lang w:val="es-ES_tradnl"/>
        </w:rPr>
      </w:pPr>
      <w:r w:rsidRPr="00216226">
        <w:rPr>
          <w:lang w:val="es-ES_tradnl"/>
        </w:rPr>
        <w:lastRenderedPageBreak/>
        <w:t xml:space="preserve">Introducción </w:t>
      </w:r>
    </w:p>
    <w:p w14:paraId="141760AA" w14:textId="5A944D6F" w:rsidR="005660A4" w:rsidRPr="00216226" w:rsidRDefault="00EE3AEC" w:rsidP="006C5426">
      <w:pPr>
        <w:spacing w:line="240" w:lineRule="auto"/>
        <w:jc w:val="both"/>
        <w:rPr>
          <w:rFonts w:eastAsia="MS Gothic"/>
          <w:color w:val="000000"/>
          <w:lang w:val="es-ES_tradnl" w:eastAsia="en-US"/>
        </w:rPr>
      </w:pPr>
      <w:bookmarkStart w:id="0" w:name="_Hlk8074133"/>
      <w:r w:rsidRPr="00216226">
        <w:rPr>
          <w:lang w:val="es-ES_tradnl"/>
        </w:rPr>
        <w:t>Según la definición del Banco Mundi</w:t>
      </w:r>
      <w:r w:rsidR="002F6C02">
        <w:rPr>
          <w:lang w:val="es-ES_tradnl"/>
        </w:rPr>
        <w:t>al</w:t>
      </w:r>
      <w:r w:rsidRPr="00216226">
        <w:rPr>
          <w:lang w:val="es-ES_tradnl"/>
        </w:rPr>
        <w:t xml:space="preserve"> (2018), Honduras es un país de ingresos medios bajos. Tiene una población de alrededor de 9.3 millones de personas, de las cuales 51% vive en entornos urbanos y 48.7% son menores de 18 años de edad </w:t>
      </w:r>
      <w:r w:rsidR="005660A4" w:rsidRPr="00216226">
        <w:rPr>
          <w:rFonts w:eastAsia="MS Gothic"/>
          <w:lang w:val="es-ES_tradnl" w:eastAsia="en-US"/>
        </w:rPr>
        <w:t>(INE</w:t>
      </w:r>
      <w:r w:rsidR="005660A4" w:rsidRPr="00216226">
        <w:rPr>
          <w:rFonts w:eastAsia="MS Gothic"/>
          <w:i/>
          <w:lang w:val="es-ES_tradnl" w:eastAsia="en-US"/>
        </w:rPr>
        <w:t xml:space="preserve">, </w:t>
      </w:r>
      <w:r w:rsidR="005660A4" w:rsidRPr="00216226">
        <w:rPr>
          <w:rFonts w:eastAsia="MS Gothic"/>
          <w:lang w:val="es-ES_tradnl" w:eastAsia="en-US"/>
        </w:rPr>
        <w:t>2013)</w:t>
      </w:r>
      <w:r w:rsidR="002F6C02">
        <w:rPr>
          <w:rFonts w:eastAsia="MS Gothic"/>
          <w:lang w:val="es-ES_tradnl" w:eastAsia="en-US"/>
        </w:rPr>
        <w:t>.</w:t>
      </w:r>
      <w:r w:rsidR="005660A4" w:rsidRPr="00216226">
        <w:rPr>
          <w:rFonts w:eastAsia="MS Gothic"/>
          <w:vertAlign w:val="superscript"/>
          <w:lang w:val="es-ES_tradnl" w:eastAsia="en-US"/>
        </w:rPr>
        <w:footnoteReference w:id="1"/>
      </w:r>
      <w:r w:rsidRPr="00216226">
        <w:rPr>
          <w:rFonts w:eastAsia="MS Gothic"/>
          <w:lang w:val="es-ES_tradnl" w:eastAsia="en-US"/>
        </w:rPr>
        <w:t xml:space="preserve"> </w:t>
      </w:r>
      <w:r w:rsidR="00543596" w:rsidRPr="00216226">
        <w:rPr>
          <w:rFonts w:eastAsia="MS Gothic"/>
          <w:color w:val="000000"/>
          <w:lang w:val="es-ES_tradnl" w:eastAsia="en-US"/>
        </w:rPr>
        <w:t xml:space="preserve">Según el Programa Conjunto de las Naciones Unidas sobre el VIH / SIDA (ONUSIDA, 2018), en 2016 en Honduras había </w:t>
      </w:r>
      <w:r w:rsidR="005660A4" w:rsidRPr="00216226">
        <w:rPr>
          <w:rFonts w:eastAsia="MS Gothic"/>
          <w:color w:val="000000"/>
          <w:lang w:val="es-ES_tradnl" w:eastAsia="en-US"/>
        </w:rPr>
        <w:t xml:space="preserve">&lt;1000 (&lt;1000 - 1400) </w:t>
      </w:r>
      <w:r w:rsidR="00543596" w:rsidRPr="00216226">
        <w:rPr>
          <w:rFonts w:eastAsia="MS Gothic"/>
          <w:color w:val="000000"/>
          <w:lang w:val="es-ES_tradnl" w:eastAsia="en-US"/>
        </w:rPr>
        <w:t xml:space="preserve">nuevas infecciones por </w:t>
      </w:r>
      <w:r w:rsidR="00CB285B" w:rsidRPr="00CB285B">
        <w:rPr>
          <w:rFonts w:eastAsia="MS Gothic"/>
          <w:color w:val="000000"/>
          <w:lang w:val="es-ES_tradnl" w:eastAsia="en-US"/>
        </w:rPr>
        <w:t xml:space="preserve">virus inmunodeficiencia humana </w:t>
      </w:r>
      <w:r w:rsidR="00CB285B">
        <w:rPr>
          <w:rFonts w:eastAsia="MS Gothic"/>
          <w:color w:val="000000"/>
          <w:lang w:val="es-ES_tradnl" w:eastAsia="en-US"/>
        </w:rPr>
        <w:t>(</w:t>
      </w:r>
      <w:r w:rsidR="00543596" w:rsidRPr="00216226">
        <w:rPr>
          <w:rFonts w:eastAsia="MS Gothic"/>
          <w:color w:val="000000"/>
          <w:lang w:val="es-ES_tradnl" w:eastAsia="en-US"/>
        </w:rPr>
        <w:t>VIH</w:t>
      </w:r>
      <w:r w:rsidR="00CB285B">
        <w:rPr>
          <w:rFonts w:eastAsia="MS Gothic"/>
          <w:color w:val="000000"/>
          <w:lang w:val="es-ES_tradnl" w:eastAsia="en-US"/>
        </w:rPr>
        <w:t>)</w:t>
      </w:r>
      <w:r w:rsidR="00543596" w:rsidRPr="00216226">
        <w:rPr>
          <w:rFonts w:eastAsia="MS Gothic"/>
          <w:color w:val="000000"/>
          <w:lang w:val="es-ES_tradnl" w:eastAsia="en-US"/>
        </w:rPr>
        <w:t xml:space="preserve"> y</w:t>
      </w:r>
      <w:r w:rsidR="005660A4" w:rsidRPr="00216226">
        <w:rPr>
          <w:rFonts w:eastAsia="MS Gothic"/>
          <w:color w:val="000000"/>
          <w:lang w:val="es-ES_tradnl" w:eastAsia="en-US"/>
        </w:rPr>
        <w:t xml:space="preserve"> &lt;1000 (&lt;1000 - 1300) </w:t>
      </w:r>
      <w:r w:rsidR="00543596" w:rsidRPr="00216226">
        <w:rPr>
          <w:rFonts w:eastAsia="MS Gothic"/>
          <w:color w:val="000000"/>
          <w:lang w:val="es-ES_tradnl" w:eastAsia="en-US"/>
        </w:rPr>
        <w:t xml:space="preserve">muertes relacionadas con el </w:t>
      </w:r>
      <w:r w:rsidR="00CB285B" w:rsidRPr="00CB285B">
        <w:rPr>
          <w:rFonts w:eastAsia="MS Gothic"/>
          <w:color w:val="000000"/>
          <w:lang w:val="es-ES_tradnl" w:eastAsia="en-US"/>
        </w:rPr>
        <w:t xml:space="preserve">sindrome inmunodeficiencia adquirida </w:t>
      </w:r>
      <w:r w:rsidR="00CB285B">
        <w:rPr>
          <w:rFonts w:eastAsia="MS Gothic"/>
          <w:color w:val="000000"/>
          <w:lang w:val="es-ES_tradnl" w:eastAsia="en-US"/>
        </w:rPr>
        <w:t>(</w:t>
      </w:r>
      <w:r w:rsidR="00543596" w:rsidRPr="00216226">
        <w:rPr>
          <w:rFonts w:eastAsia="MS Gothic"/>
          <w:color w:val="000000"/>
          <w:lang w:val="es-ES_tradnl" w:eastAsia="en-US"/>
        </w:rPr>
        <w:t>SIDA</w:t>
      </w:r>
      <w:r w:rsidR="00CB285B">
        <w:rPr>
          <w:rFonts w:eastAsia="MS Gothic"/>
          <w:color w:val="000000"/>
          <w:lang w:val="es-ES_tradnl" w:eastAsia="en-US"/>
        </w:rPr>
        <w:t>)</w:t>
      </w:r>
      <w:r w:rsidR="00543596" w:rsidRPr="00216226">
        <w:rPr>
          <w:rFonts w:eastAsia="MS Gothic"/>
          <w:color w:val="000000"/>
          <w:lang w:val="es-ES_tradnl" w:eastAsia="en-US"/>
        </w:rPr>
        <w:t xml:space="preserve">. Ese mismo año, hubo un estimado de </w:t>
      </w:r>
      <w:r w:rsidR="005660A4" w:rsidRPr="00216226">
        <w:rPr>
          <w:rFonts w:eastAsia="MS Gothic"/>
          <w:color w:val="000000"/>
          <w:lang w:val="es-ES_tradnl" w:eastAsia="en-US"/>
        </w:rPr>
        <w:t xml:space="preserve">21,000 (17,000 – 27,000) </w:t>
      </w:r>
      <w:r w:rsidR="00543596" w:rsidRPr="00216226">
        <w:rPr>
          <w:rFonts w:eastAsia="MS Gothic"/>
          <w:color w:val="000000"/>
          <w:lang w:val="es-ES_tradnl" w:eastAsia="en-US"/>
        </w:rPr>
        <w:t xml:space="preserve">personas </w:t>
      </w:r>
      <w:r w:rsidR="00652E09">
        <w:rPr>
          <w:rFonts w:eastAsia="MS Gothic"/>
          <w:color w:val="000000"/>
          <w:lang w:val="es-ES_tradnl" w:eastAsia="en-US"/>
        </w:rPr>
        <w:t xml:space="preserve">que viven con </w:t>
      </w:r>
      <w:r w:rsidR="00543596" w:rsidRPr="00216226">
        <w:rPr>
          <w:rFonts w:eastAsia="MS Gothic"/>
          <w:color w:val="000000"/>
          <w:lang w:val="es-ES_tradnl" w:eastAsia="en-US"/>
        </w:rPr>
        <w:t>VIH</w:t>
      </w:r>
      <w:r w:rsidR="00652E09">
        <w:rPr>
          <w:rFonts w:eastAsia="MS Gothic"/>
          <w:color w:val="000000"/>
          <w:lang w:val="es-ES_tradnl" w:eastAsia="en-US"/>
        </w:rPr>
        <w:t xml:space="preserve"> (PVVIH)</w:t>
      </w:r>
      <w:r w:rsidR="00543596" w:rsidRPr="00216226">
        <w:rPr>
          <w:rFonts w:eastAsia="MS Gothic"/>
          <w:color w:val="000000"/>
          <w:lang w:val="es-ES_tradnl" w:eastAsia="en-US"/>
        </w:rPr>
        <w:t xml:space="preserve">, entre las cuales </w:t>
      </w:r>
      <w:r w:rsidR="00652E09">
        <w:rPr>
          <w:rFonts w:eastAsia="MS Gothic"/>
          <w:color w:val="000000"/>
          <w:lang w:val="es-ES_tradnl" w:eastAsia="en-US"/>
        </w:rPr>
        <w:t xml:space="preserve">51% (36% a </w:t>
      </w:r>
      <w:r w:rsidR="005660A4" w:rsidRPr="00216226">
        <w:rPr>
          <w:rFonts w:eastAsia="MS Gothic"/>
          <w:color w:val="000000"/>
          <w:lang w:val="es-ES_tradnl" w:eastAsia="en-US"/>
        </w:rPr>
        <w:t xml:space="preserve">65%) </w:t>
      </w:r>
      <w:r w:rsidR="00543596" w:rsidRPr="00216226">
        <w:rPr>
          <w:rFonts w:eastAsia="MS Gothic"/>
          <w:color w:val="000000"/>
          <w:lang w:val="es-ES_tradnl" w:eastAsia="en-US"/>
        </w:rPr>
        <w:t>estaban accediendo a la terapia antirretroviral (TARV). ONUSIDA</w:t>
      </w:r>
      <w:r w:rsidR="005660A4" w:rsidRPr="00216226">
        <w:rPr>
          <w:rFonts w:eastAsia="MS Gothic"/>
          <w:color w:val="000000"/>
          <w:lang w:val="es-ES_tradnl" w:eastAsia="en-US"/>
        </w:rPr>
        <w:t xml:space="preserve"> (2018) </w:t>
      </w:r>
      <w:r w:rsidR="00543596" w:rsidRPr="00216226">
        <w:rPr>
          <w:rFonts w:eastAsia="MS Gothic"/>
          <w:color w:val="000000"/>
          <w:lang w:val="es-ES_tradnl" w:eastAsia="en-US"/>
        </w:rPr>
        <w:t xml:space="preserve">también destaca que las poblaciones clave más afectadas por el VIH en Honduras son trabajadoras sexuales con una prevalencia de VIH del 5.3%; </w:t>
      </w:r>
      <w:r w:rsidR="00C033A0">
        <w:rPr>
          <w:rFonts w:eastAsia="MS Gothic"/>
          <w:color w:val="000000"/>
          <w:lang w:val="es-ES_tradnl" w:eastAsia="en-US"/>
        </w:rPr>
        <w:t>hombres gay</w:t>
      </w:r>
      <w:r w:rsidR="00543596" w:rsidRPr="00216226">
        <w:rPr>
          <w:rFonts w:eastAsia="MS Gothic"/>
          <w:color w:val="000000"/>
          <w:lang w:val="es-ES_tradnl" w:eastAsia="en-US"/>
        </w:rPr>
        <w:t xml:space="preserve"> y otros hombres que tienen sexo con hombres (HSH) con una prevalencia de VIH </w:t>
      </w:r>
      <w:r w:rsidR="005660A4" w:rsidRPr="00216226">
        <w:rPr>
          <w:rFonts w:eastAsia="MS Gothic"/>
          <w:color w:val="000000"/>
          <w:lang w:val="es-ES_tradnl" w:eastAsia="en-US"/>
        </w:rPr>
        <w:t xml:space="preserve">11.7%; </w:t>
      </w:r>
      <w:r w:rsidR="00543596" w:rsidRPr="00216226">
        <w:rPr>
          <w:rFonts w:eastAsia="MS Gothic"/>
          <w:color w:val="000000"/>
          <w:lang w:val="es-ES_tradnl" w:eastAsia="en-US"/>
        </w:rPr>
        <w:t>y m</w:t>
      </w:r>
      <w:r w:rsidR="009F1A90">
        <w:rPr>
          <w:rFonts w:eastAsia="MS Gothic"/>
          <w:color w:val="000000"/>
          <w:lang w:val="es-ES_tradnl" w:eastAsia="en-US"/>
        </w:rPr>
        <w:t>ujeres transgénero</w:t>
      </w:r>
      <w:r w:rsidR="005660A4" w:rsidRPr="00216226">
        <w:rPr>
          <w:rFonts w:eastAsia="MS Gothic"/>
          <w:vertAlign w:val="superscript"/>
          <w:lang w:val="es-ES_tradnl" w:eastAsia="en-US"/>
        </w:rPr>
        <w:footnoteReference w:id="2"/>
      </w:r>
      <w:r w:rsidR="005660A4" w:rsidRPr="00216226">
        <w:rPr>
          <w:rFonts w:eastAsia="MS Gothic"/>
          <w:color w:val="000000"/>
          <w:lang w:val="es-ES_tradnl" w:eastAsia="en-US"/>
        </w:rPr>
        <w:t xml:space="preserve"> </w:t>
      </w:r>
      <w:r w:rsidR="00543596" w:rsidRPr="00216226">
        <w:rPr>
          <w:rFonts w:eastAsia="MS Gothic"/>
          <w:color w:val="000000"/>
          <w:lang w:val="es-ES_tradnl" w:eastAsia="en-US"/>
        </w:rPr>
        <w:t xml:space="preserve">con una prevalencia de VIH </w:t>
      </w:r>
      <w:r w:rsidR="005660A4" w:rsidRPr="00216226">
        <w:rPr>
          <w:rFonts w:eastAsia="MS Gothic"/>
          <w:color w:val="000000"/>
          <w:lang w:val="es-ES_tradnl" w:eastAsia="en-US"/>
        </w:rPr>
        <w:t xml:space="preserve">11.9%. </w:t>
      </w:r>
      <w:r w:rsidR="00543596" w:rsidRPr="00216226">
        <w:rPr>
          <w:rFonts w:eastAsia="MS Gothic"/>
          <w:color w:val="000000"/>
          <w:lang w:val="es-ES_tradnl" w:eastAsia="en-US"/>
        </w:rPr>
        <w:t xml:space="preserve">Otras poblaciones vulnerables, según el Plan Estratégico Nacional </w:t>
      </w:r>
      <w:r w:rsidR="00C627C1">
        <w:rPr>
          <w:rFonts w:eastAsia="MS Gothic"/>
          <w:color w:val="000000"/>
          <w:lang w:val="es-ES_tradnl" w:eastAsia="en-US"/>
        </w:rPr>
        <w:t xml:space="preserve">(PEN) </w:t>
      </w:r>
      <w:r w:rsidR="00543596" w:rsidRPr="00216226">
        <w:rPr>
          <w:rFonts w:eastAsia="MS Gothic"/>
          <w:color w:val="000000"/>
          <w:lang w:val="es-ES_tradnl" w:eastAsia="en-US"/>
        </w:rPr>
        <w:t xml:space="preserve">de VIH IV de Honduras, son las poblaciones </w:t>
      </w:r>
      <w:r w:rsidR="003C6851">
        <w:rPr>
          <w:rFonts w:eastAsia="MS Gothic"/>
          <w:color w:val="000000"/>
          <w:lang w:val="es-ES_tradnl" w:eastAsia="en-US"/>
        </w:rPr>
        <w:t>Garífuna</w:t>
      </w:r>
      <w:r w:rsidR="00543596" w:rsidRPr="00216226">
        <w:rPr>
          <w:rFonts w:eastAsia="MS Gothic"/>
          <w:color w:val="000000"/>
          <w:lang w:val="es-ES_tradnl" w:eastAsia="en-US"/>
        </w:rPr>
        <w:t xml:space="preserve">s </w:t>
      </w:r>
      <w:r w:rsidR="005660A4" w:rsidRPr="00216226">
        <w:rPr>
          <w:rFonts w:eastAsia="MS Gothic"/>
          <w:color w:val="000000"/>
          <w:lang w:val="es-ES_tradnl" w:eastAsia="en-US"/>
        </w:rPr>
        <w:t xml:space="preserve">(1.7% </w:t>
      </w:r>
      <w:r w:rsidR="00543596" w:rsidRPr="00216226">
        <w:rPr>
          <w:rFonts w:eastAsia="MS Gothic"/>
          <w:color w:val="000000"/>
          <w:lang w:val="es-ES_tradnl" w:eastAsia="en-US"/>
        </w:rPr>
        <w:t xml:space="preserve">de prevalencia de VIH en 2017, con una relación H/M de </w:t>
      </w:r>
      <w:r w:rsidR="005660A4" w:rsidRPr="00216226">
        <w:rPr>
          <w:rFonts w:eastAsia="MS Gothic"/>
          <w:color w:val="000000"/>
          <w:lang w:val="es-ES_tradnl" w:eastAsia="en-US"/>
        </w:rPr>
        <w:t xml:space="preserve">0.95), </w:t>
      </w:r>
      <w:r w:rsidR="00CB285B">
        <w:rPr>
          <w:rFonts w:eastAsia="MS Gothic"/>
          <w:color w:val="000000"/>
          <w:lang w:val="es-ES_tradnl" w:eastAsia="en-US"/>
        </w:rPr>
        <w:t xml:space="preserve">las personas privadas de la libertad (PPL) </w:t>
      </w:r>
      <w:r w:rsidR="005660A4" w:rsidRPr="00216226">
        <w:rPr>
          <w:rFonts w:eastAsia="MS Gothic"/>
          <w:color w:val="000000"/>
          <w:lang w:val="es-ES_tradnl" w:eastAsia="en-US"/>
        </w:rPr>
        <w:t xml:space="preserve">(1.9% </w:t>
      </w:r>
      <w:r w:rsidR="00543596" w:rsidRPr="00216226">
        <w:rPr>
          <w:rFonts w:eastAsia="MS Gothic"/>
          <w:color w:val="000000"/>
          <w:lang w:val="es-ES_tradnl" w:eastAsia="en-US"/>
        </w:rPr>
        <w:t>para hombres</w:t>
      </w:r>
      <w:r w:rsidR="005660A4" w:rsidRPr="00216226">
        <w:rPr>
          <w:rFonts w:eastAsia="MS Gothic"/>
          <w:color w:val="000000"/>
          <w:lang w:val="es-ES_tradnl" w:eastAsia="en-US"/>
        </w:rPr>
        <w:t xml:space="preserve">, 0.6% </w:t>
      </w:r>
      <w:r w:rsidR="00543596" w:rsidRPr="00216226">
        <w:rPr>
          <w:rFonts w:eastAsia="MS Gothic"/>
          <w:color w:val="000000"/>
          <w:lang w:val="es-ES_tradnl" w:eastAsia="en-US"/>
        </w:rPr>
        <w:t>para mujeres e</w:t>
      </w:r>
      <w:r w:rsidR="005660A4" w:rsidRPr="00216226">
        <w:rPr>
          <w:rFonts w:eastAsia="MS Gothic"/>
          <w:color w:val="000000"/>
          <w:lang w:val="es-ES_tradnl" w:eastAsia="en-US"/>
        </w:rPr>
        <w:t xml:space="preserve">n 2016) </w:t>
      </w:r>
      <w:r w:rsidR="00543596" w:rsidRPr="00216226">
        <w:rPr>
          <w:rFonts w:eastAsia="MS Gothic"/>
          <w:color w:val="000000"/>
          <w:lang w:val="es-ES_tradnl" w:eastAsia="en-US"/>
        </w:rPr>
        <w:t xml:space="preserve">y </w:t>
      </w:r>
      <w:r w:rsidR="00216226">
        <w:rPr>
          <w:rFonts w:eastAsia="MS Gothic"/>
          <w:color w:val="000000"/>
          <w:lang w:val="es-ES_tradnl" w:eastAsia="en-US"/>
        </w:rPr>
        <w:t xml:space="preserve">las </w:t>
      </w:r>
      <w:r w:rsidR="00543596" w:rsidRPr="00216226">
        <w:rPr>
          <w:rFonts w:eastAsia="MS Gothic"/>
          <w:color w:val="000000"/>
          <w:lang w:val="es-ES_tradnl" w:eastAsia="en-US"/>
        </w:rPr>
        <w:t>mujeres embarazadas</w:t>
      </w:r>
      <w:r w:rsidR="005660A4" w:rsidRPr="00216226">
        <w:rPr>
          <w:rFonts w:eastAsia="MS Gothic"/>
          <w:color w:val="000000"/>
          <w:lang w:val="es-ES_tradnl" w:eastAsia="en-US"/>
        </w:rPr>
        <w:t xml:space="preserve"> (0.23% </w:t>
      </w:r>
      <w:r w:rsidR="00543596" w:rsidRPr="00216226">
        <w:rPr>
          <w:rFonts w:eastAsia="MS Gothic"/>
          <w:color w:val="000000"/>
          <w:lang w:val="es-ES_tradnl" w:eastAsia="en-US"/>
        </w:rPr>
        <w:t>e</w:t>
      </w:r>
      <w:r w:rsidR="005660A4" w:rsidRPr="00216226">
        <w:rPr>
          <w:rFonts w:eastAsia="MS Gothic"/>
          <w:color w:val="000000"/>
          <w:lang w:val="es-ES_tradnl" w:eastAsia="en-US"/>
        </w:rPr>
        <w:t>n 2011).</w:t>
      </w:r>
    </w:p>
    <w:p w14:paraId="67015D61" w14:textId="0A93C2F0" w:rsidR="00C37931" w:rsidRPr="00216226" w:rsidRDefault="00543596" w:rsidP="006C5426">
      <w:pPr>
        <w:spacing w:after="0" w:line="240" w:lineRule="auto"/>
        <w:jc w:val="both"/>
        <w:rPr>
          <w:rFonts w:eastAsia="MS Gothic"/>
          <w:color w:val="000000"/>
          <w:lang w:val="es-ES_tradnl" w:eastAsia="en-US"/>
        </w:rPr>
      </w:pPr>
      <w:bookmarkStart w:id="1" w:name="_Hlk8074184"/>
      <w:bookmarkEnd w:id="0"/>
      <w:r w:rsidRPr="00216226">
        <w:rPr>
          <w:rFonts w:eastAsia="MS Gothic"/>
          <w:color w:val="000000"/>
          <w:lang w:val="es-ES_tradnl" w:eastAsia="en-US"/>
        </w:rPr>
        <w:t xml:space="preserve">Honduras comenzó a recibir </w:t>
      </w:r>
      <w:r w:rsidR="000631A7" w:rsidRPr="00216226">
        <w:rPr>
          <w:rFonts w:eastAsia="MS Gothic"/>
          <w:color w:val="000000"/>
          <w:lang w:val="es-ES_tradnl" w:eastAsia="en-US"/>
        </w:rPr>
        <w:t xml:space="preserve">el </w:t>
      </w:r>
      <w:r w:rsidRPr="00216226">
        <w:rPr>
          <w:rFonts w:eastAsia="MS Gothic"/>
          <w:color w:val="000000"/>
          <w:lang w:val="es-ES_tradnl" w:eastAsia="en-US"/>
        </w:rPr>
        <w:t>apoyo financiero del Fondo Mundial para el VIH en 2003. Desde entonces</w:t>
      </w:r>
      <w:r w:rsidR="00C37931" w:rsidRPr="00216226">
        <w:rPr>
          <w:rFonts w:eastAsia="MS Gothic"/>
          <w:color w:val="000000"/>
          <w:lang w:val="es-ES_tradnl" w:eastAsia="en-US"/>
        </w:rPr>
        <w:t xml:space="preserve">, </w:t>
      </w:r>
      <w:r w:rsidR="000631A7" w:rsidRPr="00216226">
        <w:rPr>
          <w:rFonts w:eastAsia="MS Gothic"/>
          <w:color w:val="000000"/>
          <w:lang w:val="es-ES_tradnl" w:eastAsia="en-US"/>
        </w:rPr>
        <w:t xml:space="preserve">el Fondo Mundial ha desembolsado </w:t>
      </w:r>
      <w:r w:rsidR="00652E09">
        <w:rPr>
          <w:rFonts w:eastAsia="MS Gothic"/>
          <w:color w:val="000000"/>
          <w:lang w:val="es-ES_tradnl" w:eastAsia="en-US"/>
        </w:rPr>
        <w:t xml:space="preserve">US$ </w:t>
      </w:r>
      <w:r w:rsidR="00C37931" w:rsidRPr="00216226">
        <w:rPr>
          <w:rFonts w:eastAsia="MS Gothic"/>
          <w:color w:val="000000"/>
          <w:lang w:val="es-ES_tradnl" w:eastAsia="en-US"/>
        </w:rPr>
        <w:t xml:space="preserve">92,254,866 </w:t>
      </w:r>
      <w:r w:rsidR="000631A7" w:rsidRPr="00216226">
        <w:rPr>
          <w:rFonts w:eastAsia="MS Gothic"/>
          <w:color w:val="000000"/>
          <w:lang w:val="es-ES_tradnl" w:eastAsia="en-US"/>
        </w:rPr>
        <w:t>para hacer frente al VIH</w:t>
      </w:r>
      <w:r w:rsidR="00C37931" w:rsidRPr="00216226">
        <w:rPr>
          <w:rFonts w:eastAsia="MS Gothic"/>
          <w:color w:val="000000"/>
          <w:lang w:val="es-ES_tradnl" w:eastAsia="en-US"/>
        </w:rPr>
        <w:t xml:space="preserve"> (</w:t>
      </w:r>
      <w:r w:rsidR="000631A7" w:rsidRPr="00216226">
        <w:rPr>
          <w:rFonts w:eastAsia="MS Gothic"/>
          <w:color w:val="000000"/>
          <w:lang w:val="es-ES_tradnl" w:eastAsia="en-US"/>
        </w:rPr>
        <w:t>Fondo Mundial</w:t>
      </w:r>
      <w:r w:rsidR="00C37931" w:rsidRPr="00216226">
        <w:rPr>
          <w:rFonts w:eastAsia="MS Gothic"/>
          <w:color w:val="000000"/>
          <w:lang w:val="es-ES_tradnl" w:eastAsia="en-US"/>
        </w:rPr>
        <w:t>, 2019).</w:t>
      </w:r>
      <w:bookmarkEnd w:id="1"/>
      <w:r w:rsidRPr="00216226">
        <w:rPr>
          <w:rFonts w:eastAsia="MS Gothic"/>
          <w:color w:val="000000"/>
          <w:lang w:val="es-ES_tradnl" w:eastAsia="en-US"/>
        </w:rPr>
        <w:t xml:space="preserve"> </w:t>
      </w:r>
    </w:p>
    <w:p w14:paraId="260450FF" w14:textId="77777777" w:rsidR="00184970" w:rsidRPr="00216226" w:rsidRDefault="00184970" w:rsidP="006C5426">
      <w:pPr>
        <w:spacing w:after="0" w:line="240" w:lineRule="auto"/>
        <w:jc w:val="both"/>
        <w:rPr>
          <w:rFonts w:eastAsia="MS Gothic"/>
          <w:color w:val="000000"/>
          <w:lang w:val="es-ES_tradnl" w:eastAsia="en-US"/>
        </w:rPr>
      </w:pPr>
    </w:p>
    <w:p w14:paraId="7C090A04" w14:textId="33B4E0DB" w:rsidR="00C37931" w:rsidRPr="00216226" w:rsidRDefault="000631A7" w:rsidP="006C5426">
      <w:pPr>
        <w:spacing w:after="0" w:line="240" w:lineRule="auto"/>
        <w:jc w:val="both"/>
        <w:rPr>
          <w:rFonts w:eastAsia="MS Gothic"/>
          <w:color w:val="000000"/>
          <w:lang w:val="es-ES_tradnl" w:eastAsia="en-US"/>
        </w:rPr>
      </w:pPr>
      <w:r w:rsidRPr="00216226">
        <w:rPr>
          <w:rFonts w:eastAsia="MS Gothic"/>
          <w:color w:val="000000"/>
          <w:lang w:val="es-ES_tradnl" w:eastAsia="en-US"/>
        </w:rPr>
        <w:t xml:space="preserve">Según las últimas proyecciones de previsión de elegibilidad, no se espera que Honduras </w:t>
      </w:r>
      <w:r w:rsidR="00D34716" w:rsidRPr="00216226">
        <w:rPr>
          <w:rFonts w:eastAsia="MS Gothic"/>
          <w:color w:val="000000"/>
          <w:lang w:val="es-ES_tradnl" w:eastAsia="en-US"/>
        </w:rPr>
        <w:t xml:space="preserve">inicie </w:t>
      </w:r>
      <w:r w:rsidRPr="00216226">
        <w:rPr>
          <w:rFonts w:eastAsia="MS Gothic"/>
          <w:color w:val="000000"/>
          <w:lang w:val="es-ES_tradnl" w:eastAsia="en-US"/>
        </w:rPr>
        <w:t>la transición del apoyo antes de 2025 como muy pronto. Los montos de los fondos se están reduciendo progresivamente y el país ya ha comenzado a discutir los planes de transición y sostenibilidad (Fondo Mundial</w:t>
      </w:r>
      <w:r w:rsidR="00C37931" w:rsidRPr="00216226">
        <w:rPr>
          <w:rFonts w:eastAsia="MS Gothic"/>
          <w:color w:val="000000"/>
          <w:lang w:val="es-ES_tradnl" w:eastAsia="en-US"/>
        </w:rPr>
        <w:t>, 2019</w:t>
      </w:r>
      <w:r w:rsidR="00216226" w:rsidRPr="00216226">
        <w:rPr>
          <w:rFonts w:eastAsia="MS Gothic"/>
          <w:color w:val="000000"/>
          <w:lang w:val="es-ES_tradnl" w:eastAsia="en-US"/>
        </w:rPr>
        <w:t>).</w:t>
      </w:r>
    </w:p>
    <w:p w14:paraId="73C7BD2E" w14:textId="39F3011A" w:rsidR="005402CE" w:rsidRPr="00216226" w:rsidRDefault="000631A7" w:rsidP="006C5426">
      <w:pPr>
        <w:spacing w:before="240" w:after="0" w:line="240" w:lineRule="auto"/>
        <w:jc w:val="both"/>
        <w:rPr>
          <w:rFonts w:eastAsia="Times New Roman"/>
          <w:color w:val="000000"/>
          <w:lang w:val="es-ES_tradnl"/>
        </w:rPr>
      </w:pPr>
      <w:r w:rsidRPr="00216226">
        <w:rPr>
          <w:rFonts w:eastAsia="Times New Roman"/>
          <w:color w:val="000000"/>
          <w:lang w:val="es-ES_tradnl"/>
        </w:rPr>
        <w:t>El Equipo de País del Fondo Mundial identificó las siguientes prioridades para esta evaluación</w:t>
      </w:r>
      <w:r w:rsidR="005402CE" w:rsidRPr="00216226">
        <w:rPr>
          <w:rFonts w:eastAsia="Times New Roman"/>
          <w:color w:val="000000"/>
          <w:lang w:val="es-ES_tradnl"/>
        </w:rPr>
        <w:t>:</w:t>
      </w:r>
      <w:r w:rsidR="00D151A9" w:rsidRPr="00216226">
        <w:rPr>
          <w:lang w:val="es-ES_tradnl"/>
        </w:rPr>
        <w:t xml:space="preserve"> </w:t>
      </w:r>
    </w:p>
    <w:p w14:paraId="1DC8F835" w14:textId="135EC0B7" w:rsidR="006C5426" w:rsidRPr="00216226" w:rsidRDefault="00D34716" w:rsidP="00D151A9">
      <w:pPr>
        <w:pStyle w:val="ListParagraph"/>
        <w:numPr>
          <w:ilvl w:val="0"/>
          <w:numId w:val="24"/>
        </w:numPr>
        <w:rPr>
          <w:lang w:val="es-ES_tradnl"/>
        </w:rPr>
      </w:pPr>
      <w:r w:rsidRPr="00216226">
        <w:rPr>
          <w:lang w:val="es-ES_tradnl"/>
        </w:rPr>
        <w:t>¿Es el Receptor Principal (</w:t>
      </w:r>
      <w:r w:rsidR="000A56D9" w:rsidRPr="00216226">
        <w:rPr>
          <w:lang w:val="es-ES_tradnl"/>
        </w:rPr>
        <w:t>RP</w:t>
      </w:r>
      <w:r w:rsidRPr="00216226">
        <w:rPr>
          <w:lang w:val="es-ES_tradnl"/>
        </w:rPr>
        <w:t>) el que prioriza y establece los objetivos para la cascada 90-90-90 en función de los datos programáticos disponibles sobre poblaciones clave</w:t>
      </w:r>
      <w:r w:rsidR="006C5426" w:rsidRPr="00216226">
        <w:rPr>
          <w:lang w:val="es-ES_tradnl"/>
        </w:rPr>
        <w:t>?</w:t>
      </w:r>
      <w:r w:rsidR="00D151A9" w:rsidRPr="00216226">
        <w:rPr>
          <w:lang w:val="es-ES_tradnl"/>
        </w:rPr>
        <w:t xml:space="preserve"> </w:t>
      </w:r>
    </w:p>
    <w:p w14:paraId="41E6C7AB" w14:textId="2E3B20AF" w:rsidR="006C5426" w:rsidRPr="00216226" w:rsidRDefault="00D34716" w:rsidP="006C5426">
      <w:pPr>
        <w:pStyle w:val="ListParagraph"/>
        <w:numPr>
          <w:ilvl w:val="0"/>
          <w:numId w:val="24"/>
        </w:numPr>
        <w:jc w:val="both"/>
        <w:rPr>
          <w:rFonts w:eastAsiaTheme="minorEastAsia"/>
          <w:lang w:val="es-ES_tradnl"/>
        </w:rPr>
      </w:pPr>
      <w:r w:rsidRPr="00216226">
        <w:rPr>
          <w:lang w:val="es-ES_tradnl"/>
        </w:rPr>
        <w:t>¿Las áreas geográficas priorizadas / poblaciones clave objetivo han maximizado la búsqueda de nuevos casos de VIH y su vinculación con la atención?</w:t>
      </w:r>
    </w:p>
    <w:p w14:paraId="4D86D0B9" w14:textId="0C411A35" w:rsidR="006C5426" w:rsidRPr="0087005E" w:rsidRDefault="00D34716" w:rsidP="0087005E">
      <w:pPr>
        <w:pStyle w:val="ListParagraph"/>
        <w:numPr>
          <w:ilvl w:val="0"/>
          <w:numId w:val="24"/>
        </w:numPr>
        <w:jc w:val="both"/>
        <w:rPr>
          <w:lang w:val="es-ES_tradnl"/>
        </w:rPr>
      </w:pPr>
      <w:r w:rsidRPr="00216226">
        <w:rPr>
          <w:lang w:val="es-ES_tradnl"/>
        </w:rPr>
        <w:t xml:space="preserve">¿De qué manera los mecanismos existentes de coordinación del VIH (por ejemplo, </w:t>
      </w:r>
      <w:r w:rsidR="0087005E">
        <w:rPr>
          <w:lang w:val="es-ES_tradnl"/>
        </w:rPr>
        <w:t>l</w:t>
      </w:r>
      <w:r w:rsidR="0087005E" w:rsidRPr="0087005E">
        <w:rPr>
          <w:lang w:val="es-ES_tradnl"/>
        </w:rPr>
        <w:t>a Comisión Nacional de Sida</w:t>
      </w:r>
      <w:r w:rsidR="0087005E">
        <w:rPr>
          <w:lang w:val="es-ES_tradnl"/>
        </w:rPr>
        <w:t xml:space="preserve"> – </w:t>
      </w:r>
      <w:r w:rsidRPr="0087005E">
        <w:rPr>
          <w:lang w:val="es-ES_tradnl"/>
        </w:rPr>
        <w:t>CONASIDA) y la legislación (por ejemplo, la ley del VIH del 2015) están facilitando (o no) / contribuyendo a acelerar la respuesta al VIH / SIDA?</w:t>
      </w:r>
    </w:p>
    <w:p w14:paraId="48022EBC" w14:textId="43CF933E" w:rsidR="006C5426" w:rsidRPr="00216226" w:rsidRDefault="00E860D0" w:rsidP="006C5426">
      <w:pPr>
        <w:pStyle w:val="ListParagraph"/>
        <w:numPr>
          <w:ilvl w:val="0"/>
          <w:numId w:val="24"/>
        </w:numPr>
        <w:jc w:val="both"/>
        <w:rPr>
          <w:lang w:val="es-ES_tradnl"/>
        </w:rPr>
      </w:pPr>
      <w:r w:rsidRPr="00216226">
        <w:rPr>
          <w:lang w:val="es-ES_tradnl"/>
        </w:rPr>
        <w:t>¿Cómo está progresando el programa nacional y de qué manera las inversiones del Fondo Mundial están contribuyendo a alcanzar los objetivos nacionales para reducir la brecha en el primer pilar de la cascada?</w:t>
      </w:r>
    </w:p>
    <w:p w14:paraId="16C7C0DC" w14:textId="212D6F24" w:rsidR="006C5426" w:rsidRPr="00216226" w:rsidRDefault="00E860D0" w:rsidP="006C5426">
      <w:pPr>
        <w:pStyle w:val="ListParagraph"/>
        <w:numPr>
          <w:ilvl w:val="0"/>
          <w:numId w:val="24"/>
        </w:numPr>
        <w:jc w:val="both"/>
        <w:rPr>
          <w:lang w:val="es-ES_tradnl"/>
        </w:rPr>
      </w:pPr>
      <w:r w:rsidRPr="00216226">
        <w:rPr>
          <w:rFonts w:eastAsiaTheme="minorEastAsia"/>
          <w:lang w:val="es-ES_tradnl"/>
        </w:rPr>
        <w:t>La consistencia de la prestación de servicios de prevención (perfil del personal de salud, proporción de personas examinadas / técnico, etc.) entre los lugares y los proveedores</w:t>
      </w:r>
      <w:r w:rsidR="006C5426" w:rsidRPr="00216226">
        <w:rPr>
          <w:rFonts w:eastAsiaTheme="minorEastAsia"/>
          <w:lang w:val="es-ES_tradnl"/>
        </w:rPr>
        <w:t>.</w:t>
      </w:r>
      <w:r w:rsidR="00D151A9" w:rsidRPr="00216226">
        <w:rPr>
          <w:lang w:val="es-ES_tradnl"/>
        </w:rPr>
        <w:t xml:space="preserve"> </w:t>
      </w:r>
      <w:r w:rsidR="00D151A9" w:rsidRPr="00216226">
        <w:rPr>
          <w:rFonts w:eastAsiaTheme="minorEastAsia"/>
          <w:lang w:val="es-ES_tradnl"/>
        </w:rPr>
        <w:tab/>
      </w:r>
    </w:p>
    <w:p w14:paraId="083E743E" w14:textId="77CBA017" w:rsidR="006C5426" w:rsidRPr="00216226" w:rsidRDefault="00E860D0" w:rsidP="006C5426">
      <w:pPr>
        <w:pStyle w:val="ListParagraph"/>
        <w:numPr>
          <w:ilvl w:val="0"/>
          <w:numId w:val="24"/>
        </w:numPr>
        <w:jc w:val="both"/>
        <w:rPr>
          <w:rFonts w:eastAsiaTheme="minorEastAsia"/>
          <w:lang w:val="es-ES_tradnl"/>
        </w:rPr>
      </w:pPr>
      <w:r w:rsidRPr="00216226">
        <w:rPr>
          <w:rFonts w:eastAsiaTheme="minorEastAsia"/>
          <w:lang w:val="es-ES_tradnl"/>
        </w:rPr>
        <w:t>Si los insumos para proporcionar servicios de prevención y prueba (</w:t>
      </w:r>
      <w:r w:rsidR="00652E09">
        <w:rPr>
          <w:rFonts w:eastAsiaTheme="minorEastAsia"/>
          <w:lang w:val="es-ES_tradnl"/>
        </w:rPr>
        <w:t>recursos humanos, infraestructura, etc.) son “</w:t>
      </w:r>
      <w:r w:rsidRPr="00216226">
        <w:rPr>
          <w:rFonts w:eastAsiaTheme="minorEastAsia"/>
          <w:lang w:val="es-ES_tradnl"/>
        </w:rPr>
        <w:t>aptos para el propósito</w:t>
      </w:r>
      <w:r w:rsidR="00A32DC4" w:rsidRPr="00216226">
        <w:rPr>
          <w:rFonts w:eastAsiaTheme="minorEastAsia"/>
          <w:lang w:val="es-ES_tradnl"/>
        </w:rPr>
        <w:t>.</w:t>
      </w:r>
      <w:r w:rsidR="006C5426" w:rsidRPr="00216226">
        <w:rPr>
          <w:rFonts w:eastAsiaTheme="minorEastAsia"/>
          <w:lang w:val="es-ES_tradnl"/>
        </w:rPr>
        <w:t xml:space="preserve">” </w:t>
      </w:r>
    </w:p>
    <w:p w14:paraId="5EFE2A77" w14:textId="667A1B66" w:rsidR="006C5426" w:rsidRPr="00216226" w:rsidRDefault="00652E09" w:rsidP="006C5426">
      <w:pPr>
        <w:pStyle w:val="ListParagraph"/>
        <w:numPr>
          <w:ilvl w:val="0"/>
          <w:numId w:val="24"/>
        </w:numPr>
        <w:jc w:val="both"/>
        <w:rPr>
          <w:lang w:val="es-ES_tradnl"/>
        </w:rPr>
      </w:pPr>
      <w:r>
        <w:rPr>
          <w:lang w:val="es-ES_tradnl"/>
        </w:rPr>
        <w:t>¿</w:t>
      </w:r>
      <w:r w:rsidR="00E860D0" w:rsidRPr="00216226">
        <w:rPr>
          <w:lang w:val="es-ES_tradnl"/>
        </w:rPr>
        <w:t xml:space="preserve">Cómo está progresando el programa nacional / están contribuyendo las inversiones del Fondo Mundial a llegar a las poblaciones </w:t>
      </w:r>
      <w:r w:rsidR="003C6851">
        <w:rPr>
          <w:lang w:val="es-ES_tradnl"/>
        </w:rPr>
        <w:t>Garífuna</w:t>
      </w:r>
      <w:r w:rsidR="00E860D0" w:rsidRPr="00216226">
        <w:rPr>
          <w:lang w:val="es-ES_tradnl"/>
        </w:rPr>
        <w:t>s con servicios de prevención</w:t>
      </w:r>
      <w:r w:rsidR="00EE623D">
        <w:rPr>
          <w:rFonts w:eastAsiaTheme="minorEastAsia"/>
          <w:lang w:val="es-ES_tradnl"/>
        </w:rPr>
        <w:t>?</w:t>
      </w:r>
      <w:r w:rsidR="00D151A9" w:rsidRPr="00216226">
        <w:rPr>
          <w:rFonts w:eastAsiaTheme="minorEastAsia"/>
          <w:lang w:val="es-ES_tradnl"/>
        </w:rPr>
        <w:t xml:space="preserve"> </w:t>
      </w:r>
    </w:p>
    <w:p w14:paraId="5F5944D6" w14:textId="77777777" w:rsidR="00E860D0" w:rsidRPr="00216226" w:rsidRDefault="00E860D0" w:rsidP="006C5426">
      <w:pPr>
        <w:pStyle w:val="ListParagraph"/>
        <w:numPr>
          <w:ilvl w:val="0"/>
          <w:numId w:val="24"/>
        </w:numPr>
        <w:jc w:val="both"/>
        <w:rPr>
          <w:lang w:val="es-ES_tradnl"/>
        </w:rPr>
      </w:pPr>
      <w:r w:rsidRPr="00216226">
        <w:rPr>
          <w:lang w:val="es-ES_tradnl"/>
        </w:rPr>
        <w:t>¿Qué mecanismos de garantía de calidad existen para la prevención y la prueba del VIH?</w:t>
      </w:r>
    </w:p>
    <w:p w14:paraId="12B7B14C" w14:textId="67C20C3E" w:rsidR="00A32DC4" w:rsidRPr="00216226" w:rsidRDefault="00E860D0" w:rsidP="006C5426">
      <w:pPr>
        <w:pStyle w:val="ListParagraph"/>
        <w:numPr>
          <w:ilvl w:val="0"/>
          <w:numId w:val="24"/>
        </w:numPr>
        <w:jc w:val="both"/>
        <w:rPr>
          <w:lang w:val="es-ES_tradnl"/>
        </w:rPr>
      </w:pPr>
      <w:r w:rsidRPr="00216226">
        <w:rPr>
          <w:lang w:val="es-ES_tradnl"/>
        </w:rPr>
        <w:lastRenderedPageBreak/>
        <w:t>¿Se han implementado servicios diferenciados de pruebas de VIH? Capture buenas prácticas, si las hay, y las lecciones aprendidas.</w:t>
      </w:r>
    </w:p>
    <w:p w14:paraId="158BFC86" w14:textId="6CCEB150" w:rsidR="006C5426" w:rsidRPr="00216226" w:rsidRDefault="00E860D0" w:rsidP="006C5426">
      <w:pPr>
        <w:pStyle w:val="ListParagraph"/>
        <w:numPr>
          <w:ilvl w:val="0"/>
          <w:numId w:val="24"/>
        </w:numPr>
        <w:jc w:val="both"/>
        <w:rPr>
          <w:lang w:val="es-ES_tradnl"/>
        </w:rPr>
      </w:pPr>
      <w:r w:rsidRPr="00216226">
        <w:rPr>
          <w:lang w:val="es-ES_tradnl"/>
        </w:rPr>
        <w:t>¿Cómo puede contribuir el Fondo Mundial a ampliar los modelos de prestación de servicios diferenciados para la prevención y las pruebas?</w:t>
      </w:r>
    </w:p>
    <w:p w14:paraId="36634C83" w14:textId="165AEBE1" w:rsidR="006C5426" w:rsidRPr="00216226" w:rsidRDefault="00EE623D" w:rsidP="006C5426">
      <w:pPr>
        <w:pStyle w:val="ListParagraph"/>
        <w:numPr>
          <w:ilvl w:val="0"/>
          <w:numId w:val="24"/>
        </w:numPr>
        <w:jc w:val="both"/>
        <w:rPr>
          <w:lang w:val="es-ES_tradnl"/>
        </w:rPr>
      </w:pPr>
      <w:r>
        <w:rPr>
          <w:lang w:val="es-ES_tradnl"/>
        </w:rPr>
        <w:t>¿</w:t>
      </w:r>
      <w:r w:rsidR="00E860D0" w:rsidRPr="00216226">
        <w:rPr>
          <w:lang w:val="es-ES_tradnl"/>
        </w:rPr>
        <w:t>Cómo avanza el programa nacional / contribuyen las inversiones del Fondo Mundial a mejorar los vínculos entre las intervenciones comunitarias de prevención y tratamiento del VIH y los proveedores públicos de servicios de atención clínica del VIH</w:t>
      </w:r>
      <w:r>
        <w:rPr>
          <w:rFonts w:eastAsiaTheme="minorEastAsia"/>
          <w:lang w:val="es-ES_tradnl"/>
        </w:rPr>
        <w:t>?</w:t>
      </w:r>
    </w:p>
    <w:p w14:paraId="1A7B2166" w14:textId="2EDE2D0B" w:rsidR="006C5426" w:rsidRPr="00216226" w:rsidRDefault="00EE623D" w:rsidP="006C5426">
      <w:pPr>
        <w:pStyle w:val="ListParagraph"/>
        <w:numPr>
          <w:ilvl w:val="0"/>
          <w:numId w:val="24"/>
        </w:numPr>
        <w:jc w:val="both"/>
        <w:rPr>
          <w:lang w:val="es-ES_tradnl"/>
        </w:rPr>
      </w:pPr>
      <w:r>
        <w:rPr>
          <w:lang w:val="es-ES_tradnl"/>
        </w:rPr>
        <w:t>¿</w:t>
      </w:r>
      <w:r w:rsidR="00E860D0" w:rsidRPr="00216226">
        <w:rPr>
          <w:lang w:val="es-ES_tradnl"/>
        </w:rPr>
        <w:t>Cómo avanza el programa nacional / contribuyen las inversiones del Fondo Mundial a</w:t>
      </w:r>
      <w:r w:rsidR="006C5426" w:rsidRPr="00216226">
        <w:rPr>
          <w:lang w:val="es-ES_tradnl"/>
        </w:rPr>
        <w:t>:</w:t>
      </w:r>
      <w:r w:rsidR="00D151A9" w:rsidRPr="00216226">
        <w:rPr>
          <w:lang w:val="es-ES_tradnl"/>
        </w:rPr>
        <w:t xml:space="preserve"> </w:t>
      </w:r>
    </w:p>
    <w:p w14:paraId="00BCF770" w14:textId="19CCC02B" w:rsidR="006C5426" w:rsidRPr="00216226" w:rsidRDefault="005072BF" w:rsidP="006C5426">
      <w:pPr>
        <w:pStyle w:val="ListParagraph"/>
        <w:numPr>
          <w:ilvl w:val="1"/>
          <w:numId w:val="25"/>
        </w:numPr>
        <w:jc w:val="both"/>
        <w:rPr>
          <w:lang w:val="es-ES_tradnl"/>
        </w:rPr>
      </w:pPr>
      <w:r w:rsidRPr="00216226">
        <w:rPr>
          <w:lang w:val="es-ES_tradnl"/>
        </w:rPr>
        <w:t>la descentralización de las pruebas de recuento de CD4</w:t>
      </w:r>
      <w:r w:rsidR="00A32DC4" w:rsidRPr="00216226">
        <w:rPr>
          <w:lang w:val="es-ES_tradnl"/>
        </w:rPr>
        <w:t xml:space="preserve">, </w:t>
      </w:r>
      <w:r w:rsidRPr="00216226">
        <w:rPr>
          <w:lang w:val="es-ES_tradnl"/>
        </w:rPr>
        <w:t>y</w:t>
      </w:r>
    </w:p>
    <w:p w14:paraId="6C6D2BB2" w14:textId="2ECFF646" w:rsidR="006C5426" w:rsidRPr="00216226" w:rsidRDefault="005072BF" w:rsidP="006C5426">
      <w:pPr>
        <w:pStyle w:val="ListParagraph"/>
        <w:numPr>
          <w:ilvl w:val="1"/>
          <w:numId w:val="25"/>
        </w:numPr>
        <w:jc w:val="both"/>
        <w:rPr>
          <w:lang w:val="es-ES_tradnl"/>
        </w:rPr>
      </w:pPr>
      <w:r w:rsidRPr="00216226">
        <w:rPr>
          <w:lang w:val="es-ES_tradnl"/>
        </w:rPr>
        <w:t>reducir la pérdida durante el seguimiento / aumentar la adherencia al tratamiento con TARV</w:t>
      </w:r>
      <w:r w:rsidR="00EE623D">
        <w:rPr>
          <w:lang w:val="es-ES_tradnl"/>
        </w:rPr>
        <w:t>?</w:t>
      </w:r>
    </w:p>
    <w:p w14:paraId="6DD36B3B" w14:textId="375745F2" w:rsidR="00A32DC4" w:rsidRPr="00216226" w:rsidRDefault="005072BF" w:rsidP="006C5426">
      <w:pPr>
        <w:pStyle w:val="ListParagraph"/>
        <w:numPr>
          <w:ilvl w:val="0"/>
          <w:numId w:val="24"/>
        </w:numPr>
        <w:jc w:val="both"/>
        <w:rPr>
          <w:lang w:val="es-ES_tradnl"/>
        </w:rPr>
      </w:pPr>
      <w:r w:rsidRPr="00216226">
        <w:rPr>
          <w:rFonts w:eastAsiaTheme="minorEastAsia"/>
          <w:lang w:val="es-ES_tradnl"/>
        </w:rPr>
        <w:t>¿Se ha implementado un enfoque de atención diferenciada (por ejemplo, prescripción para varios meses, distribución de TARV comunitaria)?</w:t>
      </w:r>
      <w:r w:rsidR="00D151A9" w:rsidRPr="00216226">
        <w:rPr>
          <w:rFonts w:eastAsiaTheme="minorEastAsia"/>
          <w:lang w:val="es-ES_tradnl"/>
        </w:rPr>
        <w:t xml:space="preserve"> </w:t>
      </w:r>
    </w:p>
    <w:p w14:paraId="33F8A066" w14:textId="36F5886A" w:rsidR="00A32DC4" w:rsidRPr="00216226" w:rsidRDefault="005072BF" w:rsidP="006C5426">
      <w:pPr>
        <w:pStyle w:val="ListParagraph"/>
        <w:numPr>
          <w:ilvl w:val="0"/>
          <w:numId w:val="24"/>
        </w:numPr>
        <w:jc w:val="both"/>
        <w:rPr>
          <w:lang w:val="es-ES_tradnl"/>
        </w:rPr>
      </w:pPr>
      <w:r w:rsidRPr="00216226">
        <w:rPr>
          <w:rFonts w:eastAsiaTheme="minorEastAsia"/>
          <w:lang w:val="es-ES_tradnl"/>
        </w:rPr>
        <w:t>¿Cómo puede contribuir el Fondo Mundial a ampliar los enfoques de atención diferenciada para la prevención y las pruebas?</w:t>
      </w:r>
    </w:p>
    <w:p w14:paraId="33324BB8" w14:textId="7BE8EAF0" w:rsidR="006C5426" w:rsidRPr="00216226" w:rsidRDefault="005072BF" w:rsidP="006C5426">
      <w:pPr>
        <w:pStyle w:val="ListParagraph"/>
        <w:numPr>
          <w:ilvl w:val="0"/>
          <w:numId w:val="24"/>
        </w:numPr>
        <w:jc w:val="both"/>
        <w:rPr>
          <w:lang w:val="es-ES_tradnl"/>
        </w:rPr>
      </w:pPr>
      <w:r w:rsidRPr="00216226">
        <w:rPr>
          <w:rFonts w:eastAsiaTheme="minorEastAsia"/>
          <w:lang w:val="es-ES_tradnl"/>
        </w:rPr>
        <w:t>¿En qué medida el programa nacional ha supervisado y evaluado la calidad de las intervenciones de prevención y tratamiento del VIH, incluido el desarrollo de estándares de calidad, sistemas de revisión y / o acreditación de proveedores?</w:t>
      </w:r>
      <w:r w:rsidR="00216226" w:rsidRPr="00216226">
        <w:rPr>
          <w:lang w:val="es-ES_tradnl"/>
        </w:rPr>
        <w:t xml:space="preserve"> </w:t>
      </w:r>
    </w:p>
    <w:p w14:paraId="2B8FA132" w14:textId="7F96FAF1" w:rsidR="006C5426" w:rsidRPr="00216226" w:rsidRDefault="005072BF" w:rsidP="006C5426">
      <w:pPr>
        <w:pStyle w:val="ListParagraph"/>
        <w:numPr>
          <w:ilvl w:val="0"/>
          <w:numId w:val="24"/>
        </w:numPr>
        <w:jc w:val="both"/>
        <w:rPr>
          <w:lang w:val="es-ES_tradnl"/>
        </w:rPr>
      </w:pPr>
      <w:r w:rsidRPr="00216226">
        <w:rPr>
          <w:lang w:val="es-ES_tradnl"/>
        </w:rPr>
        <w:t>Evalúe la calidad de los servicios según los estándares nacionales / Paquetes de servicios nacionales de VIH, con un enfoque en pruebas y prevención. ¿Los paquetes están homologados?</w:t>
      </w:r>
    </w:p>
    <w:p w14:paraId="4027BC5A" w14:textId="39FBFF3D" w:rsidR="006C5426" w:rsidRPr="00216226" w:rsidRDefault="005072BF" w:rsidP="006C5426">
      <w:pPr>
        <w:pStyle w:val="ListParagraph"/>
        <w:numPr>
          <w:ilvl w:val="0"/>
          <w:numId w:val="24"/>
        </w:numPr>
        <w:jc w:val="both"/>
        <w:rPr>
          <w:lang w:val="es-ES_tradnl"/>
        </w:rPr>
      </w:pPr>
      <w:r w:rsidRPr="00216226">
        <w:rPr>
          <w:lang w:val="es-ES_tradnl"/>
        </w:rPr>
        <w:t>¿Qué mecanismos de garantía de calidad están implementados para la prevención y la prueba del VIH?</w:t>
      </w:r>
    </w:p>
    <w:p w14:paraId="1EA61E3F" w14:textId="7940708C" w:rsidR="00A32DC4" w:rsidRPr="00216226" w:rsidRDefault="005072BF" w:rsidP="006C5426">
      <w:pPr>
        <w:pStyle w:val="ListParagraph"/>
        <w:numPr>
          <w:ilvl w:val="0"/>
          <w:numId w:val="24"/>
        </w:numPr>
        <w:jc w:val="both"/>
        <w:rPr>
          <w:lang w:val="es-ES_tradnl"/>
        </w:rPr>
      </w:pPr>
      <w:r w:rsidRPr="00216226">
        <w:rPr>
          <w:lang w:val="es-ES_tradnl"/>
        </w:rPr>
        <w:t>¿Qué avances se han hecho al implementar el nuevo sistema integrado de información de salud?</w:t>
      </w:r>
    </w:p>
    <w:p w14:paraId="4F71A395" w14:textId="2FABD08C" w:rsidR="006C5426" w:rsidRPr="00216226" w:rsidRDefault="005072BF" w:rsidP="006C5426">
      <w:pPr>
        <w:pStyle w:val="ListParagraph"/>
        <w:numPr>
          <w:ilvl w:val="0"/>
          <w:numId w:val="24"/>
        </w:numPr>
        <w:jc w:val="both"/>
        <w:rPr>
          <w:lang w:val="es-ES_tradnl"/>
        </w:rPr>
      </w:pPr>
      <w:r w:rsidRPr="00216226">
        <w:rPr>
          <w:lang w:val="es-ES_tradnl"/>
        </w:rPr>
        <w:t>¿Cuáles son los principales obstáculos, si los hay, para implementar el sistema y cómo superarlos?</w:t>
      </w:r>
      <w:r w:rsidR="006C5426" w:rsidRPr="00216226">
        <w:rPr>
          <w:lang w:val="es-ES_tradnl"/>
        </w:rPr>
        <w:t xml:space="preserve"> </w:t>
      </w:r>
    </w:p>
    <w:p w14:paraId="559D71A1" w14:textId="4A0D0FF9" w:rsidR="006C5426" w:rsidRPr="00EE623D" w:rsidRDefault="00EE623D" w:rsidP="00EE623D">
      <w:pPr>
        <w:pStyle w:val="ListParagraph"/>
        <w:numPr>
          <w:ilvl w:val="0"/>
          <w:numId w:val="24"/>
        </w:numPr>
        <w:jc w:val="both"/>
        <w:rPr>
          <w:lang w:val="es-ES_tradnl"/>
        </w:rPr>
      </w:pPr>
      <w:r>
        <w:rPr>
          <w:lang w:val="es-ES_tradnl"/>
        </w:rPr>
        <w:t xml:space="preserve">¿Se utilizan </w:t>
      </w:r>
      <w:r w:rsidR="005072BF" w:rsidRPr="00216226">
        <w:rPr>
          <w:lang w:val="es-ES_tradnl"/>
        </w:rPr>
        <w:t>códigos identificadores únicos (</w:t>
      </w:r>
      <w:r w:rsidR="00C033A0">
        <w:rPr>
          <w:i/>
          <w:lang w:val="es-ES_tradnl"/>
        </w:rPr>
        <w:t>Unique Identifer C</w:t>
      </w:r>
      <w:r>
        <w:rPr>
          <w:i/>
          <w:lang w:val="es-ES_tradnl"/>
        </w:rPr>
        <w:t xml:space="preserve">odes </w:t>
      </w:r>
      <w:r w:rsidRPr="00EE623D">
        <w:rPr>
          <w:i/>
          <w:lang w:val="es-ES_tradnl"/>
        </w:rPr>
        <w:t xml:space="preserve">– </w:t>
      </w:r>
      <w:r w:rsidR="005072BF" w:rsidRPr="00EE623D">
        <w:rPr>
          <w:i/>
          <w:lang w:val="es-ES_tradnl"/>
        </w:rPr>
        <w:t>UIC</w:t>
      </w:r>
      <w:r w:rsidR="005072BF" w:rsidRPr="00EE623D">
        <w:rPr>
          <w:lang w:val="es-ES_tradnl"/>
        </w:rPr>
        <w:t>)? ¿Se aborda sistemáticamente el doble cómputo?</w:t>
      </w:r>
      <w:r w:rsidR="00216226" w:rsidRPr="00EE623D">
        <w:rPr>
          <w:lang w:val="es-ES_tradnl"/>
        </w:rPr>
        <w:t xml:space="preserve"> </w:t>
      </w:r>
    </w:p>
    <w:p w14:paraId="141D19EA" w14:textId="0C78D198" w:rsidR="006C5426" w:rsidRPr="00216226" w:rsidRDefault="005072BF" w:rsidP="006C5426">
      <w:pPr>
        <w:pStyle w:val="ListParagraph"/>
        <w:numPr>
          <w:ilvl w:val="0"/>
          <w:numId w:val="24"/>
        </w:numPr>
        <w:jc w:val="both"/>
        <w:rPr>
          <w:lang w:val="es-ES_tradnl"/>
        </w:rPr>
      </w:pPr>
      <w:r w:rsidRPr="00216226">
        <w:rPr>
          <w:lang w:val="es-ES_tradnl"/>
        </w:rPr>
        <w:t>¿Las herramientas de recolección de datos están homologadas</w:t>
      </w:r>
      <w:r w:rsidR="006C5426" w:rsidRPr="00216226">
        <w:rPr>
          <w:lang w:val="es-ES_tradnl"/>
        </w:rPr>
        <w:t>?</w:t>
      </w:r>
    </w:p>
    <w:p w14:paraId="3B77D31E" w14:textId="76E3CFDD" w:rsidR="006C5426" w:rsidRPr="00216226" w:rsidRDefault="005072BF" w:rsidP="006C5426">
      <w:pPr>
        <w:pStyle w:val="ListParagraph"/>
        <w:numPr>
          <w:ilvl w:val="0"/>
          <w:numId w:val="24"/>
        </w:numPr>
        <w:jc w:val="both"/>
        <w:rPr>
          <w:lang w:val="es-ES_tradnl"/>
        </w:rPr>
      </w:pPr>
      <w:r w:rsidRPr="00216226">
        <w:rPr>
          <w:lang w:val="es-ES_tradnl"/>
        </w:rPr>
        <w:t xml:space="preserve">¿Hay evidencia de </w:t>
      </w:r>
      <w:r w:rsidR="00D13428" w:rsidRPr="00216226">
        <w:rPr>
          <w:lang w:val="es-ES_tradnl"/>
        </w:rPr>
        <w:t xml:space="preserve">que se </w:t>
      </w:r>
      <w:r w:rsidRPr="00216226">
        <w:rPr>
          <w:lang w:val="es-ES_tradnl"/>
        </w:rPr>
        <w:t>c</w:t>
      </w:r>
      <w:r w:rsidR="00D13428" w:rsidRPr="00216226">
        <w:rPr>
          <w:lang w:val="es-ES_tradnl"/>
        </w:rPr>
        <w:t>ubre</w:t>
      </w:r>
      <w:r w:rsidRPr="00216226">
        <w:rPr>
          <w:lang w:val="es-ES_tradnl"/>
        </w:rPr>
        <w:t xml:space="preserve"> la supervisión sistemática programática y de monitoreo y evaluación?</w:t>
      </w:r>
      <w:r w:rsidR="006C5426" w:rsidRPr="00216226">
        <w:rPr>
          <w:lang w:val="es-ES_tradnl"/>
        </w:rPr>
        <w:t xml:space="preserve"> </w:t>
      </w:r>
    </w:p>
    <w:p w14:paraId="7EEAE6B5" w14:textId="1AAD8DC7" w:rsidR="006C5426" w:rsidRPr="00216226" w:rsidRDefault="00D13428" w:rsidP="006C5426">
      <w:pPr>
        <w:pStyle w:val="ListParagraph"/>
        <w:numPr>
          <w:ilvl w:val="0"/>
          <w:numId w:val="24"/>
        </w:numPr>
        <w:jc w:val="both"/>
        <w:rPr>
          <w:lang w:val="es-ES_tradnl"/>
        </w:rPr>
      </w:pPr>
      <w:r w:rsidRPr="00216226">
        <w:rPr>
          <w:lang w:val="es-ES_tradnl"/>
        </w:rPr>
        <w:t>¿Hay evidencia de triangulación de datos para informar decisiones?</w:t>
      </w:r>
    </w:p>
    <w:p w14:paraId="14A1B288" w14:textId="1EC1DCE8" w:rsidR="006C5426" w:rsidRPr="00453B71" w:rsidRDefault="00D13428" w:rsidP="006C5426">
      <w:pPr>
        <w:pStyle w:val="ListParagraph"/>
        <w:numPr>
          <w:ilvl w:val="0"/>
          <w:numId w:val="24"/>
        </w:numPr>
        <w:jc w:val="both"/>
        <w:rPr>
          <w:lang w:val="es-ES_tradnl"/>
        </w:rPr>
      </w:pPr>
      <w:r w:rsidRPr="00216226">
        <w:rPr>
          <w:lang w:val="es-ES_tradnl"/>
        </w:rPr>
        <w:t xml:space="preserve">¿Cómo han contribuido las inversiones del Fondo Mundial a aumentar la sostenibilidad de las actividades de prevención entre las </w:t>
      </w:r>
      <w:r w:rsidRPr="00453B71">
        <w:rPr>
          <w:lang w:val="es-ES_tradnl"/>
        </w:rPr>
        <w:t>poblaciones clave, incluido el apoyo al desarrollo y la implementación de mecanismos de contratación social?</w:t>
      </w:r>
    </w:p>
    <w:p w14:paraId="308B5304" w14:textId="10127B5F" w:rsidR="00A32DC4" w:rsidRPr="00453B71" w:rsidRDefault="00D13428" w:rsidP="006C5426">
      <w:pPr>
        <w:pStyle w:val="ListParagraph"/>
        <w:numPr>
          <w:ilvl w:val="0"/>
          <w:numId w:val="24"/>
        </w:numPr>
        <w:jc w:val="both"/>
        <w:rPr>
          <w:lang w:val="es-ES_tradnl"/>
        </w:rPr>
      </w:pPr>
      <w:r w:rsidRPr="00453B71">
        <w:rPr>
          <w:lang w:val="es-ES_tradnl"/>
        </w:rPr>
        <w:t>¿El programa nacional ha podido encontrar eficiencias para optimizar el uso de los fondos domésticos</w:t>
      </w:r>
      <w:r w:rsidR="00A32DC4" w:rsidRPr="00453B71">
        <w:rPr>
          <w:lang w:val="es-ES_tradnl"/>
        </w:rPr>
        <w:t>?</w:t>
      </w:r>
    </w:p>
    <w:p w14:paraId="1A4AB9CA" w14:textId="1CDD4B24" w:rsidR="006C5426" w:rsidRPr="00216226" w:rsidRDefault="00683B19" w:rsidP="006C5426">
      <w:pPr>
        <w:pStyle w:val="ListParagraph"/>
        <w:numPr>
          <w:ilvl w:val="0"/>
          <w:numId w:val="24"/>
        </w:numPr>
        <w:jc w:val="both"/>
        <w:rPr>
          <w:lang w:val="es-ES_tradnl"/>
        </w:rPr>
      </w:pPr>
      <w:r w:rsidRPr="00453B71">
        <w:rPr>
          <w:lang w:val="es-ES_tradnl"/>
        </w:rPr>
        <w:t>¿Qué eficiencias adicionales (compra de TARV,</w:t>
      </w:r>
      <w:r w:rsidRPr="00216226">
        <w:rPr>
          <w:lang w:val="es-ES_tradnl"/>
        </w:rPr>
        <w:t xml:space="preserve"> rotación de tareas, gestión de la cadena de suministros, etc.) podrían identificarse?</w:t>
      </w:r>
      <w:r w:rsidR="006C5426" w:rsidRPr="00216226">
        <w:rPr>
          <w:lang w:val="es-ES_tradnl"/>
        </w:rPr>
        <w:t xml:space="preserve"> </w:t>
      </w:r>
    </w:p>
    <w:p w14:paraId="3FC63E91" w14:textId="582FC2CE" w:rsidR="006C5426" w:rsidRPr="00216226" w:rsidRDefault="00683B19" w:rsidP="006C5426">
      <w:pPr>
        <w:pStyle w:val="ListParagraph"/>
        <w:numPr>
          <w:ilvl w:val="0"/>
          <w:numId w:val="24"/>
        </w:numPr>
        <w:jc w:val="both"/>
        <w:rPr>
          <w:lang w:val="es-ES_tradnl"/>
        </w:rPr>
      </w:pPr>
      <w:r w:rsidRPr="00216226">
        <w:rPr>
          <w:lang w:val="es-ES_tradnl"/>
        </w:rPr>
        <w:t>¿Cómo puede el Gobierno reducir / absorber progresivamente el apoyo del Fondo Mundial para comprar reactivos y otros consumibles</w:t>
      </w:r>
      <w:r w:rsidR="006C5426" w:rsidRPr="00216226">
        <w:rPr>
          <w:lang w:val="es-ES_tradnl"/>
        </w:rPr>
        <w:t>?</w:t>
      </w:r>
    </w:p>
    <w:p w14:paraId="335B25C1" w14:textId="424052CF" w:rsidR="006C5426" w:rsidRPr="00EE623D" w:rsidRDefault="00683B19" w:rsidP="00EE623D">
      <w:pPr>
        <w:pStyle w:val="ListParagraph"/>
        <w:numPr>
          <w:ilvl w:val="0"/>
          <w:numId w:val="24"/>
        </w:numPr>
        <w:jc w:val="both"/>
        <w:rPr>
          <w:lang w:val="es-ES_tradnl"/>
        </w:rPr>
      </w:pPr>
      <w:r w:rsidRPr="00216226">
        <w:rPr>
          <w:lang w:val="es-ES_tradnl"/>
        </w:rPr>
        <w:t>Los resultados de esta evaluación se utilizarán para informar el proceso de otorgamiento de la</w:t>
      </w:r>
      <w:r w:rsidR="00EE623D">
        <w:rPr>
          <w:lang w:val="es-ES_tradnl"/>
        </w:rPr>
        <w:t xml:space="preserve"> nueva subvención para VIH 2019–</w:t>
      </w:r>
      <w:r w:rsidRPr="00EE623D">
        <w:rPr>
          <w:lang w:val="es-ES_tradnl"/>
        </w:rPr>
        <w:t>20</w:t>
      </w:r>
      <w:r w:rsidR="00EE623D">
        <w:rPr>
          <w:lang w:val="es-ES_tradnl"/>
        </w:rPr>
        <w:t>21 (continuación del programa), y</w:t>
      </w:r>
      <w:r w:rsidRPr="00EE623D">
        <w:rPr>
          <w:lang w:val="es-ES_tradnl"/>
        </w:rPr>
        <w:t xml:space="preserve"> para informar sobre el desarrollo del nuevo programa nacional de VIH. Las recomendaciones programáticas específicas para mejorar el rendimiento de cualquier área débil identificada serían sumamente útiles.</w:t>
      </w:r>
    </w:p>
    <w:p w14:paraId="5F2545A2" w14:textId="6B0719D0" w:rsidR="005402CE" w:rsidRPr="00216226" w:rsidRDefault="00683B19" w:rsidP="006C5426">
      <w:pPr>
        <w:spacing w:line="240" w:lineRule="auto"/>
        <w:jc w:val="both"/>
        <w:rPr>
          <w:rFonts w:eastAsia="Times New Roman"/>
          <w:color w:val="000000"/>
          <w:lang w:val="es-ES_tradnl"/>
        </w:rPr>
      </w:pPr>
      <w:r w:rsidRPr="00216226">
        <w:rPr>
          <w:rFonts w:eastAsia="Times New Roman"/>
          <w:color w:val="000000"/>
          <w:lang w:val="es-ES_tradnl"/>
        </w:rPr>
        <w:lastRenderedPageBreak/>
        <w:t>Honduras fue seleccionada para recibir una evaluación de campo en el cuarto trimestre de 2018. La visita de campo se realizó entre el 29 de octubre y 8 de noviembre de 2018 e incluyó</w:t>
      </w:r>
      <w:r w:rsidR="005402CE" w:rsidRPr="00216226">
        <w:rPr>
          <w:rFonts w:eastAsia="Times New Roman"/>
          <w:color w:val="000000"/>
          <w:lang w:val="es-ES_tradnl"/>
        </w:rPr>
        <w:t>:</w:t>
      </w:r>
      <w:r w:rsidR="00D151A9" w:rsidRPr="00216226">
        <w:rPr>
          <w:lang w:val="es-ES_tradnl"/>
        </w:rPr>
        <w:t xml:space="preserve"> </w:t>
      </w:r>
    </w:p>
    <w:p w14:paraId="5F3B1E28" w14:textId="1A736E22" w:rsidR="00EE623D" w:rsidRDefault="00683B19" w:rsidP="00EE623D">
      <w:pPr>
        <w:numPr>
          <w:ilvl w:val="0"/>
          <w:numId w:val="10"/>
        </w:numPr>
        <w:contextualSpacing/>
        <w:jc w:val="both"/>
        <w:rPr>
          <w:rFonts w:eastAsia="MS Gothic"/>
          <w:lang w:val="es-ES_tradnl" w:eastAsia="en-US"/>
        </w:rPr>
      </w:pPr>
      <w:r w:rsidRPr="00216226">
        <w:rPr>
          <w:rFonts w:eastAsia="MS Gothic"/>
          <w:lang w:val="es-ES_tradnl" w:eastAsia="en-US"/>
        </w:rPr>
        <w:t xml:space="preserve">Revisión documental de los materiales proporcionados por el Equipo de País, por el </w:t>
      </w:r>
      <w:r w:rsidR="00EE623D">
        <w:rPr>
          <w:rFonts w:eastAsia="MS Gothic"/>
          <w:lang w:val="es-ES_tradnl" w:eastAsia="en-US"/>
        </w:rPr>
        <w:t>Mecanismo Coordinador de País (</w:t>
      </w:r>
      <w:r w:rsidRPr="00216226">
        <w:rPr>
          <w:rFonts w:eastAsia="MS Gothic"/>
          <w:lang w:val="es-ES_tradnl" w:eastAsia="en-US"/>
        </w:rPr>
        <w:t>MCP</w:t>
      </w:r>
      <w:r w:rsidR="00EE623D">
        <w:rPr>
          <w:rFonts w:eastAsia="MS Gothic"/>
          <w:lang w:val="es-ES_tradnl" w:eastAsia="en-US"/>
        </w:rPr>
        <w:t>)</w:t>
      </w:r>
      <w:r w:rsidRPr="00216226">
        <w:rPr>
          <w:rFonts w:eastAsia="MS Gothic"/>
          <w:lang w:val="es-ES_tradnl" w:eastAsia="en-US"/>
        </w:rPr>
        <w:t>, por partes interesadas individuales y por las encontradas mediante búsquedas sistemáticas en Internet (PubMed, Google Scholar</w:t>
      </w:r>
      <w:r w:rsidR="009A59ED" w:rsidRPr="00216226">
        <w:rPr>
          <w:rFonts w:eastAsia="MS Gothic"/>
          <w:lang w:val="es-ES_tradnl" w:eastAsia="en-US"/>
        </w:rPr>
        <w:t>)</w:t>
      </w:r>
      <w:r w:rsidR="000A1D9C">
        <w:rPr>
          <w:rFonts w:eastAsia="MS Gothic"/>
          <w:lang w:val="es-ES_tradnl" w:eastAsia="en-US"/>
        </w:rPr>
        <w:t>;</w:t>
      </w:r>
    </w:p>
    <w:p w14:paraId="63E1475A" w14:textId="6404FB8F" w:rsidR="009A59ED" w:rsidRPr="00EE623D" w:rsidRDefault="00683B19" w:rsidP="00EE623D">
      <w:pPr>
        <w:numPr>
          <w:ilvl w:val="0"/>
          <w:numId w:val="10"/>
        </w:numPr>
        <w:contextualSpacing/>
        <w:jc w:val="both"/>
        <w:rPr>
          <w:rFonts w:eastAsia="MS Gothic"/>
          <w:lang w:val="es-ES_tradnl" w:eastAsia="en-US"/>
        </w:rPr>
      </w:pPr>
      <w:r w:rsidRPr="00EE623D">
        <w:rPr>
          <w:rFonts w:eastAsia="MS Gothic"/>
          <w:lang w:val="es-ES_tradnl" w:eastAsia="en-US"/>
        </w:rPr>
        <w:t xml:space="preserve">Entrevistas a informantes clave incluyendo 113 representantes del gobierno de Honduras, </w:t>
      </w:r>
      <w:r w:rsidR="00EE623D" w:rsidRPr="00EE623D">
        <w:rPr>
          <w:rFonts w:eastAsia="MS Gothic"/>
          <w:lang w:val="es-ES_tradnl" w:eastAsia="en-US"/>
        </w:rPr>
        <w:t>el</w:t>
      </w:r>
      <w:r w:rsidR="00EE623D">
        <w:rPr>
          <w:rFonts w:eastAsia="MS Gothic"/>
          <w:lang w:val="es-ES_tradnl" w:eastAsia="en-US"/>
        </w:rPr>
        <w:t xml:space="preserve"> </w:t>
      </w:r>
      <w:r w:rsidRPr="00EE623D">
        <w:rPr>
          <w:rFonts w:eastAsia="MS Gothic"/>
          <w:lang w:val="es-ES_tradnl" w:eastAsia="en-US"/>
        </w:rPr>
        <w:t>RP</w:t>
      </w:r>
      <w:r w:rsidRPr="0087005E">
        <w:rPr>
          <w:rFonts w:eastAsia="MS Gothic"/>
          <w:lang w:val="es-ES_tradnl" w:eastAsia="en-US"/>
        </w:rPr>
        <w:t xml:space="preserve">, </w:t>
      </w:r>
      <w:r w:rsidR="00EE623D" w:rsidRPr="0087005E">
        <w:rPr>
          <w:rFonts w:eastAsia="MS Gothic"/>
          <w:lang w:val="es-ES_tradnl" w:eastAsia="en-US"/>
        </w:rPr>
        <w:t>el Sub-Receptor (SR)</w:t>
      </w:r>
      <w:r w:rsidRPr="0087005E">
        <w:rPr>
          <w:rFonts w:eastAsia="MS Gothic"/>
          <w:lang w:val="es-ES_tradnl" w:eastAsia="en-US"/>
        </w:rPr>
        <w:t>, trabajadores</w:t>
      </w:r>
      <w:r w:rsidRPr="00EE623D">
        <w:rPr>
          <w:rFonts w:eastAsia="MS Gothic"/>
          <w:lang w:val="es-ES_tradnl" w:eastAsia="en-US"/>
        </w:rPr>
        <w:t xml:space="preserve"> sanitarios, técnicos de laboratorio, </w:t>
      </w:r>
      <w:r w:rsidR="00EE623D">
        <w:rPr>
          <w:rFonts w:eastAsia="MS Gothic"/>
          <w:lang w:val="es-ES_tradnl" w:eastAsia="en-US"/>
        </w:rPr>
        <w:t>organizaciones de la sociedad civil (OSC)</w:t>
      </w:r>
      <w:r w:rsidRPr="00EE623D">
        <w:rPr>
          <w:rFonts w:eastAsia="MS Gothic"/>
          <w:lang w:val="es-ES_tradnl" w:eastAsia="en-US"/>
        </w:rPr>
        <w:t xml:space="preserve"> de PVVIH, población </w:t>
      </w:r>
      <w:r w:rsidR="003C6851">
        <w:rPr>
          <w:rFonts w:eastAsia="MS Gothic"/>
          <w:lang w:val="es-ES_tradnl" w:eastAsia="en-US"/>
        </w:rPr>
        <w:t>Garífuna</w:t>
      </w:r>
      <w:r w:rsidRPr="00EE623D">
        <w:rPr>
          <w:rFonts w:eastAsia="MS Gothic"/>
          <w:lang w:val="es-ES_tradnl" w:eastAsia="en-US"/>
        </w:rPr>
        <w:t xml:space="preserve">, HSH, </w:t>
      </w:r>
      <w:r w:rsidR="00453B71" w:rsidRPr="00EE623D">
        <w:rPr>
          <w:rFonts w:eastAsia="MS Gothic"/>
          <w:lang w:val="es-ES_tradnl" w:eastAsia="en-US"/>
        </w:rPr>
        <w:t xml:space="preserve">mujeres transgénero </w:t>
      </w:r>
      <w:r w:rsidRPr="00EE623D">
        <w:rPr>
          <w:rFonts w:eastAsia="MS Gothic"/>
          <w:lang w:val="es-ES_tradnl" w:eastAsia="en-US"/>
        </w:rPr>
        <w:t>y trabajadoras sexuales, y promotores de los derechos humanos</w:t>
      </w:r>
      <w:r w:rsidR="000A1D9C">
        <w:rPr>
          <w:rFonts w:eastAsia="MS Gothic"/>
          <w:lang w:val="es-ES_tradnl" w:eastAsia="en-US"/>
        </w:rPr>
        <w:t>;</w:t>
      </w:r>
    </w:p>
    <w:p w14:paraId="547B2548" w14:textId="0818ECC8" w:rsidR="009A59ED" w:rsidRPr="00216226" w:rsidRDefault="00683B19" w:rsidP="006C5426">
      <w:pPr>
        <w:numPr>
          <w:ilvl w:val="0"/>
          <w:numId w:val="10"/>
        </w:numPr>
        <w:contextualSpacing/>
        <w:jc w:val="both"/>
        <w:rPr>
          <w:rFonts w:eastAsia="MS Gothic"/>
          <w:lang w:val="es-ES_tradnl" w:eastAsia="en-US"/>
        </w:rPr>
      </w:pPr>
      <w:r w:rsidRPr="00216226">
        <w:rPr>
          <w:rFonts w:eastAsia="MS Gothic"/>
          <w:lang w:val="es-ES_tradnl" w:eastAsia="en-US"/>
        </w:rPr>
        <w:t>Discusiones en grupos focales con poblaciones cl</w:t>
      </w:r>
      <w:r w:rsidR="00453B71">
        <w:rPr>
          <w:rFonts w:eastAsia="MS Gothic"/>
          <w:lang w:val="es-ES_tradnl" w:eastAsia="en-US"/>
        </w:rPr>
        <w:t>ave (HSH / mujeres transgénero</w:t>
      </w:r>
      <w:r w:rsidRPr="00216226">
        <w:rPr>
          <w:rFonts w:eastAsia="MS Gothic"/>
          <w:lang w:val="es-ES_tradnl" w:eastAsia="en-US"/>
        </w:rPr>
        <w:t xml:space="preserve"> y trabajadoras sexuales), </w:t>
      </w:r>
      <w:r w:rsidR="00652E09">
        <w:rPr>
          <w:rFonts w:eastAsia="MS Gothic"/>
          <w:lang w:val="es-ES_tradnl" w:eastAsia="en-US"/>
        </w:rPr>
        <w:t>PVVIH</w:t>
      </w:r>
      <w:r w:rsidRPr="00216226">
        <w:rPr>
          <w:rFonts w:eastAsia="MS Gothic"/>
          <w:lang w:val="es-ES_tradnl" w:eastAsia="en-US"/>
        </w:rPr>
        <w:t xml:space="preserve">, población </w:t>
      </w:r>
      <w:r w:rsidR="003C6851">
        <w:rPr>
          <w:rFonts w:eastAsia="MS Gothic"/>
          <w:lang w:val="es-ES_tradnl" w:eastAsia="en-US"/>
        </w:rPr>
        <w:t>Garífuna</w:t>
      </w:r>
      <w:r w:rsidRPr="00216226">
        <w:rPr>
          <w:rFonts w:eastAsia="MS Gothic"/>
          <w:lang w:val="es-ES_tradnl" w:eastAsia="en-US"/>
        </w:rPr>
        <w:t xml:space="preserve"> y médicos de VIH</w:t>
      </w:r>
      <w:r w:rsidR="000A1D9C">
        <w:rPr>
          <w:rFonts w:eastAsia="MS Gothic"/>
          <w:lang w:val="es-ES_tradnl" w:eastAsia="en-US"/>
        </w:rPr>
        <w:t>;</w:t>
      </w:r>
    </w:p>
    <w:p w14:paraId="13520FFA" w14:textId="4C16FF62" w:rsidR="009A59ED" w:rsidRPr="00216226" w:rsidRDefault="0015207B" w:rsidP="006C5426">
      <w:pPr>
        <w:numPr>
          <w:ilvl w:val="0"/>
          <w:numId w:val="10"/>
        </w:numPr>
        <w:contextualSpacing/>
        <w:jc w:val="both"/>
        <w:rPr>
          <w:rFonts w:eastAsia="MS Gothic"/>
          <w:lang w:val="es-ES_tradnl" w:eastAsia="en-US"/>
        </w:rPr>
      </w:pPr>
      <w:r w:rsidRPr="00216226">
        <w:rPr>
          <w:rFonts w:eastAsia="MS Gothic"/>
          <w:lang w:val="es-ES_tradnl" w:eastAsia="en-US"/>
        </w:rPr>
        <w:t>Visitas a locales y observaciones de servicios en nueve centros de salud, dos laboratorios y tres OSC en tres ciudades diferentes: Tegucigalpa, San Pedro Sula y La Ceiba</w:t>
      </w:r>
      <w:r w:rsidR="000A1D9C">
        <w:rPr>
          <w:rFonts w:eastAsia="MS Gothic"/>
          <w:lang w:val="es-ES_tradnl" w:eastAsia="en-US"/>
        </w:rPr>
        <w:t>;</w:t>
      </w:r>
    </w:p>
    <w:p w14:paraId="4E3BB4F9" w14:textId="41D07F70" w:rsidR="009A59ED" w:rsidRPr="00216226" w:rsidRDefault="0015207B" w:rsidP="006C5426">
      <w:pPr>
        <w:numPr>
          <w:ilvl w:val="0"/>
          <w:numId w:val="10"/>
        </w:numPr>
        <w:contextualSpacing/>
        <w:jc w:val="both"/>
        <w:rPr>
          <w:rFonts w:eastAsia="MS Gothic"/>
          <w:lang w:val="es-ES_tradnl" w:eastAsia="en-US"/>
        </w:rPr>
      </w:pPr>
      <w:r w:rsidRPr="00216226">
        <w:rPr>
          <w:rFonts w:eastAsia="MS Gothic"/>
          <w:lang w:val="es-ES_tradnl" w:eastAsia="en-US"/>
        </w:rPr>
        <w:t>Entrevistas con cinco usuarios anónimos de centros de salud en cuatro centros diferentes</w:t>
      </w:r>
      <w:r w:rsidR="000A1D9C">
        <w:rPr>
          <w:rFonts w:eastAsia="MS Gothic"/>
          <w:lang w:val="es-ES_tradnl" w:eastAsia="en-US"/>
        </w:rPr>
        <w:t>; y</w:t>
      </w:r>
    </w:p>
    <w:p w14:paraId="639A956A" w14:textId="4FE5B176" w:rsidR="009A59ED" w:rsidRPr="00216226" w:rsidRDefault="0015207B" w:rsidP="006C5426">
      <w:pPr>
        <w:numPr>
          <w:ilvl w:val="0"/>
          <w:numId w:val="10"/>
        </w:numPr>
        <w:contextualSpacing/>
        <w:jc w:val="both"/>
        <w:rPr>
          <w:rFonts w:eastAsia="MS Gothic"/>
          <w:lang w:val="es-ES_tradnl" w:eastAsia="en-US"/>
        </w:rPr>
      </w:pPr>
      <w:r w:rsidRPr="00216226">
        <w:rPr>
          <w:rFonts w:eastAsia="MS Gothic"/>
          <w:lang w:val="es-ES_tradnl" w:eastAsia="en-US"/>
        </w:rPr>
        <w:t>Análisis de datos proporcionados directamente por las partes interesadas; los rendimientos de positividad provenientes de modelos diferenciados y compilación de quejas por derechos humanos</w:t>
      </w:r>
      <w:r w:rsidR="000A1D9C">
        <w:rPr>
          <w:rFonts w:eastAsia="MS Gothic"/>
          <w:lang w:val="es-ES_tradnl" w:eastAsia="en-US"/>
        </w:rPr>
        <w:t>.</w:t>
      </w:r>
    </w:p>
    <w:p w14:paraId="6530FB8C" w14:textId="09B83683" w:rsidR="005C1890" w:rsidRPr="00216226" w:rsidRDefault="005402CE" w:rsidP="006C5426">
      <w:pPr>
        <w:spacing w:after="0" w:line="240" w:lineRule="auto"/>
        <w:jc w:val="both"/>
        <w:rPr>
          <w:rFonts w:eastAsia="Times New Roman"/>
          <w:color w:val="000000"/>
          <w:lang w:val="es-ES_tradnl"/>
        </w:rPr>
      </w:pPr>
      <w:r w:rsidRPr="00216226">
        <w:rPr>
          <w:rFonts w:ascii="Times New Roman" w:eastAsia="Times New Roman" w:hAnsi="Times New Roman" w:cs="Times New Roman"/>
          <w:sz w:val="24"/>
          <w:szCs w:val="24"/>
          <w:lang w:val="es-ES_tradnl"/>
        </w:rPr>
        <w:br/>
      </w:r>
      <w:r w:rsidR="0015207B" w:rsidRPr="00216226">
        <w:rPr>
          <w:rFonts w:eastAsia="MS Gothic"/>
          <w:color w:val="000000"/>
          <w:lang w:val="es-ES_tradnl" w:eastAsia="en-US"/>
        </w:rPr>
        <w:t xml:space="preserve">A pesar de la gran cantidad y </w:t>
      </w:r>
      <w:r w:rsidR="00216226">
        <w:rPr>
          <w:rFonts w:eastAsia="MS Gothic"/>
          <w:color w:val="000000"/>
          <w:lang w:val="es-ES_tradnl" w:eastAsia="en-US"/>
        </w:rPr>
        <w:t xml:space="preserve">la </w:t>
      </w:r>
      <w:r w:rsidR="0015207B" w:rsidRPr="00216226">
        <w:rPr>
          <w:rFonts w:eastAsia="MS Gothic"/>
          <w:color w:val="000000"/>
          <w:lang w:val="es-ES_tradnl" w:eastAsia="en-US"/>
        </w:rPr>
        <w:t>extensión de los documentos disponibles para la revisión documental, la mayoría ofrece información original limitada, haciendo referencia o citándose entre sí en la mayoría de los aspectos</w:t>
      </w:r>
      <w:r w:rsidR="001302EC" w:rsidRPr="00216226">
        <w:rPr>
          <w:rFonts w:eastAsia="MS Gothic"/>
          <w:color w:val="000000"/>
          <w:lang w:val="es-ES_tradnl" w:eastAsia="en-US"/>
        </w:rPr>
        <w:t xml:space="preserve">. </w:t>
      </w:r>
      <w:r w:rsidR="0015207B" w:rsidRPr="00216226">
        <w:rPr>
          <w:rFonts w:eastAsia="MS Gothic"/>
          <w:color w:val="000000"/>
          <w:lang w:val="es-ES_tradnl" w:eastAsia="en-US"/>
        </w:rPr>
        <w:t>En ese sentido, los puntos fuertes y débiles de la respuesta nacional al VIH están bien identificados, pero el material no ofrece evidencia de cuál ha sido el progreso real para abordar los principales desafíos</w:t>
      </w:r>
      <w:r w:rsidR="001302EC" w:rsidRPr="00216226">
        <w:rPr>
          <w:rFonts w:eastAsia="MS Gothic"/>
          <w:color w:val="000000"/>
          <w:lang w:val="es-ES_tradnl" w:eastAsia="en-US"/>
        </w:rPr>
        <w:t xml:space="preserve">. </w:t>
      </w:r>
      <w:r w:rsidR="0015207B" w:rsidRPr="00216226">
        <w:rPr>
          <w:rFonts w:eastAsia="MS Gothic"/>
          <w:color w:val="000000"/>
          <w:lang w:val="es-ES_tradnl" w:eastAsia="en-US"/>
        </w:rPr>
        <w:t xml:space="preserve">La evaluación en el país se vio limitada debido a la ausencia de último minuto de un segundo consultor internacional, la falta de datos desglosados y la falta de información de los beneficiarios de atención sanitaria </w:t>
      </w:r>
      <w:r w:rsidR="00216226">
        <w:rPr>
          <w:rFonts w:eastAsia="MS Gothic"/>
          <w:color w:val="000000"/>
          <w:lang w:val="es-ES_tradnl" w:eastAsia="en-US"/>
        </w:rPr>
        <w:t>imparciales</w:t>
      </w:r>
      <w:r w:rsidR="003D7B1A" w:rsidRPr="00216226">
        <w:rPr>
          <w:rFonts w:eastAsia="MS Gothic"/>
          <w:color w:val="000000"/>
          <w:lang w:val="es-ES_tradnl" w:eastAsia="en-US"/>
        </w:rPr>
        <w:t>.</w:t>
      </w:r>
      <w:r w:rsidR="00D151A9" w:rsidRPr="00216226">
        <w:rPr>
          <w:lang w:val="es-ES_tradnl"/>
        </w:rPr>
        <w:t xml:space="preserve"> </w:t>
      </w:r>
    </w:p>
    <w:p w14:paraId="1D1975AD" w14:textId="77777777" w:rsidR="005C1890" w:rsidRPr="00216226" w:rsidRDefault="005C1890" w:rsidP="005402CE">
      <w:pPr>
        <w:spacing w:after="0" w:line="240" w:lineRule="auto"/>
        <w:rPr>
          <w:rFonts w:eastAsia="Times New Roman"/>
          <w:color w:val="000000"/>
          <w:lang w:val="es-ES_tradnl"/>
        </w:rPr>
      </w:pPr>
    </w:p>
    <w:p w14:paraId="72829856" w14:textId="21B6DFC5" w:rsidR="003D7B1A" w:rsidRPr="00216226" w:rsidRDefault="0015207B" w:rsidP="00A32DC4">
      <w:pPr>
        <w:spacing w:after="0" w:line="240" w:lineRule="auto"/>
        <w:jc w:val="both"/>
        <w:rPr>
          <w:b/>
          <w:color w:val="2C4F8E"/>
          <w:sz w:val="32"/>
          <w:szCs w:val="32"/>
          <w:lang w:val="es-ES_tradnl"/>
        </w:rPr>
      </w:pPr>
      <w:r w:rsidRPr="00216226">
        <w:rPr>
          <w:rFonts w:eastAsia="Times New Roman"/>
          <w:color w:val="000000"/>
          <w:lang w:val="es-ES_tradnl"/>
        </w:rPr>
        <w:t xml:space="preserve">Una información más detallada sobre la metodología y programa de la evaluación está disponible en el </w:t>
      </w:r>
      <w:hyperlink r:id="rId11" w:history="1">
        <w:r w:rsidRPr="00216226">
          <w:rPr>
            <w:rStyle w:val="Hyperlink"/>
            <w:rFonts w:eastAsia="Times New Roman"/>
            <w:lang w:val="es-ES_tradnl"/>
          </w:rPr>
          <w:t>Documento de Información Suplementaria</w:t>
        </w:r>
      </w:hyperlink>
      <w:r w:rsidR="005402CE" w:rsidRPr="00216226">
        <w:rPr>
          <w:rFonts w:eastAsia="Times New Roman"/>
          <w:color w:val="000000"/>
          <w:lang w:val="es-ES_tradnl"/>
        </w:rPr>
        <w:t>.</w:t>
      </w:r>
    </w:p>
    <w:p w14:paraId="0BABAA07" w14:textId="4DD980C5" w:rsidR="00F061A0" w:rsidRPr="00216226" w:rsidRDefault="00D151A9" w:rsidP="003D7B1A">
      <w:pPr>
        <w:pStyle w:val="Heading1"/>
        <w:spacing w:after="240"/>
        <w:rPr>
          <w:lang w:val="es-ES_tradnl"/>
        </w:rPr>
      </w:pPr>
      <w:r w:rsidRPr="00216226">
        <w:rPr>
          <w:lang w:val="es-ES_tradnl"/>
        </w:rPr>
        <w:t>Hallazgo</w:t>
      </w:r>
      <w:r w:rsidR="000C0F5B" w:rsidRPr="00216226">
        <w:rPr>
          <w:lang w:val="es-ES_tradnl"/>
        </w:rPr>
        <w:t>s</w:t>
      </w:r>
      <w:r w:rsidR="00216226" w:rsidRPr="00216226">
        <w:rPr>
          <w:lang w:val="es-ES_tradnl"/>
        </w:rPr>
        <w:t xml:space="preserve"> </w:t>
      </w:r>
    </w:p>
    <w:p w14:paraId="36FBFE4C" w14:textId="44E16DCB" w:rsidR="00F061A0" w:rsidRPr="00216226" w:rsidRDefault="00320DF5">
      <w:pPr>
        <w:jc w:val="both"/>
        <w:rPr>
          <w:b/>
          <w:color w:val="0391BE"/>
          <w:sz w:val="32"/>
          <w:szCs w:val="32"/>
          <w:lang w:val="es-ES_tradnl"/>
        </w:rPr>
      </w:pPr>
      <w:bookmarkStart w:id="2" w:name="_30j0zll" w:colFirst="0" w:colLast="0"/>
      <w:bookmarkEnd w:id="2"/>
      <w:r w:rsidRPr="00216226">
        <w:rPr>
          <w:b/>
          <w:color w:val="4472C4"/>
          <w:sz w:val="26"/>
          <w:szCs w:val="26"/>
          <w:lang w:val="es-ES_tradnl"/>
        </w:rPr>
        <w:t xml:space="preserve">Objetivo </w:t>
      </w:r>
      <w:r w:rsidR="000C0F5B" w:rsidRPr="00216226">
        <w:rPr>
          <w:b/>
          <w:color w:val="4472C4"/>
          <w:sz w:val="26"/>
          <w:szCs w:val="26"/>
          <w:lang w:val="es-ES_tradnl"/>
        </w:rPr>
        <w:t>1.</w:t>
      </w:r>
      <w:r w:rsidR="000C0F5B" w:rsidRPr="00216226">
        <w:rPr>
          <w:b/>
          <w:i/>
          <w:color w:val="0391BE"/>
          <w:lang w:val="es-ES_tradnl"/>
        </w:rPr>
        <w:t xml:space="preserve"> </w:t>
      </w:r>
      <w:r w:rsidRPr="00216226">
        <w:rPr>
          <w:b/>
          <w:lang w:val="es-ES_tradnl"/>
        </w:rPr>
        <w:t>Evaluar hasta qué punto – y cómo – las subvenciones del Fondo Mundial han ayudado a los países a alcanzar: a) las metas y objetivos descritos en sus planes estratégicos nacionales de cada enfermedad y en la estrategia general del sector de la salud, y b) las metas y objetivos establecidos en los acuerdos de subvención</w:t>
      </w:r>
      <w:r w:rsidR="000C0F5B" w:rsidRPr="00216226">
        <w:rPr>
          <w:b/>
          <w:lang w:val="es-ES_tradnl"/>
        </w:rPr>
        <w:t>.</w:t>
      </w:r>
    </w:p>
    <w:p w14:paraId="20D85B5F" w14:textId="17D247AF" w:rsidR="003D7B1A" w:rsidRPr="00216226" w:rsidRDefault="0015207B" w:rsidP="003D7B1A">
      <w:pPr>
        <w:jc w:val="both"/>
        <w:rPr>
          <w:rFonts w:eastAsia="MS Gothic"/>
          <w:lang w:val="es-ES_tradnl" w:eastAsia="en-US"/>
        </w:rPr>
      </w:pPr>
      <w:bookmarkStart w:id="3" w:name="_Hlk8129891"/>
      <w:bookmarkStart w:id="4" w:name="_Hlk793645"/>
      <w:r w:rsidRPr="00216226">
        <w:rPr>
          <w:rFonts w:eastAsia="MS Gothic"/>
          <w:lang w:val="es-ES_tradnl" w:eastAsia="en-US"/>
        </w:rPr>
        <w:t xml:space="preserve">El Fondo Mundial ha estado invirtiendo desde 2003 para hacer frente a la epidemia del VIH en Honduras. Esto se correlaciona con un refuerzo de las capacidades nacionales para diseñar, </w:t>
      </w:r>
      <w:r w:rsidR="007E0564" w:rsidRPr="00216226">
        <w:rPr>
          <w:rFonts w:eastAsia="MS Gothic"/>
          <w:lang w:val="es-ES_tradnl" w:eastAsia="en-US"/>
        </w:rPr>
        <w:t>monitorear</w:t>
      </w:r>
      <w:r w:rsidRPr="00216226">
        <w:rPr>
          <w:rFonts w:eastAsia="MS Gothic"/>
          <w:lang w:val="es-ES_tradnl" w:eastAsia="en-US"/>
        </w:rPr>
        <w:t xml:space="preserve"> y evaluar estrategias coherentes empíricamente contrastadas que se centran en los </w:t>
      </w:r>
      <w:r w:rsidR="002B1670" w:rsidRPr="00216226">
        <w:rPr>
          <w:rFonts w:eastAsia="MS Gothic"/>
          <w:lang w:val="es-ES_tradnl" w:eastAsia="en-US"/>
        </w:rPr>
        <w:t>impulsores</w:t>
      </w:r>
      <w:r w:rsidRPr="00216226">
        <w:rPr>
          <w:rFonts w:eastAsia="MS Gothic"/>
          <w:lang w:val="es-ES_tradnl" w:eastAsia="en-US"/>
        </w:rPr>
        <w:t xml:space="preserve"> de la enfermedad</w:t>
      </w:r>
      <w:r w:rsidR="003D7B1A" w:rsidRPr="00216226">
        <w:rPr>
          <w:rFonts w:eastAsia="MS Gothic"/>
          <w:lang w:val="es-ES_tradnl" w:eastAsia="en-US"/>
        </w:rPr>
        <w:t xml:space="preserve">. </w:t>
      </w:r>
      <w:r w:rsidRPr="00216226">
        <w:rPr>
          <w:rFonts w:eastAsia="MS Gothic"/>
          <w:lang w:val="es-ES_tradnl" w:eastAsia="en-US"/>
        </w:rPr>
        <w:t>La implementación de tales estrategias ha ofrecido resultados desiguales, lo que a su vez conduce a ineficiencias en la respuesta nacional de salud al VIH. Los componentes más vulnerables son los primeros 90 de la cascada del continuo de atención (pruebas</w:t>
      </w:r>
      <w:r w:rsidR="003D7B1A" w:rsidRPr="00216226">
        <w:rPr>
          <w:rFonts w:eastAsia="MS Gothic"/>
          <w:lang w:val="es-ES_tradnl" w:eastAsia="en-US"/>
        </w:rPr>
        <w:t>)</w:t>
      </w:r>
      <w:r w:rsidR="007E0564" w:rsidRPr="00216226">
        <w:rPr>
          <w:rFonts w:eastAsia="MS Gothic"/>
          <w:lang w:val="es-ES_tradnl" w:eastAsia="en-US"/>
        </w:rPr>
        <w:t>,</w:t>
      </w:r>
      <w:r w:rsidR="003D7B1A" w:rsidRPr="00216226">
        <w:rPr>
          <w:rFonts w:eastAsia="MS Gothic"/>
          <w:lang w:val="es-ES_tradnl" w:eastAsia="en-US"/>
        </w:rPr>
        <w:t xml:space="preserve"> </w:t>
      </w:r>
      <w:r w:rsidR="007E0564" w:rsidRPr="00216226">
        <w:rPr>
          <w:rFonts w:eastAsia="MS Gothic"/>
          <w:lang w:val="es-ES_tradnl" w:eastAsia="en-US"/>
        </w:rPr>
        <w:t xml:space="preserve">la baja tasa de personas en TARV cuya carga viral es de </w:t>
      </w:r>
      <w:r w:rsidR="003D7B1A" w:rsidRPr="00216226">
        <w:rPr>
          <w:rFonts w:eastAsia="MS Gothic"/>
          <w:lang w:val="es-ES_tradnl" w:eastAsia="en-US"/>
        </w:rPr>
        <w:t>&lt;1000 copi</w:t>
      </w:r>
      <w:r w:rsidR="007E0564" w:rsidRPr="00216226">
        <w:rPr>
          <w:rFonts w:eastAsia="MS Gothic"/>
          <w:lang w:val="es-ES_tradnl" w:eastAsia="en-US"/>
        </w:rPr>
        <w:t>a</w:t>
      </w:r>
      <w:r w:rsidR="003D7B1A" w:rsidRPr="00216226">
        <w:rPr>
          <w:rFonts w:eastAsia="MS Gothic"/>
          <w:lang w:val="es-ES_tradnl" w:eastAsia="en-US"/>
        </w:rPr>
        <w:t xml:space="preserve">s; </w:t>
      </w:r>
      <w:r w:rsidR="007E0564" w:rsidRPr="00216226">
        <w:rPr>
          <w:rFonts w:eastAsia="MS Gothic"/>
          <w:lang w:val="es-ES_tradnl" w:eastAsia="en-US"/>
        </w:rPr>
        <w:t xml:space="preserve">la calidad y la solidez del sistema de información, y el entorno propicio legal, político y social que afecta a las poblaciones clave y PVVIH en términos de derechos humanos, estigma y discriminación, pobreza y violencia </w:t>
      </w:r>
      <w:r w:rsidR="003D7B1A" w:rsidRPr="00216226">
        <w:rPr>
          <w:rFonts w:eastAsia="MS Gothic"/>
          <w:lang w:val="es-ES_tradnl" w:eastAsia="en-US"/>
        </w:rPr>
        <w:t>(</w:t>
      </w:r>
      <w:r w:rsidR="00D44421" w:rsidRPr="00216226">
        <w:rPr>
          <w:rFonts w:eastAsia="MS Gothic"/>
          <w:lang w:val="es-ES_tradnl" w:eastAsia="en-US"/>
        </w:rPr>
        <w:t>MCP</w:t>
      </w:r>
      <w:r w:rsidR="003D7B1A" w:rsidRPr="00216226">
        <w:rPr>
          <w:rFonts w:eastAsia="MS Gothic"/>
          <w:lang w:val="es-ES_tradnl" w:eastAsia="en-US"/>
        </w:rPr>
        <w:t xml:space="preserve">, 2015 </w:t>
      </w:r>
      <w:r w:rsidR="00216226" w:rsidRPr="00216226">
        <w:rPr>
          <w:rFonts w:eastAsia="MS Gothic"/>
          <w:lang w:val="es-ES_tradnl" w:eastAsia="en-US"/>
        </w:rPr>
        <w:t>y</w:t>
      </w:r>
      <w:r w:rsidR="003D7B1A" w:rsidRPr="00216226">
        <w:rPr>
          <w:rFonts w:eastAsia="MS Gothic"/>
          <w:lang w:val="es-ES_tradnl" w:eastAsia="en-US"/>
        </w:rPr>
        <w:t xml:space="preserve"> 2018</w:t>
      </w:r>
      <w:bookmarkEnd w:id="3"/>
      <w:r w:rsidR="003D7B1A" w:rsidRPr="00216226">
        <w:rPr>
          <w:rFonts w:eastAsia="MS Gothic"/>
          <w:lang w:val="es-ES_tradnl" w:eastAsia="en-US"/>
        </w:rPr>
        <w:t xml:space="preserve">). </w:t>
      </w:r>
      <w:bookmarkEnd w:id="4"/>
    </w:p>
    <w:p w14:paraId="76C5626E" w14:textId="77777777" w:rsidR="0087005E" w:rsidRDefault="0087005E" w:rsidP="003D7B1A">
      <w:pPr>
        <w:rPr>
          <w:rFonts w:ascii="Calibri Light" w:eastAsia="MS Gothic" w:hAnsi="Calibri Light" w:cs="Times New Roman"/>
          <w:b/>
          <w:bCs/>
          <w:lang w:val="es-ES_tradnl" w:eastAsia="en-US"/>
        </w:rPr>
      </w:pPr>
    </w:p>
    <w:p w14:paraId="27360C07" w14:textId="046D78F1" w:rsidR="003D7B1A" w:rsidRPr="00216226" w:rsidRDefault="00EE0F21" w:rsidP="003D7B1A">
      <w:pPr>
        <w:rPr>
          <w:rFonts w:ascii="Calibri Light" w:eastAsia="MS Gothic" w:hAnsi="Calibri Light" w:cs="Times New Roman"/>
          <w:b/>
          <w:bCs/>
          <w:lang w:val="es-ES_tradnl" w:eastAsia="en-US"/>
        </w:rPr>
      </w:pPr>
      <w:r w:rsidRPr="00216226">
        <w:rPr>
          <w:rFonts w:ascii="Calibri Light" w:eastAsia="MS Gothic" w:hAnsi="Calibri Light" w:cs="Times New Roman"/>
          <w:b/>
          <w:bCs/>
          <w:lang w:val="es-ES_tradnl" w:eastAsia="en-US"/>
        </w:rPr>
        <w:lastRenderedPageBreak/>
        <w:t>Dominio</w:t>
      </w:r>
      <w:r w:rsidR="003D7B1A" w:rsidRPr="00216226">
        <w:rPr>
          <w:rFonts w:ascii="Calibri Light" w:eastAsia="MS Gothic" w:hAnsi="Calibri Light" w:cs="Times New Roman"/>
          <w:b/>
          <w:bCs/>
          <w:lang w:val="es-ES_tradnl" w:eastAsia="en-US"/>
        </w:rPr>
        <w:t xml:space="preserve"> 1.1. </w:t>
      </w:r>
      <w:r w:rsidR="00320DF5" w:rsidRPr="00216226">
        <w:rPr>
          <w:rFonts w:ascii="Calibri Light" w:eastAsia="MS Gothic" w:hAnsi="Calibri Light" w:cs="Times New Roman"/>
          <w:b/>
          <w:bCs/>
          <w:lang w:val="es-ES_tradnl" w:eastAsia="en-US"/>
        </w:rPr>
        <w:t xml:space="preserve">Información, planificación e inversión estratégica </w:t>
      </w:r>
    </w:p>
    <w:p w14:paraId="5F782B14" w14:textId="271B60A4" w:rsidR="003D7B1A" w:rsidRPr="0087005E" w:rsidRDefault="00320DF5" w:rsidP="0087005E">
      <w:pPr>
        <w:jc w:val="both"/>
        <w:rPr>
          <w:rFonts w:eastAsia="MS Gothic"/>
          <w:i/>
          <w:lang w:val="es-ES_tradnl" w:eastAsia="en-US"/>
        </w:rPr>
      </w:pPr>
      <w:r w:rsidRPr="0087005E">
        <w:rPr>
          <w:rFonts w:eastAsia="MS Gothic"/>
          <w:lang w:val="es-ES_tradnl" w:eastAsia="en-US"/>
        </w:rPr>
        <w:t>Insumos:</w:t>
      </w:r>
      <w:r w:rsidR="003D7B1A" w:rsidRPr="0087005E">
        <w:rPr>
          <w:rFonts w:ascii="Calibri Light" w:eastAsia="MS Gothic" w:hAnsi="Calibri Light" w:cs="Calibri Light"/>
          <w:lang w:val="es-ES_tradnl" w:eastAsia="en-US"/>
        </w:rPr>
        <w:t xml:space="preserve"> </w:t>
      </w:r>
      <w:r w:rsidR="0087005E" w:rsidRPr="0087005E">
        <w:rPr>
          <w:rFonts w:ascii="Calibri Light" w:eastAsia="MS Gothic" w:hAnsi="Calibri Light" w:cs="Calibri Light"/>
          <w:lang w:val="es-ES_tradnl" w:eastAsia="en-US"/>
        </w:rPr>
        <w:t xml:space="preserve"> </w:t>
      </w:r>
      <w:r w:rsidRPr="0087005E">
        <w:rPr>
          <w:rFonts w:eastAsia="MS Gothic"/>
          <w:lang w:val="es-ES_tradnl" w:eastAsia="en-US"/>
        </w:rPr>
        <w:t>El Fondo</w:t>
      </w:r>
      <w:r w:rsidRPr="00216226">
        <w:rPr>
          <w:rFonts w:eastAsia="MS Gothic"/>
          <w:lang w:val="es-ES_tradnl" w:eastAsia="en-US"/>
        </w:rPr>
        <w:t xml:space="preserve"> Mundial ha contribuido a fortalecer el sistema de monitoreo y evaluación del VIH en Honduras desde que comenzaron las primeras </w:t>
      </w:r>
      <w:r w:rsidR="007E0564" w:rsidRPr="00216226">
        <w:rPr>
          <w:rFonts w:eastAsia="MS Gothic"/>
          <w:lang w:val="es-ES_tradnl" w:eastAsia="en-US"/>
        </w:rPr>
        <w:t>subvenciones</w:t>
      </w:r>
      <w:r w:rsidRPr="00216226">
        <w:rPr>
          <w:rFonts w:eastAsia="MS Gothic"/>
          <w:lang w:val="es-ES_tradnl" w:eastAsia="en-US"/>
        </w:rPr>
        <w:t xml:space="preserve"> en 2003. Otros donantes, como la Agencia de los Estados Unidos para el Desarrollo Internacional (</w:t>
      </w:r>
      <w:r w:rsidR="0087005E" w:rsidRPr="0087005E">
        <w:rPr>
          <w:rFonts w:eastAsia="MS Gothic"/>
          <w:i/>
          <w:lang w:val="es-ES_tradnl" w:eastAsia="en-US"/>
        </w:rPr>
        <w:t xml:space="preserve">United </w:t>
      </w:r>
      <w:r w:rsidR="0087005E">
        <w:rPr>
          <w:rFonts w:eastAsia="MS Gothic"/>
          <w:i/>
          <w:lang w:val="es-ES_tradnl" w:eastAsia="en-US"/>
        </w:rPr>
        <w:t>States Agency for I</w:t>
      </w:r>
      <w:r w:rsidR="0087005E" w:rsidRPr="0087005E">
        <w:rPr>
          <w:rFonts w:eastAsia="MS Gothic"/>
          <w:i/>
          <w:lang w:val="es-ES_tradnl" w:eastAsia="en-US"/>
        </w:rPr>
        <w:t xml:space="preserve">nternational </w:t>
      </w:r>
      <w:r w:rsidR="0087005E">
        <w:rPr>
          <w:rFonts w:eastAsia="MS Gothic"/>
          <w:i/>
          <w:lang w:val="es-ES_tradnl" w:eastAsia="en-US"/>
        </w:rPr>
        <w:t>D</w:t>
      </w:r>
      <w:r w:rsidR="0087005E" w:rsidRPr="0087005E">
        <w:rPr>
          <w:rFonts w:eastAsia="MS Gothic"/>
          <w:i/>
          <w:lang w:val="es-ES_tradnl" w:eastAsia="en-US"/>
        </w:rPr>
        <w:t>evelopment</w:t>
      </w:r>
      <w:r w:rsidR="0087005E">
        <w:rPr>
          <w:rFonts w:eastAsia="MS Gothic"/>
          <w:i/>
          <w:lang w:val="es-ES_tradnl" w:eastAsia="en-US"/>
        </w:rPr>
        <w:t xml:space="preserve"> – </w:t>
      </w:r>
      <w:r w:rsidRPr="0087005E">
        <w:rPr>
          <w:rFonts w:eastAsia="MS Gothic"/>
          <w:i/>
          <w:lang w:val="es-ES_tradnl" w:eastAsia="en-US"/>
        </w:rPr>
        <w:t>USAID</w:t>
      </w:r>
      <w:r w:rsidRPr="00216226">
        <w:rPr>
          <w:rFonts w:eastAsia="MS Gothic"/>
          <w:lang w:val="es-ES_tradnl" w:eastAsia="en-US"/>
        </w:rPr>
        <w:t>) y los Centros de Control y Prevención de Enfermedades (</w:t>
      </w:r>
      <w:r w:rsidR="0087005E" w:rsidRPr="0087005E">
        <w:rPr>
          <w:rFonts w:eastAsia="MS Gothic"/>
          <w:i/>
          <w:lang w:val="es-ES_tradnl" w:eastAsia="en-US"/>
        </w:rPr>
        <w:t>Centers for Disease Control and Prevention</w:t>
      </w:r>
      <w:r w:rsidR="0087005E">
        <w:rPr>
          <w:rFonts w:eastAsia="MS Gothic"/>
          <w:i/>
          <w:lang w:val="es-ES_tradnl" w:eastAsia="en-US"/>
        </w:rPr>
        <w:t xml:space="preserve"> – </w:t>
      </w:r>
      <w:r w:rsidRPr="0087005E">
        <w:rPr>
          <w:rFonts w:eastAsia="MS Gothic"/>
          <w:i/>
          <w:lang w:val="es-ES_tradnl" w:eastAsia="en-US"/>
        </w:rPr>
        <w:t>CDC</w:t>
      </w:r>
      <w:r w:rsidRPr="00216226">
        <w:rPr>
          <w:rFonts w:eastAsia="MS Gothic"/>
          <w:lang w:val="es-ES_tradnl" w:eastAsia="en-US"/>
        </w:rPr>
        <w:t>) de</w:t>
      </w:r>
      <w:r w:rsidR="0087005E">
        <w:rPr>
          <w:rFonts w:eastAsia="MS Gothic"/>
          <w:lang w:val="es-ES_tradnl" w:eastAsia="en-US"/>
        </w:rPr>
        <w:t xml:space="preserve"> los</w:t>
      </w:r>
      <w:r w:rsidRPr="00216226">
        <w:rPr>
          <w:rFonts w:eastAsia="MS Gothic"/>
          <w:lang w:val="es-ES_tradnl" w:eastAsia="en-US"/>
        </w:rPr>
        <w:t xml:space="preserve"> Estados Unidos también han contribuido (PENSIDA IV).</w:t>
      </w:r>
      <w:r w:rsidR="003D7B1A" w:rsidRPr="00216226">
        <w:rPr>
          <w:rFonts w:eastAsia="MS Gothic"/>
          <w:lang w:val="es-ES_tradnl" w:eastAsia="en-US"/>
        </w:rPr>
        <w:t xml:space="preserve"> </w:t>
      </w:r>
    </w:p>
    <w:p w14:paraId="2019837F" w14:textId="38E06992" w:rsidR="003D7B1A" w:rsidRPr="00216226" w:rsidRDefault="00320DF5" w:rsidP="003D7B1A">
      <w:pPr>
        <w:jc w:val="both"/>
        <w:rPr>
          <w:rFonts w:eastAsia="MS Gothic"/>
          <w:lang w:val="es-ES_tradnl" w:eastAsia="en-US"/>
        </w:rPr>
      </w:pPr>
      <w:r w:rsidRPr="00216226">
        <w:rPr>
          <w:rFonts w:eastAsia="MS Gothic"/>
          <w:lang w:val="es-ES_tradnl" w:eastAsia="en-US"/>
        </w:rPr>
        <w:t xml:space="preserve">Actualmente, el Fondo Mundial cubre cuatro posiciones ubicadas en la Unidad Administrativa de </w:t>
      </w:r>
      <w:r w:rsidR="000A1D9C">
        <w:rPr>
          <w:rFonts w:eastAsia="MS Gothic"/>
          <w:lang w:val="es-ES_tradnl" w:eastAsia="en-US"/>
        </w:rPr>
        <w:t xml:space="preserve">Fondos de Cooperación Exterior </w:t>
      </w:r>
      <w:r w:rsidRPr="00216226">
        <w:rPr>
          <w:rFonts w:eastAsia="MS Gothic"/>
          <w:lang w:val="es-ES_tradnl" w:eastAsia="en-US"/>
        </w:rPr>
        <w:t xml:space="preserve">/ </w:t>
      </w:r>
      <w:r w:rsidR="003F39AD">
        <w:rPr>
          <w:rFonts w:eastAsia="MS Gothic"/>
          <w:lang w:val="es-ES_tradnl" w:eastAsia="en-US"/>
        </w:rPr>
        <w:t>Secretaría de Salud</w:t>
      </w:r>
      <w:r w:rsidRPr="00216226">
        <w:rPr>
          <w:rFonts w:eastAsia="MS Gothic"/>
          <w:lang w:val="es-ES_tradnl" w:eastAsia="en-US"/>
        </w:rPr>
        <w:t xml:space="preserve"> (SESAL) relacionadas con la gestión de subvenciones y una más en la Unidad de Logística de Medicamentos, </w:t>
      </w:r>
      <w:r w:rsidR="000A1D9C">
        <w:rPr>
          <w:rFonts w:eastAsia="MS Gothic"/>
          <w:lang w:val="es-ES_tradnl" w:eastAsia="en-US"/>
        </w:rPr>
        <w:t>Insumos y Equipamiento</w:t>
      </w:r>
      <w:r w:rsidRPr="00216226">
        <w:rPr>
          <w:rFonts w:eastAsia="MS Gothic"/>
          <w:lang w:val="es-ES_tradnl" w:eastAsia="en-US"/>
        </w:rPr>
        <w:t xml:space="preserve"> para respaldar la </w:t>
      </w:r>
      <w:r w:rsidR="007E0564" w:rsidRPr="00216226">
        <w:rPr>
          <w:rFonts w:eastAsia="MS Gothic"/>
          <w:lang w:val="es-ES_tradnl" w:eastAsia="en-US"/>
        </w:rPr>
        <w:t xml:space="preserve">gestión </w:t>
      </w:r>
      <w:r w:rsidRPr="00216226">
        <w:rPr>
          <w:rFonts w:eastAsia="MS Gothic"/>
          <w:lang w:val="es-ES_tradnl" w:eastAsia="en-US"/>
        </w:rPr>
        <w:t>de suministro de producto (Visita de campo).</w:t>
      </w:r>
      <w:r w:rsidR="003D7B1A" w:rsidRPr="00216226">
        <w:rPr>
          <w:rFonts w:eastAsia="MS Gothic"/>
          <w:lang w:val="es-ES_tradnl" w:eastAsia="en-US"/>
        </w:rPr>
        <w:t xml:space="preserve"> </w:t>
      </w:r>
    </w:p>
    <w:p w14:paraId="0DD661D4" w14:textId="6666DB07" w:rsidR="003D7B1A" w:rsidRPr="00216226" w:rsidRDefault="00320DF5" w:rsidP="0087005E">
      <w:pPr>
        <w:jc w:val="both"/>
        <w:rPr>
          <w:rFonts w:eastAsia="MS Gothic"/>
          <w:lang w:val="es-ES_tradnl" w:eastAsia="en-US"/>
        </w:rPr>
      </w:pPr>
      <w:r w:rsidRPr="00216226">
        <w:rPr>
          <w:rFonts w:eastAsia="MS Gothic"/>
          <w:lang w:val="es-ES_tradnl" w:eastAsia="en-US"/>
        </w:rPr>
        <w:t xml:space="preserve">El apoyo técnico y financiero para elaborar el actual </w:t>
      </w:r>
      <w:r w:rsidR="00C627C1">
        <w:rPr>
          <w:rFonts w:eastAsia="MS Gothic"/>
          <w:lang w:val="es-ES_tradnl" w:eastAsia="en-US"/>
        </w:rPr>
        <w:t>PEN</w:t>
      </w:r>
      <w:r w:rsidRPr="00216226">
        <w:rPr>
          <w:rFonts w:eastAsia="MS Gothic"/>
          <w:lang w:val="es-ES_tradnl" w:eastAsia="en-US"/>
        </w:rPr>
        <w:t xml:space="preserve"> 2015-2019 (PENSIDA IV) fue proporcionado por ONUSIDA. El apoyo para el plan anterior </w:t>
      </w:r>
      <w:r w:rsidR="007E0564" w:rsidRPr="00216226">
        <w:rPr>
          <w:rFonts w:eastAsia="MS Gothic"/>
          <w:lang w:val="es-ES_tradnl" w:eastAsia="en-US"/>
        </w:rPr>
        <w:t xml:space="preserve">de </w:t>
      </w:r>
      <w:r w:rsidRPr="00216226">
        <w:rPr>
          <w:rFonts w:eastAsia="MS Gothic"/>
          <w:lang w:val="es-ES_tradnl" w:eastAsia="en-US"/>
        </w:rPr>
        <w:t xml:space="preserve">2008-2016 (PENSIDA III) fue proporcionado por múltiples socios, incluidos ONUSIDA y el Fondo Mundial. </w:t>
      </w:r>
      <w:r w:rsidR="000A1D9C">
        <w:rPr>
          <w:rFonts w:eastAsia="MS Gothic"/>
          <w:lang w:val="es-ES_tradnl" w:eastAsia="en-US"/>
        </w:rPr>
        <w:t xml:space="preserve"> </w:t>
      </w:r>
      <w:r w:rsidRPr="00216226">
        <w:rPr>
          <w:rFonts w:eastAsia="MS Gothic"/>
          <w:lang w:val="es-ES_tradnl" w:eastAsia="en-US"/>
        </w:rPr>
        <w:t xml:space="preserve">El Fondo Mundial, a través del CONASIDA Nacional, está actualmente apoyando la evaluación intermedia del PENSIDA IV y la elaboración del Plan de </w:t>
      </w:r>
      <w:r w:rsidR="007E0564" w:rsidRPr="00216226">
        <w:rPr>
          <w:rFonts w:eastAsia="MS Gothic"/>
          <w:lang w:val="es-ES_tradnl" w:eastAsia="en-US"/>
        </w:rPr>
        <w:t xml:space="preserve">Monitoreo y Evaluación </w:t>
      </w:r>
      <w:r w:rsidR="00EE4E32" w:rsidRPr="00216226">
        <w:rPr>
          <w:rFonts w:eastAsia="MS Gothic"/>
          <w:lang w:val="es-ES_tradnl" w:eastAsia="en-US"/>
        </w:rPr>
        <w:t>d</w:t>
      </w:r>
      <w:r w:rsidR="000A1D9C">
        <w:rPr>
          <w:rFonts w:eastAsia="MS Gothic"/>
          <w:lang w:val="es-ES_tradnl" w:eastAsia="en-US"/>
        </w:rPr>
        <w:t>el VIH (V</w:t>
      </w:r>
      <w:r w:rsidRPr="00216226">
        <w:rPr>
          <w:rFonts w:eastAsia="MS Gothic"/>
          <w:lang w:val="es-ES_tradnl" w:eastAsia="en-US"/>
        </w:rPr>
        <w:t>isita de campo).</w:t>
      </w:r>
      <w:r w:rsidR="003D7B1A" w:rsidRPr="00216226">
        <w:rPr>
          <w:rFonts w:eastAsia="MS Gothic"/>
          <w:lang w:val="es-ES_tradnl" w:eastAsia="en-US"/>
        </w:rPr>
        <w:t xml:space="preserve"> </w:t>
      </w:r>
    </w:p>
    <w:p w14:paraId="7473A873" w14:textId="5530E8A7" w:rsidR="003D7B1A" w:rsidRPr="0087005E" w:rsidRDefault="00320DF5" w:rsidP="003D7B1A">
      <w:pPr>
        <w:jc w:val="both"/>
        <w:rPr>
          <w:rFonts w:eastAsia="MS Gothic"/>
          <w:lang w:val="es-ES_tradnl" w:eastAsia="en-US"/>
        </w:rPr>
      </w:pPr>
      <w:r w:rsidRPr="00216226">
        <w:rPr>
          <w:rFonts w:eastAsia="MS Gothic"/>
          <w:lang w:val="es-ES_tradnl" w:eastAsia="en-US"/>
        </w:rPr>
        <w:t xml:space="preserve">Hasta que se implemente el </w:t>
      </w:r>
      <w:r w:rsidR="00EE4E32" w:rsidRPr="00216226">
        <w:rPr>
          <w:rFonts w:eastAsia="MS Gothic"/>
          <w:lang w:val="es-ES_tradnl" w:eastAsia="en-US"/>
        </w:rPr>
        <w:t>Plan de Monitoreo y Evaluación del VIH</w:t>
      </w:r>
      <w:r w:rsidRPr="00216226">
        <w:rPr>
          <w:rFonts w:eastAsia="MS Gothic"/>
          <w:lang w:val="es-ES_tradnl" w:eastAsia="en-US"/>
        </w:rPr>
        <w:t>, el país sólo puede referirse al tablero de mando de los indicadores del Fondo Mundial, que no está completo.</w:t>
      </w:r>
      <w:r w:rsidR="00EE4E32" w:rsidRPr="00216226">
        <w:rPr>
          <w:rFonts w:eastAsia="MS Gothic"/>
          <w:lang w:val="es-ES_tradnl" w:eastAsia="en-US"/>
        </w:rPr>
        <w:t xml:space="preserve"> Una vez </w:t>
      </w:r>
      <w:r w:rsidRPr="00216226">
        <w:rPr>
          <w:rFonts w:eastAsia="MS Gothic"/>
          <w:lang w:val="es-ES_tradnl" w:eastAsia="en-US"/>
        </w:rPr>
        <w:t>implement</w:t>
      </w:r>
      <w:r w:rsidR="00EE4E32" w:rsidRPr="00216226">
        <w:rPr>
          <w:rFonts w:eastAsia="MS Gothic"/>
          <w:lang w:val="es-ES_tradnl" w:eastAsia="en-US"/>
        </w:rPr>
        <w:t>ado</w:t>
      </w:r>
      <w:r w:rsidRPr="00216226">
        <w:rPr>
          <w:rFonts w:eastAsia="MS Gothic"/>
          <w:lang w:val="es-ES_tradnl" w:eastAsia="en-US"/>
        </w:rPr>
        <w:t xml:space="preserve"> (no se proporciona una fecha específica), se espera que el </w:t>
      </w:r>
      <w:r w:rsidR="00EE4E32" w:rsidRPr="00216226">
        <w:rPr>
          <w:rFonts w:eastAsia="MS Gothic"/>
          <w:lang w:val="es-ES_tradnl" w:eastAsia="en-US"/>
        </w:rPr>
        <w:t xml:space="preserve">Plan de Monitoreo y Evaluación </w:t>
      </w:r>
      <w:r w:rsidRPr="00216226">
        <w:rPr>
          <w:rFonts w:eastAsia="MS Gothic"/>
          <w:lang w:val="es-ES_tradnl" w:eastAsia="en-US"/>
        </w:rPr>
        <w:t>se utilice para armonizar los datos con la práctica. Sin embargo, esto requerirá cambiar l</w:t>
      </w:r>
      <w:r w:rsidR="00EE4E32" w:rsidRPr="00216226">
        <w:rPr>
          <w:rFonts w:eastAsia="MS Gothic"/>
          <w:lang w:val="es-ES_tradnl" w:eastAsia="en-US"/>
        </w:rPr>
        <w:t>o</w:t>
      </w:r>
      <w:r w:rsidRPr="00216226">
        <w:rPr>
          <w:rFonts w:eastAsia="MS Gothic"/>
          <w:lang w:val="es-ES_tradnl" w:eastAsia="en-US"/>
        </w:rPr>
        <w:t xml:space="preserve">s </w:t>
      </w:r>
      <w:r w:rsidR="00EE4E32" w:rsidRPr="0087005E">
        <w:rPr>
          <w:rFonts w:eastAsia="MS Gothic"/>
          <w:lang w:val="es-ES_tradnl" w:eastAsia="en-US"/>
        </w:rPr>
        <w:t>reglamentos</w:t>
      </w:r>
      <w:r w:rsidRPr="0087005E">
        <w:rPr>
          <w:rFonts w:eastAsia="MS Gothic"/>
          <w:lang w:val="es-ES_tradnl" w:eastAsia="en-US"/>
        </w:rPr>
        <w:t xml:space="preserve"> y los modelos </w:t>
      </w:r>
      <w:r w:rsidR="00EE4E32" w:rsidRPr="0087005E">
        <w:rPr>
          <w:rFonts w:eastAsia="MS Gothic"/>
          <w:lang w:val="es-ES_tradnl" w:eastAsia="en-US"/>
        </w:rPr>
        <w:t xml:space="preserve">de </w:t>
      </w:r>
      <w:r w:rsidRPr="0087005E">
        <w:rPr>
          <w:rFonts w:eastAsia="MS Gothic"/>
          <w:lang w:val="es-ES_tradnl" w:eastAsia="en-US"/>
        </w:rPr>
        <w:t>organiza</w:t>
      </w:r>
      <w:r w:rsidR="00EE4E32" w:rsidRPr="0087005E">
        <w:rPr>
          <w:rFonts w:eastAsia="MS Gothic"/>
          <w:lang w:val="es-ES_tradnl" w:eastAsia="en-US"/>
        </w:rPr>
        <w:t>ción</w:t>
      </w:r>
      <w:r w:rsidRPr="0087005E">
        <w:rPr>
          <w:rFonts w:eastAsia="MS Gothic"/>
          <w:lang w:val="es-ES_tradnl" w:eastAsia="en-US"/>
        </w:rPr>
        <w:t xml:space="preserve"> en los servicios </w:t>
      </w:r>
      <w:r w:rsidR="00EE4E32" w:rsidRPr="0087005E">
        <w:rPr>
          <w:rFonts w:eastAsia="MS Gothic"/>
          <w:lang w:val="es-ES_tradnl" w:eastAsia="en-US"/>
        </w:rPr>
        <w:t xml:space="preserve">de </w:t>
      </w:r>
      <w:r w:rsidRPr="0087005E">
        <w:rPr>
          <w:rFonts w:eastAsia="MS Gothic"/>
          <w:lang w:val="es-ES_tradnl" w:eastAsia="en-US"/>
        </w:rPr>
        <w:t>sa</w:t>
      </w:r>
      <w:r w:rsidR="00EE4E32" w:rsidRPr="0087005E">
        <w:rPr>
          <w:rFonts w:eastAsia="MS Gothic"/>
          <w:lang w:val="es-ES_tradnl" w:eastAsia="en-US"/>
        </w:rPr>
        <w:t>lud</w:t>
      </w:r>
      <w:r w:rsidRPr="0087005E">
        <w:rPr>
          <w:rFonts w:eastAsia="MS Gothic"/>
          <w:lang w:val="es-ES_tradnl" w:eastAsia="en-US"/>
        </w:rPr>
        <w:t xml:space="preserve"> (Visita de campo)</w:t>
      </w:r>
      <w:r w:rsidR="003D7B1A" w:rsidRPr="0087005E">
        <w:rPr>
          <w:rFonts w:eastAsia="MS Gothic"/>
          <w:lang w:val="es-ES_tradnl" w:eastAsia="en-US"/>
        </w:rPr>
        <w:t xml:space="preserve">. </w:t>
      </w:r>
    </w:p>
    <w:p w14:paraId="14124AF3" w14:textId="12162CCB" w:rsidR="003D7B1A" w:rsidRPr="00216226" w:rsidRDefault="00320DF5" w:rsidP="0087005E">
      <w:pPr>
        <w:jc w:val="both"/>
        <w:rPr>
          <w:rFonts w:ascii="Calibri Light" w:eastAsia="MS Gothic" w:hAnsi="Calibri Light" w:cs="Calibri Light"/>
          <w:i/>
          <w:color w:val="808080"/>
          <w:highlight w:val="yellow"/>
          <w:lang w:val="es-ES_tradnl" w:eastAsia="en-US"/>
        </w:rPr>
      </w:pPr>
      <w:r w:rsidRPr="0087005E">
        <w:rPr>
          <w:rFonts w:eastAsia="MS Gothic"/>
          <w:lang w:val="es-ES_tradnl" w:eastAsia="en-US"/>
        </w:rPr>
        <w:t>Productos:</w:t>
      </w:r>
      <w:r w:rsidR="003D7B1A" w:rsidRPr="0087005E">
        <w:rPr>
          <w:rFonts w:ascii="Calibri Light" w:eastAsia="MS Gothic" w:hAnsi="Calibri Light" w:cs="Calibri Light"/>
          <w:i/>
          <w:lang w:val="es-ES_tradnl" w:eastAsia="en-US"/>
        </w:rPr>
        <w:t xml:space="preserve"> </w:t>
      </w:r>
      <w:r w:rsidRPr="0087005E">
        <w:rPr>
          <w:rFonts w:eastAsia="MS Gothic"/>
          <w:lang w:val="es-ES_tradnl" w:eastAsia="en-US"/>
        </w:rPr>
        <w:t>Los Planes Estratégicos</w:t>
      </w:r>
      <w:r w:rsidRPr="00216226">
        <w:rPr>
          <w:rFonts w:eastAsia="MS Gothic"/>
          <w:lang w:val="es-ES_tradnl" w:eastAsia="en-US"/>
        </w:rPr>
        <w:t xml:space="preserve"> Nacionales llamados PENSIDA se han desarrollado y adoptado desde 1998. El plan actual, PENSIDA IV, abarca 2015-2019 y actualmente se encuentra en una evaluación intermedia respaldada, entre otros</w:t>
      </w:r>
      <w:r w:rsidR="00EE4E32" w:rsidRPr="00216226">
        <w:rPr>
          <w:rFonts w:eastAsia="MS Gothic"/>
          <w:lang w:val="es-ES_tradnl" w:eastAsia="en-US"/>
        </w:rPr>
        <w:t>,</w:t>
      </w:r>
      <w:r w:rsidRPr="00216226">
        <w:rPr>
          <w:rFonts w:eastAsia="MS Gothic"/>
          <w:lang w:val="es-ES_tradnl" w:eastAsia="en-US"/>
        </w:rPr>
        <w:t xml:space="preserve"> por el Fondo Mundial.</w:t>
      </w:r>
      <w:r w:rsidR="003D7B1A" w:rsidRPr="00216226">
        <w:rPr>
          <w:rFonts w:eastAsia="MS Gothic"/>
          <w:lang w:val="es-ES_tradnl" w:eastAsia="en-US"/>
        </w:rPr>
        <w:t xml:space="preserve"> </w:t>
      </w:r>
    </w:p>
    <w:p w14:paraId="1CD219D5" w14:textId="5FDE2909" w:rsidR="003D7B1A" w:rsidRPr="007D28A0" w:rsidRDefault="00365301" w:rsidP="001C51BB">
      <w:pPr>
        <w:jc w:val="both"/>
        <w:rPr>
          <w:rFonts w:eastAsia="MS Gothic"/>
          <w:lang w:val="es-ES_tradnl" w:eastAsia="en-US"/>
        </w:rPr>
      </w:pPr>
      <w:r w:rsidRPr="002F6C02">
        <w:rPr>
          <w:rFonts w:eastAsia="MS Gothic"/>
          <w:lang w:val="es-ES_tradnl" w:eastAsia="en-US"/>
        </w:rPr>
        <w:t xml:space="preserve">Los datos desagregados por género y edad para poblaciones clave (HSH, TG, trabajadoras sexuales) y PVVIH que reciben TARV están disponibles en el </w:t>
      </w:r>
      <w:r w:rsidR="001C51BB" w:rsidRPr="002F6C02">
        <w:rPr>
          <w:rFonts w:eastAsia="MS Gothic"/>
          <w:lang w:val="es-ES_tradnl" w:eastAsia="en-US"/>
        </w:rPr>
        <w:t>documento Actualización de progreso y solicitud de desembolso (</w:t>
      </w:r>
      <w:r w:rsidR="001C51BB" w:rsidRPr="002F6C02">
        <w:rPr>
          <w:rFonts w:eastAsia="MS Gothic"/>
          <w:i/>
          <w:lang w:val="es-US" w:eastAsia="en-US"/>
        </w:rPr>
        <w:t xml:space="preserve">Progress Update and Disbursement Request – </w:t>
      </w:r>
      <w:r w:rsidRPr="002F6C02">
        <w:rPr>
          <w:rFonts w:eastAsia="MS Gothic"/>
          <w:i/>
          <w:lang w:val="es-US" w:eastAsia="en-US"/>
        </w:rPr>
        <w:t>PUDR</w:t>
      </w:r>
      <w:r w:rsidR="001C51BB" w:rsidRPr="002F6C02">
        <w:rPr>
          <w:rFonts w:eastAsia="MS Gothic"/>
          <w:lang w:val="es-ES_tradnl" w:eastAsia="en-US"/>
        </w:rPr>
        <w:t>)</w:t>
      </w:r>
      <w:r w:rsidRPr="002F6C02">
        <w:rPr>
          <w:rFonts w:eastAsia="MS Gothic"/>
          <w:lang w:val="es-ES_tradnl" w:eastAsia="en-US"/>
        </w:rPr>
        <w:t xml:space="preserve"> (Fondo Mundial, 2017). Las estimaciones del tamaño de la población</w:t>
      </w:r>
      <w:r w:rsidR="00EE4E32" w:rsidRPr="002F6C02">
        <w:rPr>
          <w:rFonts w:eastAsia="MS Gothic"/>
          <w:lang w:val="es-ES_tradnl" w:eastAsia="en-US"/>
        </w:rPr>
        <w:t xml:space="preserve"> </w:t>
      </w:r>
      <w:r w:rsidRPr="002F6C02">
        <w:rPr>
          <w:rFonts w:eastAsia="MS Gothic"/>
          <w:lang w:val="es-ES_tradnl" w:eastAsia="en-US"/>
        </w:rPr>
        <w:t>(</w:t>
      </w:r>
      <w:r w:rsidR="001C51BB" w:rsidRPr="002F6C02">
        <w:rPr>
          <w:rFonts w:eastAsia="MS Gothic"/>
          <w:i/>
          <w:lang w:val="es-ES_tradnl" w:eastAsia="en-US"/>
        </w:rPr>
        <w:t xml:space="preserve">population size estimate – </w:t>
      </w:r>
      <w:r w:rsidRPr="002F6C02">
        <w:rPr>
          <w:rFonts w:eastAsia="MS Gothic"/>
          <w:i/>
          <w:lang w:val="es-ES_tradnl" w:eastAsia="en-US"/>
        </w:rPr>
        <w:t>PSE</w:t>
      </w:r>
      <w:r w:rsidRPr="002F6C02">
        <w:rPr>
          <w:rFonts w:eastAsia="MS Gothic"/>
          <w:lang w:val="es-ES_tradnl" w:eastAsia="en-US"/>
        </w:rPr>
        <w:t xml:space="preserve">) existen desde 2016 financiadas por el </w:t>
      </w:r>
      <w:r w:rsidRPr="000A1D9C">
        <w:rPr>
          <w:rFonts w:eastAsia="MS Gothic"/>
          <w:i/>
          <w:lang w:val="es-ES_tradnl" w:eastAsia="en-US"/>
        </w:rPr>
        <w:t>CDC</w:t>
      </w:r>
      <w:r w:rsidRPr="002F6C02">
        <w:rPr>
          <w:rFonts w:eastAsia="MS Gothic"/>
          <w:lang w:val="es-ES_tradnl" w:eastAsia="en-US"/>
        </w:rPr>
        <w:t>, la Organización Panamericana de la Salud (OPS), ONUSIDA y la Fundación de Vivienda Cooperativa (</w:t>
      </w:r>
      <w:r w:rsidR="002F6C02">
        <w:rPr>
          <w:rFonts w:eastAsia="MS Gothic"/>
          <w:i/>
          <w:lang w:val="es-ES_tradnl" w:eastAsia="en-US"/>
        </w:rPr>
        <w:t xml:space="preserve">Cooperative Housing Foundation – </w:t>
      </w:r>
      <w:r w:rsidRPr="002F6C02">
        <w:rPr>
          <w:rFonts w:eastAsia="MS Gothic"/>
          <w:i/>
          <w:lang w:val="es-ES_tradnl" w:eastAsia="en-US"/>
        </w:rPr>
        <w:t>CHF</w:t>
      </w:r>
      <w:r w:rsidR="002F6C02">
        <w:rPr>
          <w:rFonts w:eastAsia="MS Gothic"/>
          <w:lang w:val="es-ES_tradnl" w:eastAsia="en-US"/>
        </w:rPr>
        <w:t xml:space="preserve">, </w:t>
      </w:r>
      <w:r w:rsidRPr="002F6C02">
        <w:rPr>
          <w:rFonts w:eastAsia="MS Gothic"/>
          <w:lang w:val="es-ES_tradnl" w:eastAsia="en-US"/>
        </w:rPr>
        <w:t xml:space="preserve">hoy denominada </w:t>
      </w:r>
      <w:r w:rsidR="002F6C02" w:rsidRPr="002F6C02">
        <w:rPr>
          <w:rFonts w:eastAsia="MS Gothic"/>
          <w:lang w:val="es-ES_tradnl" w:eastAsia="en-US"/>
        </w:rPr>
        <w:t>Comunidades Globales</w:t>
      </w:r>
      <w:r w:rsidR="002F6C02">
        <w:rPr>
          <w:rFonts w:eastAsia="MS Gothic"/>
          <w:i/>
          <w:lang w:val="es-ES_tradnl" w:eastAsia="en-US"/>
        </w:rPr>
        <w:t xml:space="preserve"> – </w:t>
      </w:r>
      <w:r w:rsidR="00DC36DE" w:rsidRPr="002F6C02">
        <w:rPr>
          <w:rFonts w:eastAsia="MS Gothic"/>
          <w:i/>
          <w:lang w:val="es-ES_tradnl" w:eastAsia="en-US"/>
        </w:rPr>
        <w:t>Global Communities</w:t>
      </w:r>
      <w:r w:rsidR="007D28A0">
        <w:rPr>
          <w:rFonts w:eastAsia="MS Gothic"/>
          <w:lang w:val="es-ES_tradnl" w:eastAsia="en-US"/>
        </w:rPr>
        <w:t xml:space="preserve">) – </w:t>
      </w:r>
      <w:r w:rsidRPr="002F6C02">
        <w:rPr>
          <w:rFonts w:eastAsia="MS Gothic"/>
          <w:lang w:val="es-ES_tradnl" w:eastAsia="en-US"/>
        </w:rPr>
        <w:t xml:space="preserve">Fondo Mundial (PENSIDA IV). </w:t>
      </w:r>
      <w:r w:rsidR="007D28A0">
        <w:rPr>
          <w:rFonts w:eastAsia="MS Gothic"/>
          <w:lang w:val="es-ES_tradnl" w:eastAsia="en-US"/>
        </w:rPr>
        <w:t xml:space="preserve"> </w:t>
      </w:r>
      <w:r w:rsidRPr="002F6C02">
        <w:rPr>
          <w:rFonts w:eastAsia="MS Gothic"/>
          <w:lang w:val="es-ES_tradnl" w:eastAsia="en-US"/>
        </w:rPr>
        <w:t xml:space="preserve">Los casos de inversión en 2013 y 2017 fueron financiados por ONUSIDA y </w:t>
      </w:r>
      <w:r w:rsidRPr="000A1D9C">
        <w:rPr>
          <w:rFonts w:eastAsia="MS Gothic"/>
          <w:i/>
          <w:lang w:val="es-ES_tradnl" w:eastAsia="en-US"/>
        </w:rPr>
        <w:t>USAID</w:t>
      </w:r>
      <w:r w:rsidRPr="002F6C02">
        <w:rPr>
          <w:rFonts w:eastAsia="MS Gothic"/>
          <w:lang w:val="es-ES_tradnl" w:eastAsia="en-US"/>
        </w:rPr>
        <w:t>, respectivamente. La última encuesta integrada sobre comportamiento biológico (</w:t>
      </w:r>
      <w:r w:rsidR="000A1D9C" w:rsidRPr="000A1D9C">
        <w:rPr>
          <w:rFonts w:eastAsia="MS Gothic"/>
          <w:i/>
          <w:lang w:val="es-US" w:eastAsia="en-US"/>
        </w:rPr>
        <w:t>integrated bio-behavioral surveillance</w:t>
      </w:r>
      <w:r w:rsidR="000A1D9C">
        <w:rPr>
          <w:rFonts w:eastAsia="MS Gothic"/>
          <w:lang w:val="es-US" w:eastAsia="en-US"/>
        </w:rPr>
        <w:t xml:space="preserve"> – </w:t>
      </w:r>
      <w:r w:rsidRPr="000A1D9C">
        <w:rPr>
          <w:rFonts w:eastAsia="MS Gothic"/>
          <w:i/>
          <w:lang w:val="es-ES_tradnl" w:eastAsia="en-US"/>
        </w:rPr>
        <w:t>IBBS</w:t>
      </w:r>
      <w:r w:rsidRPr="002F6C02">
        <w:rPr>
          <w:rFonts w:eastAsia="MS Gothic"/>
          <w:lang w:val="es-ES_tradnl" w:eastAsia="en-US"/>
        </w:rPr>
        <w:t xml:space="preserve">), la </w:t>
      </w:r>
      <w:r w:rsidR="00EE4E32" w:rsidRPr="002F6C02">
        <w:rPr>
          <w:rFonts w:eastAsia="MS Gothic"/>
          <w:lang w:val="es-ES_tradnl" w:eastAsia="en-US"/>
        </w:rPr>
        <w:t>Encuesta Centroamericana de Vigilancia de Comportamiento Sexual y Prevalencia de VIH</w:t>
      </w:r>
      <w:r w:rsidR="007D28A0">
        <w:rPr>
          <w:rFonts w:eastAsia="MS Gothic"/>
          <w:lang w:val="es-ES_tradnl" w:eastAsia="en-US"/>
        </w:rPr>
        <w:t xml:space="preserve"> </w:t>
      </w:r>
      <w:r w:rsidR="00EE4E32" w:rsidRPr="002F6C02">
        <w:rPr>
          <w:rFonts w:eastAsia="MS Gothic"/>
          <w:lang w:val="es-ES_tradnl" w:eastAsia="en-US"/>
        </w:rPr>
        <w:t>/</w:t>
      </w:r>
      <w:r w:rsidR="007D28A0">
        <w:rPr>
          <w:rFonts w:eastAsia="MS Gothic"/>
          <w:lang w:val="es-ES_tradnl" w:eastAsia="en-US"/>
        </w:rPr>
        <w:t xml:space="preserve"> </w:t>
      </w:r>
      <w:r w:rsidR="00EE4E32" w:rsidRPr="002F6C02">
        <w:rPr>
          <w:rFonts w:eastAsia="MS Gothic"/>
          <w:lang w:val="es-ES_tradnl" w:eastAsia="en-US"/>
        </w:rPr>
        <w:t xml:space="preserve">ITS </w:t>
      </w:r>
      <w:r w:rsidRPr="002F6C02">
        <w:rPr>
          <w:rFonts w:eastAsia="MS Gothic"/>
          <w:lang w:val="es-ES_tradnl" w:eastAsia="en-US"/>
        </w:rPr>
        <w:t xml:space="preserve">en poblaciones clave (ECVC) de 2012, publicada en 2013, fue financiada por el </w:t>
      </w:r>
      <w:r w:rsidRPr="000A1D9C">
        <w:rPr>
          <w:rFonts w:eastAsia="MS Gothic"/>
          <w:i/>
          <w:lang w:val="es-ES_tradnl" w:eastAsia="en-US"/>
        </w:rPr>
        <w:t>CDC</w:t>
      </w:r>
      <w:r w:rsidRPr="002F6C02">
        <w:rPr>
          <w:rFonts w:eastAsia="MS Gothic"/>
          <w:lang w:val="es-ES_tradnl" w:eastAsia="en-US"/>
        </w:rPr>
        <w:t xml:space="preserve"> (ECVC, 2012).</w:t>
      </w:r>
    </w:p>
    <w:p w14:paraId="4335B3C8" w14:textId="03612492" w:rsidR="003D7B1A" w:rsidRPr="00216226" w:rsidRDefault="003C6A32" w:rsidP="003D7B1A">
      <w:pPr>
        <w:jc w:val="both"/>
        <w:rPr>
          <w:rFonts w:eastAsia="MS Gothic"/>
          <w:lang w:val="es-ES_tradnl" w:eastAsia="en-US"/>
        </w:rPr>
      </w:pPr>
      <w:r w:rsidRPr="00216226">
        <w:rPr>
          <w:rFonts w:eastAsia="MS Gothic"/>
          <w:lang w:val="es-ES_tradnl" w:eastAsia="en-US"/>
        </w:rPr>
        <w:t>Debido a la inestabilidad política, el más alto órgano de gobierno político de CONASIDA no se había reunido durante más de un año al momento de esta evaluación, lo cual crea un vacío en el liderazgo, la discusión estratégica y la coordinación entre las partes interesadas</w:t>
      </w:r>
      <w:r w:rsidR="00365301" w:rsidRPr="00216226">
        <w:rPr>
          <w:rFonts w:eastAsia="MS Gothic"/>
          <w:lang w:val="es-ES_tradnl" w:eastAsia="en-US"/>
        </w:rPr>
        <w:t xml:space="preserve">. </w:t>
      </w:r>
      <w:r w:rsidRPr="00216226">
        <w:rPr>
          <w:rFonts w:eastAsia="MS Gothic"/>
          <w:lang w:val="es-ES_tradnl" w:eastAsia="en-US"/>
        </w:rPr>
        <w:t xml:space="preserve">El trabajo diario, incluidas las actividades apoyadas por el Fondo Mundial (el </w:t>
      </w:r>
      <w:r w:rsidR="00EE4E32" w:rsidRPr="00216226">
        <w:rPr>
          <w:rFonts w:eastAsia="MS Gothic"/>
          <w:lang w:val="es-ES_tradnl" w:eastAsia="en-US"/>
        </w:rPr>
        <w:t>Plan de Monitoreo y Evaluación</w:t>
      </w:r>
      <w:r w:rsidRPr="00216226">
        <w:rPr>
          <w:rFonts w:eastAsia="MS Gothic"/>
          <w:lang w:val="es-ES_tradnl" w:eastAsia="en-US"/>
        </w:rPr>
        <w:t xml:space="preserve"> </w:t>
      </w:r>
      <w:r w:rsidR="002B1670" w:rsidRPr="00216226">
        <w:rPr>
          <w:rFonts w:eastAsia="MS Gothic"/>
          <w:lang w:val="es-ES_tradnl" w:eastAsia="en-US"/>
        </w:rPr>
        <w:t>d</w:t>
      </w:r>
      <w:r w:rsidRPr="00216226">
        <w:rPr>
          <w:rFonts w:eastAsia="MS Gothic"/>
          <w:lang w:val="es-ES_tradnl" w:eastAsia="en-US"/>
        </w:rPr>
        <w:t>el VIH, la evaluación intermedia de PENSIDA IV, el desarrollo de l</w:t>
      </w:r>
      <w:r w:rsidR="002B1670" w:rsidRPr="00216226">
        <w:rPr>
          <w:rFonts w:eastAsia="MS Gothic"/>
          <w:lang w:val="es-ES_tradnl" w:eastAsia="en-US"/>
        </w:rPr>
        <w:t>o</w:t>
      </w:r>
      <w:r w:rsidRPr="00216226">
        <w:rPr>
          <w:rFonts w:eastAsia="MS Gothic"/>
          <w:lang w:val="es-ES_tradnl" w:eastAsia="en-US"/>
        </w:rPr>
        <w:t xml:space="preserve">s </w:t>
      </w:r>
      <w:r w:rsidR="002B1670" w:rsidRPr="00216226">
        <w:rPr>
          <w:rFonts w:eastAsia="MS Gothic"/>
          <w:lang w:val="es-ES_tradnl" w:eastAsia="en-US"/>
        </w:rPr>
        <w:t xml:space="preserve">reglamentos </w:t>
      </w:r>
      <w:r w:rsidRPr="00216226">
        <w:rPr>
          <w:rFonts w:eastAsia="MS Gothic"/>
          <w:lang w:val="es-ES_tradnl" w:eastAsia="en-US"/>
        </w:rPr>
        <w:t>necesarios para aplicar la Ley del VIH a partir de 2015) lo realizan los Subcomités Técnicos formados por funcionarios públicos interesados (Visita de campo</w:t>
      </w:r>
      <w:r w:rsidR="00365301" w:rsidRPr="00216226">
        <w:rPr>
          <w:rFonts w:eastAsia="MS Gothic"/>
          <w:lang w:val="es-ES_tradnl" w:eastAsia="en-US"/>
        </w:rPr>
        <w:t>).</w:t>
      </w:r>
      <w:r w:rsidR="00216226" w:rsidRPr="00216226">
        <w:rPr>
          <w:rFonts w:eastAsia="MS Gothic"/>
          <w:lang w:val="es-ES_tradnl" w:eastAsia="en-US"/>
        </w:rPr>
        <w:t xml:space="preserve"> </w:t>
      </w:r>
    </w:p>
    <w:p w14:paraId="7E3ECA5B" w14:textId="364267D0" w:rsidR="003D7B1A" w:rsidRPr="00216226" w:rsidRDefault="003C6A32" w:rsidP="003D7B1A">
      <w:pPr>
        <w:jc w:val="both"/>
        <w:rPr>
          <w:rFonts w:eastAsia="MS Gothic"/>
          <w:lang w:val="es-ES_tradnl" w:eastAsia="en-US"/>
        </w:rPr>
      </w:pPr>
      <w:r w:rsidRPr="00216226">
        <w:rPr>
          <w:rFonts w:eastAsia="MS Gothic"/>
          <w:lang w:val="es-ES_tradnl" w:eastAsia="en-US"/>
        </w:rPr>
        <w:t xml:space="preserve">El </w:t>
      </w:r>
      <w:r w:rsidR="002B1670" w:rsidRPr="00216226">
        <w:rPr>
          <w:rFonts w:eastAsia="MS Gothic"/>
          <w:lang w:val="es-ES_tradnl" w:eastAsia="en-US"/>
        </w:rPr>
        <w:t>proyecto</w:t>
      </w:r>
      <w:r w:rsidRPr="00216226">
        <w:rPr>
          <w:rFonts w:eastAsia="MS Gothic"/>
          <w:lang w:val="es-ES_tradnl" w:eastAsia="en-US"/>
        </w:rPr>
        <w:t xml:space="preserve"> del </w:t>
      </w:r>
      <w:r w:rsidR="00EE4E32" w:rsidRPr="00216226">
        <w:rPr>
          <w:rFonts w:eastAsia="MS Gothic"/>
          <w:lang w:val="es-ES_tradnl" w:eastAsia="en-US"/>
        </w:rPr>
        <w:t>Plan de Monitoreo y Evaluación</w:t>
      </w:r>
      <w:r w:rsidRPr="00216226">
        <w:rPr>
          <w:rFonts w:eastAsia="MS Gothic"/>
          <w:lang w:val="es-ES_tradnl" w:eastAsia="en-US"/>
        </w:rPr>
        <w:t xml:space="preserve"> </w:t>
      </w:r>
      <w:r w:rsidR="002B1670" w:rsidRPr="00216226">
        <w:rPr>
          <w:rFonts w:eastAsia="MS Gothic"/>
          <w:lang w:val="es-ES_tradnl" w:eastAsia="en-US"/>
        </w:rPr>
        <w:t>d</w:t>
      </w:r>
      <w:r w:rsidRPr="00216226">
        <w:rPr>
          <w:rFonts w:eastAsia="MS Gothic"/>
          <w:lang w:val="es-ES_tradnl" w:eastAsia="en-US"/>
        </w:rPr>
        <w:t xml:space="preserve">el VIH ya está disponible. Dado que no está claro cuándo se reunirá el Plenario Político de CONASIDA, el Subcomité Técnico correspondiente tiene </w:t>
      </w:r>
      <w:r w:rsidRPr="00216226">
        <w:rPr>
          <w:rFonts w:eastAsia="MS Gothic"/>
          <w:lang w:val="es-ES_tradnl" w:eastAsia="en-US"/>
        </w:rPr>
        <w:lastRenderedPageBreak/>
        <w:t>planes de realizar consultas a nivel nacional con múltiples partes interesadas antes de que se adopte finalmente. La evaluación intermedia de PENSIDA IV no se completó en el momento de la visita al país (Visita de campo</w:t>
      </w:r>
      <w:r w:rsidR="002B1670" w:rsidRPr="00216226">
        <w:rPr>
          <w:rFonts w:eastAsia="MS Gothic"/>
          <w:lang w:val="es-ES_tradnl" w:eastAsia="en-US"/>
        </w:rPr>
        <w:t>)</w:t>
      </w:r>
      <w:r w:rsidRPr="00216226">
        <w:rPr>
          <w:rFonts w:eastAsia="MS Gothic"/>
          <w:lang w:val="es-ES_tradnl" w:eastAsia="en-US"/>
        </w:rPr>
        <w:t>.</w:t>
      </w:r>
      <w:r w:rsidR="00216226" w:rsidRPr="00216226">
        <w:rPr>
          <w:rFonts w:eastAsia="MS Gothic"/>
          <w:lang w:val="es-ES_tradnl" w:eastAsia="en-US"/>
        </w:rPr>
        <w:t xml:space="preserve"> </w:t>
      </w:r>
    </w:p>
    <w:p w14:paraId="49E608EF" w14:textId="7B341A87" w:rsidR="003D7B1A" w:rsidRPr="0085736C" w:rsidRDefault="003C6A32" w:rsidP="003D7B1A">
      <w:pPr>
        <w:jc w:val="both"/>
        <w:rPr>
          <w:rFonts w:eastAsia="MS Gothic"/>
          <w:lang w:val="es-ES_tradnl" w:eastAsia="en-US"/>
        </w:rPr>
      </w:pPr>
      <w:r w:rsidRPr="00216226">
        <w:rPr>
          <w:rFonts w:eastAsia="MS Gothic"/>
          <w:lang w:val="es-ES_tradnl" w:eastAsia="en-US"/>
        </w:rPr>
        <w:t xml:space="preserve">A partir de la información disponible, hasta ahora los datos se han </w:t>
      </w:r>
      <w:r w:rsidR="002B1670" w:rsidRPr="00216226">
        <w:rPr>
          <w:rFonts w:eastAsia="MS Gothic"/>
          <w:lang w:val="es-ES_tradnl" w:eastAsia="en-US"/>
        </w:rPr>
        <w:t>utilizado para</w:t>
      </w:r>
      <w:r w:rsidRPr="00216226">
        <w:rPr>
          <w:rFonts w:eastAsia="MS Gothic"/>
          <w:lang w:val="es-ES_tradnl" w:eastAsia="en-US"/>
        </w:rPr>
        <w:t xml:space="preserve"> adaptar los programas en términos de alcance geográfico y accesibilidad (por ejemplo, ampliación del horario de </w:t>
      </w:r>
      <w:r w:rsidRPr="0085736C">
        <w:rPr>
          <w:rFonts w:eastAsia="MS Gothic"/>
          <w:lang w:val="es-ES_tradnl" w:eastAsia="en-US"/>
        </w:rPr>
        <w:t>atención), pero no para revisar los modelos de divulgación y prevención (MCP, 2018; Visita de campo).</w:t>
      </w:r>
      <w:r w:rsidR="00216226" w:rsidRPr="0085736C">
        <w:rPr>
          <w:rFonts w:eastAsia="MS Gothic"/>
          <w:lang w:val="es-ES_tradnl" w:eastAsia="en-US"/>
        </w:rPr>
        <w:t xml:space="preserve"> </w:t>
      </w:r>
    </w:p>
    <w:p w14:paraId="18F186AD" w14:textId="258E6A86" w:rsidR="003D7B1A" w:rsidRPr="00216226" w:rsidRDefault="004B3528" w:rsidP="007D28A0">
      <w:pPr>
        <w:jc w:val="both"/>
        <w:rPr>
          <w:rFonts w:ascii="Calibri Light" w:eastAsia="MS Gothic" w:hAnsi="Calibri Light" w:cs="Calibri Light"/>
          <w:i/>
          <w:color w:val="808080"/>
          <w:lang w:val="es-ES_tradnl" w:eastAsia="en-US"/>
        </w:rPr>
      </w:pPr>
      <w:r w:rsidRPr="0085736C">
        <w:rPr>
          <w:rFonts w:eastAsia="MS Gothic"/>
          <w:lang w:val="es-ES_tradnl" w:eastAsia="en-US"/>
        </w:rPr>
        <w:t>Resultados:</w:t>
      </w:r>
      <w:r w:rsidR="003D7B1A" w:rsidRPr="0085736C">
        <w:rPr>
          <w:rFonts w:ascii="Calibri Light" w:eastAsia="MS Gothic" w:hAnsi="Calibri Light" w:cs="Calibri Light"/>
          <w:i/>
          <w:lang w:val="es-ES_tradnl" w:eastAsia="en-US"/>
        </w:rPr>
        <w:t xml:space="preserve"> </w:t>
      </w:r>
      <w:r w:rsidRPr="0085736C">
        <w:rPr>
          <w:rFonts w:eastAsia="MS Gothic"/>
          <w:lang w:val="es-ES_tradnl" w:eastAsia="en-US"/>
        </w:rPr>
        <w:t>A lo largo de los</w:t>
      </w:r>
      <w:r w:rsidRPr="00216226">
        <w:rPr>
          <w:rFonts w:eastAsia="MS Gothic"/>
          <w:lang w:val="es-ES_tradnl" w:eastAsia="en-US"/>
        </w:rPr>
        <w:t xml:space="preserve"> años, la información estratégica disponible ha mejorado en cuanto al número de indicadores, pero aún muestra brechas. Si bien el país ha realizado estudios recientes de </w:t>
      </w:r>
      <w:r w:rsidRPr="00D93C5D">
        <w:rPr>
          <w:rFonts w:eastAsia="MS Gothic"/>
          <w:i/>
          <w:lang w:val="es-ES_tradnl" w:eastAsia="en-US"/>
        </w:rPr>
        <w:t>IBBS</w:t>
      </w:r>
      <w:r w:rsidRPr="00216226">
        <w:rPr>
          <w:rFonts w:eastAsia="MS Gothic"/>
          <w:lang w:val="es-ES_tradnl" w:eastAsia="en-US"/>
        </w:rPr>
        <w:t xml:space="preserve"> en </w:t>
      </w:r>
      <w:r w:rsidR="002B1670" w:rsidRPr="00216226">
        <w:rPr>
          <w:rFonts w:eastAsia="MS Gothic"/>
          <w:lang w:val="es-ES_tradnl" w:eastAsia="en-US"/>
        </w:rPr>
        <w:t xml:space="preserve">poblaciones </w:t>
      </w:r>
      <w:r w:rsidR="003C6851">
        <w:rPr>
          <w:rFonts w:eastAsia="MS Gothic"/>
          <w:lang w:val="es-ES_tradnl" w:eastAsia="en-US"/>
        </w:rPr>
        <w:t>Garífuna</w:t>
      </w:r>
      <w:r w:rsidRPr="00216226">
        <w:rPr>
          <w:rFonts w:eastAsia="MS Gothic"/>
          <w:lang w:val="es-ES_tradnl" w:eastAsia="en-US"/>
        </w:rPr>
        <w:t xml:space="preserve"> y </w:t>
      </w:r>
      <w:r w:rsidR="00CB285B">
        <w:rPr>
          <w:rFonts w:eastAsia="MS Gothic"/>
          <w:lang w:val="es-ES_tradnl" w:eastAsia="en-US"/>
        </w:rPr>
        <w:t>PPL</w:t>
      </w:r>
      <w:r w:rsidRPr="00216226">
        <w:rPr>
          <w:rFonts w:eastAsia="MS Gothic"/>
          <w:lang w:val="es-ES_tradnl" w:eastAsia="en-US"/>
        </w:rPr>
        <w:t xml:space="preserve">, carece de cifras epidemiológicas actualizadas para las poblaciones clave más relevantes (HSH, </w:t>
      </w:r>
      <w:r w:rsidR="002B1670" w:rsidRPr="00216226">
        <w:rPr>
          <w:rFonts w:eastAsia="MS Gothic"/>
          <w:lang w:val="es-ES_tradnl" w:eastAsia="en-US"/>
        </w:rPr>
        <w:t xml:space="preserve">mujeres </w:t>
      </w:r>
      <w:r w:rsidR="009F1A90">
        <w:rPr>
          <w:rFonts w:eastAsia="MS Gothic"/>
          <w:lang w:val="es-ES_tradnl" w:eastAsia="en-US"/>
        </w:rPr>
        <w:t>transgénero</w:t>
      </w:r>
      <w:r w:rsidRPr="00216226">
        <w:rPr>
          <w:rFonts w:eastAsia="MS Gothic"/>
          <w:lang w:val="es-ES_tradnl" w:eastAsia="en-US"/>
        </w:rPr>
        <w:t xml:space="preserve">, </w:t>
      </w:r>
      <w:r w:rsidR="002B1670" w:rsidRPr="00216226">
        <w:rPr>
          <w:rFonts w:eastAsia="MS Gothic"/>
          <w:lang w:val="es-ES_tradnl" w:eastAsia="en-US"/>
        </w:rPr>
        <w:t xml:space="preserve">trabajadoras </w:t>
      </w:r>
      <w:r w:rsidR="00460210" w:rsidRPr="00216226">
        <w:rPr>
          <w:rFonts w:eastAsia="MS Gothic"/>
          <w:lang w:val="es-ES_tradnl" w:eastAsia="en-US"/>
        </w:rPr>
        <w:t>sexuales</w:t>
      </w:r>
      <w:r w:rsidRPr="00216226">
        <w:rPr>
          <w:rFonts w:eastAsia="MS Gothic"/>
          <w:lang w:val="es-ES_tradnl" w:eastAsia="en-US"/>
        </w:rPr>
        <w:t xml:space="preserve">) desde 2012. Alternativamente, los indicadores del programa (cobertura de pruebas de VIH, aceptabilidad y tasas de positividad) (ver Objetivo 2 para una explicación </w:t>
      </w:r>
      <w:r w:rsidR="002B1670" w:rsidRPr="00216226">
        <w:rPr>
          <w:rFonts w:eastAsia="MS Gothic"/>
          <w:lang w:val="es-ES_tradnl" w:eastAsia="en-US"/>
        </w:rPr>
        <w:t xml:space="preserve">más </w:t>
      </w:r>
      <w:r w:rsidRPr="00216226">
        <w:rPr>
          <w:rFonts w:eastAsia="MS Gothic"/>
          <w:lang w:val="es-ES_tradnl" w:eastAsia="en-US"/>
        </w:rPr>
        <w:t>detallada) podrían utilizarse para informar la toma de decisiones, pero no ha sido el caso hasta la fecha (Visita de campo).</w:t>
      </w:r>
      <w:r w:rsidR="003D7B1A" w:rsidRPr="00216226">
        <w:rPr>
          <w:rFonts w:eastAsia="MS Gothic"/>
          <w:lang w:val="es-ES_tradnl" w:eastAsia="en-US"/>
        </w:rPr>
        <w:t xml:space="preserve"> </w:t>
      </w:r>
    </w:p>
    <w:p w14:paraId="04C86A20" w14:textId="69DC5331" w:rsidR="003D7B1A" w:rsidRPr="00216226" w:rsidRDefault="0097517B" w:rsidP="003D7B1A">
      <w:pPr>
        <w:jc w:val="both"/>
        <w:rPr>
          <w:rFonts w:eastAsia="MS Gothic"/>
          <w:lang w:val="es-ES_tradnl" w:eastAsia="en-US"/>
        </w:rPr>
      </w:pPr>
      <w:r w:rsidRPr="00216226">
        <w:rPr>
          <w:rFonts w:eastAsia="MS Gothic"/>
          <w:lang w:val="es-ES_tradnl" w:eastAsia="en-US"/>
        </w:rPr>
        <w:t>Las estrategias nacionales son actualizadas y evaluadas</w:t>
      </w:r>
      <w:r w:rsidR="002B1670" w:rsidRPr="00216226">
        <w:rPr>
          <w:rFonts w:eastAsia="MS Gothic"/>
          <w:lang w:val="es-ES_tradnl" w:eastAsia="en-US"/>
        </w:rPr>
        <w:t xml:space="preserve"> con regularidad</w:t>
      </w:r>
      <w:r w:rsidRPr="00216226">
        <w:rPr>
          <w:rFonts w:eastAsia="MS Gothic"/>
          <w:lang w:val="es-ES_tradnl" w:eastAsia="en-US"/>
        </w:rPr>
        <w:t xml:space="preserve">. Gracias a la disponibilidad de mejores datos, cada nuevo </w:t>
      </w:r>
      <w:r w:rsidR="00C627C1">
        <w:rPr>
          <w:rFonts w:eastAsia="MS Gothic"/>
          <w:lang w:val="es-ES_tradnl" w:eastAsia="en-US"/>
        </w:rPr>
        <w:t>PEN</w:t>
      </w:r>
      <w:r w:rsidRPr="00216226">
        <w:rPr>
          <w:rFonts w:eastAsia="MS Gothic"/>
          <w:lang w:val="es-ES_tradnl" w:eastAsia="en-US"/>
        </w:rPr>
        <w:t xml:space="preserve"> ha prestado más atención a los impulsores de</w:t>
      </w:r>
      <w:r w:rsidR="00AC4CDC" w:rsidRPr="00216226">
        <w:rPr>
          <w:rFonts w:eastAsia="MS Gothic"/>
          <w:lang w:val="es-ES_tradnl" w:eastAsia="en-US"/>
        </w:rPr>
        <w:t>l</w:t>
      </w:r>
      <w:r w:rsidRPr="00216226">
        <w:rPr>
          <w:rFonts w:eastAsia="MS Gothic"/>
          <w:lang w:val="es-ES_tradnl" w:eastAsia="en-US"/>
        </w:rPr>
        <w:t xml:space="preserve"> VIH y a las comunidades más afectadas, incluidos los determinantes sociales y legales y la necesidad de proporcionar servicios adaptados a las necesidades de las poblaciones clave (PENSIDA II, III, y IV).</w:t>
      </w:r>
      <w:r w:rsidR="003D7B1A" w:rsidRPr="00216226">
        <w:rPr>
          <w:rFonts w:eastAsia="MS Gothic"/>
          <w:lang w:val="es-ES_tradnl" w:eastAsia="en-US"/>
        </w:rPr>
        <w:t xml:space="preserve"> </w:t>
      </w:r>
    </w:p>
    <w:p w14:paraId="179C07D9" w14:textId="5190CE70" w:rsidR="003D7B1A" w:rsidRPr="007D28A0" w:rsidRDefault="0097517B" w:rsidP="003D7B1A">
      <w:pPr>
        <w:jc w:val="both"/>
        <w:rPr>
          <w:rFonts w:eastAsia="MS Gothic"/>
          <w:i/>
          <w:lang w:val="es-ES_tradnl" w:eastAsia="en-US"/>
        </w:rPr>
      </w:pPr>
      <w:r w:rsidRPr="00216226">
        <w:rPr>
          <w:rFonts w:eastAsia="MS Gothic"/>
          <w:lang w:val="es-ES_tradnl" w:eastAsia="en-US"/>
        </w:rPr>
        <w:t xml:space="preserve">El alcance y la cobertura de los servicios </w:t>
      </w:r>
      <w:r w:rsidR="002F6C02">
        <w:rPr>
          <w:rFonts w:eastAsia="MS Gothic"/>
          <w:lang w:val="es-ES_tradnl" w:eastAsia="en-US"/>
        </w:rPr>
        <w:t xml:space="preserve">han aumentado en tanto que </w:t>
      </w:r>
      <w:r w:rsidRPr="00216226">
        <w:rPr>
          <w:rFonts w:eastAsia="MS Gothic"/>
          <w:lang w:val="es-ES_tradnl" w:eastAsia="en-US"/>
        </w:rPr>
        <w:t>l</w:t>
      </w:r>
      <w:r w:rsidR="002F6C02">
        <w:rPr>
          <w:rFonts w:eastAsia="MS Gothic"/>
          <w:lang w:val="es-ES_tradnl" w:eastAsia="en-US"/>
        </w:rPr>
        <w:t>o</w:t>
      </w:r>
      <w:r w:rsidRPr="00216226">
        <w:rPr>
          <w:rFonts w:eastAsia="MS Gothic"/>
          <w:lang w:val="es-ES_tradnl" w:eastAsia="en-US"/>
        </w:rPr>
        <w:t xml:space="preserve">s </w:t>
      </w:r>
      <w:r w:rsidR="002F6C02" w:rsidRPr="002F6C02">
        <w:rPr>
          <w:rFonts w:eastAsia="MS Gothic"/>
          <w:lang w:val="es-ES_tradnl" w:eastAsia="en-US"/>
        </w:rPr>
        <w:t>Servicio</w:t>
      </w:r>
      <w:r w:rsidR="002F6C02">
        <w:rPr>
          <w:rFonts w:eastAsia="MS Gothic"/>
          <w:lang w:val="es-ES_tradnl" w:eastAsia="en-US"/>
        </w:rPr>
        <w:t>s</w:t>
      </w:r>
      <w:r w:rsidR="002F6C02" w:rsidRPr="002F6C02">
        <w:rPr>
          <w:rFonts w:eastAsia="MS Gothic"/>
          <w:lang w:val="es-ES_tradnl" w:eastAsia="en-US"/>
        </w:rPr>
        <w:t xml:space="preserve"> de Atención Integral </w:t>
      </w:r>
      <w:r w:rsidR="002F6C02">
        <w:rPr>
          <w:rFonts w:eastAsia="MS Gothic"/>
          <w:lang w:val="es-ES_tradnl" w:eastAsia="en-US"/>
        </w:rPr>
        <w:t>(</w:t>
      </w:r>
      <w:r w:rsidRPr="00216226">
        <w:rPr>
          <w:rFonts w:eastAsia="MS Gothic"/>
          <w:lang w:val="es-ES_tradnl" w:eastAsia="en-US"/>
        </w:rPr>
        <w:t>SAI</w:t>
      </w:r>
      <w:r w:rsidR="002F6C02">
        <w:rPr>
          <w:rFonts w:eastAsia="MS Gothic"/>
          <w:lang w:val="es-ES_tradnl" w:eastAsia="en-US"/>
        </w:rPr>
        <w:t>)</w:t>
      </w:r>
      <w:r w:rsidRPr="00216226">
        <w:rPr>
          <w:rFonts w:eastAsia="MS Gothic"/>
          <w:lang w:val="es-ES_tradnl" w:eastAsia="en-US"/>
        </w:rPr>
        <w:t xml:space="preserve"> se han multiplicado</w:t>
      </w:r>
      <w:r w:rsidR="007D28A0">
        <w:rPr>
          <w:rFonts w:eastAsia="MS Gothic"/>
          <w:lang w:val="es-ES_tradnl" w:eastAsia="en-US"/>
        </w:rPr>
        <w:t xml:space="preserve"> y </w:t>
      </w:r>
      <w:r w:rsidRPr="00216226">
        <w:rPr>
          <w:rFonts w:eastAsia="MS Gothic"/>
          <w:lang w:val="es-ES_tradnl" w:eastAsia="en-US"/>
        </w:rPr>
        <w:t xml:space="preserve">los recursos humanos </w:t>
      </w:r>
      <w:r w:rsidR="002F6C02">
        <w:rPr>
          <w:rFonts w:eastAsia="MS Gothic"/>
          <w:lang w:val="es-ES_tradnl" w:eastAsia="en-US"/>
        </w:rPr>
        <w:t>han sido absorbidos por el país</w:t>
      </w:r>
      <w:r w:rsidR="007D28A0">
        <w:rPr>
          <w:rFonts w:eastAsia="MS Gothic"/>
          <w:lang w:val="es-ES_tradnl" w:eastAsia="en-US"/>
        </w:rPr>
        <w:t xml:space="preserve">.  Sin embargo, </w:t>
      </w:r>
      <w:r w:rsidRPr="00216226">
        <w:rPr>
          <w:rFonts w:eastAsia="MS Gothic"/>
          <w:lang w:val="es-ES_tradnl" w:eastAsia="en-US"/>
        </w:rPr>
        <w:t>las brechas continúan en té</w:t>
      </w:r>
      <w:r w:rsidR="007D28A0">
        <w:rPr>
          <w:rFonts w:eastAsia="MS Gothic"/>
          <w:lang w:val="es-ES_tradnl" w:eastAsia="en-US"/>
        </w:rPr>
        <w:t xml:space="preserve">rminos de cobertura geográfica, por ejemplo </w:t>
      </w:r>
      <w:r w:rsidRPr="00216226">
        <w:rPr>
          <w:rFonts w:eastAsia="MS Gothic"/>
          <w:lang w:val="es-ES_tradnl" w:eastAsia="en-US"/>
        </w:rPr>
        <w:t xml:space="preserve">no todos los centros ofrecen </w:t>
      </w:r>
      <w:r w:rsidR="007D28A0" w:rsidRPr="007D28A0">
        <w:rPr>
          <w:rFonts w:eastAsia="MS Gothic"/>
          <w:lang w:val="es-ES_tradnl" w:eastAsia="en-US"/>
        </w:rPr>
        <w:t>pruebas de VIH y asesoramiento</w:t>
      </w:r>
      <w:r w:rsidR="007D28A0">
        <w:rPr>
          <w:rFonts w:eastAsia="MS Gothic"/>
          <w:lang w:val="es-ES_tradnl" w:eastAsia="en-US"/>
        </w:rPr>
        <w:t xml:space="preserve"> (</w:t>
      </w:r>
      <w:r w:rsidR="007D28A0">
        <w:rPr>
          <w:rFonts w:eastAsia="MS Gothic"/>
          <w:i/>
          <w:lang w:val="es-ES_tradnl" w:eastAsia="en-US"/>
        </w:rPr>
        <w:t xml:space="preserve">HIV testing and counseling – </w:t>
      </w:r>
      <w:r w:rsidRPr="007D28A0">
        <w:rPr>
          <w:rFonts w:eastAsia="MS Gothic"/>
          <w:i/>
          <w:lang w:val="es-ES_tradnl" w:eastAsia="en-US"/>
        </w:rPr>
        <w:t>HTC</w:t>
      </w:r>
      <w:r w:rsidR="007D28A0">
        <w:rPr>
          <w:rFonts w:eastAsia="MS Gothic"/>
          <w:lang w:val="es-ES_tradnl" w:eastAsia="en-US"/>
        </w:rPr>
        <w:t>)</w:t>
      </w:r>
      <w:r w:rsidRPr="00216226">
        <w:rPr>
          <w:rFonts w:eastAsia="MS Gothic"/>
          <w:lang w:val="es-ES_tradnl" w:eastAsia="en-US"/>
        </w:rPr>
        <w:t>, los compo</w:t>
      </w:r>
      <w:r w:rsidR="00A7115B">
        <w:rPr>
          <w:rFonts w:eastAsia="MS Gothic"/>
          <w:lang w:val="es-ES_tradnl" w:eastAsia="en-US"/>
        </w:rPr>
        <w:t>nentes del servicio (no todas lo</w:t>
      </w:r>
      <w:r w:rsidRPr="00216226">
        <w:rPr>
          <w:rFonts w:eastAsia="MS Gothic"/>
          <w:lang w:val="es-ES_tradnl" w:eastAsia="en-US"/>
        </w:rPr>
        <w:t>s SAI ofrecen los mismos servicios o tienen el mismo personal</w:t>
      </w:r>
      <w:r w:rsidRPr="00216226">
        <w:rPr>
          <w:rFonts w:eastAsia="MS Gothic"/>
          <w:vertAlign w:val="superscript"/>
          <w:lang w:val="es-ES_tradnl" w:eastAsia="en-US"/>
        </w:rPr>
        <w:footnoteReference w:id="3"/>
      </w:r>
      <w:r w:rsidRPr="00216226">
        <w:rPr>
          <w:rFonts w:eastAsia="MS Gothic"/>
          <w:lang w:val="es-ES_tradnl" w:eastAsia="en-US"/>
        </w:rPr>
        <w:t xml:space="preserve">) y el uso normativo de herramientas específicas (pruebas de VIH, lubricantes, accesibilidad </w:t>
      </w:r>
      <w:r w:rsidR="00AC4CDC" w:rsidRPr="00216226">
        <w:rPr>
          <w:rFonts w:eastAsia="MS Gothic"/>
          <w:lang w:val="es-ES_tradnl" w:eastAsia="en-US"/>
        </w:rPr>
        <w:t>a la carga viral</w:t>
      </w:r>
      <w:r w:rsidR="007D28A0">
        <w:rPr>
          <w:rFonts w:eastAsia="MS Gothic"/>
          <w:lang w:val="es-ES_tradnl" w:eastAsia="en-US"/>
        </w:rPr>
        <w:t>, pruebas de CD4).  V</w:t>
      </w:r>
      <w:r w:rsidRPr="00216226">
        <w:rPr>
          <w:rFonts w:eastAsia="MS Gothic"/>
          <w:lang w:val="es-ES_tradnl" w:eastAsia="en-US"/>
        </w:rPr>
        <w:t>er Objetivo 2 para obtener una descripción</w:t>
      </w:r>
      <w:r w:rsidR="007D28A0">
        <w:rPr>
          <w:rFonts w:eastAsia="MS Gothic"/>
          <w:lang w:val="es-ES_tradnl" w:eastAsia="en-US"/>
        </w:rPr>
        <w:t xml:space="preserve"> detallada de cada herramienta.</w:t>
      </w:r>
    </w:p>
    <w:p w14:paraId="57E5C87A" w14:textId="52902C7D" w:rsidR="003D7B1A" w:rsidRPr="00216226" w:rsidRDefault="0097517B" w:rsidP="003D7B1A">
      <w:pPr>
        <w:jc w:val="both"/>
        <w:rPr>
          <w:rFonts w:eastAsia="MS Gothic"/>
          <w:lang w:val="es-ES_tradnl" w:eastAsia="en-US"/>
        </w:rPr>
      </w:pPr>
      <w:r w:rsidRPr="00216226">
        <w:rPr>
          <w:rFonts w:eastAsia="MS Gothic"/>
          <w:lang w:val="es-ES_tradnl" w:eastAsia="en-US"/>
        </w:rPr>
        <w:t>Se ha</w:t>
      </w:r>
      <w:r w:rsidR="00AC4CDC" w:rsidRPr="00216226">
        <w:rPr>
          <w:rFonts w:eastAsia="MS Gothic"/>
          <w:lang w:val="es-ES_tradnl" w:eastAsia="en-US"/>
        </w:rPr>
        <w:t>bido un</w:t>
      </w:r>
      <w:r w:rsidRPr="00216226">
        <w:rPr>
          <w:rFonts w:eastAsia="MS Gothic"/>
          <w:lang w:val="es-ES_tradnl" w:eastAsia="en-US"/>
        </w:rPr>
        <w:t xml:space="preserve"> increment</w:t>
      </w:r>
      <w:r w:rsidR="00AC4CDC" w:rsidRPr="00216226">
        <w:rPr>
          <w:rFonts w:eastAsia="MS Gothic"/>
          <w:lang w:val="es-ES_tradnl" w:eastAsia="en-US"/>
        </w:rPr>
        <w:t>o de</w:t>
      </w:r>
      <w:r w:rsidRPr="00216226">
        <w:rPr>
          <w:rFonts w:eastAsia="MS Gothic"/>
          <w:lang w:val="es-ES_tradnl" w:eastAsia="en-US"/>
        </w:rPr>
        <w:t xml:space="preserve"> apoyo financiero público doméstico al VIH en Honduras, </w:t>
      </w:r>
      <w:r w:rsidR="00AC4CDC" w:rsidRPr="00216226">
        <w:rPr>
          <w:rFonts w:eastAsia="MS Gothic"/>
          <w:lang w:val="es-ES_tradnl" w:eastAsia="en-US"/>
        </w:rPr>
        <w:t>concentrándose</w:t>
      </w:r>
      <w:r w:rsidRPr="00216226">
        <w:rPr>
          <w:rFonts w:eastAsia="MS Gothic"/>
          <w:lang w:val="es-ES_tradnl" w:eastAsia="en-US"/>
        </w:rPr>
        <w:t xml:space="preserve"> en el tratamiento. Las actividades de prevención para poblaciones clave todavía dependen en gran medida de los donantes internacionales. El apoyo político y financiero nacional para </w:t>
      </w:r>
      <w:r w:rsidR="00AC4CDC" w:rsidRPr="00216226">
        <w:rPr>
          <w:rFonts w:eastAsia="MS Gothic"/>
          <w:lang w:val="es-ES_tradnl" w:eastAsia="en-US"/>
        </w:rPr>
        <w:t>hacer frente a</w:t>
      </w:r>
      <w:r w:rsidRPr="00216226">
        <w:rPr>
          <w:rFonts w:eastAsia="MS Gothic"/>
          <w:lang w:val="es-ES_tradnl" w:eastAsia="en-US"/>
        </w:rPr>
        <w:t xml:space="preserve"> las </w:t>
      </w:r>
      <w:r w:rsidR="00AC4CDC" w:rsidRPr="00216226">
        <w:rPr>
          <w:rFonts w:eastAsia="MS Gothic"/>
          <w:lang w:val="es-ES_tradnl" w:eastAsia="en-US"/>
        </w:rPr>
        <w:t>barreras de</w:t>
      </w:r>
      <w:r w:rsidRPr="00216226">
        <w:rPr>
          <w:rFonts w:eastAsia="MS Gothic"/>
          <w:lang w:val="es-ES_tradnl" w:eastAsia="en-US"/>
        </w:rPr>
        <w:t xml:space="preserve"> derechos humanos y </w:t>
      </w:r>
      <w:r w:rsidR="00AC4CDC" w:rsidRPr="00216226">
        <w:rPr>
          <w:rFonts w:eastAsia="MS Gothic"/>
          <w:lang w:val="es-ES_tradnl" w:eastAsia="en-US"/>
        </w:rPr>
        <w:t>d</w:t>
      </w:r>
      <w:r w:rsidRPr="00216226">
        <w:rPr>
          <w:rFonts w:eastAsia="MS Gothic"/>
          <w:lang w:val="es-ES_tradnl" w:eastAsia="en-US"/>
        </w:rPr>
        <w:t xml:space="preserve">el estigma </w:t>
      </w:r>
      <w:r w:rsidR="00AC4CDC" w:rsidRPr="00216226">
        <w:rPr>
          <w:rFonts w:eastAsia="MS Gothic"/>
          <w:lang w:val="es-ES_tradnl" w:eastAsia="en-US"/>
        </w:rPr>
        <w:t xml:space="preserve">y </w:t>
      </w:r>
      <w:r w:rsidRPr="00216226">
        <w:rPr>
          <w:rFonts w:eastAsia="MS Gothic"/>
          <w:lang w:val="es-ES_tradnl" w:eastAsia="en-US"/>
        </w:rPr>
        <w:t>la discriminación es prácticamente inexistente. El país aún necesita un apoyo técnico y financiero sustancial para desarrollar un sistema de información integral, integrado y funcional relacionado con el VIH (SESAL, 2016a).</w:t>
      </w:r>
      <w:r w:rsidR="00216226" w:rsidRPr="00216226">
        <w:rPr>
          <w:rFonts w:eastAsia="MS Gothic"/>
          <w:lang w:val="es-ES_tradnl" w:eastAsia="en-US"/>
        </w:rPr>
        <w:t xml:space="preserve"> </w:t>
      </w:r>
    </w:p>
    <w:p w14:paraId="2548D673" w14:textId="304DEBFD" w:rsidR="003D7B1A" w:rsidRPr="00216226" w:rsidRDefault="0097517B" w:rsidP="003D7B1A">
      <w:pPr>
        <w:jc w:val="both"/>
        <w:rPr>
          <w:rFonts w:eastAsia="MS Gothic"/>
          <w:lang w:val="es-ES_tradnl" w:eastAsia="en-US"/>
        </w:rPr>
      </w:pPr>
      <w:r w:rsidRPr="00216226">
        <w:rPr>
          <w:rFonts w:eastAsia="MS Gothic"/>
          <w:lang w:val="es-ES_tradnl" w:eastAsia="en-US"/>
        </w:rPr>
        <w:t xml:space="preserve">Los informantes clave están de acuerdo en que las subvenciones del Fondo Mundial han contribuido a desarrollar un sector de prestación de servicios más sólido y estable, pero existen riesgos de que algunas áreas (prevención, apoyo a poblaciones clave, entorno propicio) se vean afectadas cuando se complete la transición a la </w:t>
      </w:r>
      <w:r w:rsidR="00AC4CDC" w:rsidRPr="00216226">
        <w:rPr>
          <w:rFonts w:eastAsia="MS Gothic"/>
          <w:lang w:val="es-ES_tradnl" w:eastAsia="en-US"/>
        </w:rPr>
        <w:t>responsabilidad</w:t>
      </w:r>
      <w:r w:rsidRPr="00216226">
        <w:rPr>
          <w:rFonts w:eastAsia="MS Gothic"/>
          <w:lang w:val="es-ES_tradnl" w:eastAsia="en-US"/>
        </w:rPr>
        <w:t xml:space="preserve"> nacional (Visita de campo).</w:t>
      </w:r>
      <w:r w:rsidR="003D7B1A" w:rsidRPr="00216226">
        <w:rPr>
          <w:rFonts w:eastAsia="MS Gothic"/>
          <w:lang w:val="es-ES_tradnl" w:eastAsia="en-US"/>
        </w:rPr>
        <w:t xml:space="preserve"> </w:t>
      </w:r>
    </w:p>
    <w:p w14:paraId="4AC4B18E" w14:textId="496890FD" w:rsidR="003D7B1A" w:rsidRPr="00216226" w:rsidRDefault="00EE0F21" w:rsidP="003D7B1A">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3D7B1A" w:rsidRPr="00216226">
        <w:rPr>
          <w:rFonts w:ascii="Calibri Light" w:eastAsia="MS Gothic" w:hAnsi="Calibri Light" w:cs="Times New Roman"/>
          <w:b/>
          <w:lang w:val="es-ES_tradnl" w:eastAsia="en-US"/>
        </w:rPr>
        <w:t xml:space="preserve"> 1.2. </w:t>
      </w:r>
      <w:r w:rsidR="00D44421" w:rsidRPr="00216226">
        <w:rPr>
          <w:rFonts w:ascii="Calibri Light" w:eastAsia="MS Gothic" w:hAnsi="Calibri Light" w:cs="Times New Roman"/>
          <w:b/>
          <w:lang w:val="es-ES_tradnl" w:eastAsia="en-US"/>
        </w:rPr>
        <w:t xml:space="preserve">Sistemas de salud resilientes y sostenibles </w:t>
      </w:r>
    </w:p>
    <w:p w14:paraId="76DC7F81" w14:textId="05BD01B2" w:rsidR="003D7B1A" w:rsidRPr="00A7115B" w:rsidRDefault="00320DF5" w:rsidP="00A7115B">
      <w:pPr>
        <w:jc w:val="both"/>
        <w:rPr>
          <w:rFonts w:eastAsia="MS Gothic"/>
          <w:lang w:val="es-ES_tradnl" w:eastAsia="en-US"/>
        </w:rPr>
      </w:pPr>
      <w:r w:rsidRPr="0085736C">
        <w:rPr>
          <w:rFonts w:eastAsia="MS Gothic"/>
          <w:lang w:val="es-ES_tradnl" w:eastAsia="en-US"/>
        </w:rPr>
        <w:t>Insumos:</w:t>
      </w:r>
      <w:r w:rsidR="003D7B1A" w:rsidRPr="0085736C">
        <w:rPr>
          <w:rFonts w:ascii="Calibri Light" w:eastAsia="MS Gothic" w:hAnsi="Calibri Light"/>
          <w:lang w:val="es-ES_tradnl" w:eastAsia="en-US"/>
        </w:rPr>
        <w:t xml:space="preserve"> </w:t>
      </w:r>
      <w:r w:rsidR="00D44421" w:rsidRPr="0085736C">
        <w:rPr>
          <w:rFonts w:eastAsia="MS Gothic"/>
          <w:lang w:val="es-ES_tradnl" w:eastAsia="en-US"/>
        </w:rPr>
        <w:t>El</w:t>
      </w:r>
      <w:r w:rsidR="00D44421" w:rsidRPr="00216226">
        <w:rPr>
          <w:rFonts w:eastAsia="MS Gothic"/>
          <w:lang w:val="es-ES_tradnl" w:eastAsia="en-US"/>
        </w:rPr>
        <w:t xml:space="preserve"> Fondo Mundial ha apoyado tradicionalmente la compra de condones y lubricantes para poblaciones clave. También ha financiado el refuerzo de los recursos humano</w:t>
      </w:r>
      <w:r w:rsidR="00A7115B">
        <w:rPr>
          <w:rFonts w:eastAsia="MS Gothic"/>
          <w:lang w:val="es-ES_tradnl" w:eastAsia="en-US"/>
        </w:rPr>
        <w:t>s en las clínicas de VIH / ITS, como la U</w:t>
      </w:r>
      <w:r w:rsidR="00A7115B" w:rsidRPr="00A7115B">
        <w:rPr>
          <w:rFonts w:eastAsia="MS Gothic"/>
          <w:lang w:val="es-ES_tradnl" w:eastAsia="en-US"/>
        </w:rPr>
        <w:t xml:space="preserve">nidad de manejo de las infecciones de transmisión sexual </w:t>
      </w:r>
      <w:r w:rsidR="00A7115B">
        <w:rPr>
          <w:rFonts w:eastAsia="MS Gothic"/>
          <w:lang w:val="es-ES_tradnl" w:eastAsia="en-US"/>
        </w:rPr>
        <w:t xml:space="preserve">y la </w:t>
      </w:r>
      <w:r w:rsidR="00A7115B" w:rsidRPr="00A7115B">
        <w:rPr>
          <w:rFonts w:eastAsia="MS Gothic"/>
          <w:lang w:val="es-ES_tradnl" w:eastAsia="en-US"/>
        </w:rPr>
        <w:t xml:space="preserve">Vigilancia </w:t>
      </w:r>
      <w:r w:rsidR="00A7115B">
        <w:rPr>
          <w:rFonts w:eastAsia="MS Gothic"/>
          <w:lang w:val="es-ES_tradnl" w:eastAsia="en-US"/>
        </w:rPr>
        <w:t>centinela y c</w:t>
      </w:r>
      <w:r w:rsidR="00A7115B" w:rsidRPr="00A7115B">
        <w:rPr>
          <w:rFonts w:eastAsia="MS Gothic"/>
          <w:lang w:val="es-ES_tradnl" w:eastAsia="en-US"/>
        </w:rPr>
        <w:t>ontrol de las infecciones de transmisión sexual</w:t>
      </w:r>
      <w:r w:rsidR="00A7115B">
        <w:rPr>
          <w:rFonts w:eastAsia="MS Gothic"/>
          <w:lang w:val="es-ES_tradnl" w:eastAsia="en-US"/>
        </w:rPr>
        <w:t xml:space="preserve"> (VICTIS</w:t>
      </w:r>
      <w:r w:rsidR="00D44421" w:rsidRPr="00216226">
        <w:rPr>
          <w:rFonts w:eastAsia="MS Gothic"/>
          <w:lang w:val="es-ES_tradnl" w:eastAsia="en-US"/>
        </w:rPr>
        <w:t>)</w:t>
      </w:r>
      <w:r w:rsidR="00A7115B">
        <w:rPr>
          <w:rFonts w:eastAsia="MS Gothic"/>
          <w:lang w:val="es-ES_tradnl" w:eastAsia="en-US"/>
        </w:rPr>
        <w:t xml:space="preserve">, </w:t>
      </w:r>
      <w:r w:rsidR="00D44421" w:rsidRPr="00216226">
        <w:rPr>
          <w:rFonts w:eastAsia="MS Gothic"/>
          <w:lang w:val="es-ES_tradnl" w:eastAsia="en-US"/>
        </w:rPr>
        <w:t xml:space="preserve">así como la mejora de la infraestructura y la </w:t>
      </w:r>
      <w:r w:rsidR="00D44421" w:rsidRPr="00216226">
        <w:rPr>
          <w:rFonts w:eastAsia="MS Gothic"/>
          <w:lang w:val="es-ES_tradnl" w:eastAsia="en-US"/>
        </w:rPr>
        <w:lastRenderedPageBreak/>
        <w:t>compra de equipos médicos para diagnosticar el VIH y las ITS. Estas intervenciones se complementan con contribuciones de otros donantes internacionales (MCP, 2015).</w:t>
      </w:r>
      <w:r w:rsidR="003D7B1A" w:rsidRPr="00216226">
        <w:rPr>
          <w:rFonts w:eastAsia="MS Gothic"/>
          <w:lang w:val="es-ES_tradnl" w:eastAsia="en-US"/>
        </w:rPr>
        <w:t xml:space="preserve"> </w:t>
      </w:r>
    </w:p>
    <w:p w14:paraId="04147FCA" w14:textId="632D8C4C" w:rsidR="003D7B1A" w:rsidRPr="00216226" w:rsidRDefault="000A4808" w:rsidP="003D7B1A">
      <w:pPr>
        <w:jc w:val="both"/>
        <w:rPr>
          <w:rFonts w:eastAsia="MS Gothic"/>
          <w:lang w:val="es-ES_tradnl" w:eastAsia="en-US"/>
        </w:rPr>
      </w:pPr>
      <w:r w:rsidRPr="00216226">
        <w:rPr>
          <w:rFonts w:eastAsia="MS Gothic"/>
          <w:lang w:val="es-ES_tradnl" w:eastAsia="en-US"/>
        </w:rPr>
        <w:t xml:space="preserve">Históricamente, el Fondo Mundial también </w:t>
      </w:r>
      <w:r w:rsidR="000A56D9" w:rsidRPr="00216226">
        <w:rPr>
          <w:rFonts w:eastAsia="MS Gothic"/>
          <w:lang w:val="es-ES_tradnl" w:eastAsia="en-US"/>
        </w:rPr>
        <w:t xml:space="preserve">ha </w:t>
      </w:r>
      <w:r w:rsidRPr="00216226">
        <w:rPr>
          <w:rFonts w:eastAsia="MS Gothic"/>
          <w:lang w:val="es-ES_tradnl" w:eastAsia="en-US"/>
        </w:rPr>
        <w:t>apoy</w:t>
      </w:r>
      <w:r w:rsidR="000A56D9" w:rsidRPr="00216226">
        <w:rPr>
          <w:rFonts w:eastAsia="MS Gothic"/>
          <w:lang w:val="es-ES_tradnl" w:eastAsia="en-US"/>
        </w:rPr>
        <w:t>ado</w:t>
      </w:r>
      <w:r w:rsidRPr="00216226">
        <w:rPr>
          <w:rFonts w:eastAsia="MS Gothic"/>
          <w:lang w:val="es-ES_tradnl" w:eastAsia="en-US"/>
        </w:rPr>
        <w:t xml:space="preserve"> el suministro de TARV, aunque esto ha sido asumido por el gobierno que</w:t>
      </w:r>
      <w:r w:rsidR="000A56D9" w:rsidRPr="00216226">
        <w:rPr>
          <w:rFonts w:eastAsia="MS Gothic"/>
          <w:lang w:val="es-ES_tradnl" w:eastAsia="en-US"/>
        </w:rPr>
        <w:t>,</w:t>
      </w:r>
      <w:r w:rsidRPr="00216226">
        <w:rPr>
          <w:rFonts w:eastAsia="MS Gothic"/>
          <w:lang w:val="es-ES_tradnl" w:eastAsia="en-US"/>
        </w:rPr>
        <w:t xml:space="preserve"> actual</w:t>
      </w:r>
      <w:r w:rsidR="000A56D9" w:rsidRPr="00216226">
        <w:rPr>
          <w:rFonts w:eastAsia="MS Gothic"/>
          <w:lang w:val="es-ES_tradnl" w:eastAsia="en-US"/>
        </w:rPr>
        <w:t>mente,</w:t>
      </w:r>
      <w:r w:rsidRPr="00216226">
        <w:rPr>
          <w:rFonts w:eastAsia="MS Gothic"/>
          <w:lang w:val="es-ES_tradnl" w:eastAsia="en-US"/>
        </w:rPr>
        <w:t xml:space="preserve"> cubre entre el 93% y el 98% (según la fuente) de la medicación. El Fondo Mundial financia los reactivos y el material necesario para los recuentos de CD4 y las mediciones de </w:t>
      </w:r>
      <w:r w:rsidR="000A56D9" w:rsidRPr="00216226">
        <w:rPr>
          <w:rFonts w:eastAsia="MS Gothic"/>
          <w:lang w:val="es-ES_tradnl" w:eastAsia="en-US"/>
        </w:rPr>
        <w:t>carga viral</w:t>
      </w:r>
      <w:r w:rsidRPr="00216226">
        <w:rPr>
          <w:rFonts w:eastAsia="MS Gothic"/>
          <w:lang w:val="es-ES_tradnl" w:eastAsia="en-US"/>
        </w:rPr>
        <w:t>, así como los elementos del paquete de prevención (condones, lubricantes, folletos) para las poblaciones clave. La mayoría de las pruebas de VIH se compran con el apoyo del Fondo Mundial, complementado por el gobierno nacional (Visita de campo).</w:t>
      </w:r>
      <w:r w:rsidR="003D7B1A" w:rsidRPr="00216226">
        <w:rPr>
          <w:rFonts w:eastAsia="MS Gothic"/>
          <w:lang w:val="es-ES_tradnl" w:eastAsia="en-US"/>
        </w:rPr>
        <w:t xml:space="preserve"> </w:t>
      </w:r>
    </w:p>
    <w:p w14:paraId="217708AE" w14:textId="224EEA9B" w:rsidR="003D7B1A" w:rsidRPr="00216226" w:rsidRDefault="000A4808" w:rsidP="003D7B1A">
      <w:pPr>
        <w:jc w:val="both"/>
        <w:rPr>
          <w:rFonts w:eastAsia="MS Gothic"/>
          <w:lang w:val="es-ES_tradnl" w:eastAsia="en-US"/>
        </w:rPr>
      </w:pPr>
      <w:r w:rsidRPr="00216226">
        <w:rPr>
          <w:rFonts w:eastAsia="MS Gothic"/>
          <w:lang w:val="es-ES_tradnl" w:eastAsia="en-US"/>
        </w:rPr>
        <w:t xml:space="preserve">Las subvenciones </w:t>
      </w:r>
      <w:r w:rsidR="000A56D9" w:rsidRPr="00216226">
        <w:rPr>
          <w:rFonts w:eastAsia="MS Gothic"/>
          <w:lang w:val="es-ES_tradnl" w:eastAsia="en-US"/>
        </w:rPr>
        <w:t>previas</w:t>
      </w:r>
      <w:r w:rsidRPr="00216226">
        <w:rPr>
          <w:rFonts w:eastAsia="MS Gothic"/>
          <w:lang w:val="es-ES_tradnl" w:eastAsia="en-US"/>
        </w:rPr>
        <w:t xml:space="preserve"> (antes de 2015) incluían un componente para el fortalecimiento del sistema comunitario. Este componente no </w:t>
      </w:r>
      <w:r w:rsidR="000A56D9" w:rsidRPr="00216226">
        <w:rPr>
          <w:rFonts w:eastAsia="MS Gothic"/>
          <w:lang w:val="es-ES_tradnl" w:eastAsia="en-US"/>
        </w:rPr>
        <w:t>se encuentra</w:t>
      </w:r>
      <w:r w:rsidRPr="00216226">
        <w:rPr>
          <w:rFonts w:eastAsia="MS Gothic"/>
          <w:lang w:val="es-ES_tradnl" w:eastAsia="en-US"/>
        </w:rPr>
        <w:t xml:space="preserve"> presente en la subvención actual</w:t>
      </w:r>
      <w:r w:rsidR="000A56D9" w:rsidRPr="00216226">
        <w:rPr>
          <w:rFonts w:eastAsia="MS Gothic"/>
          <w:lang w:val="es-ES_tradnl" w:eastAsia="en-US"/>
        </w:rPr>
        <w:t>,</w:t>
      </w:r>
      <w:r w:rsidRPr="00216226">
        <w:rPr>
          <w:rFonts w:eastAsia="MS Gothic"/>
          <w:lang w:val="es-ES_tradnl" w:eastAsia="en-US"/>
        </w:rPr>
        <w:t xml:space="preserve"> s</w:t>
      </w:r>
      <w:r w:rsidR="000A56D9" w:rsidRPr="00216226">
        <w:rPr>
          <w:rFonts w:eastAsia="MS Gothic"/>
          <w:lang w:val="es-ES_tradnl" w:eastAsia="en-US"/>
        </w:rPr>
        <w:t>ó</w:t>
      </w:r>
      <w:r w:rsidRPr="00216226">
        <w:rPr>
          <w:rFonts w:eastAsia="MS Gothic"/>
          <w:lang w:val="es-ES_tradnl" w:eastAsia="en-US"/>
        </w:rPr>
        <w:t xml:space="preserve">lo hay una referencia a la prestación de asistencia técnica para mejorar las capacidades de organización y gestión de la comunidad. Esto ha sido utilizado por el </w:t>
      </w:r>
      <w:r w:rsidR="000A56D9" w:rsidRPr="00216226">
        <w:rPr>
          <w:rFonts w:eastAsia="MS Gothic"/>
          <w:lang w:val="es-ES_tradnl" w:eastAsia="en-US"/>
        </w:rPr>
        <w:t>RP</w:t>
      </w:r>
      <w:r w:rsidRPr="00216226">
        <w:rPr>
          <w:rFonts w:eastAsia="MS Gothic"/>
          <w:lang w:val="es-ES_tradnl" w:eastAsia="en-US"/>
        </w:rPr>
        <w:t xml:space="preserve"> para fortalecer las capacidades de los receptores secundarios (</w:t>
      </w:r>
      <w:r w:rsidR="000A56D9" w:rsidRPr="00216226">
        <w:rPr>
          <w:rFonts w:eastAsia="MS Gothic"/>
          <w:lang w:val="es-ES_tradnl" w:eastAsia="en-US"/>
        </w:rPr>
        <w:t>RS</w:t>
      </w:r>
      <w:r w:rsidRPr="00216226">
        <w:rPr>
          <w:rFonts w:eastAsia="MS Gothic"/>
          <w:lang w:val="es-ES_tradnl" w:eastAsia="en-US"/>
        </w:rPr>
        <w:t xml:space="preserve">). Finalmente, las actividades de monitoreo comunitario no están siendo apoyadas con recursos </w:t>
      </w:r>
      <w:r w:rsidR="000A56D9" w:rsidRPr="00216226">
        <w:rPr>
          <w:rFonts w:eastAsia="MS Gothic"/>
          <w:lang w:val="es-ES_tradnl" w:eastAsia="en-US"/>
        </w:rPr>
        <w:t>domésticos</w:t>
      </w:r>
      <w:r w:rsidRPr="00216226">
        <w:rPr>
          <w:rFonts w:eastAsia="MS Gothic"/>
          <w:lang w:val="es-ES_tradnl" w:eastAsia="en-US"/>
        </w:rPr>
        <w:t xml:space="preserve"> </w:t>
      </w:r>
      <w:r w:rsidR="000A56D9" w:rsidRPr="00216226">
        <w:rPr>
          <w:rFonts w:eastAsia="MS Gothic"/>
          <w:lang w:val="es-ES_tradnl" w:eastAsia="en-US"/>
        </w:rPr>
        <w:t xml:space="preserve">ni con </w:t>
      </w:r>
      <w:r w:rsidRPr="00216226">
        <w:rPr>
          <w:rFonts w:eastAsia="MS Gothic"/>
          <w:lang w:val="es-ES_tradnl" w:eastAsia="en-US"/>
        </w:rPr>
        <w:t>subvenciones del Fondo Mundial (Visita de campo).</w:t>
      </w:r>
      <w:r w:rsidR="003D7B1A" w:rsidRPr="00216226">
        <w:rPr>
          <w:rFonts w:eastAsia="MS Gothic"/>
          <w:lang w:val="es-ES_tradnl" w:eastAsia="en-US"/>
        </w:rPr>
        <w:t xml:space="preserve"> </w:t>
      </w:r>
    </w:p>
    <w:p w14:paraId="6E94B9B3" w14:textId="1E0D6D47" w:rsidR="003D7B1A" w:rsidRPr="00216226" w:rsidRDefault="00320DF5" w:rsidP="00A7115B">
      <w:pPr>
        <w:jc w:val="both"/>
        <w:rPr>
          <w:rFonts w:ascii="Calibri Light" w:eastAsia="MS Gothic" w:hAnsi="Calibri Light"/>
          <w:b/>
          <w:i/>
          <w:lang w:val="es-ES_tradnl" w:eastAsia="en-US"/>
        </w:rPr>
      </w:pPr>
      <w:r w:rsidRPr="0085736C">
        <w:rPr>
          <w:rFonts w:eastAsia="MS Gothic"/>
          <w:lang w:val="es-ES_tradnl" w:eastAsia="en-US"/>
        </w:rPr>
        <w:t>Productos:</w:t>
      </w:r>
      <w:r w:rsidR="003D7B1A" w:rsidRPr="0085736C">
        <w:rPr>
          <w:rFonts w:ascii="Calibri Light" w:eastAsia="MS Gothic" w:hAnsi="Calibri Light"/>
          <w:i/>
          <w:lang w:val="es-ES_tradnl" w:eastAsia="en-US"/>
        </w:rPr>
        <w:t xml:space="preserve"> </w:t>
      </w:r>
      <w:r w:rsidR="000A4808" w:rsidRPr="0085736C">
        <w:rPr>
          <w:rFonts w:eastAsia="MS Gothic"/>
          <w:lang w:val="es-ES_tradnl" w:eastAsia="en-US"/>
        </w:rPr>
        <w:t>En</w:t>
      </w:r>
      <w:r w:rsidR="000A4808" w:rsidRPr="00216226">
        <w:rPr>
          <w:rFonts w:eastAsia="MS Gothic"/>
          <w:lang w:val="es-ES_tradnl" w:eastAsia="en-US"/>
        </w:rPr>
        <w:t xml:space="preserve"> 2015, el país creó un nuevo sistema de gestión de existencias para cubrir medicamentos y otros productos, con períodos mínimos y máximos </w:t>
      </w:r>
      <w:r w:rsidR="000A56D9" w:rsidRPr="00216226">
        <w:rPr>
          <w:rFonts w:eastAsia="MS Gothic"/>
          <w:lang w:val="es-ES_tradnl" w:eastAsia="en-US"/>
        </w:rPr>
        <w:t>de</w:t>
      </w:r>
      <w:r w:rsidR="000A4808" w:rsidRPr="00216226">
        <w:rPr>
          <w:rFonts w:eastAsia="MS Gothic"/>
          <w:lang w:val="es-ES_tradnl" w:eastAsia="en-US"/>
        </w:rPr>
        <w:t xml:space="preserve"> reabastecimiento. El único agotamiento reciente ha sido la combinación tenofovir-emtricitabina (desde abril de 2018 y aún en curso en el momento de la misión en el país). Al parecer, esto se debió al hecho de que el proveedor seleccionado suministró píldoras de calidad insatisfactoria que se re</w:t>
      </w:r>
      <w:r w:rsidR="000A56D9" w:rsidRPr="00216226">
        <w:rPr>
          <w:rFonts w:eastAsia="MS Gothic"/>
          <w:lang w:val="es-ES_tradnl" w:eastAsia="en-US"/>
        </w:rPr>
        <w:t>tiraron</w:t>
      </w:r>
      <w:r w:rsidR="000A4808" w:rsidRPr="00216226">
        <w:rPr>
          <w:rFonts w:eastAsia="MS Gothic"/>
          <w:lang w:val="es-ES_tradnl" w:eastAsia="en-US"/>
        </w:rPr>
        <w:t xml:space="preserve"> de la cadena de distribución. Se seleccionó un nuevo proveedor, quien advirtió que necesita</w:t>
      </w:r>
      <w:r w:rsidR="000A56D9" w:rsidRPr="00216226">
        <w:rPr>
          <w:rFonts w:eastAsia="MS Gothic"/>
          <w:lang w:val="es-ES_tradnl" w:eastAsia="en-US"/>
        </w:rPr>
        <w:t>ría</w:t>
      </w:r>
      <w:r w:rsidR="000A4808" w:rsidRPr="00216226">
        <w:rPr>
          <w:rFonts w:eastAsia="MS Gothic"/>
          <w:lang w:val="es-ES_tradnl" w:eastAsia="en-US"/>
        </w:rPr>
        <w:t xml:space="preserve"> varias semanas para cumplir los objetivos de fabricación (Visita de campo).</w:t>
      </w:r>
      <w:r w:rsidR="003D7B1A" w:rsidRPr="00216226">
        <w:rPr>
          <w:rFonts w:eastAsia="MS Gothic"/>
          <w:lang w:val="es-ES_tradnl" w:eastAsia="en-US"/>
        </w:rPr>
        <w:t xml:space="preserve"> </w:t>
      </w:r>
    </w:p>
    <w:p w14:paraId="5AA4F499" w14:textId="330DDBB3" w:rsidR="003D7B1A" w:rsidRPr="00216226" w:rsidRDefault="002A7D46" w:rsidP="003D7B1A">
      <w:pPr>
        <w:jc w:val="both"/>
        <w:rPr>
          <w:rFonts w:eastAsia="MS Gothic"/>
          <w:lang w:val="es-ES_tradnl" w:eastAsia="en-US"/>
        </w:rPr>
      </w:pPr>
      <w:r w:rsidRPr="00216226">
        <w:rPr>
          <w:rFonts w:eastAsia="MS Gothic"/>
          <w:lang w:val="es-ES_tradnl" w:eastAsia="en-US"/>
        </w:rPr>
        <w:t>Las capacidades de los laboratorios se han fortalecido significativamente gracias a las contribuciones del Fondo Mundial. La mayoría de los SAI tienen equipos de prueba de CD4, y l</w:t>
      </w:r>
      <w:r w:rsidR="00A7115B">
        <w:rPr>
          <w:rFonts w:eastAsia="MS Gothic"/>
          <w:lang w:val="es-ES_tradnl" w:eastAsia="en-US"/>
        </w:rPr>
        <w:t>os pocos</w:t>
      </w:r>
      <w:r w:rsidRPr="00216226">
        <w:rPr>
          <w:rFonts w:eastAsia="MS Gothic"/>
          <w:lang w:val="es-ES_tradnl" w:eastAsia="en-US"/>
        </w:rPr>
        <w:t xml:space="preserve"> SAI de menor tamaño que no los tienen pueden </w:t>
      </w:r>
      <w:r w:rsidR="000A56D9" w:rsidRPr="00216226">
        <w:rPr>
          <w:rFonts w:eastAsia="MS Gothic"/>
          <w:lang w:val="es-ES_tradnl" w:eastAsia="en-US"/>
        </w:rPr>
        <w:t xml:space="preserve">fácilmente </w:t>
      </w:r>
      <w:r w:rsidRPr="00216226">
        <w:rPr>
          <w:rFonts w:eastAsia="MS Gothic"/>
          <w:lang w:val="es-ES_tradnl" w:eastAsia="en-US"/>
        </w:rPr>
        <w:t>u</w:t>
      </w:r>
      <w:r w:rsidR="007C7356" w:rsidRPr="00216226">
        <w:rPr>
          <w:rFonts w:eastAsia="MS Gothic"/>
          <w:lang w:val="es-ES_tradnl" w:eastAsia="en-US"/>
        </w:rPr>
        <w:t>tilizar</w:t>
      </w:r>
      <w:r w:rsidRPr="00216226">
        <w:rPr>
          <w:rFonts w:eastAsia="MS Gothic"/>
          <w:lang w:val="es-ES_tradnl" w:eastAsia="en-US"/>
        </w:rPr>
        <w:t xml:space="preserve"> el equipo del centro asociado más cercano. Gracias al Fondo Mundial, el laboratorio nacional de referencia está equipado con dispositivos de medición de carga viral, reactivos y un proveedor de mensajería para muestras que puede atender a todo el país. Al contrario de lo que sucedió en el pasado, las mediciones </w:t>
      </w:r>
      <w:r w:rsidR="00A7115B">
        <w:rPr>
          <w:rFonts w:eastAsia="MS Gothic"/>
          <w:lang w:val="es-ES_tradnl" w:eastAsia="en-US"/>
        </w:rPr>
        <w:t>de carga viral se comunican a lo</w:t>
      </w:r>
      <w:r w:rsidRPr="00216226">
        <w:rPr>
          <w:rFonts w:eastAsia="MS Gothic"/>
          <w:lang w:val="es-ES_tradnl" w:eastAsia="en-US"/>
        </w:rPr>
        <w:t xml:space="preserve">s SAI a más tardar </w:t>
      </w:r>
      <w:r w:rsidR="007C7356" w:rsidRPr="00216226">
        <w:rPr>
          <w:rFonts w:eastAsia="MS Gothic"/>
          <w:lang w:val="es-ES_tradnl" w:eastAsia="en-US"/>
        </w:rPr>
        <w:t xml:space="preserve">en </w:t>
      </w:r>
      <w:r w:rsidRPr="00216226">
        <w:rPr>
          <w:rFonts w:eastAsia="MS Gothic"/>
          <w:lang w:val="es-ES_tradnl" w:eastAsia="en-US"/>
        </w:rPr>
        <w:t>una semana después de recib</w:t>
      </w:r>
      <w:r w:rsidR="007C7356" w:rsidRPr="00216226">
        <w:rPr>
          <w:rFonts w:eastAsia="MS Gothic"/>
          <w:lang w:val="es-ES_tradnl" w:eastAsia="en-US"/>
        </w:rPr>
        <w:t>id</w:t>
      </w:r>
      <w:r w:rsidRPr="00216226">
        <w:rPr>
          <w:rFonts w:eastAsia="MS Gothic"/>
          <w:lang w:val="es-ES_tradnl" w:eastAsia="en-US"/>
        </w:rPr>
        <w:t xml:space="preserve">a la muestra en el laboratorio nacional y, </w:t>
      </w:r>
      <w:r w:rsidR="007C7356" w:rsidRPr="00216226">
        <w:rPr>
          <w:rFonts w:eastAsia="MS Gothic"/>
          <w:lang w:val="es-ES_tradnl" w:eastAsia="en-US"/>
        </w:rPr>
        <w:t>frecuentemente</w:t>
      </w:r>
      <w:r w:rsidRPr="00216226">
        <w:rPr>
          <w:rFonts w:eastAsia="MS Gothic"/>
          <w:lang w:val="es-ES_tradnl" w:eastAsia="en-US"/>
        </w:rPr>
        <w:t>, dentro de las 48 horas.</w:t>
      </w:r>
      <w:r w:rsidR="00216226" w:rsidRPr="00216226">
        <w:rPr>
          <w:rFonts w:eastAsia="MS Gothic"/>
          <w:lang w:val="es-ES_tradnl" w:eastAsia="en-US"/>
        </w:rPr>
        <w:t xml:space="preserve"> </w:t>
      </w:r>
    </w:p>
    <w:p w14:paraId="05487311" w14:textId="0B5700B5" w:rsidR="003D7B1A" w:rsidRPr="00216226" w:rsidRDefault="002A7D46" w:rsidP="003D7B1A">
      <w:pPr>
        <w:jc w:val="both"/>
        <w:rPr>
          <w:rFonts w:eastAsia="MS Gothic"/>
          <w:lang w:val="es-ES_tradnl" w:eastAsia="en-US"/>
        </w:rPr>
      </w:pPr>
      <w:r w:rsidRPr="00216226">
        <w:rPr>
          <w:rFonts w:eastAsia="MS Gothic"/>
          <w:lang w:val="es-ES_tradnl" w:eastAsia="en-US"/>
        </w:rPr>
        <w:t xml:space="preserve">Actualmente, los servicios comunitarios de VIH no están siendo apoyados con recursos </w:t>
      </w:r>
      <w:r w:rsidR="007C7356" w:rsidRPr="00216226">
        <w:rPr>
          <w:rFonts w:eastAsia="MS Gothic"/>
          <w:lang w:val="es-ES_tradnl" w:eastAsia="en-US"/>
        </w:rPr>
        <w:t>domésticos</w:t>
      </w:r>
      <w:r w:rsidRPr="00216226">
        <w:rPr>
          <w:rFonts w:eastAsia="MS Gothic"/>
          <w:lang w:val="es-ES_tradnl" w:eastAsia="en-US"/>
        </w:rPr>
        <w:t>, aunque existen</w:t>
      </w:r>
      <w:r w:rsidR="007C7356" w:rsidRPr="00216226">
        <w:rPr>
          <w:rFonts w:eastAsia="MS Gothic"/>
          <w:lang w:val="es-ES_tradnl" w:eastAsia="en-US"/>
        </w:rPr>
        <w:t xml:space="preserve"> los</w:t>
      </w:r>
      <w:r w:rsidRPr="00216226">
        <w:rPr>
          <w:rFonts w:eastAsia="MS Gothic"/>
          <w:lang w:val="es-ES_tradnl" w:eastAsia="en-US"/>
        </w:rPr>
        <w:t xml:space="preserve"> mecanismos legales y administrativos para hacerlo.</w:t>
      </w:r>
      <w:r w:rsidR="00216226" w:rsidRPr="00216226">
        <w:rPr>
          <w:rFonts w:eastAsia="MS Gothic"/>
          <w:lang w:val="es-ES_tradnl" w:eastAsia="en-US"/>
        </w:rPr>
        <w:t xml:space="preserve"> </w:t>
      </w:r>
    </w:p>
    <w:p w14:paraId="477312B7" w14:textId="6D06005D" w:rsidR="003D7B1A" w:rsidRPr="00A7115B" w:rsidRDefault="004B3528" w:rsidP="00A7115B">
      <w:pPr>
        <w:jc w:val="both"/>
        <w:rPr>
          <w:rFonts w:eastAsia="MS Gothic"/>
          <w:lang w:val="es-US" w:eastAsia="en-US"/>
        </w:rPr>
      </w:pPr>
      <w:r w:rsidRPr="0085736C">
        <w:rPr>
          <w:rFonts w:eastAsia="MS Gothic"/>
          <w:lang w:val="es-ES_tradnl" w:eastAsia="en-US"/>
        </w:rPr>
        <w:t>Resultados:</w:t>
      </w:r>
      <w:r w:rsidR="003D7B1A" w:rsidRPr="0085736C">
        <w:rPr>
          <w:rFonts w:eastAsia="MS Gothic"/>
          <w:lang w:val="es-ES_tradnl" w:eastAsia="en-US"/>
        </w:rPr>
        <w:t xml:space="preserve"> </w:t>
      </w:r>
      <w:r w:rsidR="0085736C" w:rsidRPr="0085736C">
        <w:rPr>
          <w:rFonts w:eastAsia="MS Gothic"/>
          <w:lang w:val="es-ES_tradnl" w:eastAsia="en-US"/>
        </w:rPr>
        <w:t xml:space="preserve"> </w:t>
      </w:r>
      <w:r w:rsidR="002A7D46" w:rsidRPr="0085736C">
        <w:rPr>
          <w:rFonts w:eastAsia="MS Gothic"/>
          <w:lang w:val="es-ES_tradnl" w:eastAsia="en-US"/>
        </w:rPr>
        <w:t>La</w:t>
      </w:r>
      <w:r w:rsidR="002A7D46" w:rsidRPr="00216226">
        <w:rPr>
          <w:rFonts w:eastAsia="MS Gothic"/>
          <w:lang w:val="es-ES_tradnl" w:eastAsia="en-US"/>
        </w:rPr>
        <w:t xml:space="preserve"> información disponible indica </w:t>
      </w:r>
      <w:r w:rsidR="00981E65" w:rsidRPr="00216226">
        <w:rPr>
          <w:rFonts w:eastAsia="MS Gothic"/>
          <w:lang w:val="es-ES_tradnl" w:eastAsia="en-US"/>
        </w:rPr>
        <w:t>que las</w:t>
      </w:r>
      <w:r w:rsidR="002A7D46" w:rsidRPr="00216226">
        <w:rPr>
          <w:rFonts w:eastAsia="MS Gothic"/>
          <w:lang w:val="es-ES_tradnl" w:eastAsia="en-US"/>
        </w:rPr>
        <w:t xml:space="preserve"> disfunciones </w:t>
      </w:r>
      <w:r w:rsidR="007C7356" w:rsidRPr="00216226">
        <w:rPr>
          <w:rFonts w:eastAsia="MS Gothic"/>
          <w:lang w:val="es-ES_tradnl" w:eastAsia="en-US"/>
        </w:rPr>
        <w:t xml:space="preserve">en </w:t>
      </w:r>
      <w:r w:rsidR="002A7D46" w:rsidRPr="00216226">
        <w:rPr>
          <w:rFonts w:eastAsia="MS Gothic"/>
          <w:lang w:val="es-ES_tradnl" w:eastAsia="en-US"/>
        </w:rPr>
        <w:t xml:space="preserve">el sistema de gestión de la cadena de </w:t>
      </w:r>
      <w:r w:rsidR="00872A9E" w:rsidRPr="00216226">
        <w:rPr>
          <w:rFonts w:eastAsia="MS Gothic"/>
          <w:lang w:val="es-ES_tradnl" w:eastAsia="en-US"/>
        </w:rPr>
        <w:t xml:space="preserve">adquisiciones y </w:t>
      </w:r>
      <w:r w:rsidR="002A7D46" w:rsidRPr="00216226">
        <w:rPr>
          <w:rFonts w:eastAsia="MS Gothic"/>
          <w:lang w:val="es-ES_tradnl" w:eastAsia="en-US"/>
        </w:rPr>
        <w:t>suministro</w:t>
      </w:r>
      <w:r w:rsidR="00872A9E" w:rsidRPr="00216226">
        <w:rPr>
          <w:rFonts w:eastAsia="MS Gothic"/>
          <w:lang w:val="es-ES_tradnl" w:eastAsia="en-US"/>
        </w:rPr>
        <w:t xml:space="preserve">s </w:t>
      </w:r>
      <w:r w:rsidR="00A7115B">
        <w:rPr>
          <w:rFonts w:eastAsia="MS Gothic"/>
          <w:lang w:val="es-ES_tradnl" w:eastAsia="en-US"/>
        </w:rPr>
        <w:t>(</w:t>
      </w:r>
      <w:r w:rsidR="00A7115B" w:rsidRPr="00A7115B">
        <w:rPr>
          <w:rFonts w:eastAsia="MS Gothic"/>
          <w:i/>
          <w:lang w:val="es-US" w:eastAsia="en-US"/>
        </w:rPr>
        <w:t>procurement and supply chain management – PSM</w:t>
      </w:r>
      <w:r w:rsidR="00A7115B">
        <w:rPr>
          <w:rFonts w:eastAsia="MS Gothic"/>
          <w:lang w:val="es-US" w:eastAsia="en-US"/>
        </w:rPr>
        <w:t xml:space="preserve">) </w:t>
      </w:r>
      <w:r w:rsidR="002A7D46" w:rsidRPr="00216226">
        <w:rPr>
          <w:rFonts w:eastAsia="MS Gothic"/>
          <w:lang w:val="es-ES_tradnl" w:eastAsia="en-US"/>
        </w:rPr>
        <w:t>persisten, lo que conduce a un acceso limitado o desabastecimiento</w:t>
      </w:r>
      <w:r w:rsidR="00872A9E" w:rsidRPr="00216226">
        <w:rPr>
          <w:rFonts w:eastAsia="MS Gothic"/>
          <w:lang w:val="es-ES_tradnl" w:eastAsia="en-US"/>
        </w:rPr>
        <w:t>s</w:t>
      </w:r>
      <w:r w:rsidR="002A7D46" w:rsidRPr="00216226">
        <w:rPr>
          <w:rFonts w:eastAsia="MS Gothic"/>
          <w:lang w:val="es-ES_tradnl" w:eastAsia="en-US"/>
        </w:rPr>
        <w:t xml:space="preserve"> en </w:t>
      </w:r>
      <w:r w:rsidR="00872A9E" w:rsidRPr="00216226">
        <w:rPr>
          <w:rFonts w:eastAsia="MS Gothic"/>
          <w:lang w:val="es-ES_tradnl" w:eastAsia="en-US"/>
        </w:rPr>
        <w:t>por lo</w:t>
      </w:r>
      <w:r w:rsidR="002A7D46" w:rsidRPr="00216226">
        <w:rPr>
          <w:rFonts w:eastAsia="MS Gothic"/>
          <w:lang w:val="es-ES_tradnl" w:eastAsia="en-US"/>
        </w:rPr>
        <w:t xml:space="preserve"> menos los siguientes elementos:</w:t>
      </w:r>
      <w:r w:rsidR="00981E65" w:rsidRPr="00216226">
        <w:rPr>
          <w:rFonts w:eastAsia="MS Gothic"/>
          <w:lang w:val="es-ES_tradnl" w:eastAsia="en-US"/>
        </w:rPr>
        <w:t xml:space="preserve"> </w:t>
      </w:r>
    </w:p>
    <w:p w14:paraId="24A1D185" w14:textId="77204168" w:rsidR="003D7B1A" w:rsidRPr="00216226" w:rsidRDefault="00981E65" w:rsidP="003D7B1A">
      <w:pPr>
        <w:numPr>
          <w:ilvl w:val="0"/>
          <w:numId w:val="12"/>
        </w:numPr>
        <w:contextualSpacing/>
        <w:jc w:val="both"/>
        <w:rPr>
          <w:rFonts w:eastAsia="MS Gothic"/>
          <w:lang w:val="es-ES_tradnl" w:eastAsia="en-US"/>
        </w:rPr>
      </w:pPr>
      <w:r w:rsidRPr="00216226">
        <w:rPr>
          <w:rFonts w:eastAsia="MS Gothic"/>
          <w:lang w:val="es-ES_tradnl" w:eastAsia="en-US"/>
        </w:rPr>
        <w:t xml:space="preserve">Condones: disponibles en la </w:t>
      </w:r>
      <w:r w:rsidR="00A7115B">
        <w:rPr>
          <w:rFonts w:eastAsia="MS Gothic"/>
          <w:lang w:val="es-ES_tradnl" w:eastAsia="en-US"/>
        </w:rPr>
        <w:t>VICITS y lo</w:t>
      </w:r>
      <w:r w:rsidRPr="00216226">
        <w:rPr>
          <w:rFonts w:eastAsia="MS Gothic"/>
          <w:lang w:val="es-ES_tradnl" w:eastAsia="en-US"/>
        </w:rPr>
        <w:t xml:space="preserve">s SAI, pero en otros centros de salud están restringidos a los usuarios de </w:t>
      </w:r>
      <w:r w:rsidR="00872A9E" w:rsidRPr="00216226">
        <w:rPr>
          <w:rFonts w:eastAsia="MS Gothic"/>
          <w:lang w:val="es-ES_tradnl" w:eastAsia="en-US"/>
        </w:rPr>
        <w:t xml:space="preserve">los </w:t>
      </w:r>
      <w:r w:rsidRPr="00216226">
        <w:rPr>
          <w:rFonts w:eastAsia="MS Gothic"/>
          <w:lang w:val="es-ES_tradnl" w:eastAsia="en-US"/>
        </w:rPr>
        <w:t>servicios de planificación familiar (Visita de campo)</w:t>
      </w:r>
      <w:r w:rsidR="00A7115B">
        <w:rPr>
          <w:rFonts w:eastAsia="MS Gothic"/>
          <w:lang w:val="es-ES_tradnl" w:eastAsia="en-US"/>
        </w:rPr>
        <w:t>;</w:t>
      </w:r>
    </w:p>
    <w:p w14:paraId="6EEFA964" w14:textId="075800C2" w:rsidR="003D7B1A" w:rsidRPr="00216226" w:rsidRDefault="003D7B1A" w:rsidP="003D7B1A">
      <w:pPr>
        <w:numPr>
          <w:ilvl w:val="0"/>
          <w:numId w:val="12"/>
        </w:numPr>
        <w:contextualSpacing/>
        <w:jc w:val="both"/>
        <w:rPr>
          <w:rFonts w:eastAsia="MS Gothic"/>
          <w:lang w:val="es-ES_tradnl" w:eastAsia="en-US"/>
        </w:rPr>
      </w:pPr>
      <w:r w:rsidRPr="00216226">
        <w:rPr>
          <w:rFonts w:eastAsia="MS Gothic"/>
          <w:lang w:val="es-ES_tradnl" w:eastAsia="en-US"/>
        </w:rPr>
        <w:t>Lubricant</w:t>
      </w:r>
      <w:r w:rsidR="00981E65" w:rsidRPr="00216226">
        <w:rPr>
          <w:rFonts w:eastAsia="MS Gothic"/>
          <w:lang w:val="es-ES_tradnl" w:eastAsia="en-US"/>
        </w:rPr>
        <w:t>e</w:t>
      </w:r>
      <w:r w:rsidRPr="00216226">
        <w:rPr>
          <w:rFonts w:eastAsia="MS Gothic"/>
          <w:lang w:val="es-ES_tradnl" w:eastAsia="en-US"/>
        </w:rPr>
        <w:t xml:space="preserve">s: </w:t>
      </w:r>
      <w:r w:rsidR="00981E65" w:rsidRPr="00216226">
        <w:rPr>
          <w:rFonts w:eastAsia="MS Gothic"/>
          <w:lang w:val="es-ES_tradnl" w:eastAsia="en-US"/>
        </w:rPr>
        <w:t>disponibles únicamente a través del paquete definido de servicios de prevención ofrecidos por el Fondo Mundial y otros socios para el desarrollo; el gobierno nacional no proporciona lubr</w:t>
      </w:r>
      <w:r w:rsidR="00A7115B">
        <w:rPr>
          <w:rFonts w:eastAsia="MS Gothic"/>
          <w:lang w:val="es-ES_tradnl" w:eastAsia="en-US"/>
        </w:rPr>
        <w:t>icantes en sus servicios de VIH;</w:t>
      </w:r>
    </w:p>
    <w:p w14:paraId="7B424581" w14:textId="2363B0C9" w:rsidR="003D7B1A" w:rsidRPr="00216226" w:rsidRDefault="00981E65" w:rsidP="003D7B1A">
      <w:pPr>
        <w:numPr>
          <w:ilvl w:val="0"/>
          <w:numId w:val="12"/>
        </w:numPr>
        <w:contextualSpacing/>
        <w:jc w:val="both"/>
        <w:rPr>
          <w:rFonts w:eastAsia="MS Gothic"/>
          <w:lang w:val="es-ES_tradnl" w:eastAsia="en-US"/>
        </w:rPr>
      </w:pPr>
      <w:r w:rsidRPr="00216226">
        <w:rPr>
          <w:rFonts w:eastAsia="MS Gothic"/>
          <w:lang w:val="es-ES_tradnl" w:eastAsia="en-US"/>
        </w:rPr>
        <w:t xml:space="preserve">Prueba de VIH: disponible </w:t>
      </w:r>
      <w:r w:rsidR="00872A9E" w:rsidRPr="00216226">
        <w:rPr>
          <w:rFonts w:eastAsia="MS Gothic"/>
          <w:lang w:val="es-ES_tradnl" w:eastAsia="en-US"/>
        </w:rPr>
        <w:t xml:space="preserve">únicamente </w:t>
      </w:r>
      <w:r w:rsidRPr="00216226">
        <w:rPr>
          <w:rFonts w:eastAsia="MS Gothic"/>
          <w:lang w:val="es-ES_tradnl" w:eastAsia="en-US"/>
        </w:rPr>
        <w:t>en el 42% de todos los centros de salud pública (OPS, 2017)</w:t>
      </w:r>
      <w:r w:rsidR="00A7115B">
        <w:rPr>
          <w:rFonts w:eastAsia="MS Gothic"/>
          <w:lang w:val="es-ES_tradnl" w:eastAsia="en-US"/>
        </w:rPr>
        <w:t>;</w:t>
      </w:r>
    </w:p>
    <w:p w14:paraId="38716086" w14:textId="4352CF96" w:rsidR="003D7B1A" w:rsidRPr="00216226" w:rsidRDefault="00981E65" w:rsidP="003D7B1A">
      <w:pPr>
        <w:numPr>
          <w:ilvl w:val="0"/>
          <w:numId w:val="12"/>
        </w:numPr>
        <w:contextualSpacing/>
        <w:jc w:val="both"/>
        <w:rPr>
          <w:rFonts w:eastAsia="MS Gothic"/>
          <w:lang w:val="es-ES_tradnl" w:eastAsia="en-US"/>
        </w:rPr>
      </w:pPr>
      <w:r w:rsidRPr="00216226">
        <w:rPr>
          <w:rFonts w:eastAsia="MS Gothic"/>
          <w:lang w:val="es-ES_tradnl" w:eastAsia="en-US"/>
        </w:rPr>
        <w:t>Prueba rápida de sífilis: no está disponible en todos los centros de salud pública (no hay datos específicos disponibles) (OPS, 2017)</w:t>
      </w:r>
      <w:r w:rsidR="00A7115B">
        <w:rPr>
          <w:rFonts w:eastAsia="MS Gothic"/>
          <w:lang w:val="es-ES_tradnl" w:eastAsia="en-US"/>
        </w:rPr>
        <w:t>; y</w:t>
      </w:r>
    </w:p>
    <w:p w14:paraId="7090B57D" w14:textId="21BED8C6" w:rsidR="003D7B1A" w:rsidRPr="00216226" w:rsidRDefault="00981E65" w:rsidP="003D7B1A">
      <w:pPr>
        <w:numPr>
          <w:ilvl w:val="0"/>
          <w:numId w:val="12"/>
        </w:numPr>
        <w:contextualSpacing/>
        <w:jc w:val="both"/>
        <w:rPr>
          <w:rFonts w:eastAsia="MS Gothic"/>
          <w:lang w:val="es-ES_tradnl" w:eastAsia="en-US"/>
        </w:rPr>
      </w:pPr>
      <w:r w:rsidRPr="00216226">
        <w:rPr>
          <w:rFonts w:eastAsia="MS Gothic"/>
          <w:lang w:val="es-ES_tradnl" w:eastAsia="en-US"/>
        </w:rPr>
        <w:lastRenderedPageBreak/>
        <w:t xml:space="preserve">Recuentos de CD4: las compras de reactivos se descentralizaron recientemente, lo que permitió que las regiones y los grandes centros de salud administraran su propio presupuesto y mecanismos de compra, un escenario que llevó a precios más </w:t>
      </w:r>
      <w:r w:rsidR="00872A9E" w:rsidRPr="00216226">
        <w:rPr>
          <w:rFonts w:eastAsia="MS Gothic"/>
          <w:lang w:val="es-ES_tradnl" w:eastAsia="en-US"/>
        </w:rPr>
        <w:t>elevados</w:t>
      </w:r>
      <w:r w:rsidRPr="00216226">
        <w:rPr>
          <w:rFonts w:eastAsia="MS Gothic"/>
          <w:lang w:val="es-ES_tradnl" w:eastAsia="en-US"/>
        </w:rPr>
        <w:t xml:space="preserve"> (deseconomías de escala y posible corrupción) y, en consecuencia, desabastecimientos (Visita de campo)</w:t>
      </w:r>
      <w:r w:rsidR="00A7115B">
        <w:rPr>
          <w:rFonts w:eastAsia="MS Gothic"/>
          <w:lang w:val="es-ES_tradnl" w:eastAsia="en-US"/>
        </w:rPr>
        <w:t>.</w:t>
      </w:r>
      <w:r w:rsidR="00216226" w:rsidRPr="00216226">
        <w:rPr>
          <w:rFonts w:eastAsia="MS Gothic"/>
          <w:lang w:val="es-ES_tradnl" w:eastAsia="en-US"/>
        </w:rPr>
        <w:t xml:space="preserve"> </w:t>
      </w:r>
    </w:p>
    <w:p w14:paraId="354BB631" w14:textId="77777777" w:rsidR="00872A9E" w:rsidRPr="00216226" w:rsidRDefault="00872A9E" w:rsidP="00872A9E">
      <w:pPr>
        <w:ind w:left="720"/>
        <w:contextualSpacing/>
        <w:jc w:val="both"/>
        <w:rPr>
          <w:rFonts w:eastAsia="MS Gothic"/>
          <w:lang w:val="es-ES_tradnl" w:eastAsia="en-US"/>
        </w:rPr>
      </w:pPr>
    </w:p>
    <w:p w14:paraId="7A8F812E" w14:textId="195BDDAD" w:rsidR="003D7B1A" w:rsidRPr="00216226" w:rsidRDefault="009138BA" w:rsidP="003D7B1A">
      <w:pPr>
        <w:jc w:val="both"/>
        <w:rPr>
          <w:rFonts w:eastAsia="MS Gothic"/>
          <w:lang w:val="es-ES_tradnl" w:eastAsia="en-US"/>
        </w:rPr>
      </w:pPr>
      <w:r w:rsidRPr="00216226">
        <w:rPr>
          <w:rFonts w:eastAsia="MS Gothic"/>
          <w:lang w:val="es-ES_tradnl" w:eastAsia="en-US"/>
        </w:rPr>
        <w:t xml:space="preserve">El presupuesto de salud actual no incluye la asignación a los servicios comunitarios. El monitoreo comunitario de los asuntos de </w:t>
      </w:r>
      <w:r w:rsidR="00A7115B">
        <w:rPr>
          <w:rFonts w:eastAsia="MS Gothic"/>
          <w:lang w:val="es-ES_tradnl" w:eastAsia="en-US"/>
        </w:rPr>
        <w:t>PSM</w:t>
      </w:r>
      <w:r w:rsidRPr="00216226">
        <w:rPr>
          <w:rFonts w:eastAsia="MS Gothic"/>
          <w:lang w:val="es-ES_tradnl" w:eastAsia="en-US"/>
        </w:rPr>
        <w:t xml:space="preserve"> no </w:t>
      </w:r>
      <w:r w:rsidR="00872A9E" w:rsidRPr="00216226">
        <w:rPr>
          <w:rFonts w:eastAsia="MS Gothic"/>
          <w:lang w:val="es-ES_tradnl" w:eastAsia="en-US"/>
        </w:rPr>
        <w:t>está</w:t>
      </w:r>
      <w:r w:rsidRPr="00216226">
        <w:rPr>
          <w:rFonts w:eastAsia="MS Gothic"/>
          <w:lang w:val="es-ES_tradnl" w:eastAsia="en-US"/>
        </w:rPr>
        <w:t xml:space="preserve"> financia</w:t>
      </w:r>
      <w:r w:rsidR="00872A9E" w:rsidRPr="00216226">
        <w:rPr>
          <w:rFonts w:eastAsia="MS Gothic"/>
          <w:lang w:val="es-ES_tradnl" w:eastAsia="en-US"/>
        </w:rPr>
        <w:t>do</w:t>
      </w:r>
      <w:r w:rsidRPr="00216226">
        <w:rPr>
          <w:rFonts w:eastAsia="MS Gothic"/>
          <w:lang w:val="es-ES_tradnl" w:eastAsia="en-US"/>
        </w:rPr>
        <w:t xml:space="preserve">, y no se realiza de manera proactiva y estructurada. A través de </w:t>
      </w:r>
      <w:r w:rsidR="00872A9E" w:rsidRPr="00216226">
        <w:rPr>
          <w:rFonts w:eastAsia="MS Gothic"/>
          <w:lang w:val="es-ES_tradnl" w:eastAsia="en-US"/>
        </w:rPr>
        <w:t xml:space="preserve">las </w:t>
      </w:r>
      <w:r w:rsidRPr="00216226">
        <w:rPr>
          <w:rFonts w:eastAsia="MS Gothic"/>
          <w:lang w:val="es-ES_tradnl" w:eastAsia="en-US"/>
        </w:rPr>
        <w:t>redes comunitarias, los pacientes comunican la falta de acceso a las OSC que intentan encontrar una solución. Sin embargo, dado que el CONASIDA fue desmantelado y su personal asignado a otros departamentos, no hay una contraparte clara con quien negociar (Visita de campo).</w:t>
      </w:r>
      <w:r w:rsidR="00216226" w:rsidRPr="00216226">
        <w:rPr>
          <w:rFonts w:eastAsia="MS Gothic"/>
          <w:lang w:val="es-ES_tradnl" w:eastAsia="en-US"/>
        </w:rPr>
        <w:t xml:space="preserve"> </w:t>
      </w:r>
    </w:p>
    <w:p w14:paraId="2EEE4EFB" w14:textId="4CD868B2" w:rsidR="003D7B1A" w:rsidRPr="00216226" w:rsidRDefault="00EE0F21" w:rsidP="003D7B1A">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3D7B1A" w:rsidRPr="00216226">
        <w:rPr>
          <w:rFonts w:ascii="Calibri Light" w:eastAsia="MS Gothic" w:hAnsi="Calibri Light" w:cs="Times New Roman"/>
          <w:b/>
          <w:lang w:val="es-ES_tradnl" w:eastAsia="en-US"/>
        </w:rPr>
        <w:t xml:space="preserve"> 1.3. </w:t>
      </w:r>
      <w:r w:rsidRPr="00216226">
        <w:rPr>
          <w:rFonts w:ascii="Calibri Light" w:eastAsia="MS Gothic" w:hAnsi="Calibri Light" w:cs="Times New Roman"/>
          <w:b/>
          <w:lang w:val="es-ES_tradnl" w:eastAsia="en-US"/>
        </w:rPr>
        <w:t xml:space="preserve">Entornos legales, políticos y financieros propicios y sostenibles </w:t>
      </w:r>
    </w:p>
    <w:p w14:paraId="0758D126" w14:textId="0631C6C3" w:rsidR="003D7B1A" w:rsidRPr="00216226" w:rsidRDefault="00320DF5" w:rsidP="0085736C">
      <w:pPr>
        <w:jc w:val="both"/>
        <w:rPr>
          <w:rFonts w:ascii="Calibri Light" w:eastAsia="MS Gothic" w:hAnsi="Calibri Light"/>
          <w:b/>
          <w:i/>
          <w:lang w:val="es-ES_tradnl" w:eastAsia="en-US"/>
        </w:rPr>
      </w:pPr>
      <w:r w:rsidRPr="0085736C">
        <w:rPr>
          <w:rFonts w:eastAsia="MS Gothic"/>
          <w:lang w:val="es-ES_tradnl" w:eastAsia="en-US"/>
        </w:rPr>
        <w:t>Insumos:</w:t>
      </w:r>
      <w:r w:rsidR="003D7B1A" w:rsidRPr="0085736C">
        <w:rPr>
          <w:rFonts w:ascii="Calibri Light" w:eastAsia="MS Gothic" w:hAnsi="Calibri Light"/>
          <w:i/>
          <w:lang w:val="es-ES_tradnl" w:eastAsia="en-US"/>
        </w:rPr>
        <w:t xml:space="preserve"> </w:t>
      </w:r>
      <w:bookmarkStart w:id="5" w:name="_Hlk8157473"/>
      <w:r w:rsidR="00EE0F21" w:rsidRPr="00216226">
        <w:rPr>
          <w:rFonts w:eastAsia="MS Gothic"/>
          <w:lang w:val="es-ES_tradnl" w:eastAsia="en-US"/>
        </w:rPr>
        <w:t xml:space="preserve">El Fondo Mundial ha incluido apoyo para </w:t>
      </w:r>
      <w:r w:rsidR="002C31A4" w:rsidRPr="00216226">
        <w:rPr>
          <w:rFonts w:eastAsia="MS Gothic"/>
          <w:lang w:val="es-ES_tradnl" w:eastAsia="en-US"/>
        </w:rPr>
        <w:t>hacer frente a</w:t>
      </w:r>
      <w:r w:rsidR="00EE0F21" w:rsidRPr="00216226">
        <w:rPr>
          <w:rFonts w:eastAsia="MS Gothic"/>
          <w:lang w:val="es-ES_tradnl" w:eastAsia="en-US"/>
        </w:rPr>
        <w:t xml:space="preserve"> las barreras legales, políticas, de derechos humanos y de género </w:t>
      </w:r>
      <w:r w:rsidR="002C31A4" w:rsidRPr="00216226">
        <w:rPr>
          <w:rFonts w:eastAsia="MS Gothic"/>
          <w:lang w:val="es-ES_tradnl" w:eastAsia="en-US"/>
        </w:rPr>
        <w:t xml:space="preserve">con el fin de </w:t>
      </w:r>
      <w:r w:rsidR="00EE0F21" w:rsidRPr="00216226">
        <w:rPr>
          <w:rFonts w:eastAsia="MS Gothic"/>
          <w:lang w:val="es-ES_tradnl" w:eastAsia="en-US"/>
        </w:rPr>
        <w:t>abordar las necesidades del VIH y de las poblaciones clave. Estas actividades incluyen: cambios legales</w:t>
      </w:r>
      <w:r w:rsidR="002C31A4" w:rsidRPr="00216226">
        <w:rPr>
          <w:rFonts w:eastAsia="MS Gothic"/>
          <w:lang w:val="es-ES_tradnl" w:eastAsia="en-US"/>
        </w:rPr>
        <w:t>,</w:t>
      </w:r>
      <w:r w:rsidR="00EE0F21" w:rsidRPr="00216226">
        <w:rPr>
          <w:rFonts w:eastAsia="MS Gothic"/>
          <w:lang w:val="es-ES_tradnl" w:eastAsia="en-US"/>
        </w:rPr>
        <w:t xml:space="preserve"> capacitación y sensibilización de los funcionarios públicos (profesionales de la salud y del orden público)</w:t>
      </w:r>
      <w:r w:rsidR="002C31A4" w:rsidRPr="00216226">
        <w:rPr>
          <w:rFonts w:eastAsia="MS Gothic"/>
          <w:lang w:val="es-ES_tradnl" w:eastAsia="en-US"/>
        </w:rPr>
        <w:t>,</w:t>
      </w:r>
      <w:r w:rsidR="00EE0F21" w:rsidRPr="00216226">
        <w:rPr>
          <w:rFonts w:eastAsia="MS Gothic"/>
          <w:lang w:val="es-ES_tradnl" w:eastAsia="en-US"/>
        </w:rPr>
        <w:t xml:space="preserve"> incidencia política para el reconocimiento efectivo de los derechos humanos de las poblaciones vulnerables</w:t>
      </w:r>
      <w:r w:rsidR="002C31A4" w:rsidRPr="00216226">
        <w:rPr>
          <w:rFonts w:eastAsia="MS Gothic"/>
          <w:lang w:val="es-ES_tradnl" w:eastAsia="en-US"/>
        </w:rPr>
        <w:t>,</w:t>
      </w:r>
      <w:r w:rsidR="00EE0F21" w:rsidRPr="00216226">
        <w:rPr>
          <w:rFonts w:eastAsia="MS Gothic"/>
          <w:lang w:val="es-ES_tradnl" w:eastAsia="en-US"/>
        </w:rPr>
        <w:t xml:space="preserve"> vigilancia de las violaciones de derechos humanos de personas con VIH, poblaciones clave, </w:t>
      </w:r>
      <w:r w:rsidR="009F2189" w:rsidRPr="00216226">
        <w:rPr>
          <w:rFonts w:eastAsia="MS Gothic"/>
          <w:lang w:val="es-ES_tradnl" w:eastAsia="en-US"/>
        </w:rPr>
        <w:t>y mujeres y niñas sobrevivientes de abuso sexual</w:t>
      </w:r>
      <w:r w:rsidR="002C31A4" w:rsidRPr="00216226">
        <w:rPr>
          <w:rFonts w:eastAsia="MS Gothic"/>
          <w:lang w:val="es-ES_tradnl" w:eastAsia="en-US"/>
        </w:rPr>
        <w:t>,</w:t>
      </w:r>
      <w:r w:rsidR="009F2189" w:rsidRPr="00216226">
        <w:rPr>
          <w:rFonts w:eastAsia="MS Gothic"/>
          <w:lang w:val="es-ES_tradnl" w:eastAsia="en-US"/>
        </w:rPr>
        <w:t xml:space="preserve"> promoción de un enfoque de VIH integrado con las cuestiones de género en las oficinas municipales para mujeres</w:t>
      </w:r>
      <w:r w:rsidR="002C31A4" w:rsidRPr="00216226">
        <w:rPr>
          <w:rFonts w:eastAsia="MS Gothic"/>
          <w:lang w:val="es-ES_tradnl" w:eastAsia="en-US"/>
        </w:rPr>
        <w:t>,</w:t>
      </w:r>
      <w:r w:rsidR="009F2189" w:rsidRPr="00216226">
        <w:rPr>
          <w:rFonts w:eastAsia="MS Gothic"/>
          <w:lang w:val="es-ES_tradnl" w:eastAsia="en-US"/>
        </w:rPr>
        <w:t xml:space="preserve"> y capacitación en derechos humanos para miembros de la comunidad. Algunas de las actividades han sido canalizadas a través del Comisionado Nacional de Derechos Humanos</w:t>
      </w:r>
      <w:r w:rsidR="00EE0F21" w:rsidRPr="00216226">
        <w:rPr>
          <w:rFonts w:eastAsia="MS Gothic"/>
          <w:lang w:val="es-ES_tradnl" w:eastAsia="en-US"/>
        </w:rPr>
        <w:t xml:space="preserve"> (CONADEH) </w:t>
      </w:r>
      <w:r w:rsidR="009F2189" w:rsidRPr="00216226">
        <w:rPr>
          <w:rFonts w:eastAsia="MS Gothic"/>
          <w:lang w:val="es-ES_tradnl" w:eastAsia="en-US"/>
        </w:rPr>
        <w:t>y otros a través de</w:t>
      </w:r>
      <w:r w:rsidR="00EE0F21" w:rsidRPr="00216226">
        <w:rPr>
          <w:rFonts w:eastAsia="MS Gothic"/>
          <w:lang w:val="es-ES_tradnl" w:eastAsia="en-US"/>
        </w:rPr>
        <w:t xml:space="preserve"> CONASIDA (MCP, 2015 </w:t>
      </w:r>
      <w:r w:rsidR="009F2189" w:rsidRPr="00216226">
        <w:rPr>
          <w:rFonts w:eastAsia="MS Gothic"/>
          <w:lang w:val="es-ES_tradnl" w:eastAsia="en-US"/>
        </w:rPr>
        <w:t>y</w:t>
      </w:r>
      <w:r w:rsidR="00EE0F21" w:rsidRPr="00216226">
        <w:rPr>
          <w:rFonts w:eastAsia="MS Gothic"/>
          <w:lang w:val="es-ES_tradnl" w:eastAsia="en-US"/>
        </w:rPr>
        <w:t xml:space="preserve"> 2018</w:t>
      </w:r>
      <w:r w:rsidR="00216226" w:rsidRPr="00216226">
        <w:rPr>
          <w:rFonts w:eastAsia="MS Gothic"/>
          <w:lang w:val="es-ES_tradnl" w:eastAsia="en-US"/>
        </w:rPr>
        <w:t>).</w:t>
      </w:r>
      <w:r w:rsidR="003D7B1A" w:rsidRPr="00216226">
        <w:rPr>
          <w:rFonts w:eastAsia="MS Gothic"/>
          <w:lang w:val="es-ES_tradnl" w:eastAsia="en-US"/>
        </w:rPr>
        <w:t xml:space="preserve"> </w:t>
      </w:r>
    </w:p>
    <w:bookmarkEnd w:id="5"/>
    <w:p w14:paraId="755C49BC" w14:textId="7AA7A61D" w:rsidR="003D7B1A" w:rsidRPr="00216226" w:rsidRDefault="00320DF5" w:rsidP="006C5426">
      <w:pPr>
        <w:jc w:val="both"/>
        <w:rPr>
          <w:rFonts w:ascii="Calibri Light" w:eastAsia="MS Gothic" w:hAnsi="Calibri Light"/>
          <w:b/>
          <w:i/>
          <w:lang w:val="es-ES_tradnl" w:eastAsia="en-US"/>
        </w:rPr>
      </w:pPr>
      <w:r w:rsidRPr="0085736C">
        <w:rPr>
          <w:rFonts w:eastAsia="MS Gothic"/>
          <w:lang w:val="es-ES_tradnl" w:eastAsia="en-US"/>
        </w:rPr>
        <w:t>Productos</w:t>
      </w:r>
      <w:r w:rsidRPr="00216226">
        <w:rPr>
          <w:rFonts w:eastAsia="MS Gothic"/>
          <w:b/>
          <w:lang w:val="es-ES_tradnl" w:eastAsia="en-US"/>
        </w:rPr>
        <w:t>:</w:t>
      </w:r>
      <w:r w:rsidR="003D7B1A" w:rsidRPr="00216226">
        <w:rPr>
          <w:rFonts w:ascii="Calibri Light" w:eastAsia="MS Gothic" w:hAnsi="Calibri Light"/>
          <w:b/>
          <w:i/>
          <w:lang w:val="es-ES_tradnl" w:eastAsia="en-US"/>
        </w:rPr>
        <w:t xml:space="preserve"> </w:t>
      </w:r>
      <w:bookmarkStart w:id="6" w:name="_Hlk8158409"/>
      <w:r w:rsidR="0085736C">
        <w:rPr>
          <w:rFonts w:ascii="Calibri Light" w:eastAsia="MS Gothic" w:hAnsi="Calibri Light"/>
          <w:b/>
          <w:i/>
          <w:lang w:val="es-ES_tradnl" w:eastAsia="en-US"/>
        </w:rPr>
        <w:t xml:space="preserve"> </w:t>
      </w:r>
      <w:r w:rsidR="002C31A4" w:rsidRPr="00216226">
        <w:rPr>
          <w:rFonts w:eastAsia="MS Gothic"/>
          <w:lang w:val="es-ES_tradnl" w:eastAsia="en-US"/>
        </w:rPr>
        <w:t xml:space="preserve">Históricamente, el Fondo Mundial ha apoyado múltiples actividades, como la divulgación en persona entre las poblaciones clave para ofrecer información y servicios de apoyo, apoyo para archivar y monitorear reclamaciones legales, campañas de comunicación masivas para cambiar las actitudes hacia el VIH, implementación y difusión del Índice de estigma en </w:t>
      </w:r>
      <w:bookmarkStart w:id="7" w:name="_Hlk8412091"/>
      <w:r w:rsidR="002C31A4" w:rsidRPr="00216226">
        <w:rPr>
          <w:rFonts w:eastAsia="MS Gothic"/>
          <w:lang w:val="es-ES_tradnl" w:eastAsia="en-US"/>
        </w:rPr>
        <w:t>PVVIH</w:t>
      </w:r>
      <w:bookmarkEnd w:id="7"/>
      <w:r w:rsidR="009F2189" w:rsidRPr="00216226">
        <w:rPr>
          <w:rFonts w:eastAsia="MS Gothic"/>
          <w:lang w:val="es-ES_tradnl" w:eastAsia="en-US"/>
        </w:rPr>
        <w:t xml:space="preserve">, </w:t>
      </w:r>
      <w:r w:rsidR="002C31A4" w:rsidRPr="00216226">
        <w:rPr>
          <w:rFonts w:eastAsia="MS Gothic"/>
          <w:lang w:val="es-ES_tradnl" w:eastAsia="en-US"/>
        </w:rPr>
        <w:t xml:space="preserve">apoyo basado en el grupo de PVVIH para reducir el estigma y la discriminación entre las propias poblaciones clave, sensibilización y capacitación dirigida a los proveedores de atención sanitaria y los agentes del orden público, y sensibilización para los legisladores </w:t>
      </w:r>
      <w:r w:rsidR="009F2189" w:rsidRPr="00216226">
        <w:rPr>
          <w:rFonts w:eastAsia="MS Gothic"/>
          <w:lang w:val="es-ES_tradnl" w:eastAsia="en-US"/>
        </w:rPr>
        <w:t xml:space="preserve">(MCP, 2015 </w:t>
      </w:r>
      <w:r w:rsidR="002C31A4" w:rsidRPr="00216226">
        <w:rPr>
          <w:rFonts w:eastAsia="MS Gothic"/>
          <w:lang w:val="es-ES_tradnl" w:eastAsia="en-US"/>
        </w:rPr>
        <w:t>y</w:t>
      </w:r>
      <w:r w:rsidR="009F2189" w:rsidRPr="00216226">
        <w:rPr>
          <w:rFonts w:eastAsia="MS Gothic"/>
          <w:lang w:val="es-ES_tradnl" w:eastAsia="en-US"/>
        </w:rPr>
        <w:t xml:space="preserve"> 2018).</w:t>
      </w:r>
      <w:r w:rsidR="00216226" w:rsidRPr="00216226">
        <w:rPr>
          <w:rFonts w:eastAsia="MS Gothic"/>
          <w:lang w:val="es-ES_tradnl" w:eastAsia="en-US"/>
        </w:rPr>
        <w:t xml:space="preserve"> </w:t>
      </w:r>
    </w:p>
    <w:p w14:paraId="7085B492" w14:textId="6F5A500D" w:rsidR="003D7B1A" w:rsidRPr="00216226" w:rsidRDefault="003B2657" w:rsidP="006C5426">
      <w:pPr>
        <w:jc w:val="both"/>
        <w:rPr>
          <w:rFonts w:eastAsia="MS Gothic"/>
          <w:lang w:val="es-ES_tradnl" w:eastAsia="en-US"/>
        </w:rPr>
      </w:pPr>
      <w:bookmarkStart w:id="8" w:name="_Hlk8158632"/>
      <w:bookmarkEnd w:id="6"/>
      <w:r w:rsidRPr="00216226">
        <w:rPr>
          <w:rFonts w:eastAsia="MS Gothic"/>
          <w:lang w:val="es-ES_tradnl" w:eastAsia="en-US"/>
        </w:rPr>
        <w:t>Estas actividades contribuyeron a reformar la Ley del SIDA en 2015, incorporando varias mejoras: la excepción de</w:t>
      </w:r>
      <w:r w:rsidR="008369AC" w:rsidRPr="00216226">
        <w:rPr>
          <w:rFonts w:eastAsia="MS Gothic"/>
          <w:lang w:val="es-ES_tradnl" w:eastAsia="en-US"/>
        </w:rPr>
        <w:t xml:space="preserve">l pago de honorarios por servicios </w:t>
      </w:r>
      <w:r w:rsidRPr="00216226">
        <w:rPr>
          <w:rFonts w:eastAsia="MS Gothic"/>
          <w:lang w:val="es-ES_tradnl" w:eastAsia="en-US"/>
        </w:rPr>
        <w:t xml:space="preserve">para acceder a la atención sanitaria o a medicamentos para las </w:t>
      </w:r>
      <w:r w:rsidR="008369AC" w:rsidRPr="00216226">
        <w:rPr>
          <w:rFonts w:eastAsia="MS Gothic"/>
          <w:lang w:val="es-ES_tradnl" w:eastAsia="en-US"/>
        </w:rPr>
        <w:t>PV</w:t>
      </w:r>
      <w:r w:rsidRPr="00216226">
        <w:rPr>
          <w:rFonts w:eastAsia="MS Gothic"/>
          <w:lang w:val="es-ES_tradnl" w:eastAsia="en-US"/>
        </w:rPr>
        <w:t>VIH</w:t>
      </w:r>
      <w:r w:rsidR="008369AC" w:rsidRPr="00216226">
        <w:rPr>
          <w:rFonts w:eastAsia="MS Gothic"/>
          <w:lang w:val="es-ES_tradnl" w:eastAsia="en-US"/>
        </w:rPr>
        <w:t>,</w:t>
      </w:r>
      <w:r w:rsidRPr="00216226">
        <w:rPr>
          <w:rFonts w:eastAsia="MS Gothic"/>
          <w:lang w:val="es-ES_tradnl" w:eastAsia="en-US"/>
        </w:rPr>
        <w:t xml:space="preserve"> el derecho a la educación y al trabajo, prohibiendo expresamente la discriminación y la exclusión en base al estado de VIH</w:t>
      </w:r>
      <w:r w:rsidR="008369AC" w:rsidRPr="00216226">
        <w:rPr>
          <w:rFonts w:eastAsia="MS Gothic"/>
          <w:lang w:val="es-ES_tradnl" w:eastAsia="en-US"/>
        </w:rPr>
        <w:t>,</w:t>
      </w:r>
      <w:r w:rsidRPr="00216226">
        <w:rPr>
          <w:rFonts w:eastAsia="MS Gothic"/>
          <w:lang w:val="es-ES_tradnl" w:eastAsia="en-US"/>
        </w:rPr>
        <w:t xml:space="preserve"> y la creación de un sistema de sanciones por violaciones de los derechos de </w:t>
      </w:r>
      <w:r w:rsidR="008369AC" w:rsidRPr="00216226">
        <w:rPr>
          <w:rFonts w:eastAsia="MS Gothic"/>
          <w:lang w:val="es-ES_tradnl" w:eastAsia="en-US"/>
        </w:rPr>
        <w:t>PV</w:t>
      </w:r>
      <w:r w:rsidRPr="00216226">
        <w:rPr>
          <w:rFonts w:eastAsia="MS Gothic"/>
          <w:lang w:val="es-ES_tradnl" w:eastAsia="en-US"/>
        </w:rPr>
        <w:t xml:space="preserve">VIH, incluidas demoras injustificadas en la prestación de </w:t>
      </w:r>
      <w:r w:rsidR="00216226" w:rsidRPr="00216226">
        <w:rPr>
          <w:rFonts w:eastAsia="MS Gothic"/>
          <w:lang w:val="es-ES_tradnl" w:eastAsia="en-US"/>
        </w:rPr>
        <w:t>atención</w:t>
      </w:r>
      <w:r w:rsidRPr="00216226">
        <w:rPr>
          <w:rFonts w:eastAsia="MS Gothic"/>
          <w:lang w:val="es-ES_tradnl" w:eastAsia="en-US"/>
        </w:rPr>
        <w:t xml:space="preserve"> sanitaria (MCP, 2015 y 2018). Sin embargo, la Ley del VIH necesita reglamentos para implementar efectivamente su contenido. El Fondo Mundial ha apoyado a CONASIDA con servicios de consultoría para desarrollar los reglamentos, pero aún no se han adoptado, y no hay un calendario claro para que esto ocurra (Visita de campo).</w:t>
      </w:r>
      <w:r w:rsidR="003D7B1A" w:rsidRPr="00216226">
        <w:rPr>
          <w:rFonts w:eastAsia="MS Gothic"/>
          <w:lang w:val="es-ES_tradnl" w:eastAsia="en-US"/>
        </w:rPr>
        <w:t xml:space="preserve"> </w:t>
      </w:r>
    </w:p>
    <w:bookmarkEnd w:id="8"/>
    <w:p w14:paraId="546D27DE" w14:textId="2857A615" w:rsidR="003D7B1A" w:rsidRPr="00216226" w:rsidRDefault="003B2657" w:rsidP="008369AC">
      <w:pPr>
        <w:jc w:val="both"/>
        <w:rPr>
          <w:rFonts w:eastAsia="MS Gothic"/>
          <w:lang w:val="es-ES_tradnl" w:eastAsia="en-US"/>
        </w:rPr>
      </w:pPr>
      <w:r w:rsidRPr="00216226">
        <w:rPr>
          <w:rFonts w:eastAsia="MS Gothic"/>
          <w:lang w:val="es-ES_tradnl" w:eastAsia="en-US"/>
        </w:rPr>
        <w:t>Las actividades recientes dirigidas a reducir el estigma y la discriminación y las violaciones a los derechos humanos implementadas por CONADEH con el apoyo del Fondo Mundial han incluido (comunicación por correo electrónico de CONADEH, 2018):</w:t>
      </w:r>
    </w:p>
    <w:p w14:paraId="7A9F5FF6" w14:textId="4BA5EA5E" w:rsidR="003D7B1A" w:rsidRPr="00216226" w:rsidRDefault="003B2657" w:rsidP="003D7B1A">
      <w:pPr>
        <w:numPr>
          <w:ilvl w:val="0"/>
          <w:numId w:val="11"/>
        </w:numPr>
        <w:jc w:val="both"/>
        <w:rPr>
          <w:rFonts w:eastAsia="MS Gothic"/>
          <w:lang w:val="es-ES_tradnl" w:eastAsia="en-US"/>
        </w:rPr>
      </w:pPr>
      <w:r w:rsidRPr="00216226">
        <w:rPr>
          <w:rFonts w:eastAsia="MS Gothic"/>
          <w:lang w:val="es-ES_tradnl" w:eastAsia="en-US"/>
        </w:rPr>
        <w:t xml:space="preserve">Sensibilización y capacitación educativa para miembros de la policía, llegando a 721 personas en 2017 y </w:t>
      </w:r>
      <w:r w:rsidR="00CB285B">
        <w:rPr>
          <w:rFonts w:eastAsia="MS Gothic"/>
          <w:lang w:val="es-ES_tradnl" w:eastAsia="en-US"/>
        </w:rPr>
        <w:t>1993 en 2018 (enero-septiembre);</w:t>
      </w:r>
    </w:p>
    <w:p w14:paraId="4F316B49" w14:textId="0C53D273" w:rsidR="003D7B1A" w:rsidRPr="00216226" w:rsidRDefault="003B2657" w:rsidP="003D7B1A">
      <w:pPr>
        <w:numPr>
          <w:ilvl w:val="0"/>
          <w:numId w:val="11"/>
        </w:numPr>
        <w:jc w:val="both"/>
        <w:rPr>
          <w:rFonts w:eastAsia="MS Gothic"/>
          <w:lang w:val="es-ES_tradnl" w:eastAsia="en-US"/>
        </w:rPr>
      </w:pPr>
      <w:r w:rsidRPr="00216226">
        <w:rPr>
          <w:rFonts w:eastAsia="MS Gothic"/>
          <w:lang w:val="es-ES_tradnl" w:eastAsia="en-US"/>
        </w:rPr>
        <w:lastRenderedPageBreak/>
        <w:t>Sensibilización y capacitación educativa para trabajadores de la salud, llegando a 535 personas en 2017 y</w:t>
      </w:r>
      <w:r w:rsidR="00CB285B">
        <w:rPr>
          <w:rFonts w:eastAsia="MS Gothic"/>
          <w:lang w:val="es-ES_tradnl" w:eastAsia="en-US"/>
        </w:rPr>
        <w:t xml:space="preserve"> 821 en 2018 (enero-septiembre);</w:t>
      </w:r>
    </w:p>
    <w:p w14:paraId="35EDA05E" w14:textId="188ABFDB" w:rsidR="003D7B1A" w:rsidRPr="00216226" w:rsidRDefault="003B2657" w:rsidP="003D7B1A">
      <w:pPr>
        <w:numPr>
          <w:ilvl w:val="0"/>
          <w:numId w:val="11"/>
        </w:numPr>
        <w:jc w:val="both"/>
        <w:rPr>
          <w:rFonts w:eastAsia="MS Gothic"/>
          <w:lang w:val="es-ES_tradnl" w:eastAsia="en-US"/>
        </w:rPr>
      </w:pPr>
      <w:r w:rsidRPr="00216226">
        <w:rPr>
          <w:rFonts w:eastAsia="MS Gothic"/>
          <w:lang w:val="es-ES_tradnl" w:eastAsia="en-US"/>
        </w:rPr>
        <w:t>Actividades de sensibilización para tomadores de decisiones a nivel municipal, que alcanzaron a 81 individuos en 2017 y</w:t>
      </w:r>
      <w:r w:rsidR="00CB285B">
        <w:rPr>
          <w:rFonts w:eastAsia="MS Gothic"/>
          <w:lang w:val="es-ES_tradnl" w:eastAsia="en-US"/>
        </w:rPr>
        <w:t xml:space="preserve"> 236 en 2018 (enero-septiembre);</w:t>
      </w:r>
    </w:p>
    <w:p w14:paraId="782E0F9C" w14:textId="4DD64A3C" w:rsidR="003D7B1A" w:rsidRPr="00216226" w:rsidRDefault="00A47F01" w:rsidP="003D7B1A">
      <w:pPr>
        <w:numPr>
          <w:ilvl w:val="0"/>
          <w:numId w:val="11"/>
        </w:numPr>
        <w:jc w:val="both"/>
        <w:rPr>
          <w:rFonts w:eastAsia="MS Gothic"/>
          <w:lang w:val="es-ES_tradnl" w:eastAsia="en-US"/>
        </w:rPr>
      </w:pPr>
      <w:r w:rsidRPr="00216226">
        <w:rPr>
          <w:rFonts w:eastAsia="MS Gothic"/>
          <w:lang w:val="es-ES_tradnl" w:eastAsia="en-US"/>
        </w:rPr>
        <w:t>Acciones para fortalecer las capacidades de las Redes de Promoción y Defensa de los Derechos Humanos: 220 miembros al</w:t>
      </w:r>
      <w:r w:rsidR="00CB285B">
        <w:rPr>
          <w:rFonts w:eastAsia="MS Gothic"/>
          <w:lang w:val="es-ES_tradnl" w:eastAsia="en-US"/>
        </w:rPr>
        <w:t>canzados en 2017 y 260 en 2018; y</w:t>
      </w:r>
    </w:p>
    <w:p w14:paraId="1A19CF3B" w14:textId="086AA87B" w:rsidR="003D7B1A" w:rsidRPr="00216226" w:rsidRDefault="00A47F01" w:rsidP="003D7B1A">
      <w:pPr>
        <w:numPr>
          <w:ilvl w:val="0"/>
          <w:numId w:val="11"/>
        </w:numPr>
        <w:jc w:val="both"/>
        <w:rPr>
          <w:rFonts w:eastAsia="MS Gothic"/>
          <w:lang w:val="es-ES_tradnl" w:eastAsia="en-US"/>
        </w:rPr>
      </w:pPr>
      <w:r w:rsidRPr="00216226">
        <w:rPr>
          <w:rFonts w:eastAsia="MS Gothic"/>
          <w:lang w:val="es-ES_tradnl" w:eastAsia="en-US"/>
        </w:rPr>
        <w:t>Campañas de eventos masivos: siete eventos el 18 de mayo de 2017 (Día Nacional de Respuesta al VIH)</w:t>
      </w:r>
      <w:r w:rsidR="008369AC" w:rsidRPr="00216226">
        <w:rPr>
          <w:rFonts w:eastAsia="MS Gothic"/>
          <w:lang w:val="es-ES_tradnl" w:eastAsia="en-US"/>
        </w:rPr>
        <w:t>,</w:t>
      </w:r>
      <w:r w:rsidRPr="00216226">
        <w:rPr>
          <w:rFonts w:eastAsia="MS Gothic"/>
          <w:lang w:val="es-ES_tradnl" w:eastAsia="en-US"/>
        </w:rPr>
        <w:t xml:space="preserve"> 11 eventos en el Día Mundial del SIDA, 2017</w:t>
      </w:r>
      <w:r w:rsidR="008369AC" w:rsidRPr="00216226">
        <w:rPr>
          <w:rFonts w:eastAsia="MS Gothic"/>
          <w:lang w:val="es-ES_tradnl" w:eastAsia="en-US"/>
        </w:rPr>
        <w:t xml:space="preserve"> </w:t>
      </w:r>
      <w:r w:rsidRPr="00216226">
        <w:rPr>
          <w:rFonts w:eastAsia="MS Gothic"/>
          <w:lang w:val="es-ES_tradnl" w:eastAsia="en-US"/>
        </w:rPr>
        <w:t xml:space="preserve">y seis eventos el 18 de mayo de 2018 (Día Nacional de Respuesta al VIH). </w:t>
      </w:r>
    </w:p>
    <w:p w14:paraId="6B2FD223" w14:textId="3C970FCA" w:rsidR="003D7B1A" w:rsidRDefault="00A47F01" w:rsidP="003D7B1A">
      <w:pPr>
        <w:jc w:val="both"/>
        <w:rPr>
          <w:rFonts w:eastAsia="MS Gothic"/>
          <w:lang w:val="es-ES_tradnl" w:eastAsia="en-US"/>
        </w:rPr>
      </w:pPr>
      <w:r w:rsidRPr="00216226">
        <w:rPr>
          <w:rFonts w:eastAsia="MS Gothic"/>
          <w:lang w:val="es-ES_tradnl" w:eastAsia="en-US"/>
        </w:rPr>
        <w:t>El CONADEH también procesó quejas relacionadas con el VIH y las poblaciones clave. Estas son las cifras de 2017 y 2018 (enero-septiembre):</w:t>
      </w:r>
    </w:p>
    <w:p w14:paraId="0A4582B7" w14:textId="77777777" w:rsidR="00CB285B" w:rsidRPr="00216226" w:rsidRDefault="00CB285B" w:rsidP="003D7B1A">
      <w:pPr>
        <w:jc w:val="both"/>
        <w:rPr>
          <w:rFonts w:eastAsia="MS Gothic"/>
          <w:lang w:val="es-ES_tradnl" w:eastAsia="en-US"/>
        </w:rPr>
      </w:pPr>
    </w:p>
    <w:p w14:paraId="249D8266" w14:textId="48DB7CD5" w:rsidR="003D7B1A" w:rsidRPr="00216226" w:rsidRDefault="003D7B1A" w:rsidP="003D7B1A">
      <w:pPr>
        <w:keepNext/>
        <w:keepLines/>
        <w:spacing w:before="200" w:after="0"/>
        <w:outlineLvl w:val="2"/>
        <w:rPr>
          <w:rFonts w:asciiTheme="majorHAnsi" w:eastAsia="MS Gothic" w:hAnsiTheme="majorHAnsi" w:cstheme="majorHAnsi"/>
          <w:b/>
          <w:bCs/>
          <w:sz w:val="20"/>
          <w:szCs w:val="20"/>
          <w:lang w:val="es-ES_tradnl" w:eastAsia="en-US"/>
        </w:rPr>
      </w:pPr>
      <w:bookmarkStart w:id="9" w:name="_Toc1149164"/>
      <w:r w:rsidRPr="00216226">
        <w:rPr>
          <w:rFonts w:asciiTheme="majorHAnsi" w:eastAsia="MS Gothic" w:hAnsiTheme="majorHAnsi" w:cstheme="majorHAnsi"/>
          <w:b/>
          <w:bCs/>
          <w:sz w:val="20"/>
          <w:szCs w:val="20"/>
          <w:lang w:val="es-ES_tradnl" w:eastAsia="en-US"/>
        </w:rPr>
        <w:t>Tabl</w:t>
      </w:r>
      <w:r w:rsidR="00A47F01" w:rsidRPr="00216226">
        <w:rPr>
          <w:rFonts w:asciiTheme="majorHAnsi" w:eastAsia="MS Gothic" w:hAnsiTheme="majorHAnsi" w:cstheme="majorHAnsi"/>
          <w:b/>
          <w:bCs/>
          <w:sz w:val="20"/>
          <w:szCs w:val="20"/>
          <w:lang w:val="es-ES_tradnl" w:eastAsia="en-US"/>
        </w:rPr>
        <w:t>a</w:t>
      </w:r>
      <w:r w:rsidRPr="00216226">
        <w:rPr>
          <w:rFonts w:asciiTheme="majorHAnsi" w:eastAsia="MS Gothic" w:hAnsiTheme="majorHAnsi" w:cstheme="majorHAnsi"/>
          <w:b/>
          <w:bCs/>
          <w:sz w:val="20"/>
          <w:szCs w:val="20"/>
          <w:lang w:val="es-ES_tradnl" w:eastAsia="en-US"/>
        </w:rPr>
        <w:t xml:space="preserve"> </w:t>
      </w:r>
      <w:r w:rsidR="00A96806" w:rsidRPr="00216226">
        <w:rPr>
          <w:rFonts w:asciiTheme="majorHAnsi" w:eastAsia="MS Gothic" w:hAnsiTheme="majorHAnsi" w:cstheme="majorHAnsi"/>
          <w:b/>
          <w:bCs/>
          <w:sz w:val="20"/>
          <w:szCs w:val="20"/>
          <w:lang w:val="es-ES_tradnl" w:eastAsia="en-US"/>
        </w:rPr>
        <w:t>1</w:t>
      </w:r>
      <w:r w:rsidRPr="00216226">
        <w:rPr>
          <w:rFonts w:asciiTheme="majorHAnsi" w:eastAsia="MS Gothic" w:hAnsiTheme="majorHAnsi" w:cstheme="majorHAnsi"/>
          <w:b/>
          <w:bCs/>
          <w:sz w:val="20"/>
          <w:szCs w:val="20"/>
          <w:lang w:val="es-ES_tradnl" w:eastAsia="en-US"/>
        </w:rPr>
        <w:t xml:space="preserve">: </w:t>
      </w:r>
      <w:r w:rsidR="00A47F01" w:rsidRPr="00216226">
        <w:rPr>
          <w:rFonts w:asciiTheme="majorHAnsi" w:eastAsia="MS Gothic" w:hAnsiTheme="majorHAnsi" w:cstheme="majorHAnsi"/>
          <w:b/>
          <w:bCs/>
          <w:sz w:val="20"/>
          <w:szCs w:val="20"/>
          <w:lang w:val="es-ES_tradnl" w:eastAsia="en-US"/>
        </w:rPr>
        <w:t>Quejas relacionadas con el VIH y las poblaciones clave</w:t>
      </w:r>
      <w:r w:rsidRPr="00216226">
        <w:rPr>
          <w:rFonts w:asciiTheme="majorHAnsi" w:eastAsia="MS Gothic" w:hAnsiTheme="majorHAnsi" w:cstheme="majorHAnsi"/>
          <w:b/>
          <w:bCs/>
          <w:sz w:val="20"/>
          <w:szCs w:val="20"/>
          <w:lang w:val="es-ES_tradnl" w:eastAsia="en-US"/>
        </w:rPr>
        <w:t>, 2017</w:t>
      </w:r>
      <w:bookmarkEnd w:id="9"/>
    </w:p>
    <w:tbl>
      <w:tblPr>
        <w:tblStyle w:val="TableGrid1"/>
        <w:tblW w:w="5000" w:type="pct"/>
        <w:jc w:val="center"/>
        <w:tblLook w:val="04A0" w:firstRow="1" w:lastRow="0" w:firstColumn="1" w:lastColumn="0" w:noHBand="0" w:noVBand="1"/>
      </w:tblPr>
      <w:tblGrid>
        <w:gridCol w:w="5260"/>
        <w:gridCol w:w="1760"/>
        <w:gridCol w:w="1996"/>
      </w:tblGrid>
      <w:tr w:rsidR="003D7B1A" w:rsidRPr="00216226" w14:paraId="413E7273" w14:textId="77777777" w:rsidTr="003D7B1A">
        <w:trPr>
          <w:trHeight w:val="20"/>
          <w:jc w:val="center"/>
        </w:trPr>
        <w:tc>
          <w:tcPr>
            <w:tcW w:w="2917" w:type="pct"/>
            <w:shd w:val="clear" w:color="auto" w:fill="E7E6E6"/>
          </w:tcPr>
          <w:p w14:paraId="49A05C4B" w14:textId="6EFB5F0F" w:rsidR="003D7B1A" w:rsidRPr="00216226" w:rsidRDefault="003D7B1A"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Po</w:t>
            </w:r>
            <w:r w:rsidR="00A47F01" w:rsidRPr="00216226">
              <w:rPr>
                <w:rFonts w:ascii="Calibri Light" w:eastAsia="MS Gothic" w:hAnsi="Calibri Light" w:cs="Calibri Light"/>
                <w:b/>
                <w:sz w:val="20"/>
                <w:szCs w:val="20"/>
                <w:lang w:val="es-ES_tradnl"/>
              </w:rPr>
              <w:t>blación</w:t>
            </w:r>
          </w:p>
        </w:tc>
        <w:tc>
          <w:tcPr>
            <w:tcW w:w="976" w:type="pct"/>
            <w:shd w:val="clear" w:color="auto" w:fill="E7E6E6"/>
          </w:tcPr>
          <w:p w14:paraId="28018FE6" w14:textId="58E807D2" w:rsidR="003D7B1A" w:rsidRPr="00216226" w:rsidRDefault="003D7B1A"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Rec</w:t>
            </w:r>
            <w:r w:rsidR="00A47F01" w:rsidRPr="00216226">
              <w:rPr>
                <w:rFonts w:ascii="Calibri Light" w:eastAsia="MS Gothic" w:hAnsi="Calibri Light" w:cs="Calibri Light"/>
                <w:b/>
                <w:sz w:val="20"/>
                <w:szCs w:val="20"/>
                <w:lang w:val="es-ES_tradnl"/>
              </w:rPr>
              <w:t>ibidas</w:t>
            </w:r>
            <w:r w:rsidRPr="00216226">
              <w:rPr>
                <w:rFonts w:ascii="Calibri Light" w:eastAsia="MS Gothic" w:hAnsi="Calibri Light" w:cs="Calibri Light"/>
                <w:b/>
                <w:sz w:val="20"/>
                <w:szCs w:val="20"/>
                <w:lang w:val="es-ES_tradnl"/>
              </w:rPr>
              <w:t xml:space="preserve"> </w:t>
            </w:r>
          </w:p>
        </w:tc>
        <w:tc>
          <w:tcPr>
            <w:tcW w:w="1107" w:type="pct"/>
            <w:shd w:val="clear" w:color="auto" w:fill="E7E6E6"/>
          </w:tcPr>
          <w:p w14:paraId="5EFA3E8C" w14:textId="5B33D54D" w:rsidR="003D7B1A" w:rsidRPr="00216226" w:rsidRDefault="003D7B1A"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Conclu</w:t>
            </w:r>
            <w:r w:rsidR="00A47F01" w:rsidRPr="00216226">
              <w:rPr>
                <w:rFonts w:ascii="Calibri Light" w:eastAsia="MS Gothic" w:hAnsi="Calibri Light" w:cs="Calibri Light"/>
                <w:b/>
                <w:sz w:val="20"/>
                <w:szCs w:val="20"/>
                <w:lang w:val="es-ES_tradnl"/>
              </w:rPr>
              <w:t>idas</w:t>
            </w:r>
            <w:r w:rsidR="00216226" w:rsidRPr="00216226">
              <w:rPr>
                <w:rFonts w:ascii="Calibri Light" w:eastAsia="MS Gothic" w:hAnsi="Calibri Light" w:cs="Calibri Light"/>
                <w:b/>
                <w:sz w:val="20"/>
                <w:szCs w:val="20"/>
                <w:lang w:val="es-ES_tradnl"/>
              </w:rPr>
              <w:t xml:space="preserve"> </w:t>
            </w:r>
          </w:p>
        </w:tc>
      </w:tr>
      <w:tr w:rsidR="003D7B1A" w:rsidRPr="00216226" w14:paraId="27C50FCF" w14:textId="77777777" w:rsidTr="007927C3">
        <w:trPr>
          <w:trHeight w:val="20"/>
          <w:jc w:val="center"/>
        </w:trPr>
        <w:tc>
          <w:tcPr>
            <w:tcW w:w="2917" w:type="pct"/>
          </w:tcPr>
          <w:p w14:paraId="13B98DB5" w14:textId="7D774845" w:rsidR="003D7B1A" w:rsidRPr="00216226" w:rsidRDefault="00CB081A" w:rsidP="003D7B1A">
            <w:pPr>
              <w:rPr>
                <w:rFonts w:eastAsia="MS Gothic" w:cs="Calibri"/>
                <w:sz w:val="20"/>
                <w:szCs w:val="20"/>
                <w:lang w:val="es-ES_tradnl"/>
              </w:rPr>
            </w:pPr>
            <w:r w:rsidRPr="00CB081A">
              <w:rPr>
                <w:rFonts w:eastAsia="MS Gothic" w:cs="Calibri"/>
                <w:sz w:val="20"/>
                <w:szCs w:val="20"/>
                <w:lang w:val="es-ES_tradnl"/>
              </w:rPr>
              <w:t xml:space="preserve">Lesbianas, gays, bisexuales, transexuales e intersexuales. </w:t>
            </w:r>
            <w:r>
              <w:rPr>
                <w:rFonts w:eastAsia="MS Gothic" w:cs="Calibri"/>
                <w:sz w:val="20"/>
                <w:szCs w:val="20"/>
                <w:lang w:val="es-ES_tradnl"/>
              </w:rPr>
              <w:t>(</w:t>
            </w:r>
            <w:r w:rsidR="003D7B1A" w:rsidRPr="00216226">
              <w:rPr>
                <w:rFonts w:eastAsia="MS Gothic" w:cs="Calibri"/>
                <w:sz w:val="20"/>
                <w:szCs w:val="20"/>
                <w:lang w:val="es-ES_tradnl"/>
              </w:rPr>
              <w:t>LGTBI</w:t>
            </w:r>
            <w:r>
              <w:rPr>
                <w:rFonts w:eastAsia="MS Gothic" w:cs="Calibri"/>
                <w:sz w:val="20"/>
                <w:szCs w:val="20"/>
                <w:lang w:val="es-ES_tradnl"/>
              </w:rPr>
              <w:t>)</w:t>
            </w:r>
            <w:r w:rsidR="003D7B1A" w:rsidRPr="00216226">
              <w:rPr>
                <w:rFonts w:eastAsia="MS Gothic" w:cs="Calibri"/>
                <w:sz w:val="20"/>
                <w:szCs w:val="20"/>
                <w:lang w:val="es-ES_tradnl"/>
              </w:rPr>
              <w:t>/</w:t>
            </w:r>
            <w:r w:rsidR="00CB285B">
              <w:rPr>
                <w:rFonts w:eastAsia="MS Gothic" w:cs="Calibri"/>
                <w:sz w:val="20"/>
                <w:szCs w:val="20"/>
                <w:lang w:val="es-ES_tradnl"/>
              </w:rPr>
              <w:t>PPL</w:t>
            </w:r>
            <w:r w:rsidR="003D7B1A" w:rsidRPr="00216226">
              <w:rPr>
                <w:rFonts w:eastAsia="MS Gothic" w:cs="Calibri"/>
                <w:sz w:val="20"/>
                <w:szCs w:val="20"/>
                <w:lang w:val="es-ES_tradnl"/>
              </w:rPr>
              <w:t>/</w:t>
            </w:r>
            <w:r w:rsidR="003C6851">
              <w:rPr>
                <w:rFonts w:eastAsia="MS Gothic" w:cs="Calibri"/>
                <w:sz w:val="20"/>
                <w:szCs w:val="20"/>
                <w:lang w:val="es-ES_tradnl"/>
              </w:rPr>
              <w:t>Garífuna</w:t>
            </w:r>
            <w:r w:rsidR="003D7B1A" w:rsidRPr="00216226">
              <w:rPr>
                <w:rFonts w:eastAsia="MS Gothic" w:cs="Calibri"/>
                <w:sz w:val="20"/>
                <w:szCs w:val="20"/>
                <w:lang w:val="es-ES_tradnl"/>
              </w:rPr>
              <w:t>/</w:t>
            </w:r>
            <w:r w:rsidR="00CB285B">
              <w:rPr>
                <w:rFonts w:eastAsia="MS Gothic" w:cs="Calibri"/>
                <w:sz w:val="20"/>
                <w:szCs w:val="20"/>
                <w:lang w:val="es-ES_tradnl"/>
              </w:rPr>
              <w:t>Trabajadoras Sexuales</w:t>
            </w:r>
          </w:p>
        </w:tc>
        <w:tc>
          <w:tcPr>
            <w:tcW w:w="976" w:type="pct"/>
          </w:tcPr>
          <w:p w14:paraId="507E09C2"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293</w:t>
            </w:r>
          </w:p>
        </w:tc>
        <w:tc>
          <w:tcPr>
            <w:tcW w:w="1107" w:type="pct"/>
          </w:tcPr>
          <w:p w14:paraId="0E492960"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182</w:t>
            </w:r>
          </w:p>
        </w:tc>
      </w:tr>
      <w:tr w:rsidR="003D7B1A" w:rsidRPr="00216226" w14:paraId="730C64E8" w14:textId="77777777" w:rsidTr="007927C3">
        <w:trPr>
          <w:trHeight w:val="20"/>
          <w:jc w:val="center"/>
        </w:trPr>
        <w:tc>
          <w:tcPr>
            <w:tcW w:w="2917" w:type="pct"/>
          </w:tcPr>
          <w:p w14:paraId="4DFC3A10" w14:textId="313E4A24" w:rsidR="003D7B1A" w:rsidRPr="00216226" w:rsidRDefault="00A47F01" w:rsidP="003D7B1A">
            <w:pPr>
              <w:rPr>
                <w:rFonts w:eastAsia="MS Gothic" w:cs="Calibri"/>
                <w:sz w:val="20"/>
                <w:szCs w:val="20"/>
                <w:lang w:val="es-ES_tradnl"/>
              </w:rPr>
            </w:pPr>
            <w:r w:rsidRPr="00216226">
              <w:rPr>
                <w:rFonts w:eastAsia="MS Gothic" w:cs="Calibri"/>
                <w:sz w:val="20"/>
                <w:szCs w:val="20"/>
                <w:lang w:val="es-ES_tradnl"/>
              </w:rPr>
              <w:t>PVVIH</w:t>
            </w:r>
          </w:p>
        </w:tc>
        <w:tc>
          <w:tcPr>
            <w:tcW w:w="976" w:type="pct"/>
          </w:tcPr>
          <w:p w14:paraId="604C44B0"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48</w:t>
            </w:r>
          </w:p>
        </w:tc>
        <w:tc>
          <w:tcPr>
            <w:tcW w:w="1107" w:type="pct"/>
          </w:tcPr>
          <w:p w14:paraId="68F3FBB6"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32</w:t>
            </w:r>
          </w:p>
        </w:tc>
      </w:tr>
      <w:tr w:rsidR="003D7B1A" w:rsidRPr="00216226" w14:paraId="56A240B9" w14:textId="77777777" w:rsidTr="007927C3">
        <w:trPr>
          <w:trHeight w:val="20"/>
          <w:jc w:val="center"/>
        </w:trPr>
        <w:tc>
          <w:tcPr>
            <w:tcW w:w="2917" w:type="pct"/>
          </w:tcPr>
          <w:p w14:paraId="3D8818C9"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Total</w:t>
            </w:r>
          </w:p>
        </w:tc>
        <w:tc>
          <w:tcPr>
            <w:tcW w:w="976" w:type="pct"/>
          </w:tcPr>
          <w:p w14:paraId="292B9E47"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341</w:t>
            </w:r>
          </w:p>
        </w:tc>
        <w:tc>
          <w:tcPr>
            <w:tcW w:w="1107" w:type="pct"/>
          </w:tcPr>
          <w:p w14:paraId="0963D9AC"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214</w:t>
            </w:r>
          </w:p>
        </w:tc>
      </w:tr>
    </w:tbl>
    <w:p w14:paraId="0ED792CD" w14:textId="5540EFEC" w:rsidR="003D7B1A" w:rsidRPr="00216226" w:rsidRDefault="003D7B1A" w:rsidP="003D7B1A">
      <w:pPr>
        <w:keepNext/>
        <w:keepLines/>
        <w:spacing w:before="200" w:after="0"/>
        <w:outlineLvl w:val="2"/>
        <w:rPr>
          <w:rFonts w:asciiTheme="majorHAnsi" w:eastAsia="MS Gothic" w:hAnsiTheme="majorHAnsi" w:cstheme="majorHAnsi"/>
          <w:b/>
          <w:bCs/>
          <w:sz w:val="20"/>
          <w:szCs w:val="20"/>
          <w:lang w:val="es-ES_tradnl" w:eastAsia="en-US"/>
        </w:rPr>
      </w:pPr>
      <w:bookmarkStart w:id="10" w:name="_Toc1149165"/>
      <w:r w:rsidRPr="00216226">
        <w:rPr>
          <w:rFonts w:asciiTheme="majorHAnsi" w:eastAsia="MS Gothic" w:hAnsiTheme="majorHAnsi" w:cstheme="majorHAnsi"/>
          <w:b/>
          <w:bCs/>
          <w:sz w:val="20"/>
          <w:szCs w:val="20"/>
          <w:lang w:val="es-ES_tradnl" w:eastAsia="en-US"/>
        </w:rPr>
        <w:t>Tabl</w:t>
      </w:r>
      <w:r w:rsidR="00A47F01" w:rsidRPr="00216226">
        <w:rPr>
          <w:rFonts w:asciiTheme="majorHAnsi" w:eastAsia="MS Gothic" w:hAnsiTheme="majorHAnsi" w:cstheme="majorHAnsi"/>
          <w:b/>
          <w:bCs/>
          <w:sz w:val="20"/>
          <w:szCs w:val="20"/>
          <w:lang w:val="es-ES_tradnl" w:eastAsia="en-US"/>
        </w:rPr>
        <w:t>a</w:t>
      </w:r>
      <w:r w:rsidRPr="00216226">
        <w:rPr>
          <w:rFonts w:asciiTheme="majorHAnsi" w:eastAsia="MS Gothic" w:hAnsiTheme="majorHAnsi" w:cstheme="majorHAnsi"/>
          <w:b/>
          <w:bCs/>
          <w:sz w:val="20"/>
          <w:szCs w:val="20"/>
          <w:lang w:val="es-ES_tradnl" w:eastAsia="en-US"/>
        </w:rPr>
        <w:t xml:space="preserve"> </w:t>
      </w:r>
      <w:r w:rsidR="00A96806" w:rsidRPr="00216226">
        <w:rPr>
          <w:rFonts w:asciiTheme="majorHAnsi" w:eastAsia="MS Gothic" w:hAnsiTheme="majorHAnsi" w:cstheme="majorHAnsi"/>
          <w:b/>
          <w:bCs/>
          <w:sz w:val="20"/>
          <w:szCs w:val="20"/>
          <w:lang w:val="es-ES_tradnl" w:eastAsia="en-US"/>
        </w:rPr>
        <w:t>2</w:t>
      </w:r>
      <w:r w:rsidRPr="00216226">
        <w:rPr>
          <w:rFonts w:asciiTheme="majorHAnsi" w:eastAsia="MS Gothic" w:hAnsiTheme="majorHAnsi" w:cstheme="majorHAnsi"/>
          <w:b/>
          <w:bCs/>
          <w:sz w:val="20"/>
          <w:szCs w:val="20"/>
          <w:lang w:val="es-ES_tradnl" w:eastAsia="en-US"/>
        </w:rPr>
        <w:t xml:space="preserve">: </w:t>
      </w:r>
      <w:r w:rsidR="00A47F01" w:rsidRPr="00216226">
        <w:rPr>
          <w:rFonts w:asciiTheme="majorHAnsi" w:eastAsia="MS Gothic" w:hAnsiTheme="majorHAnsi" w:cstheme="majorHAnsi"/>
          <w:b/>
          <w:bCs/>
          <w:sz w:val="20"/>
          <w:szCs w:val="20"/>
          <w:lang w:val="es-ES_tradnl" w:eastAsia="en-US"/>
        </w:rPr>
        <w:t>Quejas relacionadas con el VIH y las poblaciones clave</w:t>
      </w:r>
      <w:r w:rsidRPr="00216226">
        <w:rPr>
          <w:rFonts w:asciiTheme="majorHAnsi" w:eastAsia="MS Gothic" w:hAnsiTheme="majorHAnsi" w:cstheme="majorHAnsi"/>
          <w:b/>
          <w:bCs/>
          <w:sz w:val="20"/>
          <w:szCs w:val="20"/>
          <w:lang w:val="es-ES_tradnl" w:eastAsia="en-US"/>
        </w:rPr>
        <w:t>, 2018 (</w:t>
      </w:r>
      <w:r w:rsidR="00A47F01" w:rsidRPr="00216226">
        <w:rPr>
          <w:rFonts w:asciiTheme="majorHAnsi" w:eastAsia="MS Gothic" w:hAnsiTheme="majorHAnsi" w:cstheme="majorHAnsi"/>
          <w:b/>
          <w:bCs/>
          <w:sz w:val="20"/>
          <w:szCs w:val="20"/>
          <w:lang w:val="es-ES_tradnl" w:eastAsia="en-US"/>
        </w:rPr>
        <w:t>enero-septiembre</w:t>
      </w:r>
      <w:r w:rsidRPr="00216226">
        <w:rPr>
          <w:rFonts w:asciiTheme="majorHAnsi" w:eastAsia="MS Gothic" w:hAnsiTheme="majorHAnsi" w:cstheme="majorHAnsi"/>
          <w:b/>
          <w:bCs/>
          <w:sz w:val="20"/>
          <w:szCs w:val="20"/>
          <w:lang w:val="es-ES_tradnl" w:eastAsia="en-US"/>
        </w:rPr>
        <w:t>)</w:t>
      </w:r>
      <w:bookmarkEnd w:id="10"/>
      <w:r w:rsidRPr="00216226">
        <w:rPr>
          <w:rFonts w:asciiTheme="majorHAnsi" w:eastAsia="MS Gothic" w:hAnsiTheme="majorHAnsi" w:cstheme="majorHAnsi"/>
          <w:b/>
          <w:bCs/>
          <w:sz w:val="20"/>
          <w:szCs w:val="20"/>
          <w:lang w:val="es-ES_tradnl" w:eastAsia="en-US"/>
        </w:rPr>
        <w:t xml:space="preserve"> </w:t>
      </w:r>
    </w:p>
    <w:tbl>
      <w:tblPr>
        <w:tblStyle w:val="TableGrid1"/>
        <w:tblW w:w="5000" w:type="pct"/>
        <w:jc w:val="center"/>
        <w:tblLook w:val="04A0" w:firstRow="1" w:lastRow="0" w:firstColumn="1" w:lastColumn="0" w:noHBand="0" w:noVBand="1"/>
      </w:tblPr>
      <w:tblGrid>
        <w:gridCol w:w="5305"/>
        <w:gridCol w:w="1709"/>
        <w:gridCol w:w="2002"/>
      </w:tblGrid>
      <w:tr w:rsidR="00A47F01" w:rsidRPr="00216226" w14:paraId="363EE0CB" w14:textId="77777777" w:rsidTr="003D7B1A">
        <w:trPr>
          <w:trHeight w:val="20"/>
          <w:jc w:val="center"/>
        </w:trPr>
        <w:tc>
          <w:tcPr>
            <w:tcW w:w="2942" w:type="pct"/>
            <w:shd w:val="clear" w:color="auto" w:fill="E7E6E6"/>
          </w:tcPr>
          <w:p w14:paraId="7F276FE0" w14:textId="4A6B78DF" w:rsidR="00A47F01" w:rsidRPr="00216226" w:rsidRDefault="00A47F01" w:rsidP="00A47F0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Población</w:t>
            </w:r>
          </w:p>
        </w:tc>
        <w:tc>
          <w:tcPr>
            <w:tcW w:w="948" w:type="pct"/>
            <w:shd w:val="clear" w:color="auto" w:fill="E7E6E6"/>
          </w:tcPr>
          <w:p w14:paraId="26FBE76D" w14:textId="275545A3" w:rsidR="00A47F01" w:rsidRPr="00216226" w:rsidRDefault="00A47F01" w:rsidP="00A47F0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Recibidas </w:t>
            </w:r>
          </w:p>
        </w:tc>
        <w:tc>
          <w:tcPr>
            <w:tcW w:w="1110" w:type="pct"/>
            <w:shd w:val="clear" w:color="auto" w:fill="E7E6E6"/>
          </w:tcPr>
          <w:p w14:paraId="28EA0E9A" w14:textId="5D98E6A1" w:rsidR="00A47F01" w:rsidRPr="00216226" w:rsidRDefault="00A47F01" w:rsidP="00A47F0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Concluidas</w:t>
            </w:r>
            <w:r w:rsidR="00216226" w:rsidRPr="00216226">
              <w:rPr>
                <w:rFonts w:ascii="Calibri Light" w:eastAsia="MS Gothic" w:hAnsi="Calibri Light" w:cs="Calibri Light"/>
                <w:b/>
                <w:sz w:val="20"/>
                <w:szCs w:val="20"/>
                <w:lang w:val="es-ES_tradnl"/>
              </w:rPr>
              <w:t xml:space="preserve"> </w:t>
            </w:r>
          </w:p>
        </w:tc>
      </w:tr>
      <w:tr w:rsidR="00A47F01" w:rsidRPr="00216226" w14:paraId="62836379" w14:textId="77777777" w:rsidTr="007927C3">
        <w:trPr>
          <w:trHeight w:val="20"/>
          <w:jc w:val="center"/>
        </w:trPr>
        <w:tc>
          <w:tcPr>
            <w:tcW w:w="2942" w:type="pct"/>
          </w:tcPr>
          <w:p w14:paraId="2542A417" w14:textId="18319EDC"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LGTBI/</w:t>
            </w:r>
            <w:r w:rsidR="00CB285B">
              <w:rPr>
                <w:rFonts w:eastAsia="MS Gothic" w:cs="Calibri"/>
                <w:sz w:val="20"/>
                <w:szCs w:val="20"/>
                <w:lang w:val="es-ES_tradnl"/>
              </w:rPr>
              <w:t>PPL</w:t>
            </w:r>
            <w:r w:rsidRPr="00216226">
              <w:rPr>
                <w:rFonts w:eastAsia="MS Gothic" w:cs="Calibri"/>
                <w:sz w:val="20"/>
                <w:szCs w:val="20"/>
                <w:lang w:val="es-ES_tradnl"/>
              </w:rPr>
              <w:t>/</w:t>
            </w:r>
            <w:r w:rsidR="003C6851">
              <w:rPr>
                <w:rFonts w:eastAsia="MS Gothic" w:cs="Calibri"/>
                <w:sz w:val="20"/>
                <w:szCs w:val="20"/>
                <w:lang w:val="es-ES_tradnl"/>
              </w:rPr>
              <w:t>Garífuna</w:t>
            </w:r>
            <w:r w:rsidR="00CB285B">
              <w:rPr>
                <w:rFonts w:eastAsia="MS Gothic" w:cs="Calibri"/>
                <w:sz w:val="20"/>
                <w:szCs w:val="20"/>
                <w:lang w:val="es-ES_tradnl"/>
              </w:rPr>
              <w:t>/Trabajadoras Sexuales</w:t>
            </w:r>
          </w:p>
        </w:tc>
        <w:tc>
          <w:tcPr>
            <w:tcW w:w="948" w:type="pct"/>
          </w:tcPr>
          <w:p w14:paraId="089DBFC1" w14:textId="77777777"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369</w:t>
            </w:r>
          </w:p>
        </w:tc>
        <w:tc>
          <w:tcPr>
            <w:tcW w:w="1110" w:type="pct"/>
          </w:tcPr>
          <w:p w14:paraId="26D207D6" w14:textId="77777777"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262</w:t>
            </w:r>
          </w:p>
        </w:tc>
      </w:tr>
      <w:tr w:rsidR="00A47F01" w:rsidRPr="00216226" w14:paraId="6D478A3F" w14:textId="77777777" w:rsidTr="007927C3">
        <w:trPr>
          <w:trHeight w:val="20"/>
          <w:jc w:val="center"/>
        </w:trPr>
        <w:tc>
          <w:tcPr>
            <w:tcW w:w="2942" w:type="pct"/>
          </w:tcPr>
          <w:p w14:paraId="658C04C7" w14:textId="47A2CDDE"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PVVIH</w:t>
            </w:r>
          </w:p>
        </w:tc>
        <w:tc>
          <w:tcPr>
            <w:tcW w:w="948" w:type="pct"/>
          </w:tcPr>
          <w:p w14:paraId="47A02EBE" w14:textId="77777777"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34</w:t>
            </w:r>
          </w:p>
        </w:tc>
        <w:tc>
          <w:tcPr>
            <w:tcW w:w="1110" w:type="pct"/>
          </w:tcPr>
          <w:p w14:paraId="672E10CE" w14:textId="77777777" w:rsidR="00A47F01" w:rsidRPr="00216226" w:rsidRDefault="00A47F01" w:rsidP="00A47F01">
            <w:pPr>
              <w:rPr>
                <w:rFonts w:eastAsia="MS Gothic" w:cs="Calibri"/>
                <w:sz w:val="20"/>
                <w:szCs w:val="20"/>
                <w:lang w:val="es-ES_tradnl"/>
              </w:rPr>
            </w:pPr>
            <w:r w:rsidRPr="00216226">
              <w:rPr>
                <w:rFonts w:eastAsia="MS Gothic" w:cs="Calibri"/>
                <w:sz w:val="20"/>
                <w:szCs w:val="20"/>
                <w:lang w:val="es-ES_tradnl"/>
              </w:rPr>
              <w:t>30</w:t>
            </w:r>
          </w:p>
        </w:tc>
      </w:tr>
      <w:tr w:rsidR="003D7B1A" w:rsidRPr="00216226" w14:paraId="3D537372" w14:textId="77777777" w:rsidTr="007927C3">
        <w:trPr>
          <w:trHeight w:val="20"/>
          <w:jc w:val="center"/>
        </w:trPr>
        <w:tc>
          <w:tcPr>
            <w:tcW w:w="2942" w:type="pct"/>
          </w:tcPr>
          <w:p w14:paraId="6C8F83CD"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 xml:space="preserve">Total </w:t>
            </w:r>
          </w:p>
        </w:tc>
        <w:tc>
          <w:tcPr>
            <w:tcW w:w="948" w:type="pct"/>
          </w:tcPr>
          <w:p w14:paraId="58C0457C"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403</w:t>
            </w:r>
          </w:p>
        </w:tc>
        <w:tc>
          <w:tcPr>
            <w:tcW w:w="1110" w:type="pct"/>
          </w:tcPr>
          <w:p w14:paraId="6336832E" w14:textId="77777777" w:rsidR="003D7B1A" w:rsidRPr="00216226" w:rsidRDefault="003D7B1A" w:rsidP="003D7B1A">
            <w:pPr>
              <w:rPr>
                <w:rFonts w:eastAsia="MS Gothic" w:cs="Calibri"/>
                <w:b/>
                <w:sz w:val="20"/>
                <w:szCs w:val="20"/>
                <w:lang w:val="es-ES_tradnl"/>
              </w:rPr>
            </w:pPr>
            <w:r w:rsidRPr="00216226">
              <w:rPr>
                <w:rFonts w:eastAsia="MS Gothic" w:cs="Calibri"/>
                <w:b/>
                <w:sz w:val="20"/>
                <w:szCs w:val="20"/>
                <w:lang w:val="es-ES_tradnl"/>
              </w:rPr>
              <w:t>291</w:t>
            </w:r>
          </w:p>
        </w:tc>
      </w:tr>
    </w:tbl>
    <w:p w14:paraId="4580C04B" w14:textId="2758F792" w:rsidR="003D7B1A" w:rsidRPr="00216226" w:rsidRDefault="00A47F01" w:rsidP="003D7B1A">
      <w:pPr>
        <w:rPr>
          <w:rFonts w:eastAsia="MS Gothic"/>
          <w:i/>
          <w:sz w:val="20"/>
          <w:lang w:val="es-ES_tradnl" w:eastAsia="en-US"/>
        </w:rPr>
      </w:pPr>
      <w:r w:rsidRPr="00216226">
        <w:rPr>
          <w:rFonts w:eastAsia="MS Gothic"/>
          <w:i/>
          <w:sz w:val="20"/>
          <w:lang w:val="es-ES_tradnl" w:eastAsia="en-US"/>
        </w:rPr>
        <w:t>Fuente</w:t>
      </w:r>
      <w:r w:rsidR="003D7B1A" w:rsidRPr="00216226">
        <w:rPr>
          <w:rFonts w:eastAsia="MS Gothic"/>
          <w:i/>
          <w:sz w:val="20"/>
          <w:lang w:val="es-ES_tradnl" w:eastAsia="en-US"/>
        </w:rPr>
        <w:t xml:space="preserve">: </w:t>
      </w:r>
      <w:r w:rsidR="003D7B1A" w:rsidRPr="00216226">
        <w:rPr>
          <w:rFonts w:eastAsia="MS Gothic"/>
          <w:sz w:val="20"/>
          <w:lang w:val="es-ES_tradnl" w:eastAsia="en-US"/>
        </w:rPr>
        <w:t>CONADEH,</w:t>
      </w:r>
      <w:r w:rsidR="003D7B1A" w:rsidRPr="00216226">
        <w:rPr>
          <w:rFonts w:eastAsia="MS Gothic"/>
          <w:i/>
          <w:sz w:val="20"/>
          <w:lang w:val="es-ES_tradnl" w:eastAsia="en-US"/>
        </w:rPr>
        <w:t xml:space="preserve"> </w:t>
      </w:r>
      <w:r w:rsidRPr="00216226">
        <w:rPr>
          <w:rFonts w:eastAsia="MS Gothic"/>
          <w:i/>
          <w:sz w:val="20"/>
          <w:lang w:val="es-ES_tradnl" w:eastAsia="en-US"/>
        </w:rPr>
        <w:t>comunicación por correo electrónico</w:t>
      </w:r>
      <w:r w:rsidR="003D7B1A" w:rsidRPr="00216226">
        <w:rPr>
          <w:rFonts w:eastAsia="MS Gothic"/>
          <w:i/>
          <w:sz w:val="20"/>
          <w:lang w:val="es-ES_tradnl" w:eastAsia="en-US"/>
        </w:rPr>
        <w:t>, 2018</w:t>
      </w:r>
    </w:p>
    <w:p w14:paraId="775DDBF4" w14:textId="23BB430D" w:rsidR="003D7B1A" w:rsidRPr="00216226" w:rsidRDefault="00D32C1B" w:rsidP="003D7B1A">
      <w:pPr>
        <w:jc w:val="both"/>
        <w:rPr>
          <w:rFonts w:eastAsia="MS Gothic"/>
          <w:lang w:val="es-ES_tradnl" w:eastAsia="en-US"/>
        </w:rPr>
      </w:pPr>
      <w:r w:rsidRPr="00216226">
        <w:rPr>
          <w:rFonts w:eastAsia="MS Gothic"/>
          <w:lang w:val="es-ES_tradnl" w:eastAsia="en-US"/>
        </w:rPr>
        <w:t>Según el CONADEH, las quejas son relativas a una amplia gama de áreas: salud y acceso a la justicia, trabajo, educación y familia, y un gran</w:t>
      </w:r>
      <w:r w:rsidR="003F39AD">
        <w:rPr>
          <w:rFonts w:eastAsia="MS Gothic"/>
          <w:lang w:val="es-ES_tradnl" w:eastAsia="en-US"/>
        </w:rPr>
        <w:t xml:space="preserve"> número de instituciones como la SESAL</w:t>
      </w:r>
      <w:r w:rsidR="00BE7DD0" w:rsidRPr="00216226">
        <w:rPr>
          <w:rFonts w:eastAsia="MS Gothic"/>
          <w:lang w:val="es-ES_tradnl" w:eastAsia="en-US"/>
        </w:rPr>
        <w:t>, pris</w:t>
      </w:r>
      <w:r w:rsidRPr="00216226">
        <w:rPr>
          <w:rFonts w:eastAsia="MS Gothic"/>
          <w:lang w:val="es-ES_tradnl" w:eastAsia="en-US"/>
        </w:rPr>
        <w:t>i</w:t>
      </w:r>
      <w:r w:rsidR="00BE7DD0" w:rsidRPr="00216226">
        <w:rPr>
          <w:rFonts w:eastAsia="MS Gothic"/>
          <w:lang w:val="es-ES_tradnl" w:eastAsia="en-US"/>
        </w:rPr>
        <w:t>on</w:t>
      </w:r>
      <w:r w:rsidRPr="00216226">
        <w:rPr>
          <w:rFonts w:eastAsia="MS Gothic"/>
          <w:lang w:val="es-ES_tradnl" w:eastAsia="en-US"/>
        </w:rPr>
        <w:t>e</w:t>
      </w:r>
      <w:r w:rsidR="00BE7DD0" w:rsidRPr="00216226">
        <w:rPr>
          <w:rFonts w:eastAsia="MS Gothic"/>
          <w:lang w:val="es-ES_tradnl" w:eastAsia="en-US"/>
        </w:rPr>
        <w:t>s, polic</w:t>
      </w:r>
      <w:r w:rsidRPr="00216226">
        <w:rPr>
          <w:rFonts w:eastAsia="MS Gothic"/>
          <w:lang w:val="es-ES_tradnl" w:eastAsia="en-US"/>
        </w:rPr>
        <w:t>ía</w:t>
      </w:r>
      <w:r w:rsidR="00BE7DD0" w:rsidRPr="00216226">
        <w:rPr>
          <w:rFonts w:eastAsia="MS Gothic"/>
          <w:lang w:val="es-ES_tradnl" w:eastAsia="en-US"/>
        </w:rPr>
        <w:t>, p</w:t>
      </w:r>
      <w:r w:rsidRPr="00216226">
        <w:rPr>
          <w:rFonts w:eastAsia="MS Gothic"/>
          <w:lang w:val="es-ES_tradnl" w:eastAsia="en-US"/>
        </w:rPr>
        <w:t>uertos</w:t>
      </w:r>
      <w:r w:rsidR="00BE7DD0" w:rsidRPr="00216226">
        <w:rPr>
          <w:rFonts w:eastAsia="MS Gothic"/>
          <w:lang w:val="es-ES_tradnl" w:eastAsia="en-US"/>
        </w:rPr>
        <w:t xml:space="preserve">, </w:t>
      </w:r>
      <w:r w:rsidR="003F39AD">
        <w:rPr>
          <w:rFonts w:eastAsia="MS Gothic"/>
          <w:lang w:val="es-ES_tradnl" w:eastAsia="en-US"/>
        </w:rPr>
        <w:t>Secretaría</w:t>
      </w:r>
      <w:r w:rsidRPr="00216226">
        <w:rPr>
          <w:rFonts w:eastAsia="MS Gothic"/>
          <w:lang w:val="es-ES_tradnl" w:eastAsia="en-US"/>
        </w:rPr>
        <w:t xml:space="preserve"> de Educación</w:t>
      </w:r>
      <w:r w:rsidR="00BE7DD0" w:rsidRPr="00216226">
        <w:rPr>
          <w:rFonts w:eastAsia="MS Gothic"/>
          <w:lang w:val="es-ES_tradnl" w:eastAsia="en-US"/>
        </w:rPr>
        <w:t xml:space="preserve"> </w:t>
      </w:r>
      <w:r w:rsidRPr="00216226">
        <w:rPr>
          <w:rFonts w:eastAsia="MS Gothic"/>
          <w:lang w:val="es-ES_tradnl" w:eastAsia="en-US"/>
        </w:rPr>
        <w:t>y la vida</w:t>
      </w:r>
      <w:r w:rsidR="00BE7DD0" w:rsidRPr="00216226">
        <w:rPr>
          <w:rFonts w:eastAsia="MS Gothic"/>
          <w:lang w:val="es-ES_tradnl" w:eastAsia="en-US"/>
        </w:rPr>
        <w:t xml:space="preserve"> priva</w:t>
      </w:r>
      <w:r w:rsidRPr="00216226">
        <w:rPr>
          <w:rFonts w:eastAsia="MS Gothic"/>
          <w:lang w:val="es-ES_tradnl" w:eastAsia="en-US"/>
        </w:rPr>
        <w:t>da</w:t>
      </w:r>
      <w:r w:rsidR="00BE7DD0" w:rsidRPr="00216226">
        <w:rPr>
          <w:rFonts w:eastAsia="MS Gothic"/>
          <w:lang w:val="es-ES_tradnl" w:eastAsia="en-US"/>
        </w:rPr>
        <w:t xml:space="preserve"> (</w:t>
      </w:r>
      <w:r w:rsidRPr="00216226">
        <w:rPr>
          <w:rFonts w:eastAsia="MS Gothic"/>
          <w:lang w:val="es-ES_tradnl" w:eastAsia="en-US"/>
        </w:rPr>
        <w:t>discriminación en el hogar</w:t>
      </w:r>
      <w:r w:rsidR="00BE7DD0" w:rsidRPr="00216226">
        <w:rPr>
          <w:rFonts w:eastAsia="MS Gothic"/>
          <w:lang w:val="es-ES_tradnl" w:eastAsia="en-US"/>
        </w:rPr>
        <w:t xml:space="preserve">). </w:t>
      </w:r>
      <w:r w:rsidRPr="00216226">
        <w:rPr>
          <w:rFonts w:eastAsia="MS Gothic"/>
          <w:lang w:val="es-ES_tradnl" w:eastAsia="en-US"/>
        </w:rPr>
        <w:t xml:space="preserve">El </w:t>
      </w:r>
      <w:r w:rsidR="00C627C1" w:rsidRPr="00216226">
        <w:rPr>
          <w:rFonts w:eastAsia="MS Gothic"/>
          <w:lang w:val="es-ES_tradnl" w:eastAsia="en-US"/>
        </w:rPr>
        <w:t>CONADEH</w:t>
      </w:r>
      <w:r w:rsidRPr="00216226">
        <w:rPr>
          <w:rFonts w:eastAsia="MS Gothic"/>
          <w:lang w:val="es-ES_tradnl" w:eastAsia="en-US"/>
        </w:rPr>
        <w:t xml:space="preserve"> no ha proporcionado cifras detalladas de quejas distribuidas por área e institución. No hay datos sobre las quejas recibidas por la Red de Promoción y Defensa de los Derechos Humanos que no llegaron a CONADEH, ya sea porque se resolvieron a nivel local o porque la persona afectada decidió retirar la queja</w:t>
      </w:r>
      <w:r w:rsidR="00BE7DD0" w:rsidRPr="00216226">
        <w:rPr>
          <w:rFonts w:eastAsia="MS Gothic"/>
          <w:lang w:val="es-ES_tradnl" w:eastAsia="en-US"/>
        </w:rPr>
        <w:t>.</w:t>
      </w:r>
      <w:r w:rsidR="00216226" w:rsidRPr="00216226">
        <w:rPr>
          <w:rFonts w:eastAsia="MS Gothic"/>
          <w:lang w:val="es-ES_tradnl" w:eastAsia="en-US"/>
        </w:rPr>
        <w:t xml:space="preserve"> </w:t>
      </w:r>
    </w:p>
    <w:p w14:paraId="66CC1041" w14:textId="61217E62" w:rsidR="003D7B1A" w:rsidRPr="00216226" w:rsidRDefault="00D32C1B" w:rsidP="003D7B1A">
      <w:pPr>
        <w:jc w:val="both"/>
        <w:rPr>
          <w:rFonts w:eastAsia="MS Gothic"/>
          <w:lang w:val="es-ES_tradnl" w:eastAsia="en-US"/>
        </w:rPr>
      </w:pPr>
      <w:r w:rsidRPr="00216226">
        <w:rPr>
          <w:rFonts w:eastAsia="MS Gothic"/>
          <w:lang w:val="es-ES_tradnl" w:eastAsia="en-US"/>
        </w:rPr>
        <w:t>No queda claro qu</w:t>
      </w:r>
      <w:r w:rsidR="008369AC" w:rsidRPr="00216226">
        <w:rPr>
          <w:rFonts w:eastAsia="MS Gothic"/>
          <w:lang w:val="es-ES_tradnl" w:eastAsia="en-US"/>
        </w:rPr>
        <w:t>é</w:t>
      </w:r>
      <w:r w:rsidRPr="00216226">
        <w:rPr>
          <w:rFonts w:eastAsia="MS Gothic"/>
          <w:lang w:val="es-ES_tradnl" w:eastAsia="en-US"/>
        </w:rPr>
        <w:t xml:space="preserve"> significa </w:t>
      </w:r>
      <w:r w:rsidR="008369AC" w:rsidRPr="00216226">
        <w:rPr>
          <w:rFonts w:eastAsia="MS Gothic"/>
          <w:lang w:val="es-ES_tradnl" w:eastAsia="en-US"/>
        </w:rPr>
        <w:t xml:space="preserve">en realidad </w:t>
      </w:r>
      <w:r w:rsidRPr="00216226">
        <w:rPr>
          <w:rFonts w:eastAsia="MS Gothic"/>
          <w:lang w:val="es-ES_tradnl" w:eastAsia="en-US"/>
        </w:rPr>
        <w:t>una qu</w:t>
      </w:r>
      <w:r w:rsidR="00C627C1">
        <w:rPr>
          <w:rFonts w:eastAsia="MS Gothic"/>
          <w:lang w:val="es-ES_tradnl" w:eastAsia="en-US"/>
        </w:rPr>
        <w:t>eja marcada como “</w:t>
      </w:r>
      <w:r w:rsidRPr="00216226">
        <w:rPr>
          <w:rFonts w:eastAsia="MS Gothic"/>
          <w:lang w:val="es-ES_tradnl" w:eastAsia="en-US"/>
        </w:rPr>
        <w:t>concluida</w:t>
      </w:r>
      <w:r w:rsidR="00C627C1">
        <w:rPr>
          <w:rFonts w:eastAsia="MS Gothic"/>
          <w:lang w:val="es-ES_tradnl" w:eastAsia="en-US"/>
        </w:rPr>
        <w:t>”</w:t>
      </w:r>
      <w:r w:rsidRPr="00216226">
        <w:rPr>
          <w:rFonts w:eastAsia="MS Gothic"/>
          <w:lang w:val="es-ES_tradnl" w:eastAsia="en-US"/>
        </w:rPr>
        <w:t>, ya que puede referirse al derecho violado restituido, a condición de la orientación personal, o que la conclusión de la queja sea un delito o un delito menor. En caso de actos ilegales, la persona debe acudir a los tribunales, lo que rara vez ocurre debido a la falta de recursos y apoyo, al temor a represalias y a la percepción de indefensión e impunidad (</w:t>
      </w:r>
      <w:bookmarkStart w:id="11" w:name="_Hlk8219047"/>
      <w:r w:rsidRPr="00216226">
        <w:rPr>
          <w:rFonts w:eastAsia="MS Gothic"/>
          <w:lang w:val="es-ES_tradnl" w:eastAsia="en-US"/>
        </w:rPr>
        <w:t>Visita de campo</w:t>
      </w:r>
      <w:bookmarkEnd w:id="11"/>
      <w:r w:rsidRPr="00216226">
        <w:rPr>
          <w:rFonts w:eastAsia="MS Gothic"/>
          <w:lang w:val="es-ES_tradnl" w:eastAsia="en-US"/>
        </w:rPr>
        <w:t>).</w:t>
      </w:r>
      <w:r w:rsidR="003D7B1A" w:rsidRPr="00216226">
        <w:rPr>
          <w:rFonts w:eastAsia="MS Gothic"/>
          <w:lang w:val="es-ES_tradnl" w:eastAsia="en-US"/>
        </w:rPr>
        <w:t xml:space="preserve"> </w:t>
      </w:r>
    </w:p>
    <w:p w14:paraId="3D988E1E" w14:textId="45655F94" w:rsidR="003D7B1A" w:rsidRPr="00216226" w:rsidRDefault="004B3528" w:rsidP="00C627C1">
      <w:pPr>
        <w:jc w:val="both"/>
        <w:rPr>
          <w:rFonts w:ascii="Calibri Light" w:eastAsia="MS Gothic" w:hAnsi="Calibri Light"/>
          <w:lang w:val="es-ES_tradnl" w:eastAsia="en-US"/>
        </w:rPr>
      </w:pPr>
      <w:r w:rsidRPr="0085736C">
        <w:rPr>
          <w:rFonts w:eastAsia="MS Gothic"/>
          <w:lang w:val="es-ES_tradnl" w:eastAsia="en-US"/>
        </w:rPr>
        <w:t>Resultados:</w:t>
      </w:r>
      <w:r w:rsidR="003D7B1A" w:rsidRPr="0085736C">
        <w:rPr>
          <w:rFonts w:eastAsia="MS Gothic"/>
          <w:lang w:val="es-ES_tradnl" w:eastAsia="en-US"/>
        </w:rPr>
        <w:t xml:space="preserve"> </w:t>
      </w:r>
      <w:r w:rsidR="0085736C" w:rsidRPr="0085736C">
        <w:rPr>
          <w:rFonts w:eastAsia="MS Gothic"/>
          <w:lang w:val="es-ES_tradnl" w:eastAsia="en-US"/>
        </w:rPr>
        <w:t xml:space="preserve"> </w:t>
      </w:r>
      <w:r w:rsidR="00D32C1B" w:rsidRPr="0085736C">
        <w:rPr>
          <w:rFonts w:eastAsia="MS Gothic"/>
          <w:lang w:val="es-ES_tradnl" w:eastAsia="en-US"/>
        </w:rPr>
        <w:t>La</w:t>
      </w:r>
      <w:r w:rsidR="00D32C1B" w:rsidRPr="00216226">
        <w:rPr>
          <w:rFonts w:eastAsia="MS Gothic"/>
          <w:lang w:val="es-ES_tradnl" w:eastAsia="en-US"/>
        </w:rPr>
        <w:t xml:space="preserve"> tabla a continuación, con datos del </w:t>
      </w:r>
      <w:r w:rsidR="00D32C1B" w:rsidRPr="001C51BB">
        <w:rPr>
          <w:rFonts w:eastAsia="MS Gothic"/>
          <w:i/>
          <w:lang w:val="es-ES_tradnl" w:eastAsia="en-US"/>
        </w:rPr>
        <w:t>PUDR</w:t>
      </w:r>
      <w:r w:rsidR="00D32C1B" w:rsidRPr="00216226">
        <w:rPr>
          <w:rFonts w:eastAsia="MS Gothic"/>
          <w:lang w:val="es-ES_tradnl" w:eastAsia="en-US"/>
        </w:rPr>
        <w:t xml:space="preserve"> </w:t>
      </w:r>
      <w:r w:rsidR="008369AC" w:rsidRPr="00216226">
        <w:rPr>
          <w:rFonts w:eastAsia="MS Gothic"/>
          <w:lang w:val="es-ES_tradnl" w:eastAsia="en-US"/>
        </w:rPr>
        <w:t xml:space="preserve">de </w:t>
      </w:r>
      <w:r w:rsidR="00D32C1B" w:rsidRPr="00216226">
        <w:rPr>
          <w:rFonts w:eastAsia="MS Gothic"/>
          <w:lang w:val="es-ES_tradnl" w:eastAsia="en-US"/>
        </w:rPr>
        <w:t xml:space="preserve">2017, muestra el porcentaje de poblaciones clave que están sometiéndose a pruebas en comparación con su respectivo </w:t>
      </w:r>
      <w:r w:rsidR="001C51BB" w:rsidRPr="001C51BB">
        <w:rPr>
          <w:rFonts w:eastAsia="MS Gothic"/>
          <w:i/>
          <w:lang w:val="es-ES_tradnl" w:eastAsia="en-US"/>
        </w:rPr>
        <w:t>PSE</w:t>
      </w:r>
      <w:r w:rsidR="001C51BB" w:rsidRPr="00216226">
        <w:rPr>
          <w:rFonts w:eastAsia="MS Gothic"/>
          <w:lang w:val="es-ES_tradnl" w:eastAsia="en-US"/>
        </w:rPr>
        <w:t xml:space="preserve"> </w:t>
      </w:r>
      <w:r w:rsidR="00D32C1B" w:rsidRPr="00216226">
        <w:rPr>
          <w:rFonts w:eastAsia="MS Gothic"/>
          <w:lang w:val="es-ES_tradnl" w:eastAsia="en-US"/>
        </w:rPr>
        <w:t xml:space="preserve">en 2015 y 2017. </w:t>
      </w:r>
      <w:r w:rsidR="00460210" w:rsidRPr="00216226">
        <w:rPr>
          <w:rFonts w:eastAsia="MS Gothic"/>
          <w:lang w:val="es-ES_tradnl" w:eastAsia="en-US"/>
        </w:rPr>
        <w:t xml:space="preserve">El RP actualmente está recopilando datos sobre las tasas de aceptabilidad de las pruebas por poblaciones clave y RS a fin de comprender mejor la distribución de la brecha de la prueba por grupo y ubicación. En cualquier caso, las tasas de prueba más bajas en trabajadoras sexuales y </w:t>
      </w:r>
      <w:r w:rsidR="003C6851">
        <w:rPr>
          <w:rFonts w:eastAsia="MS Gothic"/>
          <w:lang w:val="es-ES_tradnl" w:eastAsia="en-US"/>
        </w:rPr>
        <w:t>Garífuna</w:t>
      </w:r>
      <w:r w:rsidR="00460210" w:rsidRPr="00216226">
        <w:rPr>
          <w:rFonts w:eastAsia="MS Gothic"/>
          <w:lang w:val="es-ES_tradnl" w:eastAsia="en-US"/>
        </w:rPr>
        <w:t xml:space="preserve">s parecen ser consistentes con una menor cobertura en esas poblaciones </w:t>
      </w:r>
      <w:r w:rsidR="00D32C1B" w:rsidRPr="00216226">
        <w:rPr>
          <w:rFonts w:eastAsia="MS Gothic"/>
          <w:lang w:val="es-ES_tradnl" w:eastAsia="en-US"/>
        </w:rPr>
        <w:t>(</w:t>
      </w:r>
      <w:r w:rsidR="00460210" w:rsidRPr="00216226">
        <w:rPr>
          <w:rFonts w:eastAsia="MS Gothic"/>
          <w:lang w:val="es-ES_tradnl" w:eastAsia="en-US"/>
        </w:rPr>
        <w:t>ver</w:t>
      </w:r>
      <w:r w:rsidR="00D32C1B" w:rsidRPr="00216226">
        <w:rPr>
          <w:rFonts w:eastAsia="MS Gothic"/>
          <w:lang w:val="es-ES_tradnl" w:eastAsia="en-US"/>
        </w:rPr>
        <w:t xml:space="preserve"> tabl</w:t>
      </w:r>
      <w:r w:rsidR="00460210" w:rsidRPr="00216226">
        <w:rPr>
          <w:rFonts w:eastAsia="MS Gothic"/>
          <w:lang w:val="es-ES_tradnl" w:eastAsia="en-US"/>
        </w:rPr>
        <w:t>a</w:t>
      </w:r>
      <w:r w:rsidR="00D32C1B" w:rsidRPr="00216226">
        <w:rPr>
          <w:rFonts w:eastAsia="MS Gothic"/>
          <w:lang w:val="es-ES_tradnl" w:eastAsia="en-US"/>
        </w:rPr>
        <w:t xml:space="preserve"> 3; </w:t>
      </w:r>
      <w:r w:rsidR="00460210" w:rsidRPr="00216226">
        <w:rPr>
          <w:rFonts w:eastAsia="MS Gothic"/>
          <w:lang w:val="es-ES_tradnl" w:eastAsia="en-US"/>
        </w:rPr>
        <w:t>Visita de campo</w:t>
      </w:r>
      <w:r w:rsidR="00D32C1B" w:rsidRPr="00216226">
        <w:rPr>
          <w:rFonts w:eastAsia="MS Gothic"/>
          <w:lang w:val="es-ES_tradnl" w:eastAsia="en-US"/>
        </w:rPr>
        <w:t>).</w:t>
      </w:r>
    </w:p>
    <w:p w14:paraId="2090DC15" w14:textId="114B431A" w:rsidR="003D7B1A" w:rsidRPr="001C51BB" w:rsidRDefault="003D7B1A" w:rsidP="003D7B1A">
      <w:pPr>
        <w:keepNext/>
        <w:keepLines/>
        <w:spacing w:before="200" w:after="0"/>
        <w:outlineLvl w:val="2"/>
        <w:rPr>
          <w:rFonts w:ascii="Calibri Light" w:eastAsia="MS Gothic" w:hAnsi="Calibri Light" w:cs="Times New Roman"/>
          <w:b/>
          <w:bCs/>
          <w:sz w:val="20"/>
          <w:szCs w:val="20"/>
          <w:lang w:val="es-ES_tradnl" w:eastAsia="en-US"/>
        </w:rPr>
      </w:pPr>
      <w:bookmarkStart w:id="12" w:name="_Toc1149166"/>
      <w:r w:rsidRPr="00216226">
        <w:rPr>
          <w:rFonts w:ascii="Calibri Light" w:eastAsia="MS Gothic" w:hAnsi="Calibri Light" w:cs="Times New Roman"/>
          <w:b/>
          <w:bCs/>
          <w:sz w:val="20"/>
          <w:szCs w:val="20"/>
          <w:lang w:val="es-ES_tradnl" w:eastAsia="en-US"/>
        </w:rPr>
        <w:lastRenderedPageBreak/>
        <w:t>Tabl</w:t>
      </w:r>
      <w:r w:rsidR="00460210" w:rsidRPr="00216226">
        <w:rPr>
          <w:rFonts w:ascii="Calibri Light" w:eastAsia="MS Gothic" w:hAnsi="Calibri Light" w:cs="Times New Roman"/>
          <w:b/>
          <w:bCs/>
          <w:sz w:val="20"/>
          <w:szCs w:val="20"/>
          <w:lang w:val="es-ES_tradnl" w:eastAsia="en-US"/>
        </w:rPr>
        <w:t>a</w:t>
      </w:r>
      <w:r w:rsidRPr="00216226">
        <w:rPr>
          <w:rFonts w:ascii="Calibri Light" w:eastAsia="MS Gothic" w:hAnsi="Calibri Light" w:cs="Times New Roman"/>
          <w:b/>
          <w:bCs/>
          <w:sz w:val="20"/>
          <w:szCs w:val="20"/>
          <w:lang w:val="es-ES_tradnl" w:eastAsia="en-US"/>
        </w:rPr>
        <w:t xml:space="preserve"> </w:t>
      </w:r>
      <w:r w:rsidR="00A96806" w:rsidRPr="00216226">
        <w:rPr>
          <w:rFonts w:ascii="Calibri Light" w:eastAsia="MS Gothic" w:hAnsi="Calibri Light" w:cs="Times New Roman"/>
          <w:b/>
          <w:bCs/>
          <w:sz w:val="20"/>
          <w:szCs w:val="20"/>
          <w:lang w:val="es-ES_tradnl" w:eastAsia="en-US"/>
        </w:rPr>
        <w:t>3</w:t>
      </w:r>
      <w:r w:rsidRPr="00216226">
        <w:rPr>
          <w:rFonts w:ascii="Calibri Light" w:eastAsia="MS Gothic" w:hAnsi="Calibri Light" w:cs="Times New Roman"/>
          <w:b/>
          <w:bCs/>
          <w:sz w:val="20"/>
          <w:szCs w:val="20"/>
          <w:lang w:val="es-ES_tradnl" w:eastAsia="en-US"/>
        </w:rPr>
        <w:t>: P</w:t>
      </w:r>
      <w:r w:rsidR="00460210" w:rsidRPr="00216226">
        <w:rPr>
          <w:rFonts w:ascii="Calibri Light" w:eastAsia="MS Gothic" w:hAnsi="Calibri Light" w:cs="Times New Roman"/>
          <w:b/>
          <w:bCs/>
          <w:sz w:val="20"/>
          <w:szCs w:val="20"/>
          <w:lang w:val="es-ES_tradnl" w:eastAsia="en-US"/>
        </w:rPr>
        <w:t>o</w:t>
      </w:r>
      <w:r w:rsidRPr="00216226">
        <w:rPr>
          <w:rFonts w:ascii="Calibri Light" w:eastAsia="MS Gothic" w:hAnsi="Calibri Light" w:cs="Times New Roman"/>
          <w:b/>
          <w:bCs/>
          <w:sz w:val="20"/>
          <w:szCs w:val="20"/>
          <w:lang w:val="es-ES_tradnl" w:eastAsia="en-US"/>
        </w:rPr>
        <w:t>rcenta</w:t>
      </w:r>
      <w:r w:rsidR="00460210" w:rsidRPr="00216226">
        <w:rPr>
          <w:rFonts w:ascii="Calibri Light" w:eastAsia="MS Gothic" w:hAnsi="Calibri Light" w:cs="Times New Roman"/>
          <w:b/>
          <w:bCs/>
          <w:sz w:val="20"/>
          <w:szCs w:val="20"/>
          <w:lang w:val="es-ES_tradnl" w:eastAsia="en-US"/>
        </w:rPr>
        <w:t>je de</w:t>
      </w:r>
      <w:r w:rsidRPr="00216226">
        <w:rPr>
          <w:rFonts w:ascii="Calibri Light" w:eastAsia="MS Gothic" w:hAnsi="Calibri Light" w:cs="Times New Roman"/>
          <w:b/>
          <w:bCs/>
          <w:sz w:val="20"/>
          <w:szCs w:val="20"/>
          <w:lang w:val="es-ES_tradnl" w:eastAsia="en-US"/>
        </w:rPr>
        <w:t xml:space="preserve"> </w:t>
      </w:r>
      <w:r w:rsidR="0097517B" w:rsidRPr="00216226">
        <w:rPr>
          <w:rFonts w:ascii="Calibri Light" w:eastAsia="MS Gothic" w:hAnsi="Calibri Light" w:cs="Times New Roman"/>
          <w:b/>
          <w:bCs/>
          <w:sz w:val="20"/>
          <w:szCs w:val="20"/>
          <w:lang w:val="es-ES_tradnl" w:eastAsia="en-US"/>
        </w:rPr>
        <w:t>poblaciones clave</w:t>
      </w:r>
      <w:r w:rsidRPr="00216226">
        <w:rPr>
          <w:rFonts w:ascii="Calibri Light" w:eastAsia="MS Gothic" w:hAnsi="Calibri Light" w:cs="Times New Roman"/>
          <w:b/>
          <w:bCs/>
          <w:sz w:val="20"/>
          <w:szCs w:val="20"/>
          <w:lang w:val="es-ES_tradnl" w:eastAsia="en-US"/>
        </w:rPr>
        <w:t xml:space="preserve"> </w:t>
      </w:r>
      <w:r w:rsidR="00460210" w:rsidRPr="00216226">
        <w:rPr>
          <w:rFonts w:ascii="Calibri Light" w:eastAsia="MS Gothic" w:hAnsi="Calibri Light" w:cs="Times New Roman"/>
          <w:b/>
          <w:bCs/>
          <w:sz w:val="20"/>
          <w:szCs w:val="20"/>
          <w:lang w:val="es-ES_tradnl" w:eastAsia="en-US"/>
        </w:rPr>
        <w:t>sometidas a pruebas de</w:t>
      </w:r>
      <w:r w:rsidRPr="00216226">
        <w:rPr>
          <w:rFonts w:ascii="Calibri Light" w:eastAsia="MS Gothic" w:hAnsi="Calibri Light" w:cs="Times New Roman"/>
          <w:b/>
          <w:bCs/>
          <w:sz w:val="20"/>
          <w:szCs w:val="20"/>
          <w:lang w:val="es-ES_tradnl" w:eastAsia="en-US"/>
        </w:rPr>
        <w:t xml:space="preserve"> HIV </w:t>
      </w:r>
      <w:r w:rsidR="00460210" w:rsidRPr="00216226">
        <w:rPr>
          <w:rFonts w:ascii="Calibri Light" w:eastAsia="MS Gothic" w:hAnsi="Calibri Light" w:cs="Times New Roman"/>
          <w:b/>
          <w:bCs/>
          <w:sz w:val="20"/>
          <w:szCs w:val="20"/>
          <w:lang w:val="es-ES_tradnl" w:eastAsia="en-US"/>
        </w:rPr>
        <w:t>e</w:t>
      </w:r>
      <w:r w:rsidRPr="00216226">
        <w:rPr>
          <w:rFonts w:ascii="Calibri Light" w:eastAsia="MS Gothic" w:hAnsi="Calibri Light" w:cs="Times New Roman"/>
          <w:b/>
          <w:bCs/>
          <w:sz w:val="20"/>
          <w:szCs w:val="20"/>
          <w:lang w:val="es-ES_tradnl" w:eastAsia="en-US"/>
        </w:rPr>
        <w:t xml:space="preserve">n 2015 </w:t>
      </w:r>
      <w:r w:rsidR="00460210" w:rsidRPr="00216226">
        <w:rPr>
          <w:rFonts w:ascii="Calibri Light" w:eastAsia="MS Gothic" w:hAnsi="Calibri Light" w:cs="Times New Roman"/>
          <w:b/>
          <w:bCs/>
          <w:sz w:val="20"/>
          <w:szCs w:val="20"/>
          <w:lang w:val="es-ES_tradnl" w:eastAsia="en-US"/>
        </w:rPr>
        <w:t>y</w:t>
      </w:r>
      <w:r w:rsidRPr="00216226">
        <w:rPr>
          <w:rFonts w:ascii="Calibri Light" w:eastAsia="MS Gothic" w:hAnsi="Calibri Light" w:cs="Times New Roman"/>
          <w:b/>
          <w:bCs/>
          <w:sz w:val="20"/>
          <w:szCs w:val="20"/>
          <w:lang w:val="es-ES_tradnl" w:eastAsia="en-US"/>
        </w:rPr>
        <w:t xml:space="preserve"> 2017 </w:t>
      </w:r>
      <w:r w:rsidR="00460210" w:rsidRPr="001C51BB">
        <w:rPr>
          <w:rFonts w:ascii="Calibri Light" w:eastAsia="MS Gothic" w:hAnsi="Calibri Light" w:cs="Times New Roman"/>
          <w:b/>
          <w:bCs/>
          <w:sz w:val="20"/>
          <w:szCs w:val="20"/>
          <w:lang w:val="es-ES_tradnl" w:eastAsia="en-US"/>
        </w:rPr>
        <w:t>frente a</w:t>
      </w:r>
      <w:r w:rsidR="00AD1911" w:rsidRPr="001C51BB">
        <w:rPr>
          <w:rFonts w:ascii="Calibri Light" w:eastAsia="MS Gothic" w:hAnsi="Calibri Light" w:cs="Times New Roman"/>
          <w:b/>
          <w:bCs/>
          <w:sz w:val="20"/>
          <w:szCs w:val="20"/>
          <w:lang w:val="es-ES_tradnl" w:eastAsia="en-US"/>
        </w:rPr>
        <w:t xml:space="preserve">l </w:t>
      </w:r>
      <w:bookmarkEnd w:id="12"/>
      <w:r w:rsidR="001C51BB" w:rsidRPr="001C51BB">
        <w:rPr>
          <w:rFonts w:eastAsia="MS Gothic"/>
          <w:b/>
          <w:i/>
          <w:lang w:val="es-ES_tradnl" w:eastAsia="en-US"/>
        </w:rPr>
        <w:t>PSE</w:t>
      </w:r>
    </w:p>
    <w:tbl>
      <w:tblPr>
        <w:tblStyle w:val="TableGrid1"/>
        <w:tblW w:w="5000" w:type="pct"/>
        <w:tblLook w:val="04A0" w:firstRow="1" w:lastRow="0" w:firstColumn="1" w:lastColumn="0" w:noHBand="0" w:noVBand="1"/>
      </w:tblPr>
      <w:tblGrid>
        <w:gridCol w:w="1308"/>
        <w:gridCol w:w="1411"/>
        <w:gridCol w:w="2099"/>
        <w:gridCol w:w="2097"/>
        <w:gridCol w:w="2101"/>
      </w:tblGrid>
      <w:tr w:rsidR="003D7B1A" w:rsidRPr="009A4A93" w14:paraId="773C6C22" w14:textId="77777777" w:rsidTr="003D7B1A">
        <w:tc>
          <w:tcPr>
            <w:tcW w:w="725" w:type="pct"/>
            <w:shd w:val="clear" w:color="auto" w:fill="E7E6E6"/>
          </w:tcPr>
          <w:p w14:paraId="7057DA88" w14:textId="04CEF4CF" w:rsidR="003D7B1A" w:rsidRPr="00216226" w:rsidRDefault="00460210"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Poblaciones </w:t>
            </w:r>
            <w:r w:rsidR="0097517B" w:rsidRPr="00216226">
              <w:rPr>
                <w:rFonts w:ascii="Calibri Light" w:eastAsia="MS Gothic" w:hAnsi="Calibri Light" w:cs="Calibri Light"/>
                <w:b/>
                <w:sz w:val="20"/>
                <w:szCs w:val="20"/>
                <w:lang w:val="es-ES_tradnl"/>
              </w:rPr>
              <w:t>clave</w:t>
            </w:r>
          </w:p>
        </w:tc>
        <w:tc>
          <w:tcPr>
            <w:tcW w:w="782" w:type="pct"/>
            <w:shd w:val="clear" w:color="auto" w:fill="E7E6E6"/>
          </w:tcPr>
          <w:p w14:paraId="7567897E" w14:textId="77777777" w:rsidR="003D7B1A" w:rsidRPr="001C51BB" w:rsidRDefault="003D7B1A" w:rsidP="003D7B1A">
            <w:pPr>
              <w:jc w:val="center"/>
              <w:rPr>
                <w:rFonts w:ascii="Calibri Light" w:eastAsia="MS Gothic" w:hAnsi="Calibri Light" w:cs="Calibri Light"/>
                <w:b/>
                <w:i/>
                <w:sz w:val="20"/>
                <w:szCs w:val="20"/>
                <w:lang w:val="es-ES_tradnl"/>
              </w:rPr>
            </w:pPr>
            <w:r w:rsidRPr="001C51BB">
              <w:rPr>
                <w:rFonts w:ascii="Calibri Light" w:eastAsia="MS Gothic" w:hAnsi="Calibri Light" w:cs="Calibri Light"/>
                <w:b/>
                <w:i/>
                <w:sz w:val="20"/>
                <w:szCs w:val="20"/>
                <w:lang w:val="es-ES_tradnl"/>
              </w:rPr>
              <w:t>PSE</w:t>
            </w:r>
          </w:p>
        </w:tc>
        <w:tc>
          <w:tcPr>
            <w:tcW w:w="1164" w:type="pct"/>
            <w:shd w:val="clear" w:color="auto" w:fill="E7E6E6"/>
          </w:tcPr>
          <w:p w14:paraId="20128ACE" w14:textId="4B4F7301" w:rsidR="003D7B1A" w:rsidRPr="00216226" w:rsidRDefault="00AD1911"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Base de </w:t>
            </w:r>
            <w:r w:rsidR="003D7B1A" w:rsidRPr="00216226">
              <w:rPr>
                <w:rFonts w:ascii="Calibri Light" w:eastAsia="MS Gothic" w:hAnsi="Calibri Light" w:cs="Calibri Light"/>
                <w:b/>
                <w:sz w:val="20"/>
                <w:szCs w:val="20"/>
                <w:lang w:val="es-ES_tradnl"/>
              </w:rPr>
              <w:t xml:space="preserve">2015 </w:t>
            </w:r>
            <w:r w:rsidRPr="00216226">
              <w:rPr>
                <w:rFonts w:ascii="Calibri Light" w:eastAsia="MS Gothic" w:hAnsi="Calibri Light" w:cs="Calibri Light"/>
                <w:b/>
                <w:sz w:val="20"/>
                <w:szCs w:val="20"/>
                <w:lang w:val="es-ES_tradnl"/>
              </w:rPr>
              <w:t xml:space="preserve">frente a </w:t>
            </w:r>
            <w:r w:rsidR="003D7B1A" w:rsidRPr="001C51BB">
              <w:rPr>
                <w:rFonts w:ascii="Calibri Light" w:eastAsia="MS Gothic" w:hAnsi="Calibri Light" w:cs="Calibri Light"/>
                <w:b/>
                <w:i/>
                <w:sz w:val="20"/>
                <w:szCs w:val="20"/>
                <w:lang w:val="es-ES_tradnl"/>
              </w:rPr>
              <w:t>PSE</w:t>
            </w:r>
          </w:p>
        </w:tc>
        <w:tc>
          <w:tcPr>
            <w:tcW w:w="1163" w:type="pct"/>
            <w:shd w:val="clear" w:color="auto" w:fill="E7E6E6"/>
          </w:tcPr>
          <w:p w14:paraId="0263C733" w14:textId="7637E37A" w:rsidR="003D7B1A" w:rsidRPr="00216226" w:rsidRDefault="00AD1911"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Sometidas </w:t>
            </w:r>
            <w:r w:rsidR="00460210" w:rsidRPr="00216226">
              <w:rPr>
                <w:rFonts w:ascii="Calibri Light" w:eastAsia="MS Gothic" w:hAnsi="Calibri Light" w:cs="Calibri Light"/>
                <w:b/>
                <w:sz w:val="20"/>
                <w:szCs w:val="20"/>
                <w:lang w:val="es-ES_tradnl"/>
              </w:rPr>
              <w:t xml:space="preserve">a pruebas </w:t>
            </w:r>
            <w:r w:rsidRPr="00216226">
              <w:rPr>
                <w:rFonts w:ascii="Calibri Light" w:eastAsia="MS Gothic" w:hAnsi="Calibri Light" w:cs="Calibri Light"/>
                <w:b/>
                <w:sz w:val="20"/>
                <w:szCs w:val="20"/>
                <w:lang w:val="es-ES_tradnl"/>
              </w:rPr>
              <w:t xml:space="preserve">en 2017 frente a </w:t>
            </w:r>
            <w:r w:rsidR="003D7B1A" w:rsidRPr="001C51BB">
              <w:rPr>
                <w:rFonts w:ascii="Calibri Light" w:eastAsia="MS Gothic" w:hAnsi="Calibri Light" w:cs="Calibri Light"/>
                <w:b/>
                <w:i/>
                <w:sz w:val="20"/>
                <w:szCs w:val="20"/>
                <w:lang w:val="es-ES_tradnl"/>
              </w:rPr>
              <w:t>PSE</w:t>
            </w:r>
          </w:p>
        </w:tc>
        <w:tc>
          <w:tcPr>
            <w:tcW w:w="1165" w:type="pct"/>
            <w:shd w:val="clear" w:color="auto" w:fill="E7E6E6"/>
          </w:tcPr>
          <w:p w14:paraId="48DD9225" w14:textId="65D29419" w:rsidR="003D7B1A" w:rsidRPr="00216226" w:rsidRDefault="003D7B1A" w:rsidP="003D7B1A">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 </w:t>
            </w:r>
            <w:r w:rsidR="00460210" w:rsidRPr="00216226">
              <w:rPr>
                <w:rFonts w:ascii="Calibri Light" w:eastAsia="MS Gothic" w:hAnsi="Calibri Light" w:cs="Calibri Light"/>
                <w:b/>
                <w:sz w:val="20"/>
                <w:szCs w:val="20"/>
                <w:lang w:val="es-ES_tradnl"/>
              </w:rPr>
              <w:t>sometid</w:t>
            </w:r>
            <w:r w:rsidR="00AD1911" w:rsidRPr="00216226">
              <w:rPr>
                <w:rFonts w:ascii="Calibri Light" w:eastAsia="MS Gothic" w:hAnsi="Calibri Light" w:cs="Calibri Light"/>
                <w:b/>
                <w:sz w:val="20"/>
                <w:szCs w:val="20"/>
                <w:lang w:val="es-ES_tradnl"/>
              </w:rPr>
              <w:t>o</w:t>
            </w:r>
            <w:r w:rsidR="00460210" w:rsidRPr="00216226">
              <w:rPr>
                <w:rFonts w:ascii="Calibri Light" w:eastAsia="MS Gothic" w:hAnsi="Calibri Light" w:cs="Calibri Light"/>
                <w:b/>
                <w:sz w:val="20"/>
                <w:szCs w:val="20"/>
                <w:lang w:val="es-ES_tradnl"/>
              </w:rPr>
              <w:t xml:space="preserve"> a pruebas e</w:t>
            </w:r>
            <w:r w:rsidRPr="00216226">
              <w:rPr>
                <w:rFonts w:ascii="Calibri Light" w:eastAsia="MS Gothic" w:hAnsi="Calibri Light" w:cs="Calibri Light"/>
                <w:b/>
                <w:sz w:val="20"/>
                <w:szCs w:val="20"/>
                <w:lang w:val="es-ES_tradnl"/>
              </w:rPr>
              <w:t xml:space="preserve">n 2017 </w:t>
            </w:r>
            <w:r w:rsidR="00460210" w:rsidRPr="00216226">
              <w:rPr>
                <w:rFonts w:ascii="Calibri Light" w:eastAsia="MS Gothic" w:hAnsi="Calibri Light" w:cs="Calibri Light"/>
                <w:b/>
                <w:sz w:val="20"/>
                <w:szCs w:val="20"/>
                <w:lang w:val="es-ES_tradnl"/>
              </w:rPr>
              <w:t>a través de actividades apoyadas por el Fondo Mundial</w:t>
            </w:r>
          </w:p>
        </w:tc>
      </w:tr>
      <w:tr w:rsidR="003D7B1A" w:rsidRPr="00216226" w14:paraId="1FF4C738" w14:textId="77777777" w:rsidTr="007927C3">
        <w:tc>
          <w:tcPr>
            <w:tcW w:w="725" w:type="pct"/>
          </w:tcPr>
          <w:p w14:paraId="640D4B43" w14:textId="49BC7214" w:rsidR="003D7B1A" w:rsidRPr="00216226" w:rsidRDefault="00460210" w:rsidP="003D7B1A">
            <w:pPr>
              <w:jc w:val="both"/>
              <w:rPr>
                <w:rFonts w:eastAsia="MS Gothic" w:cs="Calibri"/>
                <w:sz w:val="20"/>
                <w:szCs w:val="20"/>
                <w:lang w:val="es-ES_tradnl"/>
              </w:rPr>
            </w:pPr>
            <w:r w:rsidRPr="00216226">
              <w:rPr>
                <w:rFonts w:eastAsia="MS Gothic" w:cs="Calibri"/>
                <w:sz w:val="20"/>
                <w:szCs w:val="20"/>
                <w:lang w:val="es-ES_tradnl"/>
              </w:rPr>
              <w:t>HSH</w:t>
            </w:r>
          </w:p>
        </w:tc>
        <w:tc>
          <w:tcPr>
            <w:tcW w:w="782" w:type="pct"/>
          </w:tcPr>
          <w:p w14:paraId="6D0D2D5E"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40,949</w:t>
            </w:r>
          </w:p>
        </w:tc>
        <w:tc>
          <w:tcPr>
            <w:tcW w:w="1164" w:type="pct"/>
          </w:tcPr>
          <w:p w14:paraId="2D925BCC"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33.80%</w:t>
            </w:r>
          </w:p>
        </w:tc>
        <w:tc>
          <w:tcPr>
            <w:tcW w:w="1163" w:type="pct"/>
          </w:tcPr>
          <w:p w14:paraId="62D86345"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38.85%</w:t>
            </w:r>
          </w:p>
        </w:tc>
        <w:tc>
          <w:tcPr>
            <w:tcW w:w="1165" w:type="pct"/>
          </w:tcPr>
          <w:p w14:paraId="226536D1"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75.60%</w:t>
            </w:r>
          </w:p>
        </w:tc>
      </w:tr>
      <w:tr w:rsidR="003D7B1A" w:rsidRPr="00216226" w14:paraId="58BC7722" w14:textId="77777777" w:rsidTr="007927C3">
        <w:tc>
          <w:tcPr>
            <w:tcW w:w="725" w:type="pct"/>
          </w:tcPr>
          <w:p w14:paraId="0C8B7A47" w14:textId="77E01EA3" w:rsidR="003D7B1A" w:rsidRPr="00216226" w:rsidRDefault="009F1A90" w:rsidP="009F1A90">
            <w:pPr>
              <w:jc w:val="both"/>
              <w:rPr>
                <w:rFonts w:eastAsia="MS Gothic" w:cs="Calibri"/>
                <w:sz w:val="20"/>
                <w:szCs w:val="20"/>
                <w:lang w:val="es-ES_tradnl"/>
              </w:rPr>
            </w:pPr>
            <w:r>
              <w:rPr>
                <w:rFonts w:eastAsia="MS Gothic" w:cs="Calibri"/>
                <w:sz w:val="20"/>
                <w:szCs w:val="20"/>
                <w:lang w:val="es-ES_tradnl"/>
              </w:rPr>
              <w:t>Mujeres transgénero</w:t>
            </w:r>
          </w:p>
        </w:tc>
        <w:tc>
          <w:tcPr>
            <w:tcW w:w="782" w:type="pct"/>
          </w:tcPr>
          <w:p w14:paraId="5DDE9B7B"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2,975</w:t>
            </w:r>
          </w:p>
        </w:tc>
        <w:tc>
          <w:tcPr>
            <w:tcW w:w="1164" w:type="pct"/>
          </w:tcPr>
          <w:p w14:paraId="3FFFA589"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12.50%</w:t>
            </w:r>
          </w:p>
        </w:tc>
        <w:tc>
          <w:tcPr>
            <w:tcW w:w="1163" w:type="pct"/>
          </w:tcPr>
          <w:p w14:paraId="4D7E492B"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20.44%</w:t>
            </w:r>
          </w:p>
        </w:tc>
        <w:tc>
          <w:tcPr>
            <w:tcW w:w="1165" w:type="pct"/>
          </w:tcPr>
          <w:p w14:paraId="00C9CCA5"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64.60%</w:t>
            </w:r>
          </w:p>
        </w:tc>
      </w:tr>
      <w:tr w:rsidR="003D7B1A" w:rsidRPr="00216226" w14:paraId="54D40114" w14:textId="77777777" w:rsidTr="007927C3">
        <w:tc>
          <w:tcPr>
            <w:tcW w:w="725" w:type="pct"/>
          </w:tcPr>
          <w:p w14:paraId="51333F19" w14:textId="6298FC14" w:rsidR="003D7B1A" w:rsidRPr="00216226" w:rsidRDefault="00460210" w:rsidP="003D7B1A">
            <w:pPr>
              <w:jc w:val="both"/>
              <w:rPr>
                <w:rFonts w:eastAsia="MS Gothic" w:cs="Calibri"/>
                <w:sz w:val="20"/>
                <w:szCs w:val="20"/>
                <w:lang w:val="es-ES_tradnl"/>
              </w:rPr>
            </w:pPr>
            <w:r w:rsidRPr="00216226">
              <w:rPr>
                <w:rFonts w:eastAsia="MS Gothic" w:cs="Calibri"/>
                <w:sz w:val="20"/>
                <w:szCs w:val="20"/>
                <w:lang w:val="es-ES_tradnl"/>
              </w:rPr>
              <w:t>Trabajadoras sexuales</w:t>
            </w:r>
          </w:p>
        </w:tc>
        <w:tc>
          <w:tcPr>
            <w:tcW w:w="782" w:type="pct"/>
          </w:tcPr>
          <w:p w14:paraId="36088F07"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22,771</w:t>
            </w:r>
          </w:p>
        </w:tc>
        <w:tc>
          <w:tcPr>
            <w:tcW w:w="1164" w:type="pct"/>
          </w:tcPr>
          <w:p w14:paraId="0163DD6F"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45.70%</w:t>
            </w:r>
          </w:p>
        </w:tc>
        <w:tc>
          <w:tcPr>
            <w:tcW w:w="1163" w:type="pct"/>
          </w:tcPr>
          <w:p w14:paraId="6F328F4A"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25.55%</w:t>
            </w:r>
          </w:p>
        </w:tc>
        <w:tc>
          <w:tcPr>
            <w:tcW w:w="1165" w:type="pct"/>
          </w:tcPr>
          <w:p w14:paraId="01AFEAEC"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57.60%</w:t>
            </w:r>
          </w:p>
        </w:tc>
      </w:tr>
      <w:tr w:rsidR="003D7B1A" w:rsidRPr="00216226" w14:paraId="6077696C" w14:textId="77777777" w:rsidTr="007927C3">
        <w:tc>
          <w:tcPr>
            <w:tcW w:w="725" w:type="pct"/>
          </w:tcPr>
          <w:p w14:paraId="643A2F96" w14:textId="31EFA6F9" w:rsidR="003D7B1A" w:rsidRPr="00216226" w:rsidRDefault="003C6851" w:rsidP="003D7B1A">
            <w:pPr>
              <w:jc w:val="both"/>
              <w:rPr>
                <w:rFonts w:eastAsia="MS Gothic" w:cs="Calibri"/>
                <w:sz w:val="20"/>
                <w:szCs w:val="20"/>
                <w:lang w:val="es-ES_tradnl"/>
              </w:rPr>
            </w:pPr>
            <w:r>
              <w:rPr>
                <w:rFonts w:eastAsia="MS Gothic" w:cs="Calibri"/>
                <w:sz w:val="20"/>
                <w:szCs w:val="20"/>
                <w:lang w:val="es-ES_tradnl"/>
              </w:rPr>
              <w:t>Garífuna</w:t>
            </w:r>
            <w:r w:rsidR="00460210" w:rsidRPr="00216226">
              <w:rPr>
                <w:rFonts w:eastAsia="MS Gothic" w:cs="Calibri"/>
                <w:sz w:val="20"/>
                <w:szCs w:val="20"/>
                <w:lang w:val="es-ES_tradnl"/>
              </w:rPr>
              <w:t xml:space="preserve"> </w:t>
            </w:r>
            <w:r w:rsidR="003D7B1A" w:rsidRPr="00216226">
              <w:rPr>
                <w:rFonts w:eastAsia="MS Gothic" w:cs="Calibri"/>
                <w:sz w:val="20"/>
                <w:szCs w:val="20"/>
                <w:lang w:val="es-ES_tradnl"/>
              </w:rPr>
              <w:t xml:space="preserve"> </w:t>
            </w:r>
          </w:p>
        </w:tc>
        <w:tc>
          <w:tcPr>
            <w:tcW w:w="782" w:type="pct"/>
          </w:tcPr>
          <w:p w14:paraId="27407DBD"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30,079</w:t>
            </w:r>
          </w:p>
        </w:tc>
        <w:tc>
          <w:tcPr>
            <w:tcW w:w="1164" w:type="pct"/>
          </w:tcPr>
          <w:p w14:paraId="702472E1"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58.60%</w:t>
            </w:r>
          </w:p>
        </w:tc>
        <w:tc>
          <w:tcPr>
            <w:tcW w:w="1163" w:type="pct"/>
          </w:tcPr>
          <w:p w14:paraId="41581CEC"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29.68%</w:t>
            </w:r>
          </w:p>
        </w:tc>
        <w:tc>
          <w:tcPr>
            <w:tcW w:w="1165" w:type="pct"/>
          </w:tcPr>
          <w:p w14:paraId="6C5A54E3"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90.5%</w:t>
            </w:r>
          </w:p>
        </w:tc>
      </w:tr>
      <w:tr w:rsidR="003D7B1A" w:rsidRPr="00216226" w14:paraId="79214514" w14:textId="77777777" w:rsidTr="007927C3">
        <w:tc>
          <w:tcPr>
            <w:tcW w:w="725" w:type="pct"/>
          </w:tcPr>
          <w:p w14:paraId="60142FDF" w14:textId="3401870D" w:rsidR="003D7B1A" w:rsidRPr="00216226" w:rsidRDefault="00CB285B" w:rsidP="003D7B1A">
            <w:pPr>
              <w:jc w:val="both"/>
              <w:rPr>
                <w:rFonts w:eastAsia="MS Gothic" w:cs="Calibri"/>
                <w:sz w:val="20"/>
                <w:szCs w:val="20"/>
                <w:lang w:val="es-ES_tradnl"/>
              </w:rPr>
            </w:pPr>
            <w:r>
              <w:rPr>
                <w:rFonts w:eastAsia="MS Gothic" w:cs="Calibri"/>
                <w:sz w:val="20"/>
                <w:szCs w:val="20"/>
                <w:lang w:val="es-ES_tradnl"/>
              </w:rPr>
              <w:t>PPL</w:t>
            </w:r>
          </w:p>
        </w:tc>
        <w:tc>
          <w:tcPr>
            <w:tcW w:w="782" w:type="pct"/>
          </w:tcPr>
          <w:p w14:paraId="017D5D79"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16,920</w:t>
            </w:r>
          </w:p>
        </w:tc>
        <w:tc>
          <w:tcPr>
            <w:tcW w:w="1164" w:type="pct"/>
          </w:tcPr>
          <w:p w14:paraId="4177AE2B"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47.00%</w:t>
            </w:r>
          </w:p>
          <w:p w14:paraId="27617ED7" w14:textId="4C7422CB"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(no</w:t>
            </w:r>
            <w:r w:rsidR="00AD1911" w:rsidRPr="00216226">
              <w:rPr>
                <w:rFonts w:eastAsia="MS Gothic" w:cs="Calibri"/>
                <w:sz w:val="20"/>
                <w:szCs w:val="20"/>
                <w:lang w:val="es-ES_tradnl"/>
              </w:rPr>
              <w:t xml:space="preserve"> frente a</w:t>
            </w:r>
            <w:r w:rsidRPr="00216226">
              <w:rPr>
                <w:rFonts w:eastAsia="MS Gothic" w:cs="Calibri"/>
                <w:sz w:val="20"/>
                <w:szCs w:val="20"/>
                <w:lang w:val="es-ES_tradnl"/>
              </w:rPr>
              <w:t xml:space="preserve"> </w:t>
            </w:r>
            <w:r w:rsidRPr="001C51BB">
              <w:rPr>
                <w:rFonts w:eastAsia="MS Gothic" w:cs="Calibri"/>
                <w:i/>
                <w:sz w:val="20"/>
                <w:szCs w:val="20"/>
                <w:lang w:val="es-ES_tradnl"/>
              </w:rPr>
              <w:t>PSE</w:t>
            </w:r>
            <w:r w:rsidR="00AD1911" w:rsidRPr="00216226">
              <w:rPr>
                <w:rFonts w:eastAsia="MS Gothic" w:cs="Calibri"/>
                <w:sz w:val="20"/>
                <w:szCs w:val="20"/>
                <w:lang w:val="es-ES_tradnl"/>
              </w:rPr>
              <w:t>, sino en base a encuesta</w:t>
            </w:r>
            <w:r w:rsidRPr="00216226">
              <w:rPr>
                <w:rFonts w:eastAsia="MS Gothic" w:cs="Calibri"/>
                <w:sz w:val="20"/>
                <w:szCs w:val="20"/>
                <w:lang w:val="es-ES_tradnl"/>
              </w:rPr>
              <w:t>)</w:t>
            </w:r>
          </w:p>
        </w:tc>
        <w:tc>
          <w:tcPr>
            <w:tcW w:w="1163" w:type="pct"/>
          </w:tcPr>
          <w:p w14:paraId="624BCD87"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40.09%</w:t>
            </w:r>
          </w:p>
        </w:tc>
        <w:tc>
          <w:tcPr>
            <w:tcW w:w="1165" w:type="pct"/>
          </w:tcPr>
          <w:p w14:paraId="1118A291" w14:textId="77777777" w:rsidR="003D7B1A" w:rsidRPr="00216226" w:rsidRDefault="003D7B1A" w:rsidP="003D7B1A">
            <w:pPr>
              <w:rPr>
                <w:rFonts w:eastAsia="MS Gothic" w:cs="Calibri"/>
                <w:sz w:val="20"/>
                <w:szCs w:val="20"/>
                <w:lang w:val="es-ES_tradnl"/>
              </w:rPr>
            </w:pPr>
            <w:r w:rsidRPr="00216226">
              <w:rPr>
                <w:rFonts w:eastAsia="MS Gothic" w:cs="Calibri"/>
                <w:sz w:val="20"/>
                <w:szCs w:val="20"/>
                <w:lang w:val="es-ES_tradnl"/>
              </w:rPr>
              <w:t>100%</w:t>
            </w:r>
          </w:p>
        </w:tc>
      </w:tr>
    </w:tbl>
    <w:p w14:paraId="0C63F725" w14:textId="7B63F91D" w:rsidR="003D7B1A" w:rsidRPr="00216226" w:rsidRDefault="00460210" w:rsidP="003D7B1A">
      <w:pPr>
        <w:jc w:val="both"/>
        <w:rPr>
          <w:rFonts w:eastAsia="MS Gothic"/>
          <w:i/>
          <w:sz w:val="20"/>
          <w:szCs w:val="20"/>
          <w:lang w:val="es-ES_tradnl" w:eastAsia="en-US"/>
        </w:rPr>
      </w:pPr>
      <w:r w:rsidRPr="00216226">
        <w:rPr>
          <w:rFonts w:eastAsia="MS Gothic"/>
          <w:i/>
          <w:sz w:val="20"/>
          <w:szCs w:val="20"/>
          <w:lang w:val="es-ES_tradnl" w:eastAsia="en-US"/>
        </w:rPr>
        <w:t>Fuente</w:t>
      </w:r>
      <w:r w:rsidR="003D7B1A" w:rsidRPr="00216226">
        <w:rPr>
          <w:rFonts w:eastAsia="MS Gothic"/>
          <w:i/>
          <w:sz w:val="20"/>
          <w:szCs w:val="20"/>
          <w:lang w:val="es-ES_tradnl" w:eastAsia="en-US"/>
        </w:rPr>
        <w:t xml:space="preserve">: </w:t>
      </w:r>
      <w:r w:rsidR="003D7B1A" w:rsidRPr="001C51BB">
        <w:rPr>
          <w:rFonts w:eastAsia="MS Gothic"/>
          <w:sz w:val="20"/>
          <w:szCs w:val="20"/>
          <w:lang w:val="es-ES_tradnl" w:eastAsia="en-US"/>
        </w:rPr>
        <w:t>PUDR</w:t>
      </w:r>
      <w:r w:rsidR="003D7B1A" w:rsidRPr="00216226">
        <w:rPr>
          <w:rFonts w:eastAsia="MS Gothic"/>
          <w:i/>
          <w:sz w:val="20"/>
          <w:szCs w:val="20"/>
          <w:lang w:val="es-ES_tradnl" w:eastAsia="en-US"/>
        </w:rPr>
        <w:t>, 2017</w:t>
      </w:r>
    </w:p>
    <w:p w14:paraId="720D090D" w14:textId="3AF53D86" w:rsidR="003D7B1A" w:rsidRPr="00216226" w:rsidRDefault="00460210" w:rsidP="006C5426">
      <w:pPr>
        <w:jc w:val="both"/>
        <w:rPr>
          <w:rFonts w:eastAsia="MS Gothic"/>
          <w:lang w:val="es-ES_tradnl" w:eastAsia="en-US"/>
        </w:rPr>
      </w:pPr>
      <w:r w:rsidRPr="00216226">
        <w:rPr>
          <w:rFonts w:eastAsia="MS Gothic"/>
          <w:lang w:val="es-ES_tradnl" w:eastAsia="en-US"/>
        </w:rPr>
        <w:t>El país no tiene información sobre el número de personas de cada población clave que toma TAR</w:t>
      </w:r>
      <w:r w:rsidR="00AD1911" w:rsidRPr="00216226">
        <w:rPr>
          <w:rFonts w:eastAsia="MS Gothic"/>
          <w:lang w:val="es-ES_tradnl" w:eastAsia="en-US"/>
        </w:rPr>
        <w:t>V</w:t>
      </w:r>
      <w:r w:rsidRPr="00216226">
        <w:rPr>
          <w:rFonts w:eastAsia="MS Gothic"/>
          <w:lang w:val="es-ES_tradnl" w:eastAsia="en-US"/>
        </w:rPr>
        <w:t xml:space="preserve"> </w:t>
      </w:r>
      <w:r w:rsidR="00C627C1" w:rsidRPr="00216226">
        <w:rPr>
          <w:rFonts w:eastAsia="MS Gothic"/>
          <w:lang w:val="es-ES_tradnl" w:eastAsia="en-US"/>
        </w:rPr>
        <w:t>y,</w:t>
      </w:r>
      <w:r w:rsidRPr="00216226">
        <w:rPr>
          <w:rFonts w:eastAsia="MS Gothic"/>
          <w:lang w:val="es-ES_tradnl" w:eastAsia="en-US"/>
        </w:rPr>
        <w:t xml:space="preserve"> por lo tanto, no se puede hacer una comparación con respecto a posibles mejoras en el acceso a la terapia del VIH.</w:t>
      </w:r>
      <w:r w:rsidR="003D7B1A" w:rsidRPr="00216226">
        <w:rPr>
          <w:rFonts w:eastAsia="MS Gothic"/>
          <w:lang w:val="es-ES_tradnl" w:eastAsia="en-US"/>
        </w:rPr>
        <w:t xml:space="preserve"> </w:t>
      </w:r>
    </w:p>
    <w:p w14:paraId="792123EA" w14:textId="203F3B27" w:rsidR="003D7B1A" w:rsidRPr="00216226" w:rsidRDefault="00460210" w:rsidP="006C5426">
      <w:pPr>
        <w:jc w:val="both"/>
        <w:rPr>
          <w:rFonts w:eastAsia="MS Gothic"/>
          <w:lang w:val="es-ES_tradnl" w:eastAsia="en-US"/>
        </w:rPr>
      </w:pPr>
      <w:bookmarkStart w:id="13" w:name="_Hlk8219394"/>
      <w:r w:rsidRPr="00216226">
        <w:rPr>
          <w:rFonts w:eastAsia="MS Gothic"/>
          <w:lang w:val="es-ES_tradnl" w:eastAsia="en-US"/>
        </w:rPr>
        <w:t xml:space="preserve">Las partes interesadas no están de acuerdo en lo que respecta al estigma y las barreras de discriminación para acceder a los servicios de atención sanitaria. Mientras las OSC </w:t>
      </w:r>
      <w:r w:rsidR="00AD1911" w:rsidRPr="00216226">
        <w:rPr>
          <w:rFonts w:eastAsia="MS Gothic"/>
          <w:lang w:val="es-ES_tradnl" w:eastAsia="en-US"/>
        </w:rPr>
        <w:t>afirman</w:t>
      </w:r>
      <w:r w:rsidRPr="00216226">
        <w:rPr>
          <w:rFonts w:eastAsia="MS Gothic"/>
          <w:lang w:val="es-ES_tradnl" w:eastAsia="en-US"/>
        </w:rPr>
        <w:t xml:space="preserve"> que esas barreras siguen siendo </w:t>
      </w:r>
      <w:r w:rsidR="00AD1911" w:rsidRPr="00216226">
        <w:rPr>
          <w:rFonts w:eastAsia="MS Gothic"/>
          <w:lang w:val="es-ES_tradnl" w:eastAsia="en-US"/>
        </w:rPr>
        <w:t>significativas</w:t>
      </w:r>
      <w:r w:rsidRPr="00216226">
        <w:rPr>
          <w:rFonts w:eastAsia="MS Gothic"/>
          <w:lang w:val="es-ES_tradnl" w:eastAsia="en-US"/>
        </w:rPr>
        <w:t>, las autoridades públicas y los trabajadores sanitarios dicen lo contrario, que los casos son anecdóticos y que se resuelven fácilmente</w:t>
      </w:r>
      <w:r w:rsidR="003D7B1A" w:rsidRPr="00216226">
        <w:rPr>
          <w:rFonts w:eastAsia="MS Gothic"/>
          <w:lang w:val="es-ES_tradnl" w:eastAsia="en-US"/>
        </w:rPr>
        <w:t xml:space="preserve">. </w:t>
      </w:r>
      <w:r w:rsidR="0075670C" w:rsidRPr="00216226">
        <w:rPr>
          <w:rFonts w:eastAsia="MS Gothic"/>
          <w:lang w:val="es-ES_tradnl" w:eastAsia="en-US"/>
        </w:rPr>
        <w:t xml:space="preserve">La información de los grupos focales no agregó evidencia </w:t>
      </w:r>
      <w:r w:rsidR="00AD1911" w:rsidRPr="00216226">
        <w:rPr>
          <w:rFonts w:eastAsia="MS Gothic"/>
          <w:lang w:val="es-ES_tradnl" w:eastAsia="en-US"/>
        </w:rPr>
        <w:t>imparcial</w:t>
      </w:r>
      <w:r w:rsidR="0075670C" w:rsidRPr="00216226">
        <w:rPr>
          <w:rFonts w:eastAsia="MS Gothic"/>
          <w:lang w:val="es-ES_tradnl" w:eastAsia="en-US"/>
        </w:rPr>
        <w:t xml:space="preserve">, ya que la mayoría de los participantes estaban vinculados a las OSC. De los cuatro beneficiarios anónimos entrevistados directamente en las salas de espera de los centros de salud, ninguno de ellos expresó tener problemas relacionados con el estigma o la discriminación al acceder a servicios relacionados con el VIH </w:t>
      </w:r>
      <w:r w:rsidR="000A4808" w:rsidRPr="00216226">
        <w:rPr>
          <w:rFonts w:eastAsia="MS Gothic"/>
          <w:lang w:val="es-ES_tradnl" w:eastAsia="en-US"/>
        </w:rPr>
        <w:t>(Visita de campo)</w:t>
      </w:r>
      <w:r w:rsidR="003D7B1A" w:rsidRPr="00216226">
        <w:rPr>
          <w:rFonts w:eastAsia="MS Gothic"/>
          <w:lang w:val="es-ES_tradnl" w:eastAsia="en-US"/>
        </w:rPr>
        <w:t>.</w:t>
      </w:r>
    </w:p>
    <w:bookmarkEnd w:id="13"/>
    <w:p w14:paraId="6FDB3B10" w14:textId="2B084EFB" w:rsidR="00C627C1" w:rsidRPr="00C627C1" w:rsidRDefault="00C627C1" w:rsidP="00C627C1">
      <w:pPr>
        <w:jc w:val="center"/>
        <w:rPr>
          <w:i/>
          <w:lang w:val="es-ES_tradnl"/>
        </w:rPr>
      </w:pPr>
      <w:r w:rsidRPr="00C627C1">
        <w:rPr>
          <w:i/>
          <w:lang w:val="es-ES_tradnl"/>
        </w:rPr>
        <w:t>“El Fondo Mundial ha ayudado mucho a aumentar las capacidades técnicas del país. Sin embargo, esto no ha sido acompañado por una respuesta adecuada por parte del Estado.”</w:t>
      </w:r>
      <w:r>
        <w:rPr>
          <w:i/>
          <w:lang w:val="es-ES_tradnl"/>
        </w:rPr>
        <w:t xml:space="preserve"> – F</w:t>
      </w:r>
      <w:r w:rsidRPr="00C627C1">
        <w:rPr>
          <w:i/>
          <w:lang w:val="es-ES_tradnl"/>
        </w:rPr>
        <w:t>uncionario público</w:t>
      </w:r>
    </w:p>
    <w:p w14:paraId="4875C37B" w14:textId="6E8FFCA2" w:rsidR="00C627C1" w:rsidRPr="00C627C1" w:rsidRDefault="00C627C1" w:rsidP="00C627C1">
      <w:pPr>
        <w:jc w:val="center"/>
        <w:rPr>
          <w:i/>
          <w:lang w:val="es-ES_tradnl"/>
        </w:rPr>
      </w:pPr>
      <w:r w:rsidRPr="00C627C1">
        <w:rPr>
          <w:i/>
          <w:lang w:val="es-ES_tradnl"/>
        </w:rPr>
        <w:t>“El desmantelamiento del Programa Nacional contra el VIH privó al país de una herramienta clave para enfrentar la epidemia del VIH</w:t>
      </w:r>
      <w:r>
        <w:rPr>
          <w:i/>
          <w:lang w:val="es-ES_tradnl"/>
        </w:rPr>
        <w:t>.” –E</w:t>
      </w:r>
      <w:r w:rsidRPr="00C627C1">
        <w:rPr>
          <w:i/>
          <w:lang w:val="es-ES_tradnl"/>
        </w:rPr>
        <w:t>xfuncionario del Programa Nacional de VIH</w:t>
      </w:r>
    </w:p>
    <w:p w14:paraId="3735C705" w14:textId="77777777" w:rsidR="00C627C1" w:rsidRPr="00216226" w:rsidRDefault="00C627C1" w:rsidP="00C627C1">
      <w:pPr>
        <w:jc w:val="both"/>
        <w:rPr>
          <w:b/>
          <w:color w:val="4472C4"/>
          <w:sz w:val="26"/>
          <w:szCs w:val="26"/>
          <w:lang w:val="es-ES_tradnl"/>
        </w:rPr>
      </w:pPr>
    </w:p>
    <w:p w14:paraId="0095C73E" w14:textId="77777777" w:rsidR="002C2B32" w:rsidRPr="00216226" w:rsidRDefault="002C2B32">
      <w:pPr>
        <w:pStyle w:val="Heading2"/>
        <w:rPr>
          <w:lang w:val="es-ES_tradnl"/>
        </w:rPr>
        <w:sectPr w:rsidR="002C2B32" w:rsidRPr="00216226" w:rsidSect="002C2B32">
          <w:pgSz w:w="11906" w:h="16838"/>
          <w:pgMar w:top="1440" w:right="1440" w:bottom="1440" w:left="1440" w:header="706" w:footer="706" w:gutter="0"/>
          <w:cols w:space="720"/>
          <w:docGrid w:linePitch="299"/>
        </w:sectPr>
      </w:pPr>
    </w:p>
    <w:p w14:paraId="32D1511A" w14:textId="2B9A447D" w:rsidR="00F061A0" w:rsidRPr="00216226" w:rsidRDefault="00A61B0A">
      <w:pPr>
        <w:pStyle w:val="Heading2"/>
        <w:rPr>
          <w:lang w:val="es-ES_tradnl"/>
        </w:rPr>
      </w:pPr>
      <w:r w:rsidRPr="00216226">
        <w:rPr>
          <w:lang w:val="es-ES_tradnl"/>
        </w:rPr>
        <w:lastRenderedPageBreak/>
        <w:t>Tablero de mando de los Indicadores Clave</w:t>
      </w:r>
      <w:r w:rsidR="000C0F5B" w:rsidRPr="00216226">
        <w:rPr>
          <w:lang w:val="es-ES_tradnl"/>
        </w:rPr>
        <w:t xml:space="preserve">: </w:t>
      </w:r>
      <w:r w:rsidR="003E78F0" w:rsidRPr="00216226">
        <w:rPr>
          <w:lang w:val="es-ES_tradnl"/>
        </w:rPr>
        <w:t>Objetivo</w:t>
      </w:r>
      <w:r w:rsidR="000C0F5B" w:rsidRPr="00216226">
        <w:rPr>
          <w:lang w:val="es-ES_tradnl"/>
        </w:rPr>
        <w:t xml:space="preserve"> 1</w:t>
      </w:r>
    </w:p>
    <w:tbl>
      <w:tblPr>
        <w:tblStyle w:val="a3"/>
        <w:tblW w:w="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086"/>
      </w:tblGrid>
      <w:tr w:rsidR="002C2B32" w:rsidRPr="009A4A93" w14:paraId="1F1F3C97" w14:textId="77777777" w:rsidTr="007927C3">
        <w:trPr>
          <w:trHeight w:val="60"/>
        </w:trPr>
        <w:tc>
          <w:tcPr>
            <w:tcW w:w="4891" w:type="dxa"/>
            <w:gridSpan w:val="2"/>
            <w:shd w:val="clear" w:color="auto" w:fill="F2F2F2"/>
            <w:vAlign w:val="center"/>
          </w:tcPr>
          <w:p w14:paraId="258FF7B9" w14:textId="3CB1A4C7" w:rsidR="002C2B32" w:rsidRPr="00216226" w:rsidRDefault="00A61B0A" w:rsidP="007927C3">
            <w:pPr>
              <w:spacing w:after="0" w:line="240" w:lineRule="auto"/>
              <w:rPr>
                <w:b/>
                <w:color w:val="808080"/>
                <w:sz w:val="20"/>
                <w:szCs w:val="20"/>
                <w:lang w:val="es-ES_tradnl"/>
              </w:rPr>
            </w:pPr>
            <w:r w:rsidRPr="00216226">
              <w:rPr>
                <w:b/>
                <w:sz w:val="20"/>
                <w:szCs w:val="20"/>
                <w:lang w:val="es-ES_tradnl"/>
              </w:rPr>
              <w:t>Claves del Tablero de mando</w:t>
            </w:r>
          </w:p>
        </w:tc>
      </w:tr>
      <w:tr w:rsidR="002C2B32" w:rsidRPr="00216226" w14:paraId="4A322297" w14:textId="77777777" w:rsidTr="007927C3">
        <w:trPr>
          <w:trHeight w:val="280"/>
        </w:trPr>
        <w:tc>
          <w:tcPr>
            <w:tcW w:w="805" w:type="dxa"/>
            <w:shd w:val="clear" w:color="auto" w:fill="C00000"/>
          </w:tcPr>
          <w:p w14:paraId="0C64322B" w14:textId="77777777" w:rsidR="002C2B32" w:rsidRPr="00216226" w:rsidRDefault="002C2B32" w:rsidP="007927C3">
            <w:pPr>
              <w:spacing w:after="0" w:line="240" w:lineRule="auto"/>
              <w:rPr>
                <w:b/>
                <w:color w:val="000000" w:themeColor="text1"/>
                <w:lang w:val="es-ES_tradnl"/>
              </w:rPr>
            </w:pPr>
            <w:r w:rsidRPr="00216226">
              <w:rPr>
                <w:b/>
                <w:color w:val="000000" w:themeColor="text1"/>
                <w:lang w:val="es-ES_tradnl"/>
              </w:rPr>
              <w:t>1</w:t>
            </w:r>
          </w:p>
        </w:tc>
        <w:tc>
          <w:tcPr>
            <w:tcW w:w="4086" w:type="dxa"/>
          </w:tcPr>
          <w:p w14:paraId="7AE54FC5" w14:textId="157B0207" w:rsidR="002C2B32" w:rsidRPr="00216226" w:rsidRDefault="00A61B0A" w:rsidP="007927C3">
            <w:pPr>
              <w:spacing w:after="0" w:line="240" w:lineRule="auto"/>
              <w:rPr>
                <w:sz w:val="20"/>
                <w:szCs w:val="20"/>
                <w:lang w:val="es-ES_tradnl"/>
              </w:rPr>
            </w:pPr>
            <w:r w:rsidRPr="00216226">
              <w:rPr>
                <w:sz w:val="20"/>
                <w:szCs w:val="20"/>
                <w:lang w:val="es-ES_tradnl"/>
              </w:rPr>
              <w:t>Muy bajo</w:t>
            </w:r>
          </w:p>
        </w:tc>
      </w:tr>
      <w:tr w:rsidR="002C2B32" w:rsidRPr="00216226" w14:paraId="29EAED53" w14:textId="77777777" w:rsidTr="007927C3">
        <w:trPr>
          <w:trHeight w:val="60"/>
        </w:trPr>
        <w:tc>
          <w:tcPr>
            <w:tcW w:w="805" w:type="dxa"/>
            <w:shd w:val="clear" w:color="auto" w:fill="FF9300"/>
          </w:tcPr>
          <w:p w14:paraId="0065D599" w14:textId="77777777" w:rsidR="002C2B32" w:rsidRPr="00216226" w:rsidRDefault="002C2B32" w:rsidP="007927C3">
            <w:pPr>
              <w:spacing w:after="0" w:line="240" w:lineRule="auto"/>
              <w:rPr>
                <w:b/>
                <w:lang w:val="es-ES_tradnl"/>
              </w:rPr>
            </w:pPr>
            <w:r w:rsidRPr="00216226">
              <w:rPr>
                <w:b/>
                <w:lang w:val="es-ES_tradnl"/>
              </w:rPr>
              <w:t>2</w:t>
            </w:r>
          </w:p>
        </w:tc>
        <w:tc>
          <w:tcPr>
            <w:tcW w:w="4086" w:type="dxa"/>
          </w:tcPr>
          <w:p w14:paraId="5DC000C8" w14:textId="16107A2A" w:rsidR="002C2B32" w:rsidRPr="00216226" w:rsidRDefault="00A61B0A" w:rsidP="007927C3">
            <w:pPr>
              <w:spacing w:after="0" w:line="240" w:lineRule="auto"/>
              <w:rPr>
                <w:sz w:val="20"/>
                <w:szCs w:val="20"/>
                <w:lang w:val="es-ES_tradnl"/>
              </w:rPr>
            </w:pPr>
            <w:r w:rsidRPr="00216226">
              <w:rPr>
                <w:sz w:val="20"/>
                <w:szCs w:val="20"/>
                <w:lang w:val="es-ES_tradnl"/>
              </w:rPr>
              <w:t>Bajo</w:t>
            </w:r>
          </w:p>
        </w:tc>
      </w:tr>
      <w:tr w:rsidR="002C2B32" w:rsidRPr="00216226" w14:paraId="606B23AD" w14:textId="77777777" w:rsidTr="007927C3">
        <w:trPr>
          <w:trHeight w:val="60"/>
        </w:trPr>
        <w:tc>
          <w:tcPr>
            <w:tcW w:w="805" w:type="dxa"/>
            <w:shd w:val="clear" w:color="auto" w:fill="FFD965"/>
          </w:tcPr>
          <w:p w14:paraId="349F43E6" w14:textId="77777777" w:rsidR="002C2B32" w:rsidRPr="00216226" w:rsidRDefault="002C2B32" w:rsidP="007927C3">
            <w:pPr>
              <w:spacing w:after="0" w:line="240" w:lineRule="auto"/>
              <w:rPr>
                <w:b/>
                <w:lang w:val="es-ES_tradnl"/>
              </w:rPr>
            </w:pPr>
            <w:r w:rsidRPr="00216226">
              <w:rPr>
                <w:b/>
                <w:lang w:val="es-ES_tradnl"/>
              </w:rPr>
              <w:t>3</w:t>
            </w:r>
          </w:p>
        </w:tc>
        <w:tc>
          <w:tcPr>
            <w:tcW w:w="4086" w:type="dxa"/>
          </w:tcPr>
          <w:p w14:paraId="5CFC919D" w14:textId="4C982CC8" w:rsidR="002C2B32" w:rsidRPr="00216226" w:rsidRDefault="00A61B0A" w:rsidP="007927C3">
            <w:pPr>
              <w:spacing w:after="0" w:line="240" w:lineRule="auto"/>
              <w:rPr>
                <w:sz w:val="20"/>
                <w:szCs w:val="20"/>
                <w:lang w:val="es-ES_tradnl"/>
              </w:rPr>
            </w:pPr>
            <w:r w:rsidRPr="00216226">
              <w:rPr>
                <w:sz w:val="20"/>
                <w:szCs w:val="20"/>
                <w:lang w:val="es-ES_tradnl"/>
              </w:rPr>
              <w:t>Moderado</w:t>
            </w:r>
          </w:p>
        </w:tc>
      </w:tr>
      <w:tr w:rsidR="002C2B32" w:rsidRPr="00216226" w14:paraId="0A7AABFC" w14:textId="77777777" w:rsidTr="007927C3">
        <w:trPr>
          <w:trHeight w:val="60"/>
        </w:trPr>
        <w:tc>
          <w:tcPr>
            <w:tcW w:w="805" w:type="dxa"/>
            <w:shd w:val="clear" w:color="auto" w:fill="A8D08D"/>
          </w:tcPr>
          <w:p w14:paraId="0944966B" w14:textId="77777777" w:rsidR="002C2B32" w:rsidRPr="00216226" w:rsidRDefault="002C2B32" w:rsidP="007927C3">
            <w:pPr>
              <w:spacing w:after="0" w:line="240" w:lineRule="auto"/>
              <w:rPr>
                <w:b/>
                <w:lang w:val="es-ES_tradnl"/>
              </w:rPr>
            </w:pPr>
            <w:r w:rsidRPr="00216226">
              <w:rPr>
                <w:b/>
                <w:lang w:val="es-ES_tradnl"/>
              </w:rPr>
              <w:t>4</w:t>
            </w:r>
          </w:p>
        </w:tc>
        <w:tc>
          <w:tcPr>
            <w:tcW w:w="4086" w:type="dxa"/>
          </w:tcPr>
          <w:p w14:paraId="274B2FEF" w14:textId="4D625750" w:rsidR="002C2B32" w:rsidRPr="00216226" w:rsidRDefault="00A61B0A" w:rsidP="007927C3">
            <w:pPr>
              <w:spacing w:after="0" w:line="240" w:lineRule="auto"/>
              <w:rPr>
                <w:sz w:val="20"/>
                <w:szCs w:val="20"/>
                <w:lang w:val="es-ES_tradnl"/>
              </w:rPr>
            </w:pPr>
            <w:r w:rsidRPr="00216226">
              <w:rPr>
                <w:sz w:val="20"/>
                <w:szCs w:val="20"/>
                <w:lang w:val="es-ES_tradnl"/>
              </w:rPr>
              <w:t>Bueno</w:t>
            </w:r>
            <w:r w:rsidR="002C2B32" w:rsidRPr="00216226">
              <w:rPr>
                <w:sz w:val="20"/>
                <w:szCs w:val="20"/>
                <w:lang w:val="es-ES_tradnl"/>
              </w:rPr>
              <w:t xml:space="preserve"> </w:t>
            </w:r>
          </w:p>
        </w:tc>
      </w:tr>
    </w:tbl>
    <w:tbl>
      <w:tblPr>
        <w:tblStyle w:val="a2"/>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1938"/>
        <w:gridCol w:w="5490"/>
        <w:gridCol w:w="2880"/>
      </w:tblGrid>
      <w:tr w:rsidR="004E6E74" w:rsidRPr="00216226" w14:paraId="056B5347" w14:textId="2ED2FA64" w:rsidTr="00E12234">
        <w:tc>
          <w:tcPr>
            <w:tcW w:w="3750" w:type="dxa"/>
            <w:shd w:val="clear" w:color="auto" w:fill="F2F2F2"/>
          </w:tcPr>
          <w:p w14:paraId="23213308" w14:textId="7ECDB2C7" w:rsidR="004E6E74" w:rsidRPr="00216226" w:rsidRDefault="004E6E74">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Indica</w:t>
            </w:r>
            <w:r w:rsidR="003E78F0" w:rsidRPr="00216226">
              <w:rPr>
                <w:b/>
                <w:color w:val="000000"/>
                <w:sz w:val="20"/>
                <w:szCs w:val="20"/>
                <w:lang w:val="es-ES_tradnl"/>
              </w:rPr>
              <w:t>d</w:t>
            </w:r>
            <w:r w:rsidRPr="00216226">
              <w:rPr>
                <w:b/>
                <w:color w:val="000000"/>
                <w:sz w:val="20"/>
                <w:szCs w:val="20"/>
                <w:lang w:val="es-ES_tradnl"/>
              </w:rPr>
              <w:t>or</w:t>
            </w:r>
          </w:p>
        </w:tc>
        <w:tc>
          <w:tcPr>
            <w:tcW w:w="1938" w:type="dxa"/>
            <w:shd w:val="clear" w:color="auto" w:fill="F2F2F2"/>
          </w:tcPr>
          <w:p w14:paraId="4BAF728D" w14:textId="2986014C" w:rsidR="004E6E74" w:rsidRPr="00216226" w:rsidRDefault="00FB0B72">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Puntuación</w:t>
            </w:r>
          </w:p>
        </w:tc>
        <w:tc>
          <w:tcPr>
            <w:tcW w:w="5490" w:type="dxa"/>
            <w:shd w:val="clear" w:color="auto" w:fill="F2F2F2"/>
          </w:tcPr>
          <w:p w14:paraId="24CA715A" w14:textId="017A2D7A" w:rsidR="004E6E74"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Justificación</w:t>
            </w:r>
          </w:p>
        </w:tc>
        <w:tc>
          <w:tcPr>
            <w:tcW w:w="2880" w:type="dxa"/>
            <w:shd w:val="clear" w:color="auto" w:fill="F2F2F2"/>
          </w:tcPr>
          <w:p w14:paraId="6EDCA8C4" w14:textId="28AD742F" w:rsidR="004E6E74"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Fuente de los Datos</w:t>
            </w:r>
          </w:p>
        </w:tc>
      </w:tr>
      <w:tr w:rsidR="006744E2" w:rsidRPr="00216226" w14:paraId="5206CC5A" w14:textId="22434A43" w:rsidTr="003D7B1A">
        <w:tc>
          <w:tcPr>
            <w:tcW w:w="3750" w:type="dxa"/>
          </w:tcPr>
          <w:p w14:paraId="5629162A" w14:textId="302C48EC" w:rsidR="006744E2" w:rsidRPr="00216226" w:rsidRDefault="006744E2" w:rsidP="006744E2">
            <w:pPr>
              <w:rPr>
                <w:sz w:val="20"/>
                <w:szCs w:val="20"/>
                <w:lang w:val="es-ES_tradnl"/>
              </w:rPr>
            </w:pPr>
            <w:r w:rsidRPr="00216226">
              <w:rPr>
                <w:b/>
                <w:sz w:val="20"/>
                <w:szCs w:val="20"/>
                <w:lang w:val="es-ES_tradnl"/>
              </w:rPr>
              <w:t xml:space="preserve">Planificación estratégica: </w:t>
            </w:r>
            <w:r w:rsidRPr="00216226">
              <w:rPr>
                <w:sz w:val="20"/>
                <w:szCs w:val="20"/>
                <w:lang w:val="es-ES_tradnl"/>
              </w:rPr>
              <w:t xml:space="preserve">Disponibilidad de Plan Estratégico Nacional </w:t>
            </w:r>
          </w:p>
        </w:tc>
        <w:tc>
          <w:tcPr>
            <w:tcW w:w="1938" w:type="dxa"/>
            <w:shd w:val="clear" w:color="auto" w:fill="A8D08D"/>
          </w:tcPr>
          <w:p w14:paraId="01443948" w14:textId="77EEC86F"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4</w:t>
            </w:r>
          </w:p>
        </w:tc>
        <w:tc>
          <w:tcPr>
            <w:tcW w:w="5490" w:type="dxa"/>
          </w:tcPr>
          <w:p w14:paraId="31562CF0" w14:textId="2A5C57BD" w:rsidR="006744E2" w:rsidRPr="00216226" w:rsidRDefault="006744E2" w:rsidP="00C627C1">
            <w:pPr>
              <w:pBdr>
                <w:top w:val="nil"/>
                <w:left w:val="nil"/>
                <w:bottom w:val="nil"/>
                <w:right w:val="nil"/>
                <w:between w:val="nil"/>
              </w:pBdr>
              <w:spacing w:after="0" w:line="240" w:lineRule="auto"/>
              <w:rPr>
                <w:sz w:val="20"/>
                <w:szCs w:val="20"/>
                <w:lang w:val="es-ES_tradnl"/>
              </w:rPr>
            </w:pPr>
            <w:r w:rsidRPr="00216226">
              <w:rPr>
                <w:sz w:val="20"/>
                <w:szCs w:val="20"/>
                <w:lang w:val="es-ES_tradnl"/>
              </w:rPr>
              <w:t xml:space="preserve">El </w:t>
            </w:r>
            <w:r w:rsidR="00C627C1">
              <w:rPr>
                <w:sz w:val="20"/>
                <w:szCs w:val="20"/>
                <w:lang w:val="es-ES_tradnl"/>
              </w:rPr>
              <w:t>PEN</w:t>
            </w:r>
            <w:r w:rsidRPr="00216226">
              <w:rPr>
                <w:sz w:val="20"/>
                <w:szCs w:val="20"/>
                <w:lang w:val="es-ES_tradnl"/>
              </w:rPr>
              <w:t xml:space="preserve"> está vigente y se complementa con planes operativos con indicación de costos anuales.</w:t>
            </w:r>
          </w:p>
        </w:tc>
        <w:tc>
          <w:tcPr>
            <w:tcW w:w="2880" w:type="dxa"/>
          </w:tcPr>
          <w:p w14:paraId="0A84A4EA" w14:textId="28411B8D" w:rsidR="006744E2" w:rsidRPr="00216226" w:rsidRDefault="00C627C1" w:rsidP="006744E2">
            <w:pPr>
              <w:pBdr>
                <w:top w:val="nil"/>
                <w:left w:val="nil"/>
                <w:bottom w:val="nil"/>
                <w:right w:val="nil"/>
                <w:between w:val="nil"/>
              </w:pBdr>
              <w:spacing w:after="0" w:line="240" w:lineRule="auto"/>
              <w:rPr>
                <w:color w:val="000000"/>
                <w:sz w:val="20"/>
                <w:szCs w:val="20"/>
                <w:highlight w:val="yellow"/>
                <w:lang w:val="es-ES_tradnl"/>
              </w:rPr>
            </w:pPr>
            <w:r>
              <w:rPr>
                <w:sz w:val="20"/>
                <w:szCs w:val="20"/>
                <w:lang w:val="en-US"/>
              </w:rPr>
              <w:t>PEN</w:t>
            </w:r>
          </w:p>
        </w:tc>
      </w:tr>
      <w:tr w:rsidR="006744E2" w:rsidRPr="00216226" w14:paraId="567D3C3C" w14:textId="1DB75DCE" w:rsidTr="003D7B1A">
        <w:tc>
          <w:tcPr>
            <w:tcW w:w="3750" w:type="dxa"/>
          </w:tcPr>
          <w:p w14:paraId="69DA83E1" w14:textId="13C3420E" w:rsidR="006744E2" w:rsidRPr="00216226" w:rsidRDefault="006744E2" w:rsidP="006744E2">
            <w:pPr>
              <w:rPr>
                <w:b/>
                <w:sz w:val="20"/>
                <w:szCs w:val="20"/>
                <w:lang w:val="es-ES_tradnl"/>
              </w:rPr>
            </w:pPr>
            <w:r w:rsidRPr="00216226">
              <w:rPr>
                <w:b/>
                <w:sz w:val="20"/>
                <w:szCs w:val="20"/>
                <w:lang w:val="es-ES_tradnl"/>
              </w:rPr>
              <w:t xml:space="preserve">Inversión estratégica: </w:t>
            </w:r>
            <w:r w:rsidRPr="00216226">
              <w:rPr>
                <w:sz w:val="20"/>
                <w:szCs w:val="20"/>
                <w:lang w:val="es-ES_tradnl"/>
              </w:rPr>
              <w:t>Adecuación de metas y objetivos para el contexto epidémico</w:t>
            </w:r>
          </w:p>
        </w:tc>
        <w:tc>
          <w:tcPr>
            <w:tcW w:w="1938" w:type="dxa"/>
            <w:shd w:val="clear" w:color="auto" w:fill="FFD965"/>
          </w:tcPr>
          <w:p w14:paraId="7F023589" w14:textId="1E8C3D57"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490" w:type="dxa"/>
          </w:tcPr>
          <w:p w14:paraId="12CCD111" w14:textId="76E0D4F1" w:rsidR="006744E2" w:rsidRPr="00216226" w:rsidRDefault="006744E2" w:rsidP="006744E2">
            <w:pPr>
              <w:pBdr>
                <w:top w:val="nil"/>
                <w:left w:val="nil"/>
                <w:bottom w:val="nil"/>
                <w:right w:val="nil"/>
                <w:between w:val="nil"/>
              </w:pBdr>
              <w:spacing w:line="240" w:lineRule="auto"/>
              <w:rPr>
                <w:sz w:val="20"/>
                <w:szCs w:val="20"/>
                <w:lang w:val="es-ES_tradnl"/>
              </w:rPr>
            </w:pPr>
            <w:r w:rsidRPr="00216226">
              <w:rPr>
                <w:sz w:val="20"/>
                <w:szCs w:val="20"/>
                <w:lang w:val="es-ES_tradnl"/>
              </w:rPr>
              <w:t xml:space="preserve">Las metas, objetivos e inversiones en el PEN son consistentes con los datos y análisis disponibles, pero la brecha de financiamiento acumulada en 2017 fue de </w:t>
            </w:r>
            <w:r>
              <w:rPr>
                <w:sz w:val="20"/>
                <w:szCs w:val="20"/>
                <w:lang w:val="es-ES_tradnl"/>
              </w:rPr>
              <w:t xml:space="preserve">US$ </w:t>
            </w:r>
            <w:r w:rsidRPr="00216226">
              <w:rPr>
                <w:sz w:val="20"/>
                <w:szCs w:val="20"/>
                <w:lang w:val="es-ES_tradnl"/>
              </w:rPr>
              <w:t>38M.</w:t>
            </w:r>
          </w:p>
        </w:tc>
        <w:tc>
          <w:tcPr>
            <w:tcW w:w="2880" w:type="dxa"/>
          </w:tcPr>
          <w:p w14:paraId="1E96758A" w14:textId="19F588C5" w:rsidR="006744E2" w:rsidRPr="00216226" w:rsidRDefault="00C627C1" w:rsidP="006744E2">
            <w:pPr>
              <w:pBdr>
                <w:top w:val="nil"/>
                <w:left w:val="nil"/>
                <w:bottom w:val="nil"/>
                <w:right w:val="nil"/>
                <w:between w:val="nil"/>
              </w:pBdr>
              <w:spacing w:after="0" w:line="240" w:lineRule="auto"/>
              <w:rPr>
                <w:color w:val="000000"/>
                <w:sz w:val="20"/>
                <w:szCs w:val="20"/>
                <w:lang w:val="es-ES_tradnl"/>
              </w:rPr>
            </w:pPr>
            <w:r>
              <w:rPr>
                <w:sz w:val="20"/>
                <w:szCs w:val="20"/>
                <w:lang w:val="en-US"/>
              </w:rPr>
              <w:t>PEN</w:t>
            </w:r>
          </w:p>
        </w:tc>
      </w:tr>
      <w:tr w:rsidR="006744E2" w:rsidRPr="009A4A93" w14:paraId="0C8BF0CB" w14:textId="0D27F079" w:rsidTr="003D7B1A">
        <w:tc>
          <w:tcPr>
            <w:tcW w:w="3750" w:type="dxa"/>
          </w:tcPr>
          <w:p w14:paraId="1D7CB971" w14:textId="598B4107" w:rsidR="006744E2" w:rsidRPr="00216226" w:rsidRDefault="006744E2" w:rsidP="006744E2">
            <w:pPr>
              <w:rPr>
                <w:b/>
                <w:sz w:val="20"/>
                <w:szCs w:val="20"/>
                <w:lang w:val="es-ES_tradnl"/>
              </w:rPr>
            </w:pPr>
            <w:r w:rsidRPr="00216226">
              <w:rPr>
                <w:b/>
                <w:sz w:val="20"/>
                <w:szCs w:val="20"/>
                <w:lang w:val="es-ES_tradnl"/>
              </w:rPr>
              <w:t xml:space="preserve">Desempeño: </w:t>
            </w:r>
            <w:r w:rsidRPr="00216226">
              <w:rPr>
                <w:sz w:val="20"/>
                <w:szCs w:val="20"/>
                <w:lang w:val="es-ES_tradnl"/>
              </w:rPr>
              <w:t>Logro de los objetivos establecidos en el acuerdo de subvención</w:t>
            </w:r>
            <w:r w:rsidRPr="00216226">
              <w:rPr>
                <w:sz w:val="20"/>
                <w:szCs w:val="20"/>
                <w:vertAlign w:val="superscript"/>
                <w:lang w:val="es-ES_tradnl"/>
              </w:rPr>
              <w:t xml:space="preserve"> </w:t>
            </w:r>
            <w:r w:rsidRPr="00216226">
              <w:rPr>
                <w:sz w:val="20"/>
                <w:szCs w:val="20"/>
                <w:vertAlign w:val="superscript"/>
                <w:lang w:val="es-ES_tradnl"/>
              </w:rPr>
              <w:footnoteReference w:id="4"/>
            </w:r>
            <w:r w:rsidRPr="00216226">
              <w:rPr>
                <w:sz w:val="20"/>
                <w:szCs w:val="20"/>
                <w:lang w:val="es-ES_tradnl"/>
              </w:rPr>
              <w:t xml:space="preserve"> </w:t>
            </w:r>
          </w:p>
        </w:tc>
        <w:tc>
          <w:tcPr>
            <w:tcW w:w="1938" w:type="dxa"/>
            <w:shd w:val="clear" w:color="auto" w:fill="FFD965"/>
          </w:tcPr>
          <w:p w14:paraId="54E2F040" w14:textId="051A058E"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490" w:type="dxa"/>
          </w:tcPr>
          <w:p w14:paraId="2127BD0A" w14:textId="65FC1BC0" w:rsidR="006744E2" w:rsidRPr="00216226" w:rsidRDefault="006744E2" w:rsidP="006744E2">
            <w:pPr>
              <w:pBdr>
                <w:top w:val="nil"/>
                <w:left w:val="nil"/>
                <w:bottom w:val="nil"/>
                <w:right w:val="nil"/>
                <w:between w:val="nil"/>
              </w:pBdr>
              <w:spacing w:after="0" w:line="240" w:lineRule="auto"/>
              <w:rPr>
                <w:sz w:val="20"/>
                <w:szCs w:val="20"/>
                <w:lang w:val="es-ES_tradnl"/>
              </w:rPr>
            </w:pPr>
            <w:r w:rsidRPr="00216226">
              <w:rPr>
                <w:sz w:val="20"/>
                <w:szCs w:val="20"/>
                <w:lang w:val="es-ES_tradnl"/>
              </w:rPr>
              <w:t>La puntuación de calificación de la subvención más reciente fue B1 para el año 2017. No hay datos más recientes disponibles.</w:t>
            </w:r>
          </w:p>
        </w:tc>
        <w:tc>
          <w:tcPr>
            <w:tcW w:w="2880" w:type="dxa"/>
          </w:tcPr>
          <w:p w14:paraId="5041146B" w14:textId="471ACE8E" w:rsidR="006744E2" w:rsidRPr="00C9648E" w:rsidRDefault="00C9648E" w:rsidP="00C9648E">
            <w:pPr>
              <w:pBdr>
                <w:top w:val="nil"/>
                <w:left w:val="nil"/>
                <w:bottom w:val="nil"/>
                <w:right w:val="nil"/>
                <w:between w:val="nil"/>
              </w:pBdr>
              <w:spacing w:after="0" w:line="240" w:lineRule="auto"/>
              <w:rPr>
                <w:color w:val="000000"/>
                <w:sz w:val="20"/>
                <w:szCs w:val="20"/>
                <w:lang w:val="es-US"/>
              </w:rPr>
            </w:pPr>
            <w:r>
              <w:rPr>
                <w:color w:val="000000"/>
                <w:sz w:val="20"/>
                <w:szCs w:val="20"/>
                <w:lang w:val="es-US"/>
              </w:rPr>
              <w:t xml:space="preserve">Fondo Mundial </w:t>
            </w:r>
            <w:r w:rsidRPr="00EB1946">
              <w:rPr>
                <w:color w:val="000000"/>
                <w:sz w:val="20"/>
                <w:szCs w:val="20"/>
                <w:lang w:val="es-US"/>
              </w:rPr>
              <w:t xml:space="preserve">Carta de retroalimentación </w:t>
            </w:r>
            <w:r>
              <w:rPr>
                <w:color w:val="000000"/>
                <w:sz w:val="20"/>
                <w:szCs w:val="20"/>
                <w:lang w:val="es-US"/>
              </w:rPr>
              <w:t>2018</w:t>
            </w:r>
          </w:p>
        </w:tc>
      </w:tr>
      <w:tr w:rsidR="006744E2" w:rsidRPr="00C033A0" w14:paraId="7AFD5744" w14:textId="6BB92B21" w:rsidTr="003D7B1A">
        <w:tc>
          <w:tcPr>
            <w:tcW w:w="3750" w:type="dxa"/>
          </w:tcPr>
          <w:p w14:paraId="6FA14C26" w14:textId="0DAE3932" w:rsidR="006744E2" w:rsidRPr="00216226" w:rsidRDefault="006744E2" w:rsidP="006744E2">
            <w:pPr>
              <w:rPr>
                <w:b/>
                <w:sz w:val="20"/>
                <w:szCs w:val="20"/>
                <w:lang w:val="es-ES_tradnl"/>
              </w:rPr>
            </w:pPr>
            <w:r w:rsidRPr="00216226">
              <w:rPr>
                <w:b/>
                <w:sz w:val="20"/>
                <w:szCs w:val="20"/>
                <w:lang w:val="es-ES_tradnl"/>
              </w:rPr>
              <w:t xml:space="preserve">Sistemas de Salud Resilientes y Sostenibles: </w:t>
            </w:r>
            <w:r w:rsidRPr="00216226">
              <w:rPr>
                <w:sz w:val="20"/>
                <w:szCs w:val="20"/>
                <w:lang w:val="es-ES_tradnl"/>
              </w:rPr>
              <w:t>Desabastecimiento de productos básicos</w:t>
            </w:r>
            <w:r w:rsidRPr="00216226">
              <w:rPr>
                <w:sz w:val="20"/>
                <w:szCs w:val="20"/>
                <w:vertAlign w:val="superscript"/>
                <w:lang w:val="es-ES_tradnl"/>
              </w:rPr>
              <w:footnoteReference w:id="5"/>
            </w:r>
          </w:p>
        </w:tc>
        <w:tc>
          <w:tcPr>
            <w:tcW w:w="1938" w:type="dxa"/>
            <w:shd w:val="clear" w:color="auto" w:fill="C00000"/>
          </w:tcPr>
          <w:p w14:paraId="19F334AF" w14:textId="5253CEFC"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1</w:t>
            </w:r>
          </w:p>
        </w:tc>
        <w:tc>
          <w:tcPr>
            <w:tcW w:w="5490" w:type="dxa"/>
          </w:tcPr>
          <w:p w14:paraId="2238E030" w14:textId="55741C64" w:rsidR="006744E2" w:rsidRPr="00216226" w:rsidRDefault="006744E2" w:rsidP="006744E2">
            <w:pPr>
              <w:pBdr>
                <w:top w:val="nil"/>
                <w:left w:val="nil"/>
                <w:bottom w:val="nil"/>
                <w:right w:val="nil"/>
                <w:between w:val="nil"/>
              </w:pBdr>
              <w:spacing w:after="0" w:line="240" w:lineRule="auto"/>
              <w:rPr>
                <w:color w:val="000000"/>
                <w:sz w:val="20"/>
                <w:szCs w:val="20"/>
                <w:lang w:val="es-ES_tradnl"/>
              </w:rPr>
            </w:pPr>
            <w:r w:rsidRPr="00216226">
              <w:rPr>
                <w:sz w:val="20"/>
                <w:szCs w:val="20"/>
                <w:lang w:val="es-ES_tradnl"/>
              </w:rPr>
              <w:t>Se notifican desabastecimientos para las pruebas rápidas de sífilis, pruebas de VIH, diagnósticos de CD4 y TARV.</w:t>
            </w:r>
          </w:p>
        </w:tc>
        <w:tc>
          <w:tcPr>
            <w:tcW w:w="2880" w:type="dxa"/>
          </w:tcPr>
          <w:p w14:paraId="39B87E29" w14:textId="2D944923" w:rsidR="006744E2" w:rsidRPr="00216226" w:rsidRDefault="00D93C5D" w:rsidP="006546B1">
            <w:pPr>
              <w:pBdr>
                <w:top w:val="nil"/>
                <w:left w:val="nil"/>
                <w:bottom w:val="nil"/>
                <w:right w:val="nil"/>
                <w:between w:val="nil"/>
              </w:pBdr>
              <w:spacing w:after="0" w:line="240" w:lineRule="auto"/>
              <w:rPr>
                <w:color w:val="000000"/>
                <w:sz w:val="20"/>
                <w:szCs w:val="20"/>
                <w:lang w:val="es-ES_tradnl"/>
              </w:rPr>
            </w:pPr>
            <w:r>
              <w:rPr>
                <w:color w:val="000000"/>
                <w:sz w:val="20"/>
                <w:szCs w:val="20"/>
                <w:lang w:val="en-US"/>
              </w:rPr>
              <w:t>OPS</w:t>
            </w:r>
            <w:r w:rsidR="006744E2">
              <w:rPr>
                <w:color w:val="000000"/>
                <w:sz w:val="20"/>
                <w:szCs w:val="20"/>
                <w:lang w:val="en-US"/>
              </w:rPr>
              <w:t xml:space="preserve">, 2017; </w:t>
            </w:r>
            <w:r w:rsidR="006546B1">
              <w:rPr>
                <w:color w:val="000000"/>
                <w:sz w:val="20"/>
                <w:szCs w:val="20"/>
                <w:lang w:val="en-US"/>
              </w:rPr>
              <w:t>Visita de campo.</w:t>
            </w:r>
          </w:p>
        </w:tc>
      </w:tr>
      <w:tr w:rsidR="006744E2" w:rsidRPr="00C033A0" w14:paraId="38483F08" w14:textId="75CCB765" w:rsidTr="003D7B1A">
        <w:tc>
          <w:tcPr>
            <w:tcW w:w="3750" w:type="dxa"/>
          </w:tcPr>
          <w:p w14:paraId="6409D6FE" w14:textId="6A310D66" w:rsidR="006744E2" w:rsidRPr="00216226" w:rsidRDefault="006744E2" w:rsidP="006744E2">
            <w:pPr>
              <w:rPr>
                <w:sz w:val="20"/>
                <w:szCs w:val="20"/>
                <w:lang w:val="es-ES_tradnl"/>
              </w:rPr>
            </w:pPr>
            <w:r w:rsidRPr="00216226">
              <w:rPr>
                <w:b/>
                <w:sz w:val="20"/>
                <w:szCs w:val="20"/>
                <w:lang w:val="es-ES_tradnl"/>
              </w:rPr>
              <w:t xml:space="preserve">Sistemas de Salud Resilientes y Sostenibles: </w:t>
            </w:r>
            <w:r w:rsidRPr="00216226">
              <w:rPr>
                <w:bCs/>
                <w:sz w:val="20"/>
                <w:szCs w:val="20"/>
                <w:lang w:val="es-ES_tradnl"/>
              </w:rPr>
              <w:t>Reconocimiento y realización del papel que desempeña la respuesta y los sistemas comunitarios en la respuesta nacional</w:t>
            </w:r>
          </w:p>
        </w:tc>
        <w:tc>
          <w:tcPr>
            <w:tcW w:w="1938" w:type="dxa"/>
            <w:shd w:val="clear" w:color="auto" w:fill="FFD965"/>
          </w:tcPr>
          <w:p w14:paraId="6889C1E3" w14:textId="74386E70"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490" w:type="dxa"/>
          </w:tcPr>
          <w:p w14:paraId="07E005B9" w14:textId="5FE6FF5D" w:rsidR="006744E2" w:rsidRPr="00216226" w:rsidRDefault="006744E2" w:rsidP="006744E2">
            <w:pPr>
              <w:pBdr>
                <w:top w:val="nil"/>
                <w:left w:val="nil"/>
                <w:bottom w:val="nil"/>
                <w:right w:val="nil"/>
                <w:between w:val="nil"/>
              </w:pBdr>
              <w:spacing w:after="0" w:line="240" w:lineRule="auto"/>
              <w:rPr>
                <w:color w:val="000000"/>
                <w:sz w:val="20"/>
                <w:szCs w:val="20"/>
                <w:lang w:val="es-ES_tradnl"/>
              </w:rPr>
            </w:pPr>
            <w:r w:rsidRPr="00216226">
              <w:rPr>
                <w:sz w:val="20"/>
                <w:szCs w:val="20"/>
                <w:lang w:val="es-ES_tradnl"/>
              </w:rPr>
              <w:t xml:space="preserve">Se reconoce el papel de las ONG para abordar las necesidades de VIH entre poblaciones clave, incluida la población </w:t>
            </w:r>
            <w:r w:rsidR="003C6851">
              <w:rPr>
                <w:sz w:val="20"/>
                <w:szCs w:val="20"/>
                <w:lang w:val="es-ES_tradnl"/>
              </w:rPr>
              <w:t>Garífuna</w:t>
            </w:r>
            <w:r w:rsidRPr="00216226">
              <w:rPr>
                <w:sz w:val="20"/>
                <w:szCs w:val="20"/>
                <w:lang w:val="es-ES_tradnl"/>
              </w:rPr>
              <w:t xml:space="preserve">, pero el financiamiento proviene de donantes (Fondo Mundial, </w:t>
            </w:r>
            <w:r w:rsidRPr="000A1D9C">
              <w:rPr>
                <w:i/>
                <w:sz w:val="20"/>
                <w:szCs w:val="20"/>
                <w:lang w:val="es-ES_tradnl"/>
              </w:rPr>
              <w:t>USAID</w:t>
            </w:r>
            <w:r w:rsidRPr="00216226">
              <w:rPr>
                <w:sz w:val="20"/>
                <w:szCs w:val="20"/>
                <w:lang w:val="es-ES_tradnl"/>
              </w:rPr>
              <w:t>).</w:t>
            </w:r>
          </w:p>
        </w:tc>
        <w:tc>
          <w:tcPr>
            <w:tcW w:w="2880" w:type="dxa"/>
          </w:tcPr>
          <w:p w14:paraId="49A488FD" w14:textId="075E2F8C" w:rsidR="006744E2" w:rsidRPr="006744E2" w:rsidRDefault="006546B1" w:rsidP="006744E2">
            <w:pPr>
              <w:pBdr>
                <w:top w:val="nil"/>
                <w:left w:val="nil"/>
                <w:bottom w:val="nil"/>
                <w:right w:val="nil"/>
                <w:between w:val="nil"/>
              </w:pBdr>
              <w:spacing w:after="0" w:line="240" w:lineRule="auto"/>
              <w:rPr>
                <w:color w:val="000000"/>
                <w:sz w:val="20"/>
                <w:szCs w:val="20"/>
                <w:lang w:val="en-US"/>
              </w:rPr>
            </w:pPr>
            <w:r>
              <w:rPr>
                <w:color w:val="000000"/>
                <w:sz w:val="20"/>
                <w:szCs w:val="20"/>
                <w:lang w:val="en-US"/>
              </w:rPr>
              <w:t>PEN; Visita de campo</w:t>
            </w:r>
            <w:r w:rsidR="006744E2">
              <w:rPr>
                <w:color w:val="000000"/>
                <w:sz w:val="20"/>
                <w:szCs w:val="20"/>
                <w:lang w:val="en-US"/>
              </w:rPr>
              <w:t>.</w:t>
            </w:r>
          </w:p>
        </w:tc>
      </w:tr>
      <w:tr w:rsidR="006744E2" w:rsidRPr="00C033A0" w14:paraId="10CF3837" w14:textId="48282FF2" w:rsidTr="003D7B1A">
        <w:tc>
          <w:tcPr>
            <w:tcW w:w="3750" w:type="dxa"/>
          </w:tcPr>
          <w:p w14:paraId="46A6F1EB" w14:textId="48FC2F45" w:rsidR="006744E2" w:rsidRPr="00216226" w:rsidRDefault="006744E2" w:rsidP="006744E2">
            <w:pPr>
              <w:rPr>
                <w:sz w:val="20"/>
                <w:szCs w:val="20"/>
                <w:lang w:val="es-ES_tradnl"/>
              </w:rPr>
            </w:pPr>
            <w:r w:rsidRPr="00216226">
              <w:rPr>
                <w:b/>
                <w:sz w:val="20"/>
                <w:szCs w:val="20"/>
                <w:lang w:val="es-ES_tradnl"/>
              </w:rPr>
              <w:lastRenderedPageBreak/>
              <w:t>Entornos legales, políticos y financieros propicios y sostenibles</w:t>
            </w:r>
            <w:r w:rsidRPr="00216226">
              <w:rPr>
                <w:b/>
                <w:sz w:val="20"/>
                <w:szCs w:val="20"/>
                <w:vertAlign w:val="superscript"/>
                <w:lang w:val="es-ES_tradnl"/>
              </w:rPr>
              <w:footnoteReference w:id="6"/>
            </w:r>
            <w:r w:rsidRPr="00216226">
              <w:rPr>
                <w:b/>
                <w:sz w:val="20"/>
                <w:szCs w:val="20"/>
                <w:lang w:val="es-ES_tradnl"/>
              </w:rPr>
              <w:t>:</w:t>
            </w:r>
            <w:r w:rsidRPr="00216226">
              <w:rPr>
                <w:sz w:val="20"/>
                <w:szCs w:val="20"/>
                <w:lang w:val="es-ES_tradnl"/>
              </w:rPr>
              <w:t xml:space="preserve"> Identificar y abordar las barreras legales, de derechos y de género a los resultados de salud para personas y poblaciones </w:t>
            </w:r>
          </w:p>
        </w:tc>
        <w:tc>
          <w:tcPr>
            <w:tcW w:w="1938" w:type="dxa"/>
            <w:shd w:val="clear" w:color="auto" w:fill="FFD965"/>
          </w:tcPr>
          <w:p w14:paraId="0D9BA050" w14:textId="33F1B72C"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490" w:type="dxa"/>
          </w:tcPr>
          <w:p w14:paraId="2661CBAB" w14:textId="1C7737C2" w:rsidR="006744E2" w:rsidRPr="00216226" w:rsidRDefault="006744E2" w:rsidP="006546B1">
            <w:pPr>
              <w:pBdr>
                <w:top w:val="nil"/>
                <w:left w:val="nil"/>
                <w:bottom w:val="nil"/>
                <w:right w:val="nil"/>
                <w:between w:val="nil"/>
              </w:pBdr>
              <w:spacing w:after="0" w:line="240" w:lineRule="auto"/>
              <w:jc w:val="both"/>
              <w:rPr>
                <w:color w:val="000000"/>
                <w:sz w:val="20"/>
                <w:szCs w:val="20"/>
                <w:lang w:val="es-ES_tradnl"/>
              </w:rPr>
            </w:pPr>
            <w:commentRangeStart w:id="14"/>
            <w:r w:rsidRPr="00216226">
              <w:rPr>
                <w:sz w:val="20"/>
                <w:szCs w:val="20"/>
                <w:lang w:val="es-ES_tradnl"/>
              </w:rPr>
              <w:t xml:space="preserve">Proyecto </w:t>
            </w:r>
            <w:r w:rsidR="006546B1" w:rsidRPr="006546B1">
              <w:rPr>
                <w:sz w:val="20"/>
                <w:szCs w:val="20"/>
                <w:lang w:val="es-ES_tradnl"/>
              </w:rPr>
              <w:t>línea de base de derechos humanos</w:t>
            </w:r>
            <w:r w:rsidR="006546B1">
              <w:rPr>
                <w:sz w:val="20"/>
                <w:szCs w:val="20"/>
                <w:lang w:val="es-ES_tradnl"/>
              </w:rPr>
              <w:t xml:space="preserve"> </w:t>
            </w:r>
            <w:commentRangeEnd w:id="14"/>
            <w:r w:rsidR="006546B1">
              <w:rPr>
                <w:rStyle w:val="CommentReference"/>
              </w:rPr>
              <w:commentReference w:id="14"/>
            </w:r>
            <w:r w:rsidRPr="00216226">
              <w:rPr>
                <w:sz w:val="20"/>
                <w:szCs w:val="20"/>
                <w:lang w:val="es-ES_tradnl"/>
              </w:rPr>
              <w:t xml:space="preserve">terminado y las actividades definidas, pero en 2015 y 2016 sólo se asignaron </w:t>
            </w:r>
            <w:r>
              <w:rPr>
                <w:sz w:val="20"/>
                <w:szCs w:val="20"/>
                <w:lang w:val="es-ES_tradnl"/>
              </w:rPr>
              <w:t xml:space="preserve">US$ </w:t>
            </w:r>
            <w:r w:rsidRPr="00216226">
              <w:rPr>
                <w:sz w:val="20"/>
                <w:szCs w:val="20"/>
                <w:lang w:val="es-ES_tradnl"/>
              </w:rPr>
              <w:t xml:space="preserve">119,119 y </w:t>
            </w:r>
            <w:r>
              <w:rPr>
                <w:sz w:val="20"/>
                <w:szCs w:val="20"/>
                <w:lang w:val="es-ES_tradnl"/>
              </w:rPr>
              <w:t>US$</w:t>
            </w:r>
            <w:r w:rsidR="006546B1">
              <w:rPr>
                <w:sz w:val="20"/>
                <w:szCs w:val="20"/>
                <w:lang w:val="es-ES_tradnl"/>
              </w:rPr>
              <w:t xml:space="preserve"> </w:t>
            </w:r>
            <w:r w:rsidRPr="00216226">
              <w:rPr>
                <w:sz w:val="20"/>
                <w:szCs w:val="20"/>
                <w:lang w:val="es-ES_tradnl"/>
              </w:rPr>
              <w:t>6,024 a este componente, respectivamente. El Fondo Mundial fue la única fuente de financiamiento. Los resultados y el impacto fueron bastante modestos.</w:t>
            </w:r>
          </w:p>
        </w:tc>
        <w:tc>
          <w:tcPr>
            <w:tcW w:w="2880" w:type="dxa"/>
          </w:tcPr>
          <w:p w14:paraId="48C42F2E" w14:textId="3F81154F" w:rsidR="006744E2" w:rsidRPr="00216226" w:rsidRDefault="006546B1" w:rsidP="006744E2">
            <w:pPr>
              <w:pBdr>
                <w:top w:val="nil"/>
                <w:left w:val="nil"/>
                <w:bottom w:val="nil"/>
                <w:right w:val="nil"/>
                <w:between w:val="nil"/>
              </w:pBdr>
              <w:spacing w:after="0" w:line="240" w:lineRule="auto"/>
              <w:rPr>
                <w:color w:val="000000"/>
                <w:sz w:val="20"/>
                <w:szCs w:val="20"/>
                <w:lang w:val="es-ES_tradnl"/>
              </w:rPr>
            </w:pPr>
            <w:r>
              <w:rPr>
                <w:color w:val="000000"/>
                <w:sz w:val="20"/>
                <w:szCs w:val="20"/>
                <w:lang w:val="en-US"/>
              </w:rPr>
              <w:t>Fondo Mundial</w:t>
            </w:r>
            <w:r w:rsidR="006744E2">
              <w:rPr>
                <w:color w:val="000000"/>
                <w:sz w:val="20"/>
                <w:szCs w:val="20"/>
                <w:lang w:val="en-US"/>
              </w:rPr>
              <w:t>, 2018</w:t>
            </w:r>
          </w:p>
        </w:tc>
      </w:tr>
      <w:tr w:rsidR="003D7B1A" w:rsidRPr="00216226" w14:paraId="20E73FB7" w14:textId="2952D081" w:rsidTr="003D7B1A">
        <w:tc>
          <w:tcPr>
            <w:tcW w:w="3750" w:type="dxa"/>
            <w:shd w:val="clear" w:color="auto" w:fill="D9D9D9"/>
            <w:vAlign w:val="center"/>
          </w:tcPr>
          <w:p w14:paraId="78AC4854" w14:textId="18571730" w:rsidR="003D7B1A" w:rsidRPr="00216226" w:rsidRDefault="00FB0B72" w:rsidP="003D7B1A">
            <w:pPr>
              <w:rPr>
                <w:b/>
                <w:sz w:val="20"/>
                <w:szCs w:val="20"/>
                <w:lang w:val="es-ES_tradnl"/>
              </w:rPr>
            </w:pPr>
            <w:r w:rsidRPr="00216226">
              <w:rPr>
                <w:b/>
                <w:color w:val="000000"/>
                <w:sz w:val="20"/>
                <w:szCs w:val="20"/>
                <w:lang w:val="es-ES_tradnl"/>
              </w:rPr>
              <w:t xml:space="preserve">Puntuación compuesta a través de todos los componentes relevantes </w:t>
            </w:r>
            <w:r w:rsidR="003D7B1A" w:rsidRPr="00216226">
              <w:rPr>
                <w:b/>
                <w:color w:val="000000"/>
                <w:sz w:val="20"/>
                <w:szCs w:val="20"/>
                <w:lang w:val="es-ES_tradnl"/>
              </w:rPr>
              <w:t xml:space="preserve">(6) </w:t>
            </w:r>
          </w:p>
        </w:tc>
        <w:tc>
          <w:tcPr>
            <w:tcW w:w="1938" w:type="dxa"/>
            <w:shd w:val="clear" w:color="auto" w:fill="FF9300"/>
          </w:tcPr>
          <w:p w14:paraId="045FC11F" w14:textId="411C4231" w:rsidR="003D7B1A" w:rsidRPr="00216226" w:rsidRDefault="003D7B1A" w:rsidP="003D7B1A">
            <w:pPr>
              <w:pBdr>
                <w:top w:val="nil"/>
                <w:left w:val="nil"/>
                <w:bottom w:val="nil"/>
                <w:right w:val="nil"/>
                <w:between w:val="nil"/>
              </w:pBdr>
              <w:spacing w:after="0" w:line="240" w:lineRule="auto"/>
              <w:jc w:val="center"/>
              <w:rPr>
                <w:color w:val="000000"/>
                <w:sz w:val="20"/>
                <w:szCs w:val="20"/>
                <w:lang w:val="es-ES_tradnl"/>
              </w:rPr>
            </w:pPr>
            <w:r w:rsidRPr="00216226">
              <w:rPr>
                <w:iCs/>
                <w:color w:val="000000" w:themeColor="text1"/>
                <w:sz w:val="20"/>
                <w:szCs w:val="20"/>
                <w:lang w:val="es-ES_tradnl"/>
              </w:rPr>
              <w:t>2.67</w:t>
            </w:r>
          </w:p>
        </w:tc>
        <w:tc>
          <w:tcPr>
            <w:tcW w:w="5490" w:type="dxa"/>
          </w:tcPr>
          <w:p w14:paraId="68806673" w14:textId="77777777" w:rsidR="003D7B1A" w:rsidRPr="00216226" w:rsidRDefault="003D7B1A" w:rsidP="003D7B1A">
            <w:pPr>
              <w:pBdr>
                <w:top w:val="nil"/>
                <w:left w:val="nil"/>
                <w:bottom w:val="nil"/>
                <w:right w:val="nil"/>
                <w:between w:val="nil"/>
              </w:pBdr>
              <w:spacing w:after="0" w:line="240" w:lineRule="auto"/>
              <w:rPr>
                <w:color w:val="000000"/>
                <w:sz w:val="20"/>
                <w:szCs w:val="20"/>
                <w:lang w:val="es-ES_tradnl"/>
              </w:rPr>
            </w:pPr>
          </w:p>
        </w:tc>
        <w:tc>
          <w:tcPr>
            <w:tcW w:w="2880" w:type="dxa"/>
          </w:tcPr>
          <w:p w14:paraId="6915A1B4" w14:textId="77777777" w:rsidR="003D7B1A" w:rsidRPr="00216226" w:rsidRDefault="003D7B1A" w:rsidP="003D7B1A">
            <w:pPr>
              <w:pBdr>
                <w:top w:val="nil"/>
                <w:left w:val="nil"/>
                <w:bottom w:val="nil"/>
                <w:right w:val="nil"/>
                <w:between w:val="nil"/>
              </w:pBdr>
              <w:spacing w:after="0" w:line="240" w:lineRule="auto"/>
              <w:rPr>
                <w:color w:val="000000"/>
                <w:sz w:val="20"/>
                <w:szCs w:val="20"/>
                <w:lang w:val="es-ES_tradnl"/>
              </w:rPr>
            </w:pPr>
          </w:p>
        </w:tc>
      </w:tr>
    </w:tbl>
    <w:p w14:paraId="3BE1FED6" w14:textId="77777777" w:rsidR="005D3854" w:rsidRPr="00216226" w:rsidRDefault="005D3854">
      <w:pPr>
        <w:rPr>
          <w:b/>
          <w:color w:val="4472C4"/>
          <w:sz w:val="26"/>
          <w:szCs w:val="26"/>
          <w:lang w:val="es-ES_tradnl"/>
        </w:rPr>
        <w:sectPr w:rsidR="005D3854" w:rsidRPr="00216226" w:rsidSect="002C2B32">
          <w:pgSz w:w="16838" w:h="11906" w:orient="landscape"/>
          <w:pgMar w:top="1440" w:right="1440" w:bottom="1440" w:left="1440" w:header="706" w:footer="706" w:gutter="0"/>
          <w:cols w:space="720"/>
          <w:docGrid w:linePitch="299"/>
        </w:sectPr>
      </w:pPr>
    </w:p>
    <w:p w14:paraId="37999970" w14:textId="433800C0" w:rsidR="00F061A0" w:rsidRPr="00216226" w:rsidRDefault="003E78F0">
      <w:pPr>
        <w:rPr>
          <w:b/>
          <w:i/>
          <w:color w:val="008DB8"/>
          <w:sz w:val="24"/>
          <w:szCs w:val="24"/>
          <w:lang w:val="es-ES_tradnl"/>
        </w:rPr>
      </w:pPr>
      <w:r w:rsidRPr="00216226">
        <w:rPr>
          <w:b/>
          <w:color w:val="4472C4"/>
          <w:sz w:val="26"/>
          <w:szCs w:val="26"/>
          <w:lang w:val="es-ES_tradnl"/>
        </w:rPr>
        <w:lastRenderedPageBreak/>
        <w:t>Objetivo</w:t>
      </w:r>
      <w:r w:rsidR="000C0F5B" w:rsidRPr="00216226">
        <w:rPr>
          <w:b/>
          <w:color w:val="4472C4"/>
          <w:sz w:val="26"/>
          <w:szCs w:val="26"/>
          <w:lang w:val="es-ES_tradnl"/>
        </w:rPr>
        <w:t xml:space="preserve"> 2</w:t>
      </w:r>
      <w:r w:rsidR="000C0F5B" w:rsidRPr="00216226">
        <w:rPr>
          <w:b/>
          <w:i/>
          <w:color w:val="008DB8"/>
          <w:sz w:val="24"/>
          <w:szCs w:val="24"/>
          <w:lang w:val="es-ES_tradnl"/>
        </w:rPr>
        <w:t xml:space="preserve">. </w:t>
      </w:r>
      <w:r w:rsidR="001716D4" w:rsidRPr="00216226">
        <w:rPr>
          <w:b/>
          <w:lang w:val="es-ES_tradnl"/>
        </w:rPr>
        <w:t>Evaluar hasta qué punto los sistemas de prestación de servicios (establecimientos de salud y comunitarios) brindan servicios de calidad</w:t>
      </w:r>
      <w:r w:rsidR="000C0F5B" w:rsidRPr="00216226">
        <w:rPr>
          <w:b/>
          <w:lang w:val="es-ES_tradnl"/>
        </w:rPr>
        <w:t>.</w:t>
      </w:r>
      <w:r w:rsidR="000C0F5B" w:rsidRPr="00216226">
        <w:rPr>
          <w:b/>
          <w:sz w:val="24"/>
          <w:szCs w:val="24"/>
          <w:lang w:val="es-ES_tradnl"/>
        </w:rPr>
        <w:t xml:space="preserve"> </w:t>
      </w:r>
    </w:p>
    <w:p w14:paraId="192E602E" w14:textId="5A86BF82" w:rsidR="00E84DA1" w:rsidRPr="00216226" w:rsidRDefault="00EC559D" w:rsidP="00E84DA1">
      <w:pPr>
        <w:jc w:val="both"/>
        <w:rPr>
          <w:rFonts w:eastAsia="MS Gothic"/>
          <w:lang w:val="es-ES_tradnl" w:eastAsia="en-US"/>
        </w:rPr>
      </w:pPr>
      <w:bookmarkStart w:id="15" w:name="_2et92p0" w:colFirst="0" w:colLast="0"/>
      <w:bookmarkStart w:id="16" w:name="_Hlk8225172"/>
      <w:bookmarkEnd w:id="15"/>
      <w:r w:rsidRPr="00216226">
        <w:rPr>
          <w:rFonts w:eastAsia="MS Gothic"/>
          <w:lang w:val="es-ES_tradnl" w:eastAsia="en-US"/>
        </w:rPr>
        <w:t>Como se describe más adelante, el sistema de información de salud en Honduras es débil y no está integrado</w:t>
      </w:r>
      <w:r w:rsidR="00F8135C" w:rsidRPr="00216226">
        <w:rPr>
          <w:rFonts w:eastAsia="MS Gothic"/>
          <w:lang w:val="es-ES_tradnl" w:eastAsia="en-US"/>
        </w:rPr>
        <w:t xml:space="preserve"> y</w:t>
      </w:r>
      <w:r w:rsidRPr="00216226">
        <w:rPr>
          <w:rFonts w:eastAsia="MS Gothic"/>
          <w:lang w:val="es-ES_tradnl" w:eastAsia="en-US"/>
        </w:rPr>
        <w:t xml:space="preserve">, por lo tanto, la mayor parte de la información se basa en datos fragmentarios, incompletos y limitados. De lo que está disponible, se puede inferir que las inversiones del Fondo Mundial han contribuido enormemente a ampliar el acceso al tratamiento y, </w:t>
      </w:r>
      <w:r w:rsidR="00F8135C" w:rsidRPr="00216226">
        <w:rPr>
          <w:rFonts w:eastAsia="MS Gothic"/>
          <w:lang w:val="es-ES_tradnl" w:eastAsia="en-US"/>
        </w:rPr>
        <w:t>consecuentemente</w:t>
      </w:r>
      <w:r w:rsidRPr="00216226">
        <w:rPr>
          <w:rFonts w:eastAsia="MS Gothic"/>
          <w:lang w:val="es-ES_tradnl" w:eastAsia="en-US"/>
        </w:rPr>
        <w:t>, a reducir la morbilidad y la mortalidad relacionadas con el SIDA</w:t>
      </w:r>
      <w:r w:rsidR="00E84DA1" w:rsidRPr="00216226">
        <w:rPr>
          <w:rFonts w:eastAsia="MS Gothic"/>
          <w:lang w:val="es-ES_tradnl" w:eastAsia="en-US"/>
        </w:rPr>
        <w:t xml:space="preserve">. </w:t>
      </w:r>
      <w:r w:rsidRPr="00216226">
        <w:rPr>
          <w:rFonts w:eastAsia="MS Gothic"/>
          <w:lang w:val="es-ES_tradnl" w:eastAsia="en-US"/>
        </w:rPr>
        <w:t xml:space="preserve">Sin embargo, a pesar del apoyo continuo del Fondo Mundial y otros </w:t>
      </w:r>
      <w:r w:rsidR="0085786A" w:rsidRPr="00216226">
        <w:rPr>
          <w:rFonts w:eastAsia="MS Gothic"/>
          <w:lang w:val="es-ES_tradnl" w:eastAsia="en-US"/>
        </w:rPr>
        <w:t>socios para el desarrollo</w:t>
      </w:r>
      <w:r w:rsidRPr="00216226">
        <w:rPr>
          <w:rFonts w:eastAsia="MS Gothic"/>
          <w:lang w:val="es-ES_tradnl" w:eastAsia="en-US"/>
        </w:rPr>
        <w:t xml:space="preserve"> que ofrecen herramientas de prevención y pruebas, la cantidad de PVVIH que no están vinculadas al sistema de salud, que no reciben tratamiento y que, por </w:t>
      </w:r>
      <w:r w:rsidR="00F8135C" w:rsidRPr="00216226">
        <w:rPr>
          <w:rFonts w:eastAsia="MS Gothic"/>
          <w:lang w:val="es-ES_tradnl" w:eastAsia="en-US"/>
        </w:rPr>
        <w:t>ende</w:t>
      </w:r>
      <w:r w:rsidRPr="00216226">
        <w:rPr>
          <w:rFonts w:eastAsia="MS Gothic"/>
          <w:lang w:val="es-ES_tradnl" w:eastAsia="en-US"/>
        </w:rPr>
        <w:t xml:space="preserve">, no </w:t>
      </w:r>
      <w:r w:rsidR="00F8135C" w:rsidRPr="00216226">
        <w:rPr>
          <w:rFonts w:eastAsia="MS Gothic"/>
          <w:lang w:val="es-ES_tradnl" w:eastAsia="en-US"/>
        </w:rPr>
        <w:t>tienen supresión</w:t>
      </w:r>
      <w:r w:rsidRPr="00216226">
        <w:rPr>
          <w:rFonts w:eastAsia="MS Gothic"/>
          <w:lang w:val="es-ES_tradnl" w:eastAsia="en-US"/>
        </w:rPr>
        <w:t xml:space="preserve"> viral es elevada. El hecho de que casi la mitad de PVVIH </w:t>
      </w:r>
      <w:r w:rsidR="00E84DA1" w:rsidRPr="00216226">
        <w:rPr>
          <w:rFonts w:eastAsia="MS Gothic"/>
          <w:lang w:val="es-ES_tradnl" w:eastAsia="en-US"/>
        </w:rPr>
        <w:t xml:space="preserve">(10343 </w:t>
      </w:r>
      <w:r w:rsidRPr="00216226">
        <w:rPr>
          <w:rFonts w:eastAsia="MS Gothic"/>
          <w:lang w:val="es-ES_tradnl" w:eastAsia="en-US"/>
        </w:rPr>
        <w:t xml:space="preserve">de </w:t>
      </w:r>
      <w:r w:rsidR="00E84DA1" w:rsidRPr="00216226">
        <w:rPr>
          <w:rFonts w:eastAsia="MS Gothic"/>
          <w:lang w:val="es-ES_tradnl" w:eastAsia="en-US"/>
        </w:rPr>
        <w:t xml:space="preserve">21,461; SESAL, 2018a), </w:t>
      </w:r>
      <w:r w:rsidRPr="00216226">
        <w:rPr>
          <w:rFonts w:eastAsia="MS Gothic"/>
          <w:lang w:val="es-ES_tradnl" w:eastAsia="en-US"/>
        </w:rPr>
        <w:t>la mayoría de las cuales posiblemente no conocen su estado (aunque las cifras pueden ser diferentes para cada población clave; ver a continuación para una discusión detallada</w:t>
      </w:r>
      <w:r w:rsidR="00E84DA1" w:rsidRPr="00216226">
        <w:rPr>
          <w:rFonts w:eastAsia="MS Gothic"/>
          <w:lang w:val="es-ES_tradnl" w:eastAsia="en-US"/>
        </w:rPr>
        <w:t xml:space="preserve">), </w:t>
      </w:r>
      <w:r w:rsidRPr="00216226">
        <w:rPr>
          <w:rFonts w:eastAsia="MS Gothic"/>
          <w:lang w:val="es-ES_tradnl" w:eastAsia="en-US"/>
        </w:rPr>
        <w:t xml:space="preserve">no están vinculados al sistema de salud, lo </w:t>
      </w:r>
      <w:r w:rsidR="00F8135C" w:rsidRPr="00216226">
        <w:rPr>
          <w:rFonts w:eastAsia="MS Gothic"/>
          <w:lang w:val="es-ES_tradnl" w:eastAsia="en-US"/>
        </w:rPr>
        <w:t>cual</w:t>
      </w:r>
      <w:r w:rsidRPr="00216226">
        <w:rPr>
          <w:rFonts w:eastAsia="MS Gothic"/>
          <w:lang w:val="es-ES_tradnl" w:eastAsia="en-US"/>
        </w:rPr>
        <w:t xml:space="preserve"> conduce a tasas significativas de diagnóstico tardío, con consecuencias tanto para la salud del paciente como para el uso de los recursos del sistema de salud</w:t>
      </w:r>
      <w:r w:rsidR="00E84DA1" w:rsidRPr="00216226">
        <w:rPr>
          <w:rFonts w:eastAsia="MS Gothic"/>
          <w:lang w:val="es-ES_tradnl" w:eastAsia="en-US"/>
        </w:rPr>
        <w:t xml:space="preserve">. </w:t>
      </w:r>
      <w:r w:rsidR="00E65B7B" w:rsidRPr="00216226">
        <w:rPr>
          <w:rFonts w:eastAsia="MS Gothic"/>
          <w:lang w:val="es-ES_tradnl" w:eastAsia="en-US"/>
        </w:rPr>
        <w:t xml:space="preserve">También limita severamente los beneficios para la salud pública (transmisibilidad reducida) que podrían obtenerse de un mayor porcentaje de pacientes que reducen las prácticas de riesgo al conocer su estado </w:t>
      </w:r>
      <w:r w:rsidR="00F8135C" w:rsidRPr="00216226">
        <w:rPr>
          <w:rFonts w:eastAsia="MS Gothic"/>
          <w:lang w:val="es-ES_tradnl" w:eastAsia="en-US"/>
        </w:rPr>
        <w:t>seropositivo</w:t>
      </w:r>
      <w:r w:rsidR="00E65B7B" w:rsidRPr="00216226">
        <w:rPr>
          <w:rFonts w:eastAsia="MS Gothic"/>
          <w:lang w:val="es-ES_tradnl" w:eastAsia="en-US"/>
        </w:rPr>
        <w:t xml:space="preserve"> y de pacientes con carga viral suprimida</w:t>
      </w:r>
      <w:r w:rsidR="00E84DA1" w:rsidRPr="00216226">
        <w:rPr>
          <w:rFonts w:eastAsia="MS Gothic"/>
          <w:lang w:val="es-ES_tradnl" w:eastAsia="en-US"/>
        </w:rPr>
        <w:t xml:space="preserve">. </w:t>
      </w:r>
      <w:r w:rsidR="00E9239B" w:rsidRPr="00216226">
        <w:rPr>
          <w:rFonts w:eastAsia="MS Gothic"/>
          <w:lang w:val="es-ES_tradnl" w:eastAsia="en-US"/>
        </w:rPr>
        <w:t xml:space="preserve">Sin embargo, existe un desequilibrio de género en esta realidad: se calcula que el </w:t>
      </w:r>
      <w:r w:rsidR="00E84DA1" w:rsidRPr="00216226">
        <w:rPr>
          <w:rFonts w:eastAsia="MS Gothic"/>
          <w:lang w:val="es-ES_tradnl" w:eastAsia="en-US"/>
        </w:rPr>
        <w:t xml:space="preserve">70.94% </w:t>
      </w:r>
      <w:r w:rsidR="00E9239B" w:rsidRPr="00216226">
        <w:rPr>
          <w:rFonts w:eastAsia="MS Gothic"/>
          <w:lang w:val="es-ES_tradnl" w:eastAsia="en-US"/>
        </w:rPr>
        <w:t>de las mujeres estimadas VIH positivo están en tratamiento, en comparación con</w:t>
      </w:r>
      <w:r w:rsidR="00E84DA1" w:rsidRPr="00216226">
        <w:rPr>
          <w:rFonts w:eastAsia="MS Gothic"/>
          <w:lang w:val="es-ES_tradnl" w:eastAsia="en-US"/>
        </w:rPr>
        <w:t xml:space="preserve"> 45.68% </w:t>
      </w:r>
      <w:r w:rsidR="00E9239B" w:rsidRPr="00216226">
        <w:rPr>
          <w:rFonts w:eastAsia="MS Gothic"/>
          <w:lang w:val="es-ES_tradnl" w:eastAsia="en-US"/>
        </w:rPr>
        <w:t>de hombres</w:t>
      </w:r>
      <w:r w:rsidR="00E84DA1" w:rsidRPr="00216226">
        <w:rPr>
          <w:rFonts w:eastAsia="MS Gothic"/>
          <w:lang w:val="es-ES_tradnl" w:eastAsia="en-US"/>
        </w:rPr>
        <w:t xml:space="preserve"> (</w:t>
      </w:r>
      <w:r w:rsidR="00E84DA1" w:rsidRPr="001C51BB">
        <w:rPr>
          <w:rFonts w:eastAsia="MS Gothic"/>
          <w:i/>
          <w:lang w:val="es-ES_tradnl" w:eastAsia="en-US"/>
        </w:rPr>
        <w:t>PUDR</w:t>
      </w:r>
      <w:r w:rsidR="00E84DA1" w:rsidRPr="00216226">
        <w:rPr>
          <w:rFonts w:eastAsia="MS Gothic"/>
          <w:lang w:val="es-ES_tradnl" w:eastAsia="en-US"/>
        </w:rPr>
        <w:t>, 2017)</w:t>
      </w:r>
      <w:r w:rsidR="001716D4" w:rsidRPr="00216226">
        <w:rPr>
          <w:rFonts w:eastAsia="MS Gothic"/>
          <w:lang w:val="es-ES_tradnl" w:eastAsia="en-US"/>
        </w:rPr>
        <w:t>.</w:t>
      </w:r>
    </w:p>
    <w:bookmarkEnd w:id="16"/>
    <w:p w14:paraId="232C9290" w14:textId="07905850" w:rsidR="00E84DA1" w:rsidRPr="00216226" w:rsidRDefault="00EE0F21" w:rsidP="00E84DA1">
      <w:pPr>
        <w:rPr>
          <w:rFonts w:ascii="Calibri Light" w:eastAsia="MS Gothic" w:hAnsi="Calibri Light" w:cs="Times New Roman"/>
          <w:b/>
          <w:bCs/>
          <w:lang w:val="es-ES_tradnl" w:eastAsia="en-US"/>
        </w:rPr>
      </w:pPr>
      <w:r w:rsidRPr="00216226">
        <w:rPr>
          <w:rFonts w:ascii="Calibri Light" w:eastAsia="MS Gothic" w:hAnsi="Calibri Light" w:cs="Times New Roman"/>
          <w:b/>
          <w:bCs/>
          <w:lang w:val="es-ES_tradnl" w:eastAsia="en-US"/>
        </w:rPr>
        <w:t>Dominio</w:t>
      </w:r>
      <w:r w:rsidR="00E84DA1" w:rsidRPr="00216226">
        <w:rPr>
          <w:rFonts w:ascii="Calibri Light" w:eastAsia="MS Gothic" w:hAnsi="Calibri Light" w:cs="Times New Roman"/>
          <w:b/>
          <w:bCs/>
          <w:lang w:val="es-ES_tradnl" w:eastAsia="en-US"/>
        </w:rPr>
        <w:t xml:space="preserve"> 2.1.</w:t>
      </w:r>
      <w:r w:rsidR="00680A78" w:rsidRPr="00216226">
        <w:rPr>
          <w:rFonts w:ascii="Calibri Light" w:eastAsia="MS Gothic" w:hAnsi="Calibri Light" w:cs="Times New Roman"/>
          <w:b/>
          <w:bCs/>
          <w:lang w:val="es-ES_tradnl" w:eastAsia="en-US"/>
        </w:rPr>
        <w:t xml:space="preserve"> </w:t>
      </w:r>
      <w:r w:rsidR="00E84DA1" w:rsidRPr="00216226">
        <w:rPr>
          <w:rFonts w:ascii="Calibri Light" w:eastAsia="MS Gothic" w:hAnsi="Calibri Light" w:cs="Times New Roman"/>
          <w:b/>
          <w:bCs/>
          <w:lang w:val="es-ES_tradnl" w:eastAsia="en-US"/>
        </w:rPr>
        <w:t>Preven</w:t>
      </w:r>
      <w:r w:rsidR="00827BE2" w:rsidRPr="00216226">
        <w:rPr>
          <w:rFonts w:ascii="Calibri Light" w:eastAsia="MS Gothic" w:hAnsi="Calibri Light" w:cs="Times New Roman"/>
          <w:b/>
          <w:bCs/>
          <w:lang w:val="es-ES_tradnl" w:eastAsia="en-US"/>
        </w:rPr>
        <w:t>ción</w:t>
      </w:r>
    </w:p>
    <w:p w14:paraId="7FFF6D95" w14:textId="1EC9A378" w:rsidR="00E84DA1" w:rsidRPr="00216226" w:rsidRDefault="00320DF5" w:rsidP="0085736C">
      <w:pPr>
        <w:jc w:val="both"/>
        <w:rPr>
          <w:rFonts w:ascii="Calibri Light" w:eastAsia="MS Gothic" w:hAnsi="Calibri Light"/>
          <w:b/>
          <w:i/>
          <w:color w:val="808080"/>
          <w:lang w:val="es-ES_tradnl" w:eastAsia="en-US"/>
        </w:rPr>
      </w:pPr>
      <w:r w:rsidRPr="0085736C">
        <w:rPr>
          <w:rFonts w:eastAsia="MS Gothic"/>
          <w:lang w:val="es-ES_tradnl" w:eastAsia="en-US"/>
        </w:rPr>
        <w:t>Insumos:</w:t>
      </w:r>
      <w:r w:rsidR="00E84DA1" w:rsidRPr="0085736C">
        <w:rPr>
          <w:rFonts w:ascii="Calibri Light" w:eastAsia="MS Gothic" w:hAnsi="Calibri Light"/>
          <w:i/>
          <w:color w:val="808080"/>
          <w:lang w:val="es-ES_tradnl" w:eastAsia="en-US"/>
        </w:rPr>
        <w:t xml:space="preserve"> </w:t>
      </w:r>
      <w:r w:rsidR="00827BE2" w:rsidRPr="0085736C">
        <w:rPr>
          <w:rFonts w:eastAsia="MS Gothic"/>
          <w:lang w:val="es-ES_tradnl" w:eastAsia="en-US"/>
        </w:rPr>
        <w:t>Los programas</w:t>
      </w:r>
      <w:r w:rsidR="00827BE2" w:rsidRPr="00216226">
        <w:rPr>
          <w:rFonts w:eastAsia="MS Gothic"/>
          <w:lang w:val="es-ES_tradnl" w:eastAsia="en-US"/>
        </w:rPr>
        <w:t xml:space="preserve"> apoyados por el Fondo Mundial en Honduras han ofrecido tradicionalmente toda la gama de herramientas de prevención para las poblaciones clave: campañas de sensibilización, información y educación, divulgación específica </w:t>
      </w:r>
      <w:r w:rsidR="00264C4D" w:rsidRPr="00216226">
        <w:rPr>
          <w:rFonts w:eastAsia="MS Gothic"/>
          <w:lang w:val="es-ES_tradnl" w:eastAsia="en-US"/>
        </w:rPr>
        <w:t>par</w:t>
      </w:r>
      <w:r w:rsidR="00827BE2" w:rsidRPr="00216226">
        <w:rPr>
          <w:rFonts w:eastAsia="MS Gothic"/>
          <w:lang w:val="es-ES_tradnl" w:eastAsia="en-US"/>
        </w:rPr>
        <w:t xml:space="preserve">a poblaciones clave con mensajes de cambio de comportamiento adaptados y suministro de condones. El suministro de lubricantes se ha limitado a HSH y mujeres transgénero. El Fondo Mundial también ha apoyado el tratamiento para la prevención de la transmisión </w:t>
      </w:r>
      <w:r w:rsidR="00264C4D" w:rsidRPr="00216226">
        <w:rPr>
          <w:rFonts w:eastAsia="MS Gothic"/>
          <w:lang w:val="es-ES_tradnl" w:eastAsia="en-US"/>
        </w:rPr>
        <w:t>materno infantil</w:t>
      </w:r>
      <w:r w:rsidR="00827BE2" w:rsidRPr="00216226">
        <w:rPr>
          <w:rFonts w:eastAsia="MS Gothic"/>
          <w:lang w:val="es-ES_tradnl" w:eastAsia="en-US"/>
        </w:rPr>
        <w:t xml:space="preserve"> (PTMI) y la compra de medicamentos antirretrovirales que podrían utilizarse para</w:t>
      </w:r>
      <w:r w:rsidR="006546B1">
        <w:rPr>
          <w:rFonts w:eastAsia="MS Gothic"/>
          <w:lang w:val="es-ES_tradnl" w:eastAsia="en-US"/>
        </w:rPr>
        <w:t xml:space="preserve"> </w:t>
      </w:r>
      <w:r w:rsidR="006546B1" w:rsidRPr="006546B1">
        <w:rPr>
          <w:rFonts w:eastAsia="MS Gothic"/>
          <w:lang w:val="es-ES_tradnl" w:eastAsia="en-US"/>
        </w:rPr>
        <w:t>la profilaxis después de la exposición al VIH</w:t>
      </w:r>
      <w:r w:rsidR="00827BE2" w:rsidRPr="00216226">
        <w:rPr>
          <w:rFonts w:eastAsia="MS Gothic"/>
          <w:lang w:val="es-ES_tradnl" w:eastAsia="en-US"/>
        </w:rPr>
        <w:t xml:space="preserve"> (MCP, 2015 y 2018).</w:t>
      </w:r>
      <w:r w:rsidR="00E84DA1" w:rsidRPr="00216226">
        <w:rPr>
          <w:rFonts w:eastAsia="MS Gothic"/>
          <w:lang w:val="es-ES_tradnl" w:eastAsia="en-US"/>
        </w:rPr>
        <w:t xml:space="preserve"> </w:t>
      </w:r>
    </w:p>
    <w:p w14:paraId="051BF414" w14:textId="0A396F8B" w:rsidR="00E84DA1" w:rsidRPr="00216226" w:rsidRDefault="00827BE2" w:rsidP="00E84DA1">
      <w:pPr>
        <w:jc w:val="both"/>
        <w:rPr>
          <w:rFonts w:eastAsia="MS Gothic"/>
          <w:lang w:val="es-ES_tradnl" w:eastAsia="en-US"/>
        </w:rPr>
      </w:pPr>
      <w:bookmarkStart w:id="17" w:name="_Hlk8226927"/>
      <w:r w:rsidRPr="00216226">
        <w:rPr>
          <w:rFonts w:eastAsia="MS Gothic"/>
          <w:lang w:val="es-ES_tradnl" w:eastAsia="en-US"/>
        </w:rPr>
        <w:t xml:space="preserve">En la subvención actual, se incluye un paquete definido de prevención que se proporcionará a las poblaciones clave (HSH, TG, </w:t>
      </w:r>
      <w:r w:rsidR="00264C4D" w:rsidRPr="00216226">
        <w:rPr>
          <w:rFonts w:eastAsia="MS Gothic"/>
          <w:lang w:val="es-ES_tradnl" w:eastAsia="en-US"/>
        </w:rPr>
        <w:t>trabajadores sexuales</w:t>
      </w:r>
      <w:r w:rsidRPr="00216226">
        <w:rPr>
          <w:rFonts w:eastAsia="MS Gothic"/>
          <w:lang w:val="es-ES_tradnl" w:eastAsia="en-US"/>
        </w:rPr>
        <w:t xml:space="preserve">, </w:t>
      </w:r>
      <w:r w:rsidR="00CB285B">
        <w:rPr>
          <w:rFonts w:eastAsia="MS Gothic"/>
          <w:lang w:val="es-ES_tradnl" w:eastAsia="en-US"/>
        </w:rPr>
        <w:t>PPL</w:t>
      </w:r>
      <w:r w:rsidRPr="00216226">
        <w:rPr>
          <w:rFonts w:eastAsia="MS Gothic"/>
          <w:lang w:val="es-ES_tradnl" w:eastAsia="en-US"/>
        </w:rPr>
        <w:t xml:space="preserve">, población </w:t>
      </w:r>
      <w:r w:rsidR="003C6851">
        <w:rPr>
          <w:rFonts w:eastAsia="MS Gothic"/>
          <w:lang w:val="es-ES_tradnl" w:eastAsia="en-US"/>
        </w:rPr>
        <w:t>Garífuna</w:t>
      </w:r>
      <w:r w:rsidRPr="00216226">
        <w:rPr>
          <w:rFonts w:eastAsia="MS Gothic"/>
          <w:lang w:val="es-ES_tradnl" w:eastAsia="en-US"/>
        </w:rPr>
        <w:t>). El paquete incluye material educativo impreso, condones, lubricantes y charlas educativas, aunque en la práctica los lubricantes se ofrecen s</w:t>
      </w:r>
      <w:r w:rsidR="00264C4D" w:rsidRPr="00216226">
        <w:rPr>
          <w:rFonts w:eastAsia="MS Gothic"/>
          <w:lang w:val="es-ES_tradnl" w:eastAsia="en-US"/>
        </w:rPr>
        <w:t>ó</w:t>
      </w:r>
      <w:r w:rsidRPr="00216226">
        <w:rPr>
          <w:rFonts w:eastAsia="MS Gothic"/>
          <w:lang w:val="es-ES_tradnl" w:eastAsia="en-US"/>
        </w:rPr>
        <w:t>lo a HSH y mujeres trans</w:t>
      </w:r>
      <w:r w:rsidR="0054322E" w:rsidRPr="00216226">
        <w:rPr>
          <w:rFonts w:eastAsia="MS Gothic"/>
          <w:lang w:val="es-ES_tradnl" w:eastAsia="en-US"/>
        </w:rPr>
        <w:t>género</w:t>
      </w:r>
      <w:r w:rsidRPr="00216226">
        <w:rPr>
          <w:rFonts w:eastAsia="MS Gothic"/>
          <w:lang w:val="es-ES_tradnl" w:eastAsia="en-US"/>
        </w:rPr>
        <w:t xml:space="preserve">. El paquete de prevención está vinculado a la oferta de prueba de VIH y se distribuye a través de actividades de divulgación de poblaciones clave específicas: </w:t>
      </w:r>
      <w:r w:rsidR="00264C4D" w:rsidRPr="00216226">
        <w:rPr>
          <w:rFonts w:eastAsia="MS Gothic"/>
          <w:lang w:val="es-ES_tradnl" w:eastAsia="en-US"/>
        </w:rPr>
        <w:t xml:space="preserve">unidades </w:t>
      </w:r>
      <w:r w:rsidR="0054322E" w:rsidRPr="00216226">
        <w:rPr>
          <w:rFonts w:eastAsia="MS Gothic"/>
          <w:lang w:val="es-ES_tradnl" w:eastAsia="en-US"/>
        </w:rPr>
        <w:t xml:space="preserve">móviles de </w:t>
      </w:r>
      <w:r w:rsidR="0054322E" w:rsidRPr="00943294">
        <w:rPr>
          <w:rFonts w:eastAsia="MS Gothic"/>
          <w:i/>
          <w:lang w:val="es-ES_tradnl" w:eastAsia="en-US"/>
        </w:rPr>
        <w:t>HTC</w:t>
      </w:r>
      <w:r w:rsidR="0054322E" w:rsidRPr="00216226">
        <w:rPr>
          <w:rFonts w:eastAsia="MS Gothic"/>
          <w:lang w:val="es-ES_tradnl" w:eastAsia="en-US"/>
        </w:rPr>
        <w:t xml:space="preserve">, actividades de </w:t>
      </w:r>
      <w:r w:rsidR="0054322E" w:rsidRPr="00943294">
        <w:rPr>
          <w:rFonts w:eastAsia="MS Gothic"/>
          <w:i/>
          <w:lang w:val="es-ES_tradnl" w:eastAsia="en-US"/>
        </w:rPr>
        <w:t>HTC</w:t>
      </w:r>
      <w:r w:rsidR="0054322E" w:rsidRPr="00216226">
        <w:rPr>
          <w:rFonts w:eastAsia="MS Gothic"/>
          <w:lang w:val="es-ES_tradnl" w:eastAsia="en-US"/>
        </w:rPr>
        <w:t xml:space="preserve"> en </w:t>
      </w:r>
      <w:r w:rsidR="00264C4D" w:rsidRPr="00216226">
        <w:rPr>
          <w:rFonts w:eastAsia="MS Gothic"/>
          <w:lang w:val="es-ES_tradnl" w:eastAsia="en-US"/>
        </w:rPr>
        <w:t>OSC y</w:t>
      </w:r>
      <w:r w:rsidR="0054322E" w:rsidRPr="00216226">
        <w:rPr>
          <w:rFonts w:eastAsia="MS Gothic"/>
          <w:lang w:val="es-ES_tradnl" w:eastAsia="en-US"/>
        </w:rPr>
        <w:t xml:space="preserve"> </w:t>
      </w:r>
      <w:r w:rsidR="00264C4D" w:rsidRPr="00216226">
        <w:rPr>
          <w:rFonts w:eastAsia="MS Gothic"/>
          <w:lang w:val="es-ES_tradnl" w:eastAsia="en-US"/>
        </w:rPr>
        <w:t xml:space="preserve">ampliación de </w:t>
      </w:r>
      <w:r w:rsidR="0054322E" w:rsidRPr="00216226">
        <w:rPr>
          <w:rFonts w:eastAsia="MS Gothic"/>
          <w:lang w:val="es-ES_tradnl" w:eastAsia="en-US"/>
        </w:rPr>
        <w:t xml:space="preserve">horarios y servicios en las clínicas exclusivas </w:t>
      </w:r>
      <w:r w:rsidR="00264C4D" w:rsidRPr="00216226">
        <w:rPr>
          <w:rFonts w:eastAsia="MS Gothic"/>
          <w:lang w:val="es-ES_tradnl" w:eastAsia="en-US"/>
        </w:rPr>
        <w:t>para</w:t>
      </w:r>
      <w:r w:rsidR="0054322E" w:rsidRPr="00216226">
        <w:rPr>
          <w:rFonts w:eastAsia="MS Gothic"/>
          <w:lang w:val="es-ES_tradnl" w:eastAsia="en-US"/>
        </w:rPr>
        <w:t xml:space="preserve"> poblaciones </w:t>
      </w:r>
      <w:r w:rsidR="00264C4D" w:rsidRPr="00216226">
        <w:rPr>
          <w:rFonts w:eastAsia="MS Gothic"/>
          <w:lang w:val="es-ES_tradnl" w:eastAsia="en-US"/>
        </w:rPr>
        <w:t xml:space="preserve">clave </w:t>
      </w:r>
      <w:r w:rsidR="0054322E" w:rsidRPr="00216226">
        <w:rPr>
          <w:rFonts w:eastAsia="MS Gothic"/>
          <w:lang w:val="es-ES_tradnl" w:eastAsia="en-US"/>
        </w:rPr>
        <w:t xml:space="preserve">conocidas como </w:t>
      </w:r>
      <w:r w:rsidRPr="00216226">
        <w:rPr>
          <w:rFonts w:eastAsia="MS Gothic"/>
          <w:lang w:val="es-ES_tradnl" w:eastAsia="en-US"/>
        </w:rPr>
        <w:t xml:space="preserve">VICITS (MCP, 2015 </w:t>
      </w:r>
      <w:r w:rsidR="0054322E" w:rsidRPr="00216226">
        <w:rPr>
          <w:rFonts w:eastAsia="MS Gothic"/>
          <w:lang w:val="es-ES_tradnl" w:eastAsia="en-US"/>
        </w:rPr>
        <w:t>y</w:t>
      </w:r>
      <w:r w:rsidRPr="00216226">
        <w:rPr>
          <w:rFonts w:eastAsia="MS Gothic"/>
          <w:lang w:val="es-ES_tradnl" w:eastAsia="en-US"/>
        </w:rPr>
        <w:t xml:space="preserve"> 2018).</w:t>
      </w:r>
      <w:r w:rsidR="00680A78" w:rsidRPr="00216226">
        <w:rPr>
          <w:rFonts w:eastAsia="MS Gothic"/>
          <w:lang w:val="es-ES_tradnl" w:eastAsia="en-US"/>
        </w:rPr>
        <w:t xml:space="preserve"> </w:t>
      </w:r>
    </w:p>
    <w:bookmarkEnd w:id="17"/>
    <w:p w14:paraId="1C6F5BFD" w14:textId="010AFFE3" w:rsidR="00E84DA1" w:rsidRPr="00216226" w:rsidRDefault="0054322E" w:rsidP="00E84DA1">
      <w:pPr>
        <w:jc w:val="both"/>
        <w:rPr>
          <w:rFonts w:eastAsia="MS Gothic"/>
          <w:lang w:val="es-ES_tradnl" w:eastAsia="en-US"/>
        </w:rPr>
      </w:pPr>
      <w:r w:rsidRPr="00216226">
        <w:rPr>
          <w:rFonts w:eastAsia="MS Gothic"/>
          <w:lang w:val="es-ES_tradnl" w:eastAsia="en-US"/>
        </w:rPr>
        <w:t xml:space="preserve">La subvención actual también cubre actividades para reducir la transmisión </w:t>
      </w:r>
      <w:r w:rsidR="00D7093F" w:rsidRPr="00216226">
        <w:rPr>
          <w:rFonts w:eastAsia="MS Gothic"/>
          <w:lang w:val="es-ES_tradnl" w:eastAsia="en-US"/>
        </w:rPr>
        <w:t>materno infantil</w:t>
      </w:r>
      <w:r w:rsidRPr="00216226">
        <w:rPr>
          <w:rFonts w:eastAsia="MS Gothic"/>
          <w:lang w:val="es-ES_tradnl" w:eastAsia="en-US"/>
        </w:rPr>
        <w:t xml:space="preserve"> del VIH y la sífilis congénita, que incluye la capacitación de profesionales sanitarios, una mayor cobertura de la atención prenatal, la promoción </w:t>
      </w:r>
      <w:r w:rsidR="00D7093F" w:rsidRPr="00216226">
        <w:rPr>
          <w:rFonts w:eastAsia="MS Gothic"/>
          <w:lang w:val="es-ES_tradnl" w:eastAsia="en-US"/>
        </w:rPr>
        <w:t xml:space="preserve">de pruebas rápidas para </w:t>
      </w:r>
      <w:r w:rsidRPr="00216226">
        <w:rPr>
          <w:rFonts w:eastAsia="MS Gothic"/>
          <w:lang w:val="es-ES_tradnl" w:eastAsia="en-US"/>
        </w:rPr>
        <w:t xml:space="preserve">VIH y sífilis, </w:t>
      </w:r>
      <w:r w:rsidR="00D7093F" w:rsidRPr="00216226">
        <w:rPr>
          <w:rFonts w:eastAsia="MS Gothic"/>
          <w:lang w:val="es-ES_tradnl" w:eastAsia="en-US"/>
        </w:rPr>
        <w:t>la</w:t>
      </w:r>
      <w:r w:rsidRPr="00216226">
        <w:rPr>
          <w:rFonts w:eastAsia="MS Gothic"/>
          <w:lang w:val="es-ES_tradnl" w:eastAsia="en-US"/>
        </w:rPr>
        <w:t xml:space="preserve"> v</w:t>
      </w:r>
      <w:r w:rsidR="00D7093F" w:rsidRPr="00216226">
        <w:rPr>
          <w:rFonts w:eastAsia="MS Gothic"/>
          <w:lang w:val="es-ES_tradnl" w:eastAsia="en-US"/>
        </w:rPr>
        <w:t>inculación</w:t>
      </w:r>
      <w:r w:rsidRPr="00216226">
        <w:rPr>
          <w:rFonts w:eastAsia="MS Gothic"/>
          <w:lang w:val="es-ES_tradnl" w:eastAsia="en-US"/>
        </w:rPr>
        <w:t xml:space="preserve"> con los servicios sanitarios y la iniciación en TARV (MCP, 2015 y 2018).</w:t>
      </w:r>
    </w:p>
    <w:p w14:paraId="7728BFA4" w14:textId="057300D2" w:rsidR="00E84DA1" w:rsidRPr="0085736C" w:rsidRDefault="00320DF5" w:rsidP="0085736C">
      <w:pPr>
        <w:jc w:val="both"/>
        <w:rPr>
          <w:rFonts w:ascii="Calibri Light" w:eastAsia="MS Gothic" w:hAnsi="Calibri Light"/>
          <w:i/>
          <w:lang w:val="es-ES_tradnl" w:eastAsia="en-US"/>
        </w:rPr>
      </w:pPr>
      <w:r w:rsidRPr="0085736C">
        <w:rPr>
          <w:rFonts w:eastAsia="MS Gothic"/>
          <w:lang w:val="es-ES_tradnl" w:eastAsia="en-US"/>
        </w:rPr>
        <w:t>Productos:</w:t>
      </w:r>
      <w:r w:rsidR="00680A78" w:rsidRPr="0085736C">
        <w:rPr>
          <w:rFonts w:ascii="Calibri Light" w:eastAsia="MS Gothic" w:hAnsi="Calibri Light"/>
          <w:i/>
          <w:lang w:val="es-ES_tradnl" w:eastAsia="en-US"/>
        </w:rPr>
        <w:t xml:space="preserve"> </w:t>
      </w:r>
      <w:r w:rsidR="0085736C" w:rsidRPr="0085736C">
        <w:rPr>
          <w:rFonts w:ascii="Calibri Light" w:eastAsia="MS Gothic" w:hAnsi="Calibri Light"/>
          <w:i/>
          <w:lang w:val="es-ES_tradnl" w:eastAsia="en-US"/>
        </w:rPr>
        <w:t xml:space="preserve"> </w:t>
      </w:r>
      <w:r w:rsidR="0054322E" w:rsidRPr="0085736C">
        <w:rPr>
          <w:rFonts w:eastAsia="MS Gothic"/>
          <w:lang w:val="es-ES_tradnl" w:eastAsia="en-US"/>
        </w:rPr>
        <w:t>El apoyo del Fondo Mundial producido campañas y materiales de información, educación y comunicación (IEC) tanto im</w:t>
      </w:r>
      <w:r w:rsidR="002B1670" w:rsidRPr="0085736C">
        <w:rPr>
          <w:rFonts w:eastAsia="MS Gothic"/>
          <w:lang w:val="es-ES_tradnl" w:eastAsia="en-US"/>
        </w:rPr>
        <w:t>pres</w:t>
      </w:r>
      <w:r w:rsidR="00D7093F" w:rsidRPr="0085736C">
        <w:rPr>
          <w:rFonts w:eastAsia="MS Gothic"/>
          <w:lang w:val="es-ES_tradnl" w:eastAsia="en-US"/>
        </w:rPr>
        <w:t>os</w:t>
      </w:r>
      <w:r w:rsidR="0054322E" w:rsidRPr="0085736C">
        <w:rPr>
          <w:rFonts w:eastAsia="MS Gothic"/>
          <w:lang w:val="es-ES_tradnl" w:eastAsia="en-US"/>
        </w:rPr>
        <w:t xml:space="preserve"> como en línea. También ha conducido al establecimiento de programas de divulgación para poblaciones clave y vulnerables que reciben un paquete definido de servicios de prevención (condones, lubricantes para HSH y mujeres transgénero, materiales de IEC, ofertas de pruebas, derivación a servicios de salud) (MCP, 2015 y 2018; Visita de campo).</w:t>
      </w:r>
      <w:r w:rsidR="00E84DA1" w:rsidRPr="0085736C">
        <w:rPr>
          <w:rFonts w:eastAsia="MS Gothic"/>
          <w:lang w:val="es-ES_tradnl" w:eastAsia="en-US"/>
        </w:rPr>
        <w:t xml:space="preserve"> </w:t>
      </w:r>
    </w:p>
    <w:p w14:paraId="714CE266" w14:textId="423BADFB" w:rsidR="00E84DA1" w:rsidRPr="00216226" w:rsidRDefault="004B3528" w:rsidP="00E84DA1">
      <w:pPr>
        <w:jc w:val="both"/>
        <w:rPr>
          <w:rFonts w:eastAsia="MS Gothic"/>
          <w:lang w:val="es-ES_tradnl" w:eastAsia="en-US"/>
        </w:rPr>
      </w:pPr>
      <w:r w:rsidRPr="00D93C5D">
        <w:rPr>
          <w:rFonts w:eastAsia="MS Gothic"/>
          <w:lang w:val="es-ES_tradnl" w:eastAsia="en-US"/>
        </w:rPr>
        <w:lastRenderedPageBreak/>
        <w:t>Resultados:</w:t>
      </w:r>
      <w:r w:rsidR="00E84DA1" w:rsidRPr="00D93C5D">
        <w:rPr>
          <w:rFonts w:eastAsia="MS Gothic"/>
          <w:i/>
          <w:lang w:val="es-ES_tradnl" w:eastAsia="en-US"/>
        </w:rPr>
        <w:t xml:space="preserve"> </w:t>
      </w:r>
      <w:bookmarkStart w:id="18" w:name="_Hlk8227744"/>
      <w:r w:rsidR="0054322E" w:rsidRPr="00D93C5D">
        <w:rPr>
          <w:rFonts w:eastAsia="MS Gothic"/>
          <w:lang w:val="es-ES_tradnl" w:eastAsia="en-US"/>
        </w:rPr>
        <w:t>A pesar</w:t>
      </w:r>
      <w:r w:rsidR="0054322E" w:rsidRPr="00216226">
        <w:rPr>
          <w:rFonts w:eastAsia="MS Gothic"/>
          <w:lang w:val="es-ES_tradnl" w:eastAsia="en-US"/>
        </w:rPr>
        <w:t xml:space="preserve"> de que se está cubriendo un área cada vez más grande desde 2003, cuando </w:t>
      </w:r>
      <w:r w:rsidR="00D7093F" w:rsidRPr="00216226">
        <w:rPr>
          <w:rFonts w:eastAsia="MS Gothic"/>
          <w:lang w:val="es-ES_tradnl" w:eastAsia="en-US"/>
        </w:rPr>
        <w:t>tuvo inicio</w:t>
      </w:r>
      <w:r w:rsidR="0054322E" w:rsidRPr="00216226">
        <w:rPr>
          <w:rFonts w:eastAsia="MS Gothic"/>
          <w:lang w:val="es-ES_tradnl" w:eastAsia="en-US"/>
        </w:rPr>
        <w:t xml:space="preserve"> la inversión del Fondo Mundial, el porcentaje de poblaciones clave alcanzado con un paquete definido de servicios de prevención s</w:t>
      </w:r>
      <w:r w:rsidR="00D7093F" w:rsidRPr="00216226">
        <w:rPr>
          <w:rFonts w:eastAsia="MS Gothic"/>
          <w:lang w:val="es-ES_tradnl" w:eastAsia="en-US"/>
        </w:rPr>
        <w:t>ó</w:t>
      </w:r>
      <w:r w:rsidR="0054322E" w:rsidRPr="00216226">
        <w:rPr>
          <w:rFonts w:eastAsia="MS Gothic"/>
          <w:lang w:val="es-ES_tradnl" w:eastAsia="en-US"/>
        </w:rPr>
        <w:t>lo ha aumentado para HSH (ligeramente</w:t>
      </w:r>
      <w:r w:rsidR="00E84DA1" w:rsidRPr="00216226">
        <w:rPr>
          <w:rFonts w:eastAsia="MS Gothic"/>
          <w:lang w:val="es-ES_tradnl" w:eastAsia="en-US"/>
        </w:rPr>
        <w:t xml:space="preserve">), </w:t>
      </w:r>
      <w:r w:rsidR="0054322E" w:rsidRPr="00216226">
        <w:rPr>
          <w:rFonts w:eastAsia="MS Gothic"/>
          <w:lang w:val="es-ES_tradnl" w:eastAsia="en-US"/>
        </w:rPr>
        <w:t>mujeres transgénero y</w:t>
      </w:r>
      <w:r w:rsidR="00E84DA1" w:rsidRPr="00216226">
        <w:rPr>
          <w:rFonts w:eastAsia="MS Gothic"/>
          <w:lang w:val="es-ES_tradnl" w:eastAsia="en-US"/>
        </w:rPr>
        <w:t xml:space="preserve"> </w:t>
      </w:r>
      <w:r w:rsidR="00CB285B">
        <w:rPr>
          <w:rFonts w:eastAsia="MS Gothic"/>
          <w:lang w:val="es-ES_tradnl" w:eastAsia="en-US"/>
        </w:rPr>
        <w:t>PPL</w:t>
      </w:r>
      <w:r w:rsidR="00E84DA1" w:rsidRPr="00216226">
        <w:rPr>
          <w:rFonts w:eastAsia="MS Gothic"/>
          <w:lang w:val="es-ES_tradnl" w:eastAsia="en-US"/>
        </w:rPr>
        <w:t xml:space="preserve">. </w:t>
      </w:r>
      <w:r w:rsidR="00563485" w:rsidRPr="00216226">
        <w:rPr>
          <w:rFonts w:eastAsia="MS Gothic"/>
          <w:lang w:val="es-ES_tradnl" w:eastAsia="en-US"/>
        </w:rPr>
        <w:t>La cobertura es más baja en</w:t>
      </w:r>
      <w:r w:rsidR="00E84DA1" w:rsidRPr="00216226">
        <w:rPr>
          <w:rFonts w:eastAsia="MS Gothic"/>
          <w:lang w:val="es-ES_tradnl" w:eastAsia="en-US"/>
        </w:rPr>
        <w:t xml:space="preserve"> </w:t>
      </w:r>
      <w:r w:rsidR="00D7093F" w:rsidRPr="00216226">
        <w:rPr>
          <w:rFonts w:eastAsia="MS Gothic"/>
          <w:lang w:val="es-ES_tradnl" w:eastAsia="en-US"/>
        </w:rPr>
        <w:t xml:space="preserve">trabajadoras </w:t>
      </w:r>
      <w:r w:rsidR="00460210" w:rsidRPr="00216226">
        <w:rPr>
          <w:rFonts w:eastAsia="MS Gothic"/>
          <w:lang w:val="es-ES_tradnl" w:eastAsia="en-US"/>
        </w:rPr>
        <w:t>sexuales</w:t>
      </w:r>
      <w:r w:rsidR="00E84DA1" w:rsidRPr="00216226">
        <w:rPr>
          <w:rFonts w:eastAsia="MS Gothic"/>
          <w:lang w:val="es-ES_tradnl" w:eastAsia="en-US"/>
        </w:rPr>
        <w:t xml:space="preserve"> </w:t>
      </w:r>
      <w:r w:rsidR="00563485" w:rsidRPr="00216226">
        <w:rPr>
          <w:rFonts w:eastAsia="MS Gothic"/>
          <w:lang w:val="es-ES_tradnl" w:eastAsia="en-US"/>
        </w:rPr>
        <w:t xml:space="preserve">y poblaciones </w:t>
      </w:r>
      <w:r w:rsidR="003C6851">
        <w:rPr>
          <w:rFonts w:eastAsia="MS Gothic"/>
          <w:lang w:val="es-ES_tradnl" w:eastAsia="en-US"/>
        </w:rPr>
        <w:t>Garífuna</w:t>
      </w:r>
      <w:r w:rsidR="00E84DA1" w:rsidRPr="00216226">
        <w:rPr>
          <w:rFonts w:eastAsia="MS Gothic"/>
          <w:lang w:val="es-ES_tradnl" w:eastAsia="en-US"/>
        </w:rPr>
        <w:t xml:space="preserve">. </w:t>
      </w:r>
      <w:r w:rsidR="00563485" w:rsidRPr="00216226">
        <w:rPr>
          <w:rFonts w:eastAsia="MS Gothic"/>
          <w:lang w:val="es-ES_tradnl" w:eastAsia="en-US"/>
        </w:rPr>
        <w:t xml:space="preserve">La menor cobertura entre los </w:t>
      </w:r>
      <w:r w:rsidR="003C6851">
        <w:rPr>
          <w:rFonts w:eastAsia="MS Gothic"/>
          <w:lang w:val="es-ES_tradnl" w:eastAsia="en-US"/>
        </w:rPr>
        <w:t>Garífuna</w:t>
      </w:r>
      <w:r w:rsidR="00563485" w:rsidRPr="00216226">
        <w:rPr>
          <w:rFonts w:eastAsia="MS Gothic"/>
          <w:lang w:val="es-ES_tradnl" w:eastAsia="en-US"/>
        </w:rPr>
        <w:t xml:space="preserve">s puede explicarse por las barreras culturales, la movilidad, el estigma y la discriminación en los servicios de salud, la distancia geográfica y la negación del VIH </w:t>
      </w:r>
      <w:r w:rsidR="00E84DA1" w:rsidRPr="00216226">
        <w:rPr>
          <w:rFonts w:eastAsia="MS Gothic"/>
          <w:lang w:val="es-ES_tradnl" w:eastAsia="en-US"/>
        </w:rPr>
        <w:t xml:space="preserve">(Alvarez Rodríguez et al., 2017). </w:t>
      </w:r>
      <w:r w:rsidR="00563485" w:rsidRPr="00216226">
        <w:rPr>
          <w:rFonts w:eastAsia="MS Gothic"/>
          <w:lang w:val="es-ES_tradnl" w:eastAsia="en-US"/>
        </w:rPr>
        <w:t xml:space="preserve">No hay estudios específicos que puedan explicar la menor cobertura entre </w:t>
      </w:r>
      <w:r w:rsidR="00D7093F" w:rsidRPr="00216226">
        <w:rPr>
          <w:rFonts w:eastAsia="MS Gothic"/>
          <w:lang w:val="es-ES_tradnl" w:eastAsia="en-US"/>
        </w:rPr>
        <w:t xml:space="preserve">trabajadoras </w:t>
      </w:r>
      <w:r w:rsidR="00460210" w:rsidRPr="00216226">
        <w:rPr>
          <w:rFonts w:eastAsia="MS Gothic"/>
          <w:lang w:val="es-ES_tradnl" w:eastAsia="en-US"/>
        </w:rPr>
        <w:t>sexuales</w:t>
      </w:r>
      <w:r w:rsidR="00E84DA1" w:rsidRPr="00216226">
        <w:rPr>
          <w:rFonts w:eastAsia="MS Gothic"/>
          <w:lang w:val="es-ES_tradnl" w:eastAsia="en-US"/>
        </w:rPr>
        <w:t xml:space="preserve">, </w:t>
      </w:r>
      <w:r w:rsidR="00563485" w:rsidRPr="00216226">
        <w:rPr>
          <w:rFonts w:eastAsia="MS Gothic"/>
          <w:lang w:val="es-ES_tradnl" w:eastAsia="en-US"/>
        </w:rPr>
        <w:t xml:space="preserve">aunque los informantes de campo sugieren </w:t>
      </w:r>
      <w:r w:rsidR="00D7093F" w:rsidRPr="00216226">
        <w:rPr>
          <w:rFonts w:eastAsia="MS Gothic"/>
          <w:lang w:val="es-ES_tradnl" w:eastAsia="en-US"/>
        </w:rPr>
        <w:t xml:space="preserve">como posibles motivos la </w:t>
      </w:r>
      <w:r w:rsidR="00563485" w:rsidRPr="00216226">
        <w:rPr>
          <w:rFonts w:eastAsia="MS Gothic"/>
          <w:lang w:val="es-ES_tradnl" w:eastAsia="en-US"/>
        </w:rPr>
        <w:t xml:space="preserve">movilidad, </w:t>
      </w:r>
      <w:r w:rsidR="00D7093F" w:rsidRPr="00216226">
        <w:rPr>
          <w:rFonts w:eastAsia="MS Gothic"/>
          <w:lang w:val="es-ES_tradnl" w:eastAsia="en-US"/>
        </w:rPr>
        <w:t xml:space="preserve">el </w:t>
      </w:r>
      <w:r w:rsidR="00563485" w:rsidRPr="00216226">
        <w:rPr>
          <w:rFonts w:eastAsia="MS Gothic"/>
          <w:lang w:val="es-ES_tradnl" w:eastAsia="en-US"/>
        </w:rPr>
        <w:t xml:space="preserve">trabajo sexual clandestino y </w:t>
      </w:r>
      <w:r w:rsidR="00D7093F" w:rsidRPr="00216226">
        <w:rPr>
          <w:rFonts w:eastAsia="MS Gothic"/>
          <w:lang w:val="es-ES_tradnl" w:eastAsia="en-US"/>
        </w:rPr>
        <w:t xml:space="preserve">la </w:t>
      </w:r>
      <w:r w:rsidR="00563485" w:rsidRPr="00216226">
        <w:rPr>
          <w:rFonts w:eastAsia="MS Gothic"/>
          <w:lang w:val="es-ES_tradnl" w:eastAsia="en-US"/>
        </w:rPr>
        <w:t xml:space="preserve">dificultad para acceder a los </w:t>
      </w:r>
      <w:r w:rsidR="00D7093F" w:rsidRPr="00216226">
        <w:rPr>
          <w:rFonts w:eastAsia="MS Gothic"/>
          <w:lang w:val="es-ES_tradnl" w:eastAsia="en-US"/>
        </w:rPr>
        <w:t>barrios</w:t>
      </w:r>
      <w:r w:rsidR="00563485" w:rsidRPr="00216226">
        <w:rPr>
          <w:rFonts w:eastAsia="MS Gothic"/>
          <w:lang w:val="es-ES_tradnl" w:eastAsia="en-US"/>
        </w:rPr>
        <w:t xml:space="preserve"> controlados por pandillas. Se dan razones similares para </w:t>
      </w:r>
      <w:r w:rsidR="00D7093F" w:rsidRPr="00216226">
        <w:rPr>
          <w:rFonts w:eastAsia="MS Gothic"/>
          <w:lang w:val="es-ES_tradnl" w:eastAsia="en-US"/>
        </w:rPr>
        <w:t>m</w:t>
      </w:r>
      <w:r w:rsidR="00453B71">
        <w:rPr>
          <w:rFonts w:eastAsia="MS Gothic"/>
          <w:lang w:val="es-ES_tradnl" w:eastAsia="en-US"/>
        </w:rPr>
        <w:t>ujeres transgénero</w:t>
      </w:r>
      <w:r w:rsidR="00563485" w:rsidRPr="00216226">
        <w:rPr>
          <w:rFonts w:eastAsia="MS Gothic"/>
          <w:lang w:val="es-ES_tradnl" w:eastAsia="en-US"/>
        </w:rPr>
        <w:t xml:space="preserve"> para quienes, a pesar de una mayor cobertura en comparación con 2015, sigue siendo la mitad del objetivo nacional para 2017 </w:t>
      </w:r>
      <w:r w:rsidR="000A4808" w:rsidRPr="00216226">
        <w:rPr>
          <w:rFonts w:eastAsia="MS Gothic"/>
          <w:lang w:val="es-ES_tradnl" w:eastAsia="en-US"/>
        </w:rPr>
        <w:t>(Visita de campo)</w:t>
      </w:r>
      <w:r w:rsidR="00E84DA1" w:rsidRPr="00216226">
        <w:rPr>
          <w:rFonts w:eastAsia="MS Gothic"/>
          <w:lang w:val="es-ES_tradnl" w:eastAsia="en-US"/>
        </w:rPr>
        <w:t>.</w:t>
      </w:r>
      <w:r w:rsidR="00680A78" w:rsidRPr="00216226">
        <w:rPr>
          <w:rFonts w:eastAsia="MS Gothic"/>
          <w:lang w:val="es-ES_tradnl" w:eastAsia="en-US"/>
        </w:rPr>
        <w:t xml:space="preserve"> </w:t>
      </w:r>
    </w:p>
    <w:p w14:paraId="2D964B95" w14:textId="66D61493" w:rsidR="00E84DA1" w:rsidRPr="00216226" w:rsidRDefault="00E84DA1" w:rsidP="00E84DA1">
      <w:pPr>
        <w:keepNext/>
        <w:keepLines/>
        <w:spacing w:before="200" w:after="0"/>
        <w:outlineLvl w:val="2"/>
        <w:rPr>
          <w:rFonts w:ascii="Calibri Light" w:eastAsia="MS Gothic" w:hAnsi="Calibri Light" w:cs="Times New Roman"/>
          <w:b/>
          <w:bCs/>
          <w:sz w:val="20"/>
          <w:szCs w:val="20"/>
          <w:lang w:val="es-ES_tradnl" w:eastAsia="en-US"/>
        </w:rPr>
      </w:pPr>
      <w:bookmarkStart w:id="19" w:name="_Toc1149170"/>
      <w:bookmarkEnd w:id="18"/>
      <w:r w:rsidRPr="00216226">
        <w:rPr>
          <w:rFonts w:ascii="Calibri Light" w:eastAsia="MS Gothic" w:hAnsi="Calibri Light" w:cs="Times New Roman"/>
          <w:b/>
          <w:bCs/>
          <w:sz w:val="20"/>
          <w:szCs w:val="20"/>
          <w:lang w:val="es-ES_tradnl" w:eastAsia="en-US"/>
        </w:rPr>
        <w:t>Tabl</w:t>
      </w:r>
      <w:r w:rsidR="00563485" w:rsidRPr="00216226">
        <w:rPr>
          <w:rFonts w:ascii="Calibri Light" w:eastAsia="MS Gothic" w:hAnsi="Calibri Light" w:cs="Times New Roman"/>
          <w:b/>
          <w:bCs/>
          <w:sz w:val="20"/>
          <w:szCs w:val="20"/>
          <w:lang w:val="es-ES_tradnl" w:eastAsia="en-US"/>
        </w:rPr>
        <w:t>a</w:t>
      </w:r>
      <w:r w:rsidRPr="00216226">
        <w:rPr>
          <w:rFonts w:ascii="Calibri Light" w:eastAsia="MS Gothic" w:hAnsi="Calibri Light" w:cs="Times New Roman"/>
          <w:b/>
          <w:bCs/>
          <w:sz w:val="20"/>
          <w:szCs w:val="20"/>
          <w:lang w:val="es-ES_tradnl" w:eastAsia="en-US"/>
        </w:rPr>
        <w:t xml:space="preserve"> </w:t>
      </w:r>
      <w:r w:rsidR="00A96806" w:rsidRPr="00216226">
        <w:rPr>
          <w:rFonts w:ascii="Calibri Light" w:eastAsia="MS Gothic" w:hAnsi="Calibri Light" w:cs="Times New Roman"/>
          <w:b/>
          <w:bCs/>
          <w:sz w:val="20"/>
          <w:szCs w:val="20"/>
          <w:lang w:val="es-ES_tradnl" w:eastAsia="en-US"/>
        </w:rPr>
        <w:t>4</w:t>
      </w:r>
      <w:r w:rsidRPr="00216226">
        <w:rPr>
          <w:rFonts w:ascii="Calibri Light" w:eastAsia="MS Gothic" w:hAnsi="Calibri Light" w:cs="Times New Roman"/>
          <w:b/>
          <w:bCs/>
          <w:sz w:val="20"/>
          <w:szCs w:val="20"/>
          <w:lang w:val="es-ES_tradnl" w:eastAsia="en-US"/>
        </w:rPr>
        <w:t xml:space="preserve">: </w:t>
      </w:r>
      <w:r w:rsidR="00563485" w:rsidRPr="00216226">
        <w:rPr>
          <w:rFonts w:ascii="Calibri Light" w:eastAsia="MS Gothic" w:hAnsi="Calibri Light" w:cs="Times New Roman"/>
          <w:b/>
          <w:bCs/>
          <w:sz w:val="20"/>
          <w:szCs w:val="20"/>
          <w:lang w:val="es-ES_tradnl" w:eastAsia="en-US"/>
        </w:rPr>
        <w:t>Porcentaje de</w:t>
      </w:r>
      <w:r w:rsidRPr="00216226">
        <w:rPr>
          <w:rFonts w:ascii="Calibri Light" w:eastAsia="MS Gothic" w:hAnsi="Calibri Light" w:cs="Times New Roman"/>
          <w:b/>
          <w:bCs/>
          <w:sz w:val="20"/>
          <w:szCs w:val="20"/>
          <w:lang w:val="es-ES_tradnl" w:eastAsia="en-US"/>
        </w:rPr>
        <w:t xml:space="preserve"> </w:t>
      </w:r>
      <w:r w:rsidR="0097517B" w:rsidRPr="00216226">
        <w:rPr>
          <w:rFonts w:ascii="Calibri Light" w:eastAsia="MS Gothic" w:hAnsi="Calibri Light" w:cs="Times New Roman"/>
          <w:b/>
          <w:bCs/>
          <w:sz w:val="20"/>
          <w:szCs w:val="20"/>
          <w:lang w:val="es-ES_tradnl" w:eastAsia="en-US"/>
        </w:rPr>
        <w:t>poblaciones clave</w:t>
      </w:r>
      <w:r w:rsidRPr="00216226">
        <w:rPr>
          <w:rFonts w:ascii="Calibri Light" w:eastAsia="MS Gothic" w:hAnsi="Calibri Light" w:cs="Times New Roman"/>
          <w:b/>
          <w:bCs/>
          <w:sz w:val="20"/>
          <w:szCs w:val="20"/>
          <w:lang w:val="es-ES_tradnl" w:eastAsia="en-US"/>
        </w:rPr>
        <w:t xml:space="preserve"> </w:t>
      </w:r>
      <w:r w:rsidR="00563485" w:rsidRPr="00216226">
        <w:rPr>
          <w:rFonts w:ascii="Calibri Light" w:eastAsia="MS Gothic" w:hAnsi="Calibri Light" w:cs="Times New Roman"/>
          <w:b/>
          <w:bCs/>
          <w:sz w:val="20"/>
          <w:szCs w:val="20"/>
          <w:lang w:val="es-ES_tradnl" w:eastAsia="en-US"/>
        </w:rPr>
        <w:t xml:space="preserve">cubierto por el paquete definido de servicios de prevención en 2015 y 2017 frente al </w:t>
      </w:r>
      <w:r w:rsidRPr="001C51BB">
        <w:rPr>
          <w:rFonts w:ascii="Calibri Light" w:eastAsia="MS Gothic" w:hAnsi="Calibri Light" w:cs="Times New Roman"/>
          <w:b/>
          <w:bCs/>
          <w:i/>
          <w:sz w:val="20"/>
          <w:szCs w:val="20"/>
          <w:lang w:val="es-ES_tradnl" w:eastAsia="en-US"/>
        </w:rPr>
        <w:t>PSE</w:t>
      </w:r>
      <w:bookmarkEnd w:id="19"/>
    </w:p>
    <w:tbl>
      <w:tblPr>
        <w:tblStyle w:val="TableGrid2"/>
        <w:tblW w:w="5000" w:type="pct"/>
        <w:tblLook w:val="04A0" w:firstRow="1" w:lastRow="0" w:firstColumn="1" w:lastColumn="0" w:noHBand="0" w:noVBand="1"/>
      </w:tblPr>
      <w:tblGrid>
        <w:gridCol w:w="1278"/>
        <w:gridCol w:w="1183"/>
        <w:gridCol w:w="1680"/>
        <w:gridCol w:w="1686"/>
        <w:gridCol w:w="1449"/>
        <w:gridCol w:w="1740"/>
      </w:tblGrid>
      <w:tr w:rsidR="00E84DA1" w:rsidRPr="009A4A93" w14:paraId="70717ECA" w14:textId="77777777" w:rsidTr="00E84DA1">
        <w:tc>
          <w:tcPr>
            <w:tcW w:w="672" w:type="pct"/>
            <w:shd w:val="clear" w:color="auto" w:fill="E7E6E6"/>
          </w:tcPr>
          <w:p w14:paraId="79DE5596" w14:textId="52E82A03" w:rsidR="00E84DA1" w:rsidRPr="00216226" w:rsidRDefault="00563485"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Poblaciones </w:t>
            </w:r>
            <w:r w:rsidR="0097517B" w:rsidRPr="00216226">
              <w:rPr>
                <w:rFonts w:ascii="Calibri Light" w:eastAsia="MS Gothic" w:hAnsi="Calibri Light" w:cs="Calibri Light"/>
                <w:b/>
                <w:sz w:val="20"/>
                <w:szCs w:val="20"/>
                <w:lang w:val="es-ES_tradnl"/>
              </w:rPr>
              <w:t>clave</w:t>
            </w:r>
          </w:p>
        </w:tc>
        <w:tc>
          <w:tcPr>
            <w:tcW w:w="664" w:type="pct"/>
            <w:shd w:val="clear" w:color="auto" w:fill="E7E6E6"/>
          </w:tcPr>
          <w:p w14:paraId="6186601D" w14:textId="77777777" w:rsidR="00E84DA1" w:rsidRPr="001C51BB" w:rsidRDefault="00E84DA1" w:rsidP="00E84DA1">
            <w:pPr>
              <w:jc w:val="center"/>
              <w:rPr>
                <w:rFonts w:ascii="Calibri Light" w:eastAsia="MS Gothic" w:hAnsi="Calibri Light" w:cs="Calibri Light"/>
                <w:b/>
                <w:i/>
                <w:sz w:val="20"/>
                <w:szCs w:val="20"/>
                <w:lang w:val="es-ES_tradnl"/>
              </w:rPr>
            </w:pPr>
            <w:r w:rsidRPr="001C51BB">
              <w:rPr>
                <w:rFonts w:ascii="Calibri Light" w:eastAsia="MS Gothic" w:hAnsi="Calibri Light" w:cs="Calibri Light"/>
                <w:b/>
                <w:i/>
                <w:sz w:val="20"/>
                <w:szCs w:val="20"/>
                <w:lang w:val="es-ES_tradnl"/>
              </w:rPr>
              <w:t>PSE</w:t>
            </w:r>
          </w:p>
        </w:tc>
        <w:tc>
          <w:tcPr>
            <w:tcW w:w="939" w:type="pct"/>
            <w:shd w:val="clear" w:color="auto" w:fill="E7E6E6"/>
          </w:tcPr>
          <w:p w14:paraId="7B2225DA" w14:textId="7B4449DE" w:rsidR="00E84DA1" w:rsidRPr="00216226" w:rsidRDefault="00D7093F"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Base </w:t>
            </w:r>
            <w:r w:rsidR="00E84DA1" w:rsidRPr="00216226">
              <w:rPr>
                <w:rFonts w:ascii="Calibri Light" w:eastAsia="MS Gothic" w:hAnsi="Calibri Light" w:cs="Calibri Light"/>
                <w:b/>
                <w:sz w:val="20"/>
                <w:szCs w:val="20"/>
                <w:lang w:val="es-ES_tradnl"/>
              </w:rPr>
              <w:t xml:space="preserve">2015 </w:t>
            </w:r>
            <w:r w:rsidRPr="00216226">
              <w:rPr>
                <w:rFonts w:ascii="Calibri Light" w:eastAsia="MS Gothic" w:hAnsi="Calibri Light" w:cs="Calibri Light"/>
                <w:b/>
                <w:sz w:val="20"/>
                <w:szCs w:val="20"/>
                <w:lang w:val="es-ES_tradnl"/>
              </w:rPr>
              <w:t>frente</w:t>
            </w:r>
            <w:r w:rsidR="00E84DA1" w:rsidRPr="00216226">
              <w:rPr>
                <w:rFonts w:ascii="Calibri Light" w:eastAsia="MS Gothic" w:hAnsi="Calibri Light" w:cs="Calibri Light"/>
                <w:b/>
                <w:sz w:val="20"/>
                <w:szCs w:val="20"/>
                <w:lang w:val="es-ES_tradnl"/>
              </w:rPr>
              <w:t xml:space="preserve"> </w:t>
            </w:r>
            <w:r w:rsidR="00E84DA1" w:rsidRPr="001C51BB">
              <w:rPr>
                <w:rFonts w:ascii="Calibri Light" w:eastAsia="MS Gothic" w:hAnsi="Calibri Light" w:cs="Calibri Light"/>
                <w:b/>
                <w:i/>
                <w:sz w:val="20"/>
                <w:szCs w:val="20"/>
                <w:lang w:val="es-ES_tradnl"/>
              </w:rPr>
              <w:t>PSE</w:t>
            </w:r>
          </w:p>
        </w:tc>
        <w:tc>
          <w:tcPr>
            <w:tcW w:w="942" w:type="pct"/>
            <w:shd w:val="clear" w:color="auto" w:fill="E7E6E6"/>
          </w:tcPr>
          <w:p w14:paraId="68131CEC" w14:textId="317CF202" w:rsidR="00E84DA1" w:rsidRPr="00216226" w:rsidRDefault="00D7093F"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Alcanzados en </w:t>
            </w:r>
            <w:r w:rsidR="00E84DA1" w:rsidRPr="00216226">
              <w:rPr>
                <w:rFonts w:ascii="Calibri Light" w:eastAsia="MS Gothic" w:hAnsi="Calibri Light" w:cs="Calibri Light"/>
                <w:b/>
                <w:sz w:val="20"/>
                <w:szCs w:val="20"/>
                <w:lang w:val="es-ES_tradnl"/>
              </w:rPr>
              <w:t xml:space="preserve">2017 </w:t>
            </w:r>
            <w:r w:rsidRPr="00216226">
              <w:rPr>
                <w:rFonts w:ascii="Calibri Light" w:eastAsia="MS Gothic" w:hAnsi="Calibri Light" w:cs="Calibri Light"/>
                <w:b/>
                <w:sz w:val="20"/>
                <w:szCs w:val="20"/>
                <w:lang w:val="es-ES_tradnl"/>
              </w:rPr>
              <w:t xml:space="preserve">frente </w:t>
            </w:r>
            <w:r w:rsidR="00E84DA1" w:rsidRPr="001C51BB">
              <w:rPr>
                <w:rFonts w:ascii="Calibri Light" w:eastAsia="MS Gothic" w:hAnsi="Calibri Light" w:cs="Calibri Light"/>
                <w:b/>
                <w:i/>
                <w:sz w:val="20"/>
                <w:szCs w:val="20"/>
                <w:lang w:val="es-ES_tradnl"/>
              </w:rPr>
              <w:t>PSE</w:t>
            </w:r>
          </w:p>
        </w:tc>
        <w:tc>
          <w:tcPr>
            <w:tcW w:w="811" w:type="pct"/>
            <w:shd w:val="clear" w:color="auto" w:fill="E7E6E6"/>
          </w:tcPr>
          <w:p w14:paraId="404965F9" w14:textId="1EAA00F9" w:rsidR="00E84DA1" w:rsidRPr="00216226" w:rsidRDefault="00E84DA1"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 </w:t>
            </w:r>
            <w:r w:rsidR="00D7093F" w:rsidRPr="00216226">
              <w:rPr>
                <w:rFonts w:ascii="Calibri Light" w:eastAsia="MS Gothic" w:hAnsi="Calibri Light" w:cs="Calibri Light"/>
                <w:b/>
                <w:sz w:val="20"/>
                <w:szCs w:val="20"/>
                <w:lang w:val="es-ES_tradnl"/>
              </w:rPr>
              <w:t xml:space="preserve">alcanzados en </w:t>
            </w:r>
            <w:r w:rsidRPr="00216226">
              <w:rPr>
                <w:rFonts w:ascii="Calibri Light" w:eastAsia="MS Gothic" w:hAnsi="Calibri Light" w:cs="Calibri Light"/>
                <w:b/>
                <w:sz w:val="20"/>
                <w:szCs w:val="20"/>
                <w:lang w:val="es-ES_tradnl"/>
              </w:rPr>
              <w:t xml:space="preserve">2017 </w:t>
            </w:r>
            <w:r w:rsidR="00D7093F" w:rsidRPr="00216226">
              <w:rPr>
                <w:rFonts w:ascii="Calibri Light" w:eastAsia="MS Gothic" w:hAnsi="Calibri Light" w:cs="Calibri Light"/>
                <w:b/>
                <w:sz w:val="20"/>
                <w:szCs w:val="20"/>
                <w:lang w:val="es-ES_tradnl"/>
              </w:rPr>
              <w:t>frente al objetivo nacional</w:t>
            </w:r>
          </w:p>
        </w:tc>
        <w:tc>
          <w:tcPr>
            <w:tcW w:w="972" w:type="pct"/>
            <w:shd w:val="clear" w:color="auto" w:fill="E7E6E6"/>
          </w:tcPr>
          <w:p w14:paraId="5AD9CBEF" w14:textId="56894C4A" w:rsidR="00E84DA1" w:rsidRPr="00216226" w:rsidRDefault="00E84DA1"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 xml:space="preserve">% </w:t>
            </w:r>
            <w:r w:rsidR="00D7093F" w:rsidRPr="00216226">
              <w:rPr>
                <w:rFonts w:ascii="Calibri Light" w:eastAsia="MS Gothic" w:hAnsi="Calibri Light" w:cs="Calibri Light"/>
                <w:b/>
                <w:sz w:val="20"/>
                <w:szCs w:val="20"/>
                <w:lang w:val="es-ES_tradnl"/>
              </w:rPr>
              <w:t xml:space="preserve">alcanzados en </w:t>
            </w:r>
            <w:r w:rsidRPr="00216226">
              <w:rPr>
                <w:rFonts w:ascii="Calibri Light" w:eastAsia="MS Gothic" w:hAnsi="Calibri Light" w:cs="Calibri Light"/>
                <w:b/>
                <w:sz w:val="20"/>
                <w:szCs w:val="20"/>
                <w:lang w:val="es-ES_tradnl"/>
              </w:rPr>
              <w:t xml:space="preserve">2017 </w:t>
            </w:r>
            <w:r w:rsidR="00D7093F" w:rsidRPr="00216226">
              <w:rPr>
                <w:rFonts w:ascii="Calibri Light" w:eastAsia="MS Gothic" w:hAnsi="Calibri Light" w:cs="Calibri Light"/>
                <w:b/>
                <w:sz w:val="20"/>
                <w:szCs w:val="20"/>
                <w:lang w:val="es-ES_tradnl"/>
              </w:rPr>
              <w:t>a través de actividades financiadas por el Fondo Mundial</w:t>
            </w:r>
          </w:p>
        </w:tc>
      </w:tr>
      <w:tr w:rsidR="00E84DA1" w:rsidRPr="00216226" w14:paraId="57B66B25" w14:textId="77777777" w:rsidTr="00A96806">
        <w:tc>
          <w:tcPr>
            <w:tcW w:w="672" w:type="pct"/>
          </w:tcPr>
          <w:p w14:paraId="4D1A0BF6" w14:textId="1F9196A7"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HSH</w:t>
            </w:r>
          </w:p>
        </w:tc>
        <w:tc>
          <w:tcPr>
            <w:tcW w:w="664" w:type="pct"/>
          </w:tcPr>
          <w:p w14:paraId="7B49AA84"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40,949</w:t>
            </w:r>
          </w:p>
        </w:tc>
        <w:tc>
          <w:tcPr>
            <w:tcW w:w="939" w:type="pct"/>
          </w:tcPr>
          <w:p w14:paraId="541F751A"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43.80%</w:t>
            </w:r>
          </w:p>
        </w:tc>
        <w:tc>
          <w:tcPr>
            <w:tcW w:w="942" w:type="pct"/>
          </w:tcPr>
          <w:p w14:paraId="55DC36B1"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49.92%</w:t>
            </w:r>
          </w:p>
        </w:tc>
        <w:tc>
          <w:tcPr>
            <w:tcW w:w="811" w:type="pct"/>
          </w:tcPr>
          <w:p w14:paraId="7C2B12BE"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83%</w:t>
            </w:r>
          </w:p>
        </w:tc>
        <w:tc>
          <w:tcPr>
            <w:tcW w:w="972" w:type="pct"/>
          </w:tcPr>
          <w:p w14:paraId="1B7AF930"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65.20%</w:t>
            </w:r>
          </w:p>
        </w:tc>
      </w:tr>
      <w:tr w:rsidR="00E84DA1" w:rsidRPr="00216226" w14:paraId="30BA1FEB" w14:textId="77777777" w:rsidTr="00A96806">
        <w:tc>
          <w:tcPr>
            <w:tcW w:w="672" w:type="pct"/>
          </w:tcPr>
          <w:p w14:paraId="0C3959F0" w14:textId="6F80F65B" w:rsidR="00E84DA1" w:rsidRPr="00216226" w:rsidRDefault="00453B71" w:rsidP="00453B71">
            <w:pPr>
              <w:jc w:val="both"/>
              <w:rPr>
                <w:rFonts w:eastAsia="MS Gothic" w:cs="Calibri"/>
                <w:sz w:val="20"/>
                <w:szCs w:val="20"/>
                <w:lang w:val="es-ES_tradnl"/>
              </w:rPr>
            </w:pPr>
            <w:r>
              <w:rPr>
                <w:rFonts w:eastAsia="MS Gothic" w:cs="Calibri"/>
                <w:sz w:val="20"/>
                <w:szCs w:val="20"/>
                <w:lang w:val="es-ES_tradnl"/>
              </w:rPr>
              <w:t>Mujeres transgénero</w:t>
            </w:r>
          </w:p>
        </w:tc>
        <w:tc>
          <w:tcPr>
            <w:tcW w:w="664" w:type="pct"/>
          </w:tcPr>
          <w:p w14:paraId="0F3C0A75"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2,975</w:t>
            </w:r>
          </w:p>
        </w:tc>
        <w:tc>
          <w:tcPr>
            <w:tcW w:w="939" w:type="pct"/>
          </w:tcPr>
          <w:p w14:paraId="0D69DBCF"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9.80%</w:t>
            </w:r>
          </w:p>
        </w:tc>
        <w:tc>
          <w:tcPr>
            <w:tcW w:w="942" w:type="pct"/>
          </w:tcPr>
          <w:p w14:paraId="31225B9B"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31.10%</w:t>
            </w:r>
          </w:p>
        </w:tc>
        <w:tc>
          <w:tcPr>
            <w:tcW w:w="811" w:type="pct"/>
          </w:tcPr>
          <w:p w14:paraId="0E21271F"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52%</w:t>
            </w:r>
          </w:p>
        </w:tc>
        <w:tc>
          <w:tcPr>
            <w:tcW w:w="972" w:type="pct"/>
          </w:tcPr>
          <w:p w14:paraId="28E693A0"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62.80%</w:t>
            </w:r>
          </w:p>
        </w:tc>
      </w:tr>
      <w:tr w:rsidR="00E84DA1" w:rsidRPr="00216226" w14:paraId="02D14360" w14:textId="77777777" w:rsidTr="00A96806">
        <w:tc>
          <w:tcPr>
            <w:tcW w:w="672" w:type="pct"/>
          </w:tcPr>
          <w:p w14:paraId="6F673616" w14:textId="283CE2A7"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Trabajadoras sexuales</w:t>
            </w:r>
          </w:p>
        </w:tc>
        <w:tc>
          <w:tcPr>
            <w:tcW w:w="664" w:type="pct"/>
          </w:tcPr>
          <w:p w14:paraId="6592E147"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22,771</w:t>
            </w:r>
          </w:p>
        </w:tc>
        <w:tc>
          <w:tcPr>
            <w:tcW w:w="939" w:type="pct"/>
          </w:tcPr>
          <w:p w14:paraId="4ED9413A"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37.40%</w:t>
            </w:r>
          </w:p>
        </w:tc>
        <w:tc>
          <w:tcPr>
            <w:tcW w:w="942" w:type="pct"/>
          </w:tcPr>
          <w:p w14:paraId="7FA81F24"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28.05%</w:t>
            </w:r>
          </w:p>
        </w:tc>
        <w:tc>
          <w:tcPr>
            <w:tcW w:w="811" w:type="pct"/>
          </w:tcPr>
          <w:p w14:paraId="6FBF9672"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56%</w:t>
            </w:r>
          </w:p>
        </w:tc>
        <w:tc>
          <w:tcPr>
            <w:tcW w:w="972" w:type="pct"/>
          </w:tcPr>
          <w:p w14:paraId="23FB82AF"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57.30%</w:t>
            </w:r>
          </w:p>
        </w:tc>
      </w:tr>
      <w:tr w:rsidR="00E84DA1" w:rsidRPr="00216226" w14:paraId="03AD0B31" w14:textId="77777777" w:rsidTr="00A96806">
        <w:tc>
          <w:tcPr>
            <w:tcW w:w="672" w:type="pct"/>
          </w:tcPr>
          <w:p w14:paraId="31127E83" w14:textId="20B98E0C" w:rsidR="00E84DA1" w:rsidRPr="00216226" w:rsidRDefault="003C6851" w:rsidP="00E84DA1">
            <w:pPr>
              <w:jc w:val="both"/>
              <w:rPr>
                <w:rFonts w:eastAsia="MS Gothic" w:cs="Calibri"/>
                <w:sz w:val="20"/>
                <w:szCs w:val="20"/>
                <w:lang w:val="es-ES_tradnl"/>
              </w:rPr>
            </w:pPr>
            <w:r>
              <w:rPr>
                <w:rFonts w:eastAsia="MS Gothic" w:cs="Calibri"/>
                <w:sz w:val="20"/>
                <w:szCs w:val="20"/>
                <w:lang w:val="es-ES_tradnl"/>
              </w:rPr>
              <w:t>Garífuna</w:t>
            </w:r>
            <w:r w:rsidR="00460210" w:rsidRPr="00216226">
              <w:rPr>
                <w:rFonts w:eastAsia="MS Gothic" w:cs="Calibri"/>
                <w:sz w:val="20"/>
                <w:szCs w:val="20"/>
                <w:lang w:val="es-ES_tradnl"/>
              </w:rPr>
              <w:t xml:space="preserve"> </w:t>
            </w:r>
            <w:r w:rsidR="00E84DA1" w:rsidRPr="00216226">
              <w:rPr>
                <w:rFonts w:eastAsia="MS Gothic" w:cs="Calibri"/>
                <w:sz w:val="20"/>
                <w:szCs w:val="20"/>
                <w:lang w:val="es-ES_tradnl"/>
              </w:rPr>
              <w:t xml:space="preserve"> </w:t>
            </w:r>
          </w:p>
        </w:tc>
        <w:tc>
          <w:tcPr>
            <w:tcW w:w="664" w:type="pct"/>
          </w:tcPr>
          <w:p w14:paraId="2D8C29C1"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30,079</w:t>
            </w:r>
          </w:p>
        </w:tc>
        <w:tc>
          <w:tcPr>
            <w:tcW w:w="939" w:type="pct"/>
          </w:tcPr>
          <w:p w14:paraId="752AAA80"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39.60%</w:t>
            </w:r>
          </w:p>
        </w:tc>
        <w:tc>
          <w:tcPr>
            <w:tcW w:w="942" w:type="pct"/>
          </w:tcPr>
          <w:p w14:paraId="00DBE518"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29.67%</w:t>
            </w:r>
          </w:p>
        </w:tc>
        <w:tc>
          <w:tcPr>
            <w:tcW w:w="811" w:type="pct"/>
          </w:tcPr>
          <w:p w14:paraId="0EF06F1C"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39%</w:t>
            </w:r>
          </w:p>
        </w:tc>
        <w:tc>
          <w:tcPr>
            <w:tcW w:w="972" w:type="pct"/>
          </w:tcPr>
          <w:p w14:paraId="38E35127"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90.5%</w:t>
            </w:r>
          </w:p>
        </w:tc>
      </w:tr>
      <w:tr w:rsidR="00E84DA1" w:rsidRPr="00216226" w14:paraId="0F535D9F" w14:textId="77777777" w:rsidTr="00A96806">
        <w:tc>
          <w:tcPr>
            <w:tcW w:w="672" w:type="pct"/>
          </w:tcPr>
          <w:p w14:paraId="209313A5" w14:textId="075D6BDA" w:rsidR="00E84DA1" w:rsidRPr="00216226" w:rsidRDefault="00CB285B" w:rsidP="00E84DA1">
            <w:pPr>
              <w:jc w:val="both"/>
              <w:rPr>
                <w:rFonts w:eastAsia="MS Gothic" w:cs="Calibri"/>
                <w:sz w:val="20"/>
                <w:szCs w:val="20"/>
                <w:lang w:val="es-ES_tradnl"/>
              </w:rPr>
            </w:pPr>
            <w:r>
              <w:rPr>
                <w:rFonts w:eastAsia="MS Gothic" w:cs="Calibri"/>
                <w:sz w:val="20"/>
                <w:szCs w:val="20"/>
                <w:lang w:val="es-ES_tradnl"/>
              </w:rPr>
              <w:t>PPL</w:t>
            </w:r>
          </w:p>
        </w:tc>
        <w:tc>
          <w:tcPr>
            <w:tcW w:w="664" w:type="pct"/>
          </w:tcPr>
          <w:p w14:paraId="4565674D"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16,920</w:t>
            </w:r>
          </w:p>
        </w:tc>
        <w:tc>
          <w:tcPr>
            <w:tcW w:w="939" w:type="pct"/>
          </w:tcPr>
          <w:p w14:paraId="5E38BDF4"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21.30%</w:t>
            </w:r>
          </w:p>
          <w:p w14:paraId="41DC1055" w14:textId="2F9141CD"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w:t>
            </w:r>
            <w:r w:rsidR="00D7093F" w:rsidRPr="00216226">
              <w:rPr>
                <w:rFonts w:eastAsia="MS Gothic" w:cs="Calibri"/>
                <w:sz w:val="20"/>
                <w:szCs w:val="20"/>
                <w:lang w:val="es-ES_tradnl"/>
              </w:rPr>
              <w:t>no frente</w:t>
            </w:r>
            <w:r w:rsidRPr="00216226">
              <w:rPr>
                <w:rFonts w:eastAsia="MS Gothic" w:cs="Calibri"/>
                <w:sz w:val="20"/>
                <w:szCs w:val="20"/>
                <w:lang w:val="es-ES_tradnl"/>
              </w:rPr>
              <w:t xml:space="preserve"> </w:t>
            </w:r>
            <w:r w:rsidRPr="001C51BB">
              <w:rPr>
                <w:rFonts w:eastAsia="MS Gothic" w:cs="Calibri"/>
                <w:i/>
                <w:sz w:val="20"/>
                <w:szCs w:val="20"/>
                <w:lang w:val="es-ES_tradnl"/>
              </w:rPr>
              <w:t>PSE</w:t>
            </w:r>
            <w:r w:rsidR="00D7093F" w:rsidRPr="00216226">
              <w:rPr>
                <w:rFonts w:eastAsia="MS Gothic" w:cs="Calibri"/>
                <w:sz w:val="20"/>
                <w:szCs w:val="20"/>
                <w:lang w:val="es-ES_tradnl"/>
              </w:rPr>
              <w:t>,</w:t>
            </w:r>
            <w:r w:rsidRPr="00216226">
              <w:rPr>
                <w:rFonts w:eastAsia="MS Gothic" w:cs="Calibri"/>
                <w:sz w:val="20"/>
                <w:szCs w:val="20"/>
                <w:lang w:val="es-ES_tradnl"/>
              </w:rPr>
              <w:t xml:space="preserve"> </w:t>
            </w:r>
            <w:r w:rsidR="00D7093F" w:rsidRPr="00216226">
              <w:rPr>
                <w:rFonts w:eastAsia="MS Gothic" w:cs="Calibri"/>
                <w:sz w:val="20"/>
                <w:szCs w:val="20"/>
                <w:lang w:val="es-ES_tradnl"/>
              </w:rPr>
              <w:t>sino en base a encuesta</w:t>
            </w:r>
            <w:r w:rsidRPr="00216226">
              <w:rPr>
                <w:rFonts w:eastAsia="MS Gothic" w:cs="Calibri"/>
                <w:sz w:val="20"/>
                <w:szCs w:val="20"/>
                <w:lang w:val="es-ES_tradnl"/>
              </w:rPr>
              <w:t>)</w:t>
            </w:r>
          </w:p>
        </w:tc>
        <w:tc>
          <w:tcPr>
            <w:tcW w:w="942" w:type="pct"/>
          </w:tcPr>
          <w:p w14:paraId="326B6CCA"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64.90%</w:t>
            </w:r>
          </w:p>
        </w:tc>
        <w:tc>
          <w:tcPr>
            <w:tcW w:w="811" w:type="pct"/>
          </w:tcPr>
          <w:p w14:paraId="5E39480A"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93%</w:t>
            </w:r>
          </w:p>
        </w:tc>
        <w:tc>
          <w:tcPr>
            <w:tcW w:w="972" w:type="pct"/>
          </w:tcPr>
          <w:p w14:paraId="568D8C7C"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100%</w:t>
            </w:r>
          </w:p>
        </w:tc>
      </w:tr>
    </w:tbl>
    <w:p w14:paraId="0C3B57CF" w14:textId="2CB7A38F" w:rsidR="00E84DA1" w:rsidRPr="00216226" w:rsidRDefault="00460210" w:rsidP="00E84DA1">
      <w:pPr>
        <w:jc w:val="both"/>
        <w:rPr>
          <w:rFonts w:eastAsia="MS Gothic"/>
          <w:i/>
          <w:sz w:val="20"/>
          <w:lang w:val="es-ES_tradnl" w:eastAsia="en-US"/>
        </w:rPr>
      </w:pPr>
      <w:r w:rsidRPr="00216226">
        <w:rPr>
          <w:rFonts w:eastAsia="MS Gothic"/>
          <w:i/>
          <w:sz w:val="20"/>
          <w:lang w:val="es-ES_tradnl" w:eastAsia="en-US"/>
        </w:rPr>
        <w:t>Fuente</w:t>
      </w:r>
      <w:r w:rsidR="00E84DA1" w:rsidRPr="00216226">
        <w:rPr>
          <w:rFonts w:eastAsia="MS Gothic"/>
          <w:i/>
          <w:sz w:val="20"/>
          <w:lang w:val="es-ES_tradnl" w:eastAsia="en-US"/>
        </w:rPr>
        <w:t xml:space="preserve">: </w:t>
      </w:r>
      <w:r w:rsidR="00E84DA1" w:rsidRPr="001C51BB">
        <w:rPr>
          <w:rFonts w:eastAsia="MS Gothic"/>
          <w:sz w:val="20"/>
          <w:lang w:val="es-ES_tradnl" w:eastAsia="en-US"/>
        </w:rPr>
        <w:t>PUDR</w:t>
      </w:r>
      <w:r w:rsidR="00E84DA1" w:rsidRPr="00216226">
        <w:rPr>
          <w:rFonts w:eastAsia="MS Gothic"/>
          <w:i/>
          <w:sz w:val="20"/>
          <w:lang w:val="es-ES_tradnl" w:eastAsia="en-US"/>
        </w:rPr>
        <w:t>, 2017</w:t>
      </w:r>
    </w:p>
    <w:p w14:paraId="5BA458C5" w14:textId="0D35DF5E" w:rsidR="00E84DA1" w:rsidRPr="00216226" w:rsidRDefault="00563485" w:rsidP="00E84DA1">
      <w:pPr>
        <w:jc w:val="both"/>
        <w:rPr>
          <w:rFonts w:eastAsia="MS Gothic"/>
          <w:lang w:val="es-ES_tradnl" w:eastAsia="en-US"/>
        </w:rPr>
      </w:pPr>
      <w:bookmarkStart w:id="20" w:name="_Hlk8228154"/>
      <w:r w:rsidRPr="00216226">
        <w:rPr>
          <w:rFonts w:eastAsia="MS Gothic"/>
          <w:lang w:val="es-ES_tradnl" w:eastAsia="en-US"/>
        </w:rPr>
        <w:t xml:space="preserve">Geográficamente, las actividades de divulgación de prevención comenzaron en las ciudades más grandes del país </w:t>
      </w:r>
      <w:r w:rsidR="00E84DA1" w:rsidRPr="00216226">
        <w:rPr>
          <w:rFonts w:eastAsia="MS Gothic"/>
          <w:lang w:val="es-ES_tradnl" w:eastAsia="en-US"/>
        </w:rPr>
        <w:t xml:space="preserve">(Tegucigalpa, San Pedro Sula, La Ceiba), </w:t>
      </w:r>
      <w:r w:rsidRPr="00216226">
        <w:rPr>
          <w:rFonts w:eastAsia="MS Gothic"/>
          <w:lang w:val="es-ES_tradnl" w:eastAsia="en-US"/>
        </w:rPr>
        <w:t>pero se han expandido progresivamente a áreas suburbanas y rurales. Más recientemente, se ha realizado un esfuerzo mayor para dar prioridad a las intervenciones en lugares donde la prevalencia del VIH es más elevada, es decir, la Costa Atlántica y el Corredor Central</w:t>
      </w:r>
      <w:r w:rsidR="00E84DA1" w:rsidRPr="00216226">
        <w:rPr>
          <w:rFonts w:eastAsia="MS Gothic"/>
          <w:lang w:val="es-ES_tradnl" w:eastAsia="en-US"/>
        </w:rPr>
        <w:t xml:space="preserve">. </w:t>
      </w:r>
      <w:r w:rsidRPr="00216226">
        <w:rPr>
          <w:rFonts w:eastAsia="MS Gothic"/>
          <w:lang w:val="es-ES_tradnl" w:eastAsia="en-US"/>
        </w:rPr>
        <w:t xml:space="preserve">El reciente cese del Proyecto </w:t>
      </w:r>
      <w:r w:rsidR="00E84DA1" w:rsidRPr="00D93C5D">
        <w:rPr>
          <w:rFonts w:eastAsia="MS Gothic"/>
          <w:i/>
          <w:lang w:val="es-ES_tradnl" w:eastAsia="en-US"/>
        </w:rPr>
        <w:t>LINKAGES</w:t>
      </w:r>
      <w:r w:rsidR="00E84DA1" w:rsidRPr="00216226">
        <w:rPr>
          <w:rFonts w:eastAsia="MS Gothic"/>
          <w:lang w:val="es-ES_tradnl" w:eastAsia="en-US"/>
        </w:rPr>
        <w:t xml:space="preserve"> </w:t>
      </w:r>
      <w:r w:rsidRPr="00216226">
        <w:rPr>
          <w:rFonts w:eastAsia="MS Gothic"/>
          <w:lang w:val="es-ES_tradnl" w:eastAsia="en-US"/>
        </w:rPr>
        <w:t xml:space="preserve">ha dejado al Fondo Mundial como el financiador </w:t>
      </w:r>
      <w:r w:rsidR="00D7093F" w:rsidRPr="00216226">
        <w:rPr>
          <w:rFonts w:eastAsia="MS Gothic"/>
          <w:lang w:val="es-ES_tradnl" w:eastAsia="en-US"/>
        </w:rPr>
        <w:t xml:space="preserve">principal </w:t>
      </w:r>
      <w:r w:rsidRPr="00216226">
        <w:rPr>
          <w:rFonts w:eastAsia="MS Gothic"/>
          <w:lang w:val="es-ES_tradnl" w:eastAsia="en-US"/>
        </w:rPr>
        <w:t xml:space="preserve">de </w:t>
      </w:r>
      <w:r w:rsidR="00D7093F" w:rsidRPr="00216226">
        <w:rPr>
          <w:rFonts w:eastAsia="MS Gothic"/>
          <w:lang w:val="es-ES_tradnl" w:eastAsia="en-US"/>
        </w:rPr>
        <w:t xml:space="preserve">las </w:t>
      </w:r>
      <w:r w:rsidRPr="00216226">
        <w:rPr>
          <w:rFonts w:eastAsia="MS Gothic"/>
          <w:lang w:val="es-ES_tradnl" w:eastAsia="en-US"/>
        </w:rPr>
        <w:t>actividades de divulgación para poblaciones clave en esas áreas</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Pr="00216226">
        <w:rPr>
          <w:rFonts w:eastAsia="MS Gothic"/>
          <w:lang w:val="es-ES_tradnl" w:eastAsia="en-US"/>
        </w:rPr>
        <w:t>El</w:t>
      </w:r>
      <w:r w:rsidR="00E84DA1" w:rsidRPr="00216226">
        <w:rPr>
          <w:rFonts w:eastAsia="MS Gothic"/>
          <w:lang w:val="es-ES_tradnl" w:eastAsia="en-US"/>
        </w:rPr>
        <w:t xml:space="preserve"> </w:t>
      </w:r>
      <w:r w:rsidRPr="00216226">
        <w:rPr>
          <w:rFonts w:eastAsia="MS Gothic"/>
          <w:lang w:val="es-ES_tradnl" w:eastAsia="en-US"/>
        </w:rPr>
        <w:t>R</w:t>
      </w:r>
      <w:r w:rsidR="00E84DA1" w:rsidRPr="00216226">
        <w:rPr>
          <w:rFonts w:eastAsia="MS Gothic"/>
          <w:lang w:val="es-ES_tradnl" w:eastAsia="en-US"/>
        </w:rPr>
        <w:t xml:space="preserve">P, </w:t>
      </w:r>
      <w:r w:rsidRPr="00216226">
        <w:rPr>
          <w:rFonts w:eastAsia="MS Gothic"/>
          <w:lang w:val="es-ES_tradnl" w:eastAsia="en-US"/>
        </w:rPr>
        <w:t xml:space="preserve">el </w:t>
      </w:r>
      <w:r w:rsidR="0087005E">
        <w:rPr>
          <w:rFonts w:eastAsia="MS Gothic"/>
          <w:lang w:val="es-ES_tradnl" w:eastAsia="en-US"/>
        </w:rPr>
        <w:t>SR</w:t>
      </w:r>
      <w:r w:rsidR="00E84DA1" w:rsidRPr="00216226">
        <w:rPr>
          <w:rFonts w:eastAsia="MS Gothic"/>
          <w:lang w:val="es-ES_tradnl" w:eastAsia="en-US"/>
        </w:rPr>
        <w:t xml:space="preserve">, </w:t>
      </w:r>
      <w:r w:rsidRPr="00216226">
        <w:rPr>
          <w:rFonts w:eastAsia="MS Gothic"/>
          <w:lang w:val="es-ES_tradnl" w:eastAsia="en-US"/>
        </w:rPr>
        <w:t xml:space="preserve">y los sub-sub-receptores </w:t>
      </w:r>
      <w:r w:rsidR="00E84DA1" w:rsidRPr="00216226">
        <w:rPr>
          <w:rFonts w:eastAsia="MS Gothic"/>
          <w:lang w:val="es-ES_tradnl" w:eastAsia="en-US"/>
        </w:rPr>
        <w:t xml:space="preserve">(SSR) </w:t>
      </w:r>
      <w:r w:rsidRPr="00216226">
        <w:rPr>
          <w:rFonts w:eastAsia="MS Gothic"/>
          <w:lang w:val="es-ES_tradnl" w:eastAsia="en-US"/>
        </w:rPr>
        <w:t>combinan esta información con la identificación de puntos de acceso y lugares donde los miembros de las poblaciones clave potencialmente viven, se reúnen o trabajan. Las unidades móviles se utilizan para llevar a cabo actividades de divulgación y ofrecer el paquete de servicios definido, incluida una prueba del VIH</w:t>
      </w:r>
      <w:r w:rsidR="00E84DA1" w:rsidRPr="00216226">
        <w:rPr>
          <w:rFonts w:eastAsia="MS Gothic"/>
          <w:lang w:val="es-ES_tradnl" w:eastAsia="en-US"/>
        </w:rPr>
        <w:t xml:space="preserve">. </w:t>
      </w:r>
      <w:r w:rsidRPr="00216226">
        <w:rPr>
          <w:rFonts w:eastAsia="MS Gothic"/>
          <w:lang w:val="es-ES_tradnl" w:eastAsia="en-US"/>
        </w:rPr>
        <w:t>C</w:t>
      </w:r>
      <w:r w:rsidR="00D93C5D">
        <w:rPr>
          <w:rFonts w:eastAsia="MS Gothic"/>
          <w:lang w:val="es-ES_tradnl" w:eastAsia="en-US"/>
        </w:rPr>
        <w:t>uando hay un diagnóstico de VIH</w:t>
      </w:r>
      <w:r w:rsidRPr="00216226">
        <w:rPr>
          <w:rFonts w:eastAsia="MS Gothic"/>
          <w:lang w:val="es-ES_tradnl" w:eastAsia="en-US"/>
        </w:rPr>
        <w:t>+, se invita a los clientes a proporcionar información para rastrear a los socios</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w:t>
      </w:r>
      <w:r w:rsidR="00680A78" w:rsidRPr="00216226">
        <w:rPr>
          <w:rFonts w:eastAsia="MS Gothic"/>
          <w:lang w:val="es-ES_tradnl" w:eastAsia="en-US"/>
        </w:rPr>
        <w:t xml:space="preserve">     </w:t>
      </w:r>
    </w:p>
    <w:p w14:paraId="4AEE5CBA" w14:textId="4521F00A" w:rsidR="00E84DA1" w:rsidRPr="00216226" w:rsidRDefault="00776F2E" w:rsidP="00E84DA1">
      <w:pPr>
        <w:jc w:val="both"/>
        <w:rPr>
          <w:rFonts w:eastAsia="MS Gothic"/>
          <w:lang w:val="es-ES_tradnl" w:eastAsia="en-US"/>
        </w:rPr>
      </w:pPr>
      <w:bookmarkStart w:id="21" w:name="_Hlk8228489"/>
      <w:bookmarkEnd w:id="20"/>
      <w:r w:rsidRPr="00216226">
        <w:rPr>
          <w:rFonts w:eastAsia="MS Gothic"/>
          <w:lang w:val="es-ES_tradnl" w:eastAsia="en-US"/>
        </w:rPr>
        <w:t xml:space="preserve">El material de prevención financiado con recursos domésticos se compone casi exclusivamente de la compra y distribución de condones masculinos como parte del presupuesto y la política nacional de planificación familiar. Las OSC informan que los centros de salud no especializados se niegan a proporcionar condones a las poblaciones clave porque los condones deben proporcionarse a los clientes de planificación familiar. Además, las OSC indican que algunas VICITS han negado el acceso a los materiales de prevención financiados por el Fondo Mundial a algunas personas porque no creen que sean HSH o </w:t>
      </w:r>
      <w:r w:rsidR="00AD7966" w:rsidRPr="00216226">
        <w:rPr>
          <w:rFonts w:eastAsia="MS Gothic"/>
          <w:lang w:val="es-ES_tradnl" w:eastAsia="en-US"/>
        </w:rPr>
        <w:t xml:space="preserve">trabajadoras </w:t>
      </w:r>
      <w:r w:rsidRPr="00216226">
        <w:rPr>
          <w:rFonts w:eastAsia="MS Gothic"/>
          <w:lang w:val="es-ES_tradnl" w:eastAsia="en-US"/>
        </w:rPr>
        <w:t>sexuales (Visita de campo).</w:t>
      </w:r>
      <w:r w:rsidR="00E84DA1" w:rsidRPr="00216226">
        <w:rPr>
          <w:rFonts w:eastAsia="MS Gothic"/>
          <w:lang w:val="es-ES_tradnl" w:eastAsia="en-US"/>
        </w:rPr>
        <w:t xml:space="preserve"> </w:t>
      </w:r>
    </w:p>
    <w:p w14:paraId="35681946" w14:textId="35EFC9AD" w:rsidR="00E84DA1" w:rsidRPr="00216226" w:rsidRDefault="00776F2E" w:rsidP="00E84DA1">
      <w:pPr>
        <w:jc w:val="both"/>
        <w:rPr>
          <w:rFonts w:eastAsia="MS Gothic"/>
          <w:lang w:val="es-ES_tradnl" w:eastAsia="en-US"/>
        </w:rPr>
      </w:pPr>
      <w:bookmarkStart w:id="22" w:name="_Hlk8228636"/>
      <w:bookmarkEnd w:id="21"/>
      <w:r w:rsidRPr="00216226">
        <w:rPr>
          <w:rFonts w:eastAsia="MS Gothic"/>
          <w:lang w:val="es-ES_tradnl" w:eastAsia="en-US"/>
        </w:rPr>
        <w:lastRenderedPageBreak/>
        <w:t>Con respecto a la PTMI, de las 158,910 pruebas realizadas en mujeres embarazadas, se detectaron 99 casos de VIH en 2016</w:t>
      </w:r>
      <w:r w:rsidR="00E84DA1" w:rsidRPr="00216226">
        <w:rPr>
          <w:rFonts w:eastAsia="MS Gothic"/>
          <w:lang w:val="es-ES_tradnl" w:eastAsia="en-US"/>
        </w:rPr>
        <w:t xml:space="preserve"> (0.06 </w:t>
      </w:r>
      <w:r w:rsidRPr="00216226">
        <w:rPr>
          <w:rFonts w:eastAsia="MS Gothic"/>
          <w:lang w:val="es-ES_tradnl" w:eastAsia="en-US"/>
        </w:rPr>
        <w:t>rendimiento positivo</w:t>
      </w:r>
      <w:r w:rsidR="00E84DA1" w:rsidRPr="00216226">
        <w:rPr>
          <w:rFonts w:eastAsia="MS Gothic"/>
          <w:lang w:val="es-ES_tradnl" w:eastAsia="en-US"/>
        </w:rPr>
        <w:t xml:space="preserve">). </w:t>
      </w:r>
      <w:r w:rsidRPr="00216226">
        <w:rPr>
          <w:rFonts w:eastAsia="MS Gothic"/>
          <w:lang w:val="es-ES_tradnl" w:eastAsia="en-US"/>
        </w:rPr>
        <w:t xml:space="preserve">En el mismo año, de las 174 embarazadas </w:t>
      </w:r>
      <w:r w:rsidR="00AD7966" w:rsidRPr="00216226">
        <w:rPr>
          <w:rFonts w:eastAsia="MS Gothic"/>
          <w:lang w:val="es-ES_tradnl" w:eastAsia="en-US"/>
        </w:rPr>
        <w:t>sero</w:t>
      </w:r>
      <w:r w:rsidRPr="00216226">
        <w:rPr>
          <w:rFonts w:eastAsia="MS Gothic"/>
          <w:lang w:val="es-ES_tradnl" w:eastAsia="en-US"/>
        </w:rPr>
        <w:t xml:space="preserve">positivas </w:t>
      </w:r>
      <w:r w:rsidR="00AD7966" w:rsidRPr="00216226">
        <w:rPr>
          <w:rFonts w:eastAsia="MS Gothic"/>
          <w:lang w:val="es-ES_tradnl" w:eastAsia="en-US"/>
        </w:rPr>
        <w:t xml:space="preserve">con </w:t>
      </w:r>
      <w:r w:rsidRPr="00216226">
        <w:rPr>
          <w:rFonts w:eastAsia="MS Gothic"/>
          <w:lang w:val="es-ES_tradnl" w:eastAsia="en-US"/>
        </w:rPr>
        <w:t>vincula</w:t>
      </w:r>
      <w:r w:rsidR="00AD7966" w:rsidRPr="00216226">
        <w:rPr>
          <w:rFonts w:eastAsia="MS Gothic"/>
          <w:lang w:val="es-ES_tradnl" w:eastAsia="en-US"/>
        </w:rPr>
        <w:t>ción</w:t>
      </w:r>
      <w:r w:rsidRPr="00216226">
        <w:rPr>
          <w:rFonts w:eastAsia="MS Gothic"/>
          <w:lang w:val="es-ES_tradnl" w:eastAsia="en-US"/>
        </w:rPr>
        <w:t xml:space="preserve"> al sistema de salud</w:t>
      </w:r>
      <w:r w:rsidR="00E84DA1" w:rsidRPr="00216226">
        <w:rPr>
          <w:rFonts w:eastAsia="MS Gothic"/>
          <w:lang w:val="es-ES_tradnl" w:eastAsia="en-US"/>
        </w:rPr>
        <w:t>, 168 (96.5%) rec</w:t>
      </w:r>
      <w:r w:rsidRPr="00216226">
        <w:rPr>
          <w:rFonts w:eastAsia="MS Gothic"/>
          <w:lang w:val="es-ES_tradnl" w:eastAsia="en-US"/>
        </w:rPr>
        <w:t>ibieron TARV</w:t>
      </w:r>
      <w:r w:rsidR="00E84DA1" w:rsidRPr="00216226">
        <w:rPr>
          <w:rFonts w:eastAsia="MS Gothic"/>
          <w:lang w:val="es-ES_tradnl" w:eastAsia="en-US"/>
        </w:rPr>
        <w:t xml:space="preserve">. </w:t>
      </w:r>
      <w:r w:rsidRPr="00216226">
        <w:rPr>
          <w:rFonts w:eastAsia="MS Gothic"/>
          <w:lang w:val="es-ES_tradnl" w:eastAsia="en-US"/>
        </w:rPr>
        <w:t>Esto</w:t>
      </w:r>
      <w:r w:rsidR="00E84DA1" w:rsidRPr="00216226">
        <w:rPr>
          <w:rFonts w:eastAsia="MS Gothic"/>
          <w:lang w:val="es-ES_tradnl" w:eastAsia="en-US"/>
        </w:rPr>
        <w:t xml:space="preserve"> represent</w:t>
      </w:r>
      <w:r w:rsidRPr="00216226">
        <w:rPr>
          <w:rFonts w:eastAsia="MS Gothic"/>
          <w:lang w:val="es-ES_tradnl" w:eastAsia="en-US"/>
        </w:rPr>
        <w:t>a</w:t>
      </w:r>
      <w:r w:rsidR="00E84DA1" w:rsidRPr="00216226">
        <w:rPr>
          <w:rFonts w:eastAsia="MS Gothic"/>
          <w:lang w:val="es-ES_tradnl" w:eastAsia="en-US"/>
        </w:rPr>
        <w:t xml:space="preserve"> 53.8% </w:t>
      </w:r>
      <w:r w:rsidRPr="00216226">
        <w:rPr>
          <w:rFonts w:eastAsia="MS Gothic"/>
          <w:lang w:val="es-ES_tradnl" w:eastAsia="en-US"/>
        </w:rPr>
        <w:t xml:space="preserve">del total de mujeres embarazadas </w:t>
      </w:r>
      <w:r w:rsidR="00AD7966" w:rsidRPr="00216226">
        <w:rPr>
          <w:rFonts w:eastAsia="MS Gothic"/>
          <w:lang w:val="es-ES_tradnl" w:eastAsia="en-US"/>
        </w:rPr>
        <w:t>sero</w:t>
      </w:r>
      <w:r w:rsidRPr="00216226">
        <w:rPr>
          <w:rFonts w:eastAsia="MS Gothic"/>
          <w:lang w:val="es-ES_tradnl" w:eastAsia="en-US"/>
        </w:rPr>
        <w:t xml:space="preserve">positivas que se estima existen en el país </w:t>
      </w:r>
      <w:r w:rsidR="00E84DA1" w:rsidRPr="00216226">
        <w:rPr>
          <w:rFonts w:eastAsia="MS Gothic"/>
          <w:lang w:val="es-ES_tradnl" w:eastAsia="en-US"/>
        </w:rPr>
        <w:t xml:space="preserve">(312). </w:t>
      </w:r>
      <w:r w:rsidRPr="00216226">
        <w:rPr>
          <w:rFonts w:eastAsia="MS Gothic"/>
          <w:lang w:val="es-ES_tradnl" w:eastAsia="en-US"/>
        </w:rPr>
        <w:t>De los</w:t>
      </w:r>
      <w:r w:rsidR="00E84DA1" w:rsidRPr="00216226">
        <w:rPr>
          <w:rFonts w:eastAsia="MS Gothic"/>
          <w:lang w:val="es-ES_tradnl" w:eastAsia="en-US"/>
        </w:rPr>
        <w:t xml:space="preserve"> 209 </w:t>
      </w:r>
      <w:r w:rsidRPr="00216226">
        <w:rPr>
          <w:rFonts w:eastAsia="MS Gothic"/>
          <w:lang w:val="es-ES_tradnl" w:eastAsia="en-US"/>
        </w:rPr>
        <w:t xml:space="preserve">niños expuestos prenatalmente al VIH, tres fueron infectados por el VIH </w:t>
      </w:r>
      <w:r w:rsidR="00E84DA1" w:rsidRPr="00216226">
        <w:rPr>
          <w:rFonts w:eastAsia="MS Gothic"/>
          <w:lang w:val="es-ES_tradnl" w:eastAsia="en-US"/>
        </w:rPr>
        <w:t>(1.43%) (SESAL, 2018a).</w:t>
      </w:r>
    </w:p>
    <w:bookmarkEnd w:id="22"/>
    <w:p w14:paraId="434D942C" w14:textId="77777777" w:rsidR="00E84DA1" w:rsidRPr="00216226" w:rsidRDefault="00E84DA1" w:rsidP="00E84DA1">
      <w:pPr>
        <w:jc w:val="both"/>
        <w:rPr>
          <w:rFonts w:eastAsia="MS Gothic"/>
          <w:lang w:val="es-ES_tradnl" w:eastAsia="en-US"/>
        </w:rPr>
      </w:pPr>
    </w:p>
    <w:p w14:paraId="123A42A4" w14:textId="1130EAAF" w:rsidR="00E84DA1" w:rsidRPr="00216226" w:rsidRDefault="00EE0F21" w:rsidP="00E84DA1">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E84DA1" w:rsidRPr="00216226">
        <w:rPr>
          <w:rFonts w:ascii="Calibri Light" w:eastAsia="MS Gothic" w:hAnsi="Calibri Light" w:cs="Times New Roman"/>
          <w:b/>
          <w:lang w:val="es-ES_tradnl" w:eastAsia="en-US"/>
        </w:rPr>
        <w:t xml:space="preserve"> 2.2. </w:t>
      </w:r>
      <w:r w:rsidR="00AD7966" w:rsidRPr="00216226">
        <w:rPr>
          <w:rFonts w:ascii="Calibri Light" w:eastAsia="MS Gothic" w:hAnsi="Calibri Light" w:cs="Times New Roman"/>
          <w:b/>
          <w:lang w:val="es-ES_tradnl" w:eastAsia="en-US"/>
        </w:rPr>
        <w:t xml:space="preserve">Cribado / prueba y diagnóstico / conocimiento del estado </w:t>
      </w:r>
    </w:p>
    <w:p w14:paraId="601B3B35" w14:textId="0FCCCEB2" w:rsidR="00E84DA1" w:rsidRPr="00216226" w:rsidRDefault="00320DF5" w:rsidP="00D93C5D">
      <w:pPr>
        <w:jc w:val="both"/>
        <w:rPr>
          <w:rFonts w:ascii="Calibri Light" w:eastAsia="MS Gothic" w:hAnsi="Calibri Light"/>
          <w:color w:val="808080"/>
          <w:lang w:val="es-ES_tradnl" w:eastAsia="en-US"/>
        </w:rPr>
      </w:pPr>
      <w:r w:rsidRPr="00D93C5D">
        <w:rPr>
          <w:rFonts w:eastAsia="MS Gothic"/>
          <w:lang w:val="es-ES_tradnl" w:eastAsia="en-US"/>
        </w:rPr>
        <w:t>Insumos:</w:t>
      </w:r>
      <w:r w:rsidR="00E84DA1" w:rsidRPr="00D93C5D">
        <w:rPr>
          <w:rFonts w:ascii="Calibri Light" w:eastAsia="MS Gothic" w:hAnsi="Calibri Light"/>
          <w:color w:val="808080"/>
          <w:lang w:val="es-ES_tradnl" w:eastAsia="en-US"/>
        </w:rPr>
        <w:t xml:space="preserve"> </w:t>
      </w:r>
      <w:r w:rsidR="0022699D" w:rsidRPr="00D93C5D">
        <w:rPr>
          <w:rFonts w:eastAsia="MS Gothic"/>
          <w:lang w:val="es-ES_tradnl" w:eastAsia="en-US"/>
        </w:rPr>
        <w:t xml:space="preserve">Las inversiones </w:t>
      </w:r>
      <w:r w:rsidR="0022699D" w:rsidRPr="00216226">
        <w:rPr>
          <w:rFonts w:eastAsia="MS Gothic"/>
          <w:lang w:val="es-ES_tradnl" w:eastAsia="en-US"/>
        </w:rPr>
        <w:t>del Fondo Mundial han incluido el apoyo para los servicios de detección y pruebas, pruebas y consejería para la comunidad, compra y suministro de kits de prueba y apoyo de laboratorio, y el apoyo para pruebas en poblaciones de difícil acceso, incluidas las zonas rurales, las poblaciones indígenas y las prisiones</w:t>
      </w:r>
      <w:r w:rsidR="002136F3" w:rsidRPr="00216226">
        <w:rPr>
          <w:rFonts w:eastAsia="MS Gothic"/>
          <w:lang w:val="es-ES_tradnl" w:eastAsia="en-US"/>
        </w:rPr>
        <w:t>.</w:t>
      </w:r>
      <w:r w:rsidR="00E84DA1" w:rsidRPr="00216226">
        <w:rPr>
          <w:rFonts w:eastAsia="MS Gothic"/>
          <w:lang w:val="es-ES_tradnl" w:eastAsia="en-US"/>
        </w:rPr>
        <w:t xml:space="preserve"> </w:t>
      </w:r>
    </w:p>
    <w:p w14:paraId="4C30C247" w14:textId="77777777" w:rsidR="00AD7966" w:rsidRPr="00216226" w:rsidRDefault="0022699D" w:rsidP="00E84DA1">
      <w:pPr>
        <w:jc w:val="both"/>
        <w:rPr>
          <w:rFonts w:eastAsia="MS Gothic"/>
          <w:lang w:val="es-ES_tradnl" w:eastAsia="en-US"/>
        </w:rPr>
      </w:pPr>
      <w:r w:rsidRPr="00216226">
        <w:rPr>
          <w:rFonts w:eastAsia="MS Gothic"/>
          <w:lang w:val="es-ES_tradnl" w:eastAsia="en-US"/>
        </w:rPr>
        <w:t xml:space="preserve">Actualmente, el Fondo Mundial apoya actividades de difusión dirigidas a poblaciones clave, incluidas unidades móviles de </w:t>
      </w:r>
      <w:r w:rsidRPr="00943294">
        <w:rPr>
          <w:rFonts w:eastAsia="MS Gothic"/>
          <w:i/>
          <w:lang w:val="es-ES_tradnl" w:eastAsia="en-US"/>
        </w:rPr>
        <w:t>HTC</w:t>
      </w:r>
      <w:r w:rsidRPr="00216226">
        <w:rPr>
          <w:rFonts w:eastAsia="MS Gothic"/>
          <w:lang w:val="es-ES_tradnl" w:eastAsia="en-US"/>
        </w:rPr>
        <w:t xml:space="preserve">, divulgación por pares puerta a puerta, divulgación en las redes sociales, sesiones de </w:t>
      </w:r>
      <w:r w:rsidRPr="00943294">
        <w:rPr>
          <w:rFonts w:eastAsia="MS Gothic"/>
          <w:i/>
          <w:lang w:val="es-ES_tradnl" w:eastAsia="en-US"/>
        </w:rPr>
        <w:t>HTC</w:t>
      </w:r>
      <w:r w:rsidRPr="00216226">
        <w:rPr>
          <w:rFonts w:eastAsia="MS Gothic"/>
          <w:lang w:val="es-ES_tradnl" w:eastAsia="en-US"/>
        </w:rPr>
        <w:t xml:space="preserve"> en las instalaciones de OSC los sábados por la mañana y </w:t>
      </w:r>
      <w:r w:rsidR="00AD7966" w:rsidRPr="00216226">
        <w:rPr>
          <w:rFonts w:eastAsia="MS Gothic"/>
          <w:lang w:val="es-ES_tradnl" w:eastAsia="en-US"/>
        </w:rPr>
        <w:t xml:space="preserve">ampliación de los </w:t>
      </w:r>
      <w:r w:rsidRPr="00216226">
        <w:rPr>
          <w:rFonts w:eastAsia="MS Gothic"/>
          <w:lang w:val="es-ES_tradnl" w:eastAsia="en-US"/>
        </w:rPr>
        <w:t>horarios de apertura en VICITS</w:t>
      </w:r>
      <w:r w:rsidR="002136F3" w:rsidRPr="00216226">
        <w:rPr>
          <w:rFonts w:eastAsia="MS Gothic"/>
          <w:lang w:val="es-ES_tradnl" w:eastAsia="en-US"/>
        </w:rPr>
        <w:t xml:space="preserve">. </w:t>
      </w:r>
      <w:r w:rsidRPr="00216226">
        <w:rPr>
          <w:rFonts w:eastAsia="MS Gothic"/>
          <w:lang w:val="es-ES_tradnl" w:eastAsia="en-US"/>
        </w:rPr>
        <w:t>Estas actividades se concentran en las ciudades de Tegucigalpa, San Pedro Sula y La Ceiba, y las aldeas en sus respectivos departamentos, que se consideran las áreas de mayor prevalencia</w:t>
      </w:r>
      <w:r w:rsidR="002136F3" w:rsidRPr="00216226">
        <w:rPr>
          <w:rFonts w:eastAsia="MS Gothic"/>
          <w:lang w:val="es-ES_tradnl" w:eastAsia="en-US"/>
        </w:rPr>
        <w:t xml:space="preserve"> (Visita de campo).</w:t>
      </w:r>
    </w:p>
    <w:p w14:paraId="203FB366" w14:textId="227A788B" w:rsidR="00E84DA1" w:rsidRPr="00D93C5D" w:rsidRDefault="00320DF5" w:rsidP="006C5426">
      <w:pPr>
        <w:jc w:val="both"/>
        <w:rPr>
          <w:rFonts w:ascii="Calibri Light" w:eastAsia="MS Gothic" w:hAnsi="Calibri Light"/>
          <w:i/>
          <w:lang w:val="es-ES_tradnl" w:eastAsia="en-US"/>
        </w:rPr>
      </w:pPr>
      <w:r w:rsidRPr="00D93C5D">
        <w:rPr>
          <w:rFonts w:eastAsia="MS Gothic"/>
          <w:lang w:val="es-ES_tradnl" w:eastAsia="en-US"/>
        </w:rPr>
        <w:t>Productos:</w:t>
      </w:r>
      <w:r w:rsidR="00E84DA1" w:rsidRPr="00D93C5D">
        <w:rPr>
          <w:rFonts w:ascii="Calibri Light" w:eastAsia="MS Gothic" w:hAnsi="Calibri Light"/>
          <w:lang w:val="es-ES_tradnl" w:eastAsia="en-US"/>
        </w:rPr>
        <w:t xml:space="preserve"> </w:t>
      </w:r>
      <w:r w:rsidR="0022699D" w:rsidRPr="00D93C5D">
        <w:rPr>
          <w:rFonts w:eastAsia="MS Gothic"/>
          <w:lang w:val="es-ES_tradnl" w:eastAsia="en-US"/>
        </w:rPr>
        <w:t>L</w:t>
      </w:r>
      <w:r w:rsidR="0022699D" w:rsidRPr="00216226">
        <w:rPr>
          <w:rFonts w:eastAsia="MS Gothic"/>
          <w:lang w:val="es-ES_tradnl" w:eastAsia="en-US"/>
        </w:rPr>
        <w:t>as inversiones han llevado a ofrecer pruebas de VIH a través de promotores pares de base comunitaria, redes sociales y aplicaciones, seguimiento de asociados, horarios de apertura más amplios en clínicas que ofrecen pruebas de VIH (VICITS) y otros servicios relacionados</w:t>
      </w:r>
      <w:r w:rsidR="002136F3" w:rsidRPr="00216226">
        <w:rPr>
          <w:rFonts w:eastAsia="MS Gothic"/>
          <w:lang w:val="es-ES_tradnl" w:eastAsia="en-US"/>
        </w:rPr>
        <w:t xml:space="preserve">. </w:t>
      </w:r>
      <w:r w:rsidR="0022699D" w:rsidRPr="00216226">
        <w:rPr>
          <w:rFonts w:eastAsia="MS Gothic"/>
          <w:lang w:val="es-ES_tradnl" w:eastAsia="en-US"/>
        </w:rPr>
        <w:t>La cantidad de pruebas de VIH que se ofrecen en los servicios de salud para la TB ha aumentado de manera</w:t>
      </w:r>
      <w:r w:rsidR="00DB2E29" w:rsidRPr="00216226">
        <w:rPr>
          <w:rFonts w:eastAsia="MS Gothic"/>
          <w:lang w:val="es-ES_tradnl" w:eastAsia="en-US"/>
        </w:rPr>
        <w:t xml:space="preserve"> impresionante</w:t>
      </w:r>
      <w:r w:rsidR="0022699D" w:rsidRPr="00216226">
        <w:rPr>
          <w:rFonts w:eastAsia="MS Gothic"/>
          <w:lang w:val="es-ES_tradnl" w:eastAsia="en-US"/>
        </w:rPr>
        <w:t>, alcanzando cerca del 100% de los casos diagnosticados de TB. Las pruebas que se ofrecen en las clínicas prenatales también han aumentado, pero sigue habiendo brechas importantes</w:t>
      </w:r>
      <w:r w:rsidR="002136F3" w:rsidRPr="00216226">
        <w:rPr>
          <w:rFonts w:eastAsia="MS Gothic"/>
          <w:lang w:val="es-ES_tradnl" w:eastAsia="en-US"/>
        </w:rPr>
        <w:t xml:space="preserve">. </w:t>
      </w:r>
      <w:r w:rsidR="0022699D" w:rsidRPr="00216226">
        <w:rPr>
          <w:rFonts w:eastAsia="MS Gothic"/>
          <w:lang w:val="es-ES_tradnl" w:eastAsia="en-US"/>
        </w:rPr>
        <w:t xml:space="preserve">Varios factores, como las deficiencias </w:t>
      </w:r>
      <w:r w:rsidR="00DB2E29" w:rsidRPr="00216226">
        <w:rPr>
          <w:rFonts w:eastAsia="MS Gothic"/>
          <w:lang w:val="es-ES_tradnl" w:eastAsia="en-US"/>
        </w:rPr>
        <w:t>en la gestión de adquisiciones y suministros</w:t>
      </w:r>
      <w:r w:rsidR="0022699D" w:rsidRPr="00216226">
        <w:rPr>
          <w:rFonts w:eastAsia="MS Gothic"/>
          <w:lang w:val="es-ES_tradnl" w:eastAsia="en-US"/>
        </w:rPr>
        <w:t>, la descentralización de la compra de pruebas que ha dado como resultado precios más elevados y menos cantidades adquiridas, y el uso incorrecto de las pruebas (detección universal de pacientes que requieren cirugía) han llevado al persistente desabastecimiento de kits de prueba en algunos centros (OPS, 2017; Visita de campo</w:t>
      </w:r>
      <w:r w:rsidR="00E84DA1" w:rsidRPr="00216226">
        <w:rPr>
          <w:rFonts w:eastAsia="MS Gothic"/>
          <w:lang w:val="es-ES_tradnl" w:eastAsia="en-US"/>
        </w:rPr>
        <w:t xml:space="preserve">). </w:t>
      </w:r>
    </w:p>
    <w:p w14:paraId="46D2010F" w14:textId="0A7B20F5" w:rsidR="00E84DA1" w:rsidRPr="00D93C5D" w:rsidRDefault="004B3528" w:rsidP="00D93C5D">
      <w:pPr>
        <w:jc w:val="both"/>
        <w:rPr>
          <w:rFonts w:eastAsia="MS Gothic"/>
          <w:lang w:val="es-ES_tradnl" w:eastAsia="en-US"/>
        </w:rPr>
      </w:pPr>
      <w:r w:rsidRPr="00D93C5D">
        <w:rPr>
          <w:rFonts w:eastAsia="MS Gothic"/>
          <w:lang w:val="es-ES_tradnl" w:eastAsia="en-US"/>
        </w:rPr>
        <w:t>Resultados:</w:t>
      </w:r>
      <w:r w:rsidR="00E84DA1" w:rsidRPr="00D93C5D">
        <w:rPr>
          <w:rFonts w:ascii="Calibri Light" w:eastAsia="MS Gothic" w:hAnsi="Calibri Light"/>
          <w:i/>
          <w:color w:val="808080"/>
          <w:lang w:val="es-ES_tradnl" w:eastAsia="en-US"/>
        </w:rPr>
        <w:t xml:space="preserve"> </w:t>
      </w:r>
      <w:r w:rsidR="0022699D" w:rsidRPr="00216226">
        <w:rPr>
          <w:rFonts w:eastAsia="MS Gothic"/>
          <w:lang w:val="es-ES_tradnl" w:eastAsia="en-US"/>
        </w:rPr>
        <w:t>Gracias a las inversiones del Fondo Mundial y el</w:t>
      </w:r>
      <w:r w:rsidR="00D93C5D">
        <w:rPr>
          <w:rFonts w:eastAsia="MS Gothic"/>
          <w:lang w:val="es-ES_tradnl" w:eastAsia="en-US"/>
        </w:rPr>
        <w:t xml:space="preserve"> </w:t>
      </w:r>
      <w:r w:rsidR="00D93C5D" w:rsidRPr="00D93C5D">
        <w:rPr>
          <w:rFonts w:eastAsia="MS Gothic"/>
          <w:lang w:val="es-ES_tradnl" w:eastAsia="en-US"/>
        </w:rPr>
        <w:t xml:space="preserve">Plan de emergencia del presidente </w:t>
      </w:r>
      <w:r w:rsidR="00D93C5D">
        <w:rPr>
          <w:rFonts w:eastAsia="MS Gothic"/>
          <w:lang w:val="es-ES_tradnl" w:eastAsia="en-US"/>
        </w:rPr>
        <w:t xml:space="preserve">de los Estados Unidos </w:t>
      </w:r>
      <w:r w:rsidR="00D93C5D" w:rsidRPr="00D93C5D">
        <w:rPr>
          <w:rFonts w:eastAsia="MS Gothic"/>
          <w:lang w:val="es-ES_tradnl" w:eastAsia="en-US"/>
        </w:rPr>
        <w:t>para el alivio del SIDA</w:t>
      </w:r>
      <w:r w:rsidR="00D93C5D">
        <w:rPr>
          <w:rFonts w:eastAsia="MS Gothic"/>
          <w:lang w:val="es-ES_tradnl" w:eastAsia="en-US"/>
        </w:rPr>
        <w:t xml:space="preserve"> (</w:t>
      </w:r>
      <w:r w:rsidR="00D93C5D" w:rsidRPr="00D93C5D">
        <w:rPr>
          <w:rFonts w:eastAsia="MS Gothic"/>
          <w:i/>
          <w:lang w:val="es-ES_tradnl" w:eastAsia="en-US"/>
        </w:rPr>
        <w:t xml:space="preserve">President's Emergency Plan for AIDS Relief – </w:t>
      </w:r>
      <w:r w:rsidR="0022699D" w:rsidRPr="00D93C5D">
        <w:rPr>
          <w:rFonts w:eastAsia="MS Gothic"/>
          <w:i/>
          <w:lang w:val="es-ES_tradnl" w:eastAsia="en-US"/>
        </w:rPr>
        <w:t>PEPFAR</w:t>
      </w:r>
      <w:r w:rsidR="00D93C5D">
        <w:rPr>
          <w:rFonts w:eastAsia="MS Gothic"/>
          <w:lang w:val="es-ES_tradnl" w:eastAsia="en-US"/>
        </w:rPr>
        <w:t>)</w:t>
      </w:r>
      <w:r w:rsidR="0022699D" w:rsidRPr="00216226">
        <w:rPr>
          <w:rFonts w:eastAsia="MS Gothic"/>
          <w:lang w:val="es-ES_tradnl" w:eastAsia="en-US"/>
        </w:rPr>
        <w:t xml:space="preserve">, principalmente, y al aumento de los esfuerzos nacionales, la cobertura de servicios de prueba ha </w:t>
      </w:r>
      <w:r w:rsidR="006A2C93" w:rsidRPr="00216226">
        <w:rPr>
          <w:rFonts w:eastAsia="MS Gothic"/>
          <w:lang w:val="es-ES_tradnl" w:eastAsia="en-US"/>
        </w:rPr>
        <w:t>aumentado en</w:t>
      </w:r>
      <w:r w:rsidR="0022699D" w:rsidRPr="00216226">
        <w:rPr>
          <w:rFonts w:eastAsia="MS Gothic"/>
          <w:lang w:val="es-ES_tradnl" w:eastAsia="en-US"/>
        </w:rPr>
        <w:t xml:space="preserve"> Honduras a través de años, aunque siguen existiendo brechas importantes</w:t>
      </w:r>
      <w:r w:rsidR="00E84DA1" w:rsidRPr="00216226">
        <w:rPr>
          <w:rFonts w:eastAsia="MS Gothic"/>
          <w:lang w:val="es-ES_tradnl" w:eastAsia="en-US"/>
        </w:rPr>
        <w:t xml:space="preserve">. </w:t>
      </w:r>
      <w:r w:rsidR="006A2C93" w:rsidRPr="00216226">
        <w:rPr>
          <w:rFonts w:eastAsia="MS Gothic"/>
          <w:lang w:val="es-ES_tradnl" w:eastAsia="en-US"/>
        </w:rPr>
        <w:t>De hecho, 735 centros de salud ofrecen servicios de pruebas de VIH en todo el país, lo que representa el 42% del total de los centros de salud. Esto significa que el 58% no presta ese servicio (OPS</w:t>
      </w:r>
      <w:r w:rsidR="00E84DA1" w:rsidRPr="00216226">
        <w:rPr>
          <w:rFonts w:eastAsia="MS Gothic"/>
          <w:lang w:val="es-ES_tradnl" w:eastAsia="en-US"/>
        </w:rPr>
        <w:t>, 2017).</w:t>
      </w:r>
    </w:p>
    <w:p w14:paraId="017F6E5A" w14:textId="57C0760E" w:rsidR="00E84DA1" w:rsidRPr="00216226" w:rsidRDefault="006A2C93" w:rsidP="00E84DA1">
      <w:pPr>
        <w:jc w:val="both"/>
        <w:rPr>
          <w:rFonts w:eastAsia="MS Gothic"/>
          <w:lang w:val="es-ES_tradnl" w:eastAsia="en-US"/>
        </w:rPr>
      </w:pPr>
      <w:bookmarkStart w:id="23" w:name="_Hlk8231824"/>
      <w:r w:rsidRPr="00216226">
        <w:rPr>
          <w:rFonts w:eastAsia="MS Gothic"/>
          <w:lang w:val="es-ES_tradnl" w:eastAsia="en-US"/>
        </w:rPr>
        <w:t xml:space="preserve">El análisis en cascada </w:t>
      </w:r>
      <w:r w:rsidR="00DB2E29" w:rsidRPr="00216226">
        <w:rPr>
          <w:rFonts w:eastAsia="MS Gothic"/>
          <w:lang w:val="es-ES_tradnl" w:eastAsia="en-US"/>
        </w:rPr>
        <w:t>de</w:t>
      </w:r>
      <w:r w:rsidRPr="00216226">
        <w:rPr>
          <w:rFonts w:eastAsia="MS Gothic"/>
          <w:lang w:val="es-ES_tradnl" w:eastAsia="en-US"/>
        </w:rPr>
        <w:t xml:space="preserve"> 2013 y 2016 indica un aumento del 8% en el número de </w:t>
      </w:r>
      <w:r w:rsidR="00DB2E29" w:rsidRPr="00216226">
        <w:rPr>
          <w:rFonts w:eastAsia="MS Gothic"/>
          <w:lang w:val="es-ES_tradnl" w:eastAsia="en-US"/>
        </w:rPr>
        <w:t>PVVIH</w:t>
      </w:r>
      <w:r w:rsidRPr="00216226">
        <w:rPr>
          <w:rFonts w:eastAsia="MS Gothic"/>
          <w:lang w:val="es-ES_tradnl" w:eastAsia="en-US"/>
        </w:rPr>
        <w:t xml:space="preserve"> que conocen su estado, aunque esta cifra se basa en datos de cohortes hospitalarios, no en bases de datos nominales a nivel nacional</w:t>
      </w:r>
      <w:r w:rsidR="00E84DA1" w:rsidRPr="00216226">
        <w:rPr>
          <w:rFonts w:eastAsia="MS Gothic"/>
          <w:vertAlign w:val="superscript"/>
          <w:lang w:val="es-ES_tradnl" w:eastAsia="en-US"/>
        </w:rPr>
        <w:footnoteReference w:id="7"/>
      </w:r>
      <w:r w:rsidR="00E84DA1" w:rsidRPr="00216226">
        <w:rPr>
          <w:rFonts w:eastAsia="MS Gothic"/>
          <w:lang w:val="es-ES_tradnl" w:eastAsia="en-US"/>
        </w:rPr>
        <w:t xml:space="preserve">. </w:t>
      </w:r>
      <w:r w:rsidR="003637A1" w:rsidRPr="00216226">
        <w:rPr>
          <w:rFonts w:eastAsia="MS Gothic"/>
          <w:lang w:val="es-ES_tradnl" w:eastAsia="en-US"/>
        </w:rPr>
        <w:t xml:space="preserve">En cualquier caso, no se dispone de datos consistentes para desagregar esa cifra por poblaciones clave (HSH, mujeres transgénero, trabajadoras sexuales). Una encuesta </w:t>
      </w:r>
      <w:r w:rsidR="003637A1" w:rsidRPr="00216226">
        <w:rPr>
          <w:rFonts w:eastAsia="MS Gothic"/>
          <w:lang w:val="es-ES_tradnl" w:eastAsia="en-US"/>
        </w:rPr>
        <w:lastRenderedPageBreak/>
        <w:t xml:space="preserve">reciente entre las poblaciones </w:t>
      </w:r>
      <w:r w:rsidR="003C6851">
        <w:rPr>
          <w:rFonts w:eastAsia="MS Gothic"/>
          <w:lang w:val="es-ES_tradnl" w:eastAsia="en-US"/>
        </w:rPr>
        <w:t>Garífuna</w:t>
      </w:r>
      <w:r w:rsidR="003637A1" w:rsidRPr="00216226">
        <w:rPr>
          <w:rFonts w:eastAsia="MS Gothic"/>
          <w:lang w:val="es-ES_tradnl" w:eastAsia="en-US"/>
        </w:rPr>
        <w:t xml:space="preserve">s en los departamentos de Atlántida y Cortés en 2017 muestra que el 33.2% de las personas </w:t>
      </w:r>
      <w:r w:rsidR="00DB2E29" w:rsidRPr="00216226">
        <w:rPr>
          <w:rFonts w:eastAsia="MS Gothic"/>
          <w:lang w:val="es-ES_tradnl" w:eastAsia="en-US"/>
        </w:rPr>
        <w:t>seropositivas</w:t>
      </w:r>
      <w:r w:rsidR="003637A1" w:rsidRPr="00216226">
        <w:rPr>
          <w:rFonts w:eastAsia="MS Gothic"/>
          <w:lang w:val="es-ES_tradnl" w:eastAsia="en-US"/>
        </w:rPr>
        <w:t xml:space="preserve"> conocen su estado</w:t>
      </w:r>
      <w:r w:rsidR="00E84DA1" w:rsidRPr="00216226">
        <w:rPr>
          <w:rFonts w:eastAsia="MS Gothic"/>
          <w:lang w:val="es-ES_tradnl" w:eastAsia="en-US"/>
        </w:rPr>
        <w:t xml:space="preserve"> (Álvarez-Rodríguez, et al., 2017).</w:t>
      </w:r>
    </w:p>
    <w:bookmarkEnd w:id="23"/>
    <w:p w14:paraId="10B91444" w14:textId="3B114C2F" w:rsidR="00E84DA1" w:rsidRPr="00216226" w:rsidRDefault="003637A1" w:rsidP="00E84DA1">
      <w:pPr>
        <w:jc w:val="both"/>
        <w:rPr>
          <w:rFonts w:eastAsia="MS Gothic"/>
          <w:lang w:val="es-ES_tradnl" w:eastAsia="en-US"/>
        </w:rPr>
      </w:pPr>
      <w:r w:rsidRPr="00216226">
        <w:rPr>
          <w:rFonts w:eastAsia="MS Gothic"/>
          <w:lang w:val="es-ES_tradnl" w:eastAsia="en-US"/>
        </w:rPr>
        <w:t>No hay datos agregados nacionales sobre las tasas de positividad de todas las actividades de prueba por poblaciones clave. Las tasas de positividad están disponibles en VICITS cada año desde 2015, y recientemente a partir de las actividades de prueba apoyadas por los tres socios de cooperación</w:t>
      </w:r>
      <w:r w:rsidR="00E84DA1" w:rsidRPr="00216226">
        <w:rPr>
          <w:rFonts w:eastAsia="MS Gothic"/>
          <w:lang w:val="es-ES_tradnl" w:eastAsia="en-US"/>
        </w:rPr>
        <w:t xml:space="preserve">: </w:t>
      </w:r>
      <w:r w:rsidRPr="00216226">
        <w:rPr>
          <w:rFonts w:eastAsia="MS Gothic"/>
          <w:lang w:val="es-ES_tradnl" w:eastAsia="en-US"/>
        </w:rPr>
        <w:t xml:space="preserve">el Fondo Global a través de beneficiarios locales, </w:t>
      </w:r>
      <w:r w:rsidR="00DB2E29" w:rsidRPr="00216226">
        <w:rPr>
          <w:rFonts w:eastAsia="MS Gothic"/>
          <w:lang w:val="es-ES_tradnl" w:eastAsia="en-US"/>
        </w:rPr>
        <w:t xml:space="preserve">el </w:t>
      </w:r>
      <w:r w:rsidRPr="000A1D9C">
        <w:rPr>
          <w:rFonts w:eastAsia="MS Gothic"/>
          <w:i/>
          <w:lang w:val="es-ES_tradnl" w:eastAsia="en-US"/>
        </w:rPr>
        <w:t>CDC</w:t>
      </w:r>
      <w:r w:rsidRPr="00216226">
        <w:rPr>
          <w:rFonts w:eastAsia="MS Gothic"/>
          <w:lang w:val="es-ES_tradnl" w:eastAsia="en-US"/>
        </w:rPr>
        <w:t xml:space="preserve"> a través de la Universidad de Valle Guatemala (UVG) y </w:t>
      </w:r>
      <w:r w:rsidRPr="000A1D9C">
        <w:rPr>
          <w:rFonts w:eastAsia="MS Gothic"/>
          <w:i/>
          <w:lang w:val="es-ES_tradnl" w:eastAsia="en-US"/>
        </w:rPr>
        <w:t>USAID</w:t>
      </w:r>
      <w:r w:rsidRPr="00216226">
        <w:rPr>
          <w:rFonts w:eastAsia="MS Gothic"/>
          <w:lang w:val="es-ES_tradnl" w:eastAsia="en-US"/>
        </w:rPr>
        <w:t xml:space="preserve"> a través de la Organización Panamericana de Mercadeo Social (</w:t>
      </w:r>
      <w:r w:rsidR="00D93C5D" w:rsidRPr="00D93C5D">
        <w:rPr>
          <w:rFonts w:eastAsia="MS Gothic"/>
          <w:i/>
          <w:lang w:val="es-ES_tradnl" w:eastAsia="en-US"/>
        </w:rPr>
        <w:t xml:space="preserve">Pan-American Social Marketing Organization – </w:t>
      </w:r>
      <w:r w:rsidR="00D93C5D">
        <w:rPr>
          <w:rFonts w:eastAsia="MS Gothic"/>
          <w:i/>
          <w:lang w:val="es-ES_tradnl" w:eastAsia="en-US"/>
        </w:rPr>
        <w:t>PASMO</w:t>
      </w:r>
      <w:r w:rsidR="00E84DA1" w:rsidRPr="00216226">
        <w:rPr>
          <w:rFonts w:eastAsia="MS Gothic"/>
          <w:lang w:val="es-ES_tradnl" w:eastAsia="en-US"/>
        </w:rPr>
        <w:t>).</w:t>
      </w:r>
    </w:p>
    <w:p w14:paraId="7110EEF0" w14:textId="184AFAD7" w:rsidR="00D93C5D" w:rsidRDefault="00E84DA1" w:rsidP="00D93C5D">
      <w:pPr>
        <w:numPr>
          <w:ilvl w:val="0"/>
          <w:numId w:val="11"/>
        </w:numPr>
        <w:jc w:val="both"/>
        <w:rPr>
          <w:rFonts w:eastAsia="MS Gothic"/>
          <w:lang w:val="es-ES_tradnl" w:eastAsia="en-US"/>
        </w:rPr>
      </w:pPr>
      <w:r w:rsidRPr="00D93C5D">
        <w:rPr>
          <w:rFonts w:eastAsia="MS Gothic"/>
          <w:lang w:val="es-ES_tradnl" w:eastAsia="en-US"/>
        </w:rPr>
        <w:t xml:space="preserve">VICITS: </w:t>
      </w:r>
      <w:r w:rsidR="003637A1" w:rsidRPr="00D93C5D">
        <w:rPr>
          <w:rFonts w:eastAsia="MS Gothic"/>
          <w:lang w:val="es-ES_tradnl" w:eastAsia="en-US"/>
        </w:rPr>
        <w:t>Incluye todas las pruebas realizadas en las 8 clínicas en 2017</w:t>
      </w:r>
      <w:r w:rsidRPr="00D93C5D">
        <w:rPr>
          <w:rFonts w:eastAsia="MS Gothic"/>
          <w:lang w:val="es-ES_tradnl" w:eastAsia="en-US"/>
        </w:rPr>
        <w:t>, p</w:t>
      </w:r>
      <w:r w:rsidR="003637A1" w:rsidRPr="00D93C5D">
        <w:rPr>
          <w:rFonts w:eastAsia="MS Gothic"/>
          <w:lang w:val="es-ES_tradnl" w:eastAsia="en-US"/>
        </w:rPr>
        <w:t>o</w:t>
      </w:r>
      <w:r w:rsidRPr="00D93C5D">
        <w:rPr>
          <w:rFonts w:eastAsia="MS Gothic"/>
          <w:lang w:val="es-ES_tradnl" w:eastAsia="en-US"/>
        </w:rPr>
        <w:t xml:space="preserve">r </w:t>
      </w:r>
      <w:r w:rsidR="0097517B" w:rsidRPr="00D93C5D">
        <w:rPr>
          <w:rFonts w:eastAsia="MS Gothic"/>
          <w:lang w:val="es-ES_tradnl" w:eastAsia="en-US"/>
        </w:rPr>
        <w:t>poblaciones clave</w:t>
      </w:r>
      <w:r w:rsidR="00D93C5D">
        <w:rPr>
          <w:rFonts w:eastAsia="MS Gothic"/>
          <w:lang w:val="es-ES_tradnl" w:eastAsia="en-US"/>
        </w:rPr>
        <w:t>.</w:t>
      </w:r>
    </w:p>
    <w:p w14:paraId="0B79310F" w14:textId="76EBD863" w:rsidR="00E84DA1" w:rsidRPr="00D93C5D" w:rsidRDefault="003637A1" w:rsidP="00D93C5D">
      <w:pPr>
        <w:numPr>
          <w:ilvl w:val="0"/>
          <w:numId w:val="11"/>
        </w:numPr>
        <w:jc w:val="both"/>
        <w:rPr>
          <w:rFonts w:eastAsia="MS Gothic"/>
          <w:lang w:val="es-ES_tradnl" w:eastAsia="en-US"/>
        </w:rPr>
      </w:pPr>
      <w:r w:rsidRPr="00D93C5D">
        <w:rPr>
          <w:rFonts w:eastAsia="MS Gothic"/>
          <w:lang w:val="es-ES_tradnl" w:eastAsia="en-US"/>
        </w:rPr>
        <w:t xml:space="preserve">El Fondo Mundial: incluye todas las pruebas realizadas en actividades de divulgación en las tres áreas recientemente priorizadas con mayor prevalencia del VIH </w:t>
      </w:r>
      <w:r w:rsidR="00DB2E29" w:rsidRPr="00D93C5D">
        <w:rPr>
          <w:rFonts w:eastAsia="MS Gothic"/>
          <w:lang w:val="es-ES_tradnl" w:eastAsia="en-US"/>
        </w:rPr>
        <w:t>durante</w:t>
      </w:r>
      <w:r w:rsidRPr="00D93C5D">
        <w:rPr>
          <w:rFonts w:eastAsia="MS Gothic"/>
          <w:lang w:val="es-ES_tradnl" w:eastAsia="en-US"/>
        </w:rPr>
        <w:t xml:space="preserve"> el tercer trimestre de 2018.</w:t>
      </w:r>
      <w:r w:rsidR="00AD1F0C" w:rsidRPr="00D93C5D">
        <w:rPr>
          <w:rFonts w:eastAsia="MS Gothic"/>
          <w:lang w:val="es-ES_tradnl" w:eastAsia="en-US"/>
        </w:rPr>
        <w:t xml:space="preserve"> Estas actividades son básicamente contactos </w:t>
      </w:r>
      <w:r w:rsidR="003C4EC6" w:rsidRPr="00D93C5D">
        <w:rPr>
          <w:rFonts w:eastAsia="MS Gothic"/>
          <w:lang w:val="es-ES_tradnl" w:eastAsia="en-US"/>
        </w:rPr>
        <w:t>realizados en persona</w:t>
      </w:r>
      <w:r w:rsidR="00AD1F0C" w:rsidRPr="00D93C5D">
        <w:rPr>
          <w:rFonts w:eastAsia="MS Gothic"/>
          <w:lang w:val="es-ES_tradnl" w:eastAsia="en-US"/>
        </w:rPr>
        <w:t xml:space="preserve"> o, en menor medida, contactos en las redes sociales (HSH) a través de promotores pares. Sin embargo, los datos de 2017 en áreas supuestamente menos prevalentes no fueron significativamente diferentes: HSH 0.80%, mujeres transgénero 5.70%, trabajadoras sexuales 0.5%, </w:t>
      </w:r>
      <w:r w:rsidR="00C816C5" w:rsidRPr="00D93C5D">
        <w:rPr>
          <w:rFonts w:eastAsia="MS Gothic"/>
          <w:lang w:val="es-ES_tradnl" w:eastAsia="en-US"/>
        </w:rPr>
        <w:t xml:space="preserve">poblaciones </w:t>
      </w:r>
      <w:r w:rsidR="003C6851">
        <w:rPr>
          <w:rFonts w:eastAsia="MS Gothic"/>
          <w:lang w:val="es-ES_tradnl" w:eastAsia="en-US"/>
        </w:rPr>
        <w:t>Garífuna</w:t>
      </w:r>
      <w:r w:rsidR="00C816C5" w:rsidRPr="00D93C5D">
        <w:rPr>
          <w:rFonts w:eastAsia="MS Gothic"/>
          <w:lang w:val="es-ES_tradnl" w:eastAsia="en-US"/>
        </w:rPr>
        <w:t>s</w:t>
      </w:r>
      <w:r w:rsidR="00AD1F0C" w:rsidRPr="00D93C5D">
        <w:rPr>
          <w:rFonts w:eastAsia="MS Gothic"/>
          <w:lang w:val="es-ES_tradnl" w:eastAsia="en-US"/>
        </w:rPr>
        <w:t xml:space="preserve"> 0.24% y </w:t>
      </w:r>
      <w:r w:rsidR="00CB285B" w:rsidRPr="00D93C5D">
        <w:rPr>
          <w:rFonts w:eastAsia="MS Gothic"/>
          <w:lang w:val="es-ES_tradnl" w:eastAsia="en-US"/>
        </w:rPr>
        <w:t>PPL</w:t>
      </w:r>
      <w:r w:rsidR="00AD1F0C" w:rsidRPr="00D93C5D">
        <w:rPr>
          <w:rFonts w:eastAsia="MS Gothic"/>
          <w:lang w:val="es-ES_tradnl" w:eastAsia="en-US"/>
        </w:rPr>
        <w:t xml:space="preserve"> 0.4%.</w:t>
      </w:r>
      <w:r w:rsidR="002136F3" w:rsidRPr="00D93C5D">
        <w:rPr>
          <w:rFonts w:eastAsia="MS Gothic"/>
          <w:lang w:val="es-ES_tradnl" w:eastAsia="en-US"/>
        </w:rPr>
        <w:t xml:space="preserve"> </w:t>
      </w:r>
    </w:p>
    <w:p w14:paraId="435BB626" w14:textId="109B9536" w:rsidR="00E84DA1" w:rsidRPr="00216226" w:rsidRDefault="00AD1F0C" w:rsidP="00D93C5D">
      <w:pPr>
        <w:numPr>
          <w:ilvl w:val="0"/>
          <w:numId w:val="11"/>
        </w:numPr>
        <w:jc w:val="both"/>
        <w:rPr>
          <w:rFonts w:eastAsia="MS Gothic"/>
          <w:lang w:val="es-ES_tradnl" w:eastAsia="en-US"/>
        </w:rPr>
      </w:pPr>
      <w:bookmarkStart w:id="24" w:name="_Hlk8231880"/>
      <w:r w:rsidRPr="00D93C5D">
        <w:rPr>
          <w:rFonts w:eastAsia="MS Gothic"/>
          <w:i/>
          <w:lang w:val="es-ES_tradnl" w:eastAsia="en-US"/>
        </w:rPr>
        <w:t>USAID</w:t>
      </w:r>
      <w:r w:rsidRPr="00216226">
        <w:rPr>
          <w:rFonts w:eastAsia="MS Gothic"/>
          <w:lang w:val="es-ES_tradnl" w:eastAsia="en-US"/>
        </w:rPr>
        <w:t xml:space="preserve">, en asociación con </w:t>
      </w:r>
      <w:r w:rsidRPr="00D93C5D">
        <w:rPr>
          <w:rFonts w:eastAsia="MS Gothic"/>
          <w:i/>
          <w:lang w:val="es-ES_tradnl" w:eastAsia="en-US"/>
        </w:rPr>
        <w:t>PASMO</w:t>
      </w:r>
      <w:r w:rsidRPr="00216226">
        <w:rPr>
          <w:rFonts w:eastAsia="MS Gothic"/>
          <w:lang w:val="es-ES_tradnl" w:eastAsia="en-US"/>
        </w:rPr>
        <w:t>, ha estado utilizando dos enfoques</w:t>
      </w:r>
      <w:r w:rsidR="00E84DA1" w:rsidRPr="00216226">
        <w:rPr>
          <w:rFonts w:eastAsia="MS Gothic"/>
          <w:lang w:val="es-ES_tradnl" w:eastAsia="en-US"/>
        </w:rPr>
        <w:t xml:space="preserve">: </w:t>
      </w:r>
      <w:r w:rsidRPr="00216226">
        <w:rPr>
          <w:rFonts w:eastAsia="MS Gothic"/>
          <w:lang w:val="es-ES_tradnl" w:eastAsia="en-US"/>
        </w:rPr>
        <w:t xml:space="preserve">uno es el programa tradicional de divulgación </w:t>
      </w:r>
      <w:r w:rsidR="003C4EC6" w:rsidRPr="00216226">
        <w:rPr>
          <w:rFonts w:eastAsia="MS Gothic"/>
          <w:lang w:val="es-ES_tradnl" w:eastAsia="en-US"/>
        </w:rPr>
        <w:t>en persona</w:t>
      </w:r>
      <w:r w:rsidRPr="00216226">
        <w:rPr>
          <w:rFonts w:eastAsia="MS Gothic"/>
          <w:lang w:val="es-ES_tradnl" w:eastAsia="en-US"/>
        </w:rPr>
        <w:t xml:space="preserve"> con una prueba directa de VIH ofrecida en el local y estimulada por incentivos (obsequios, ayuda para el transporte</w:t>
      </w:r>
      <w:r w:rsidR="00E84DA1" w:rsidRPr="00216226">
        <w:rPr>
          <w:rFonts w:eastAsia="MS Gothic"/>
          <w:lang w:val="es-ES_tradnl" w:eastAsia="en-US"/>
        </w:rPr>
        <w:t xml:space="preserve">). </w:t>
      </w:r>
      <w:bookmarkEnd w:id="24"/>
      <w:r w:rsidRPr="00216226">
        <w:rPr>
          <w:rFonts w:eastAsia="MS Gothic"/>
          <w:lang w:val="es-ES_tradnl" w:eastAsia="en-US"/>
        </w:rPr>
        <w:t xml:space="preserve">El otro enfoque más reciente es la divulgación en las redes sociales por parte de promotores pares que ofrecen un cupón para una prueba de VIH en una clínica privada cercana a la localidad del usuario y asociada </w:t>
      </w:r>
      <w:r w:rsidR="00DB2E29" w:rsidRPr="00216226">
        <w:rPr>
          <w:rFonts w:eastAsia="MS Gothic"/>
          <w:lang w:val="es-ES_tradnl" w:eastAsia="en-US"/>
        </w:rPr>
        <w:t>a</w:t>
      </w:r>
      <w:r w:rsidRPr="00216226">
        <w:rPr>
          <w:rFonts w:eastAsia="MS Gothic"/>
          <w:lang w:val="es-ES_tradnl" w:eastAsia="en-US"/>
        </w:rPr>
        <w:t>l programa</w:t>
      </w:r>
      <w:r w:rsidR="00E84DA1" w:rsidRPr="00216226">
        <w:rPr>
          <w:rFonts w:eastAsia="MS Gothic"/>
          <w:lang w:val="es-ES_tradnl" w:eastAsia="en-US"/>
        </w:rPr>
        <w:t>.</w:t>
      </w:r>
      <w:r w:rsidR="002136F3" w:rsidRPr="00D93C5D">
        <w:rPr>
          <w:rFonts w:eastAsia="MS Gothic"/>
          <w:lang w:val="es-ES_tradnl" w:eastAsia="en-US"/>
        </w:rPr>
        <w:t xml:space="preserve"> </w:t>
      </w:r>
    </w:p>
    <w:p w14:paraId="306799A6" w14:textId="70542BF4" w:rsidR="00E84DA1" w:rsidRDefault="00E84DA1" w:rsidP="00D93C5D">
      <w:pPr>
        <w:numPr>
          <w:ilvl w:val="0"/>
          <w:numId w:val="11"/>
        </w:numPr>
        <w:jc w:val="both"/>
        <w:rPr>
          <w:rFonts w:eastAsia="MS Gothic"/>
          <w:lang w:val="es-ES_tradnl" w:eastAsia="en-US"/>
        </w:rPr>
      </w:pPr>
      <w:bookmarkStart w:id="25" w:name="_Hlk8231897"/>
      <w:r w:rsidRPr="00C816C5">
        <w:rPr>
          <w:rFonts w:eastAsia="MS Gothic"/>
          <w:i/>
          <w:lang w:val="es-ES_tradnl" w:eastAsia="en-US"/>
        </w:rPr>
        <w:t>CDC</w:t>
      </w:r>
      <w:r w:rsidRPr="00216226">
        <w:rPr>
          <w:rFonts w:eastAsia="MS Gothic"/>
          <w:lang w:val="es-ES_tradnl" w:eastAsia="en-US"/>
        </w:rPr>
        <w:t xml:space="preserve">, </w:t>
      </w:r>
      <w:bookmarkEnd w:id="25"/>
      <w:r w:rsidR="00AD1F0C" w:rsidRPr="00216226">
        <w:rPr>
          <w:rFonts w:eastAsia="MS Gothic"/>
          <w:lang w:val="es-ES_tradnl" w:eastAsia="en-US"/>
        </w:rPr>
        <w:t>en asociación con la UVG, está brindando asistencia técnica al país para evaluar la efectividad de los diferentes modelos de acceso a VICITS, utilizando la tasa de positividad como indicador</w:t>
      </w:r>
      <w:r w:rsidRPr="00216226">
        <w:rPr>
          <w:rFonts w:eastAsia="MS Gothic"/>
          <w:lang w:val="es-ES_tradnl" w:eastAsia="en-US"/>
        </w:rPr>
        <w:t>.</w:t>
      </w:r>
      <w:r w:rsidR="00AD1F0C" w:rsidRPr="00216226">
        <w:rPr>
          <w:rFonts w:eastAsia="MS Gothic"/>
          <w:lang w:val="es-ES_tradnl" w:eastAsia="en-US"/>
        </w:rPr>
        <w:t xml:space="preserve"> </w:t>
      </w:r>
    </w:p>
    <w:p w14:paraId="117E3C31" w14:textId="4D2A0A0B" w:rsidR="00E84DA1" w:rsidRPr="00216226" w:rsidRDefault="00AD1F0C" w:rsidP="00E84DA1">
      <w:pPr>
        <w:jc w:val="both"/>
        <w:rPr>
          <w:rFonts w:eastAsia="MS Gothic"/>
          <w:lang w:val="es-ES_tradnl" w:eastAsia="en-US"/>
        </w:rPr>
      </w:pPr>
      <w:r w:rsidRPr="00216226">
        <w:rPr>
          <w:rFonts w:eastAsia="MS Gothic"/>
          <w:lang w:val="es-ES_tradnl" w:eastAsia="en-US"/>
        </w:rPr>
        <w:t xml:space="preserve">Sin embargo, es importante mencionar que tanto el Fondo Mundial como el </w:t>
      </w:r>
      <w:r w:rsidRPr="000A1D9C">
        <w:rPr>
          <w:rFonts w:eastAsia="MS Gothic"/>
          <w:i/>
          <w:lang w:val="es-ES_tradnl" w:eastAsia="en-US"/>
        </w:rPr>
        <w:t>CDC</w:t>
      </w:r>
      <w:r w:rsidRPr="00216226">
        <w:rPr>
          <w:rFonts w:eastAsia="MS Gothic"/>
          <w:lang w:val="es-ES_tradnl" w:eastAsia="en-US"/>
        </w:rPr>
        <w:t xml:space="preserve"> (como asistencia técnica para demostrar el rendimiento positivo por modelo diferenciado) apoyan horarios de apertura más amplios en algunos servicios de VICITS u ofrecen servicios del VICITS fuera del local (en las instalaciones de las OSC), lo cual quiere decir que puede haber duplicidad de datos</w:t>
      </w:r>
      <w:r w:rsidR="00E84DA1" w:rsidRPr="00216226">
        <w:rPr>
          <w:rFonts w:eastAsia="MS Gothic"/>
          <w:lang w:val="es-ES_tradnl" w:eastAsia="en-US"/>
        </w:rPr>
        <w:t>.</w:t>
      </w:r>
      <w:r w:rsidR="002136F3" w:rsidRPr="00216226">
        <w:rPr>
          <w:lang w:val="es-ES_tradnl"/>
        </w:rPr>
        <w:t xml:space="preserve"> </w:t>
      </w:r>
    </w:p>
    <w:p w14:paraId="32D7D0D5" w14:textId="2BF7A404" w:rsidR="00E84DA1" w:rsidRPr="00216226" w:rsidRDefault="00E84DA1" w:rsidP="00E84DA1">
      <w:pPr>
        <w:keepNext/>
        <w:keepLines/>
        <w:spacing w:before="200" w:after="0"/>
        <w:outlineLvl w:val="2"/>
        <w:rPr>
          <w:rFonts w:ascii="Calibri Light" w:eastAsia="MS Gothic" w:hAnsi="Calibri Light" w:cs="Times New Roman"/>
          <w:b/>
          <w:bCs/>
          <w:sz w:val="20"/>
          <w:szCs w:val="20"/>
          <w:lang w:val="es-ES_tradnl" w:eastAsia="en-US"/>
        </w:rPr>
      </w:pPr>
      <w:bookmarkStart w:id="26" w:name="_Toc1149172"/>
      <w:r w:rsidRPr="00216226">
        <w:rPr>
          <w:rFonts w:ascii="Calibri Light" w:eastAsia="MS Gothic" w:hAnsi="Calibri Light" w:cs="Times New Roman"/>
          <w:b/>
          <w:bCs/>
          <w:sz w:val="20"/>
          <w:szCs w:val="20"/>
          <w:lang w:val="es-ES_tradnl" w:eastAsia="en-US"/>
        </w:rPr>
        <w:t>Tabl</w:t>
      </w:r>
      <w:r w:rsidR="00AD1F0C" w:rsidRPr="00216226">
        <w:rPr>
          <w:rFonts w:ascii="Calibri Light" w:eastAsia="MS Gothic" w:hAnsi="Calibri Light" w:cs="Times New Roman"/>
          <w:b/>
          <w:bCs/>
          <w:sz w:val="20"/>
          <w:szCs w:val="20"/>
          <w:lang w:val="es-ES_tradnl" w:eastAsia="en-US"/>
        </w:rPr>
        <w:t>a</w:t>
      </w:r>
      <w:r w:rsidRPr="00216226">
        <w:rPr>
          <w:rFonts w:ascii="Calibri Light" w:eastAsia="MS Gothic" w:hAnsi="Calibri Light" w:cs="Times New Roman"/>
          <w:b/>
          <w:bCs/>
          <w:sz w:val="20"/>
          <w:szCs w:val="20"/>
          <w:lang w:val="es-ES_tradnl" w:eastAsia="en-US"/>
        </w:rPr>
        <w:t xml:space="preserve"> </w:t>
      </w:r>
      <w:r w:rsidR="00FC1736" w:rsidRPr="00216226">
        <w:rPr>
          <w:rFonts w:ascii="Calibri Light" w:eastAsia="MS Gothic" w:hAnsi="Calibri Light" w:cs="Times New Roman"/>
          <w:b/>
          <w:bCs/>
          <w:sz w:val="20"/>
          <w:szCs w:val="20"/>
          <w:lang w:val="es-ES_tradnl" w:eastAsia="en-US"/>
        </w:rPr>
        <w:t>6</w:t>
      </w:r>
      <w:r w:rsidRPr="00216226">
        <w:rPr>
          <w:rFonts w:ascii="Calibri Light" w:eastAsia="MS Gothic" w:hAnsi="Calibri Light" w:cs="Times New Roman"/>
          <w:b/>
          <w:bCs/>
          <w:sz w:val="20"/>
          <w:szCs w:val="20"/>
          <w:lang w:val="es-ES_tradnl" w:eastAsia="en-US"/>
        </w:rPr>
        <w:t xml:space="preserve">: </w:t>
      </w:r>
      <w:r w:rsidR="00AD1F0C" w:rsidRPr="00216226">
        <w:rPr>
          <w:rFonts w:ascii="Calibri Light" w:eastAsia="MS Gothic" w:hAnsi="Calibri Light" w:cs="Times New Roman"/>
          <w:b/>
          <w:bCs/>
          <w:sz w:val="20"/>
          <w:szCs w:val="20"/>
          <w:lang w:val="es-ES_tradnl" w:eastAsia="en-US"/>
        </w:rPr>
        <w:t>Tasas de positividad por modelo de servicio y, cuando están disponibles</w:t>
      </w:r>
      <w:r w:rsidRPr="00216226">
        <w:rPr>
          <w:rFonts w:ascii="Calibri Light" w:eastAsia="MS Gothic" w:hAnsi="Calibri Light" w:cs="Times New Roman"/>
          <w:b/>
          <w:bCs/>
          <w:sz w:val="20"/>
          <w:szCs w:val="20"/>
          <w:lang w:val="es-ES_tradnl" w:eastAsia="en-US"/>
        </w:rPr>
        <w:t>, p</w:t>
      </w:r>
      <w:r w:rsidR="00AD1F0C" w:rsidRPr="00216226">
        <w:rPr>
          <w:rFonts w:ascii="Calibri Light" w:eastAsia="MS Gothic" w:hAnsi="Calibri Light" w:cs="Times New Roman"/>
          <w:b/>
          <w:bCs/>
          <w:sz w:val="20"/>
          <w:szCs w:val="20"/>
          <w:lang w:val="es-ES_tradnl" w:eastAsia="en-US"/>
        </w:rPr>
        <w:t>o</w:t>
      </w:r>
      <w:r w:rsidRPr="00216226">
        <w:rPr>
          <w:rFonts w:ascii="Calibri Light" w:eastAsia="MS Gothic" w:hAnsi="Calibri Light" w:cs="Times New Roman"/>
          <w:b/>
          <w:bCs/>
          <w:sz w:val="20"/>
          <w:szCs w:val="20"/>
          <w:lang w:val="es-ES_tradnl" w:eastAsia="en-US"/>
        </w:rPr>
        <w:t xml:space="preserve">r </w:t>
      </w:r>
      <w:r w:rsidR="0097517B" w:rsidRPr="00216226">
        <w:rPr>
          <w:rFonts w:ascii="Calibri Light" w:eastAsia="MS Gothic" w:hAnsi="Calibri Light" w:cs="Times New Roman"/>
          <w:b/>
          <w:bCs/>
          <w:sz w:val="20"/>
          <w:szCs w:val="20"/>
          <w:lang w:val="es-ES_tradnl" w:eastAsia="en-US"/>
        </w:rPr>
        <w:t>poblaciones clave</w:t>
      </w:r>
      <w:bookmarkEnd w:id="26"/>
    </w:p>
    <w:tbl>
      <w:tblPr>
        <w:tblStyle w:val="TableGrid2"/>
        <w:tblW w:w="5000" w:type="pct"/>
        <w:jc w:val="center"/>
        <w:tblLook w:val="04A0" w:firstRow="1" w:lastRow="0" w:firstColumn="1" w:lastColumn="0" w:noHBand="0" w:noVBand="1"/>
      </w:tblPr>
      <w:tblGrid>
        <w:gridCol w:w="2905"/>
        <w:gridCol w:w="1949"/>
        <w:gridCol w:w="1544"/>
        <w:gridCol w:w="1161"/>
        <w:gridCol w:w="1457"/>
      </w:tblGrid>
      <w:tr w:rsidR="00E84DA1" w:rsidRPr="00216226" w14:paraId="782DEBC7" w14:textId="77777777" w:rsidTr="00E84DA1">
        <w:trPr>
          <w:jc w:val="center"/>
        </w:trPr>
        <w:tc>
          <w:tcPr>
            <w:tcW w:w="2692" w:type="pct"/>
            <w:gridSpan w:val="2"/>
            <w:shd w:val="clear" w:color="auto" w:fill="E7E6E6"/>
          </w:tcPr>
          <w:p w14:paraId="1C735B97" w14:textId="7B881ABF" w:rsidR="00E84DA1" w:rsidRPr="00216226" w:rsidRDefault="00E84DA1"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Servic</w:t>
            </w:r>
            <w:r w:rsidR="00AD1F0C" w:rsidRPr="00216226">
              <w:rPr>
                <w:rFonts w:ascii="Calibri Light" w:eastAsia="MS Gothic" w:hAnsi="Calibri Light" w:cs="Calibri Light"/>
                <w:b/>
                <w:sz w:val="20"/>
                <w:szCs w:val="20"/>
                <w:lang w:val="es-ES_tradnl"/>
              </w:rPr>
              <w:t>io</w:t>
            </w:r>
          </w:p>
        </w:tc>
        <w:tc>
          <w:tcPr>
            <w:tcW w:w="856" w:type="pct"/>
            <w:shd w:val="clear" w:color="auto" w:fill="E7E6E6"/>
          </w:tcPr>
          <w:p w14:paraId="108D6C07" w14:textId="4EBF63D8" w:rsidR="00E84DA1" w:rsidRPr="00216226" w:rsidRDefault="00AD1F0C"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Tasa de positividad</w:t>
            </w:r>
          </w:p>
        </w:tc>
        <w:tc>
          <w:tcPr>
            <w:tcW w:w="644" w:type="pct"/>
            <w:shd w:val="clear" w:color="auto" w:fill="E7E6E6"/>
          </w:tcPr>
          <w:p w14:paraId="1C75F68D" w14:textId="0D26652B" w:rsidR="00E84DA1" w:rsidRPr="00216226" w:rsidRDefault="003C4EC6"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Período</w:t>
            </w:r>
          </w:p>
        </w:tc>
        <w:tc>
          <w:tcPr>
            <w:tcW w:w="808" w:type="pct"/>
            <w:shd w:val="clear" w:color="auto" w:fill="E7E6E6"/>
          </w:tcPr>
          <w:p w14:paraId="748046ED" w14:textId="56872165" w:rsidR="00E84DA1" w:rsidRPr="00216226" w:rsidRDefault="00460210" w:rsidP="00E84DA1">
            <w:pPr>
              <w:jc w:val="center"/>
              <w:rPr>
                <w:rFonts w:ascii="Calibri Light" w:eastAsia="MS Gothic" w:hAnsi="Calibri Light" w:cs="Calibri Light"/>
                <w:b/>
                <w:sz w:val="20"/>
                <w:szCs w:val="20"/>
                <w:lang w:val="es-ES_tradnl"/>
              </w:rPr>
            </w:pPr>
            <w:r w:rsidRPr="00216226">
              <w:rPr>
                <w:rFonts w:ascii="Calibri Light" w:eastAsia="MS Gothic" w:hAnsi="Calibri Light" w:cs="Calibri Light"/>
                <w:b/>
                <w:sz w:val="20"/>
                <w:szCs w:val="20"/>
                <w:lang w:val="es-ES_tradnl"/>
              </w:rPr>
              <w:t>Fuente</w:t>
            </w:r>
          </w:p>
        </w:tc>
      </w:tr>
      <w:tr w:rsidR="00E84DA1" w:rsidRPr="00216226" w14:paraId="0A4F9F7B" w14:textId="77777777" w:rsidTr="00A96806">
        <w:trPr>
          <w:jc w:val="center"/>
        </w:trPr>
        <w:tc>
          <w:tcPr>
            <w:tcW w:w="1611" w:type="pct"/>
            <w:vMerge w:val="restart"/>
          </w:tcPr>
          <w:p w14:paraId="14BB30E6" w14:textId="2003028A" w:rsidR="00E84DA1" w:rsidRPr="00216226" w:rsidRDefault="00E84DA1" w:rsidP="003F39AD">
            <w:pPr>
              <w:rPr>
                <w:rFonts w:eastAsia="MS Gothic" w:cs="Calibri"/>
                <w:sz w:val="20"/>
                <w:szCs w:val="20"/>
                <w:lang w:val="es-ES_tradnl"/>
              </w:rPr>
            </w:pPr>
            <w:r w:rsidRPr="00216226">
              <w:rPr>
                <w:rFonts w:eastAsia="MS Gothic" w:cs="Calibri"/>
                <w:sz w:val="20"/>
                <w:szCs w:val="20"/>
                <w:lang w:val="es-ES_tradnl"/>
              </w:rPr>
              <w:t xml:space="preserve">VICITS – </w:t>
            </w:r>
            <w:r w:rsidR="003F39AD">
              <w:rPr>
                <w:rFonts w:eastAsia="MS Gothic" w:cs="Calibri"/>
                <w:sz w:val="20"/>
                <w:szCs w:val="20"/>
                <w:lang w:val="es-ES_tradnl"/>
              </w:rPr>
              <w:t>SESAL</w:t>
            </w:r>
          </w:p>
        </w:tc>
        <w:tc>
          <w:tcPr>
            <w:tcW w:w="1081" w:type="pct"/>
          </w:tcPr>
          <w:p w14:paraId="6C4FA7EA" w14:textId="31987270"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HSH</w:t>
            </w:r>
          </w:p>
        </w:tc>
        <w:tc>
          <w:tcPr>
            <w:tcW w:w="856" w:type="pct"/>
          </w:tcPr>
          <w:p w14:paraId="46E9BD55" w14:textId="77777777" w:rsidR="00E84DA1" w:rsidRPr="00216226" w:rsidRDefault="00E84DA1" w:rsidP="00E84DA1">
            <w:pPr>
              <w:jc w:val="right"/>
              <w:rPr>
                <w:rFonts w:eastAsia="MS Gothic" w:cs="Calibri"/>
                <w:b/>
                <w:sz w:val="20"/>
                <w:szCs w:val="20"/>
                <w:lang w:val="es-ES_tradnl"/>
              </w:rPr>
            </w:pPr>
            <w:r w:rsidRPr="00216226">
              <w:rPr>
                <w:rFonts w:eastAsia="MS Gothic" w:cs="Calibri"/>
                <w:b/>
                <w:sz w:val="20"/>
                <w:szCs w:val="20"/>
                <w:lang w:val="es-ES_tradnl"/>
              </w:rPr>
              <w:t>12.42%</w:t>
            </w:r>
          </w:p>
        </w:tc>
        <w:tc>
          <w:tcPr>
            <w:tcW w:w="644" w:type="pct"/>
            <w:vMerge w:val="restart"/>
          </w:tcPr>
          <w:p w14:paraId="10115381" w14:textId="55DE057D" w:rsidR="00E84DA1" w:rsidRPr="00216226" w:rsidRDefault="003C4EC6" w:rsidP="00E84DA1">
            <w:pPr>
              <w:jc w:val="right"/>
              <w:rPr>
                <w:rFonts w:eastAsia="MS Gothic" w:cs="Calibri"/>
                <w:sz w:val="20"/>
                <w:szCs w:val="20"/>
                <w:lang w:val="es-ES_tradnl"/>
              </w:rPr>
            </w:pPr>
            <w:r w:rsidRPr="00216226">
              <w:rPr>
                <w:rFonts w:eastAsia="MS Gothic" w:cs="Calibri"/>
                <w:sz w:val="20"/>
                <w:szCs w:val="20"/>
                <w:lang w:val="es-ES_tradnl"/>
              </w:rPr>
              <w:t xml:space="preserve">Enero-diciembre </w:t>
            </w:r>
            <w:r w:rsidR="00E84DA1" w:rsidRPr="00216226">
              <w:rPr>
                <w:rFonts w:eastAsia="MS Gothic" w:cs="Calibri"/>
                <w:sz w:val="20"/>
                <w:szCs w:val="20"/>
                <w:lang w:val="es-ES_tradnl"/>
              </w:rPr>
              <w:t>2017</w:t>
            </w:r>
          </w:p>
        </w:tc>
        <w:tc>
          <w:tcPr>
            <w:tcW w:w="808" w:type="pct"/>
            <w:vMerge w:val="restart"/>
          </w:tcPr>
          <w:p w14:paraId="03BD2561" w14:textId="77777777" w:rsidR="00E84DA1" w:rsidRPr="00216226" w:rsidRDefault="00E84DA1" w:rsidP="00E84DA1">
            <w:pPr>
              <w:jc w:val="both"/>
              <w:rPr>
                <w:rFonts w:eastAsia="MS Gothic" w:cs="Calibri"/>
                <w:sz w:val="20"/>
                <w:szCs w:val="20"/>
                <w:lang w:val="es-ES_tradnl"/>
              </w:rPr>
            </w:pPr>
            <w:r w:rsidRPr="00216226">
              <w:rPr>
                <w:rFonts w:eastAsia="MS Gothic" w:cs="Calibri"/>
                <w:sz w:val="20"/>
                <w:szCs w:val="20"/>
                <w:lang w:val="es-ES_tradnl"/>
              </w:rPr>
              <w:t>SESAL</w:t>
            </w:r>
          </w:p>
        </w:tc>
      </w:tr>
      <w:tr w:rsidR="00E84DA1" w:rsidRPr="00216226" w14:paraId="256C11C6" w14:textId="77777777" w:rsidTr="00A96806">
        <w:trPr>
          <w:jc w:val="center"/>
        </w:trPr>
        <w:tc>
          <w:tcPr>
            <w:tcW w:w="1611" w:type="pct"/>
            <w:vMerge/>
          </w:tcPr>
          <w:p w14:paraId="2BA5EFBA" w14:textId="77777777" w:rsidR="00E84DA1" w:rsidRPr="00216226" w:rsidRDefault="00E84DA1" w:rsidP="00E84DA1">
            <w:pPr>
              <w:rPr>
                <w:rFonts w:eastAsia="MS Gothic" w:cs="Calibri"/>
                <w:sz w:val="20"/>
                <w:szCs w:val="20"/>
                <w:lang w:val="es-ES_tradnl"/>
              </w:rPr>
            </w:pPr>
          </w:p>
        </w:tc>
        <w:tc>
          <w:tcPr>
            <w:tcW w:w="1081" w:type="pct"/>
          </w:tcPr>
          <w:p w14:paraId="17EA7556" w14:textId="68A5EECF" w:rsidR="00E84DA1" w:rsidRPr="00216226" w:rsidRDefault="003C4EC6" w:rsidP="00E84DA1">
            <w:pPr>
              <w:jc w:val="both"/>
              <w:rPr>
                <w:rFonts w:eastAsia="MS Gothic" w:cs="Calibri"/>
                <w:sz w:val="20"/>
                <w:szCs w:val="20"/>
                <w:lang w:val="es-ES_tradnl"/>
              </w:rPr>
            </w:pPr>
            <w:r w:rsidRPr="00216226">
              <w:rPr>
                <w:rFonts w:eastAsia="MS Gothic" w:cs="Calibri"/>
                <w:sz w:val="20"/>
                <w:szCs w:val="20"/>
                <w:lang w:val="es-ES_tradnl"/>
              </w:rPr>
              <w:t>Mujeres transgénero</w:t>
            </w:r>
          </w:p>
        </w:tc>
        <w:tc>
          <w:tcPr>
            <w:tcW w:w="856" w:type="pct"/>
          </w:tcPr>
          <w:p w14:paraId="18A411A7" w14:textId="77777777" w:rsidR="00E84DA1" w:rsidRPr="00216226" w:rsidRDefault="00E84DA1" w:rsidP="00E84DA1">
            <w:pPr>
              <w:jc w:val="right"/>
              <w:rPr>
                <w:rFonts w:eastAsia="MS Gothic" w:cs="Calibri"/>
                <w:b/>
                <w:sz w:val="20"/>
                <w:szCs w:val="20"/>
                <w:lang w:val="es-ES_tradnl"/>
              </w:rPr>
            </w:pPr>
            <w:r w:rsidRPr="00216226">
              <w:rPr>
                <w:rFonts w:eastAsia="MS Gothic" w:cs="Calibri"/>
                <w:b/>
                <w:sz w:val="20"/>
                <w:szCs w:val="20"/>
                <w:lang w:val="es-ES_tradnl"/>
              </w:rPr>
              <w:t>9.70%</w:t>
            </w:r>
          </w:p>
        </w:tc>
        <w:tc>
          <w:tcPr>
            <w:tcW w:w="644" w:type="pct"/>
            <w:vMerge/>
          </w:tcPr>
          <w:p w14:paraId="6945E9FD" w14:textId="77777777" w:rsidR="00E84DA1" w:rsidRPr="00216226" w:rsidRDefault="00E84DA1" w:rsidP="00E84DA1">
            <w:pPr>
              <w:jc w:val="right"/>
              <w:rPr>
                <w:rFonts w:eastAsia="MS Gothic" w:cs="Calibri"/>
                <w:sz w:val="20"/>
                <w:szCs w:val="20"/>
                <w:lang w:val="es-ES_tradnl"/>
              </w:rPr>
            </w:pPr>
          </w:p>
        </w:tc>
        <w:tc>
          <w:tcPr>
            <w:tcW w:w="808" w:type="pct"/>
            <w:vMerge/>
          </w:tcPr>
          <w:p w14:paraId="3A2E8333" w14:textId="77777777" w:rsidR="00E84DA1" w:rsidRPr="00216226" w:rsidRDefault="00E84DA1" w:rsidP="00E84DA1">
            <w:pPr>
              <w:jc w:val="both"/>
              <w:rPr>
                <w:rFonts w:eastAsia="MS Gothic" w:cs="Calibri"/>
                <w:sz w:val="20"/>
                <w:szCs w:val="20"/>
                <w:lang w:val="es-ES_tradnl"/>
              </w:rPr>
            </w:pPr>
          </w:p>
        </w:tc>
      </w:tr>
      <w:tr w:rsidR="00E84DA1" w:rsidRPr="00216226" w14:paraId="12AF7704" w14:textId="77777777" w:rsidTr="00A96806">
        <w:trPr>
          <w:jc w:val="center"/>
        </w:trPr>
        <w:tc>
          <w:tcPr>
            <w:tcW w:w="1611" w:type="pct"/>
            <w:vMerge/>
          </w:tcPr>
          <w:p w14:paraId="3DF28F07" w14:textId="77777777" w:rsidR="00E84DA1" w:rsidRPr="00216226" w:rsidRDefault="00E84DA1" w:rsidP="00E84DA1">
            <w:pPr>
              <w:rPr>
                <w:rFonts w:eastAsia="MS Gothic" w:cs="Calibri"/>
                <w:sz w:val="20"/>
                <w:szCs w:val="20"/>
                <w:lang w:val="es-ES_tradnl"/>
              </w:rPr>
            </w:pPr>
          </w:p>
        </w:tc>
        <w:tc>
          <w:tcPr>
            <w:tcW w:w="1081" w:type="pct"/>
          </w:tcPr>
          <w:p w14:paraId="1D65DEEE" w14:textId="45783547"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Trabajadoras sexuales</w:t>
            </w:r>
          </w:p>
        </w:tc>
        <w:tc>
          <w:tcPr>
            <w:tcW w:w="856" w:type="pct"/>
          </w:tcPr>
          <w:p w14:paraId="68260CB3"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2.00%</w:t>
            </w:r>
          </w:p>
        </w:tc>
        <w:tc>
          <w:tcPr>
            <w:tcW w:w="644" w:type="pct"/>
            <w:vMerge/>
          </w:tcPr>
          <w:p w14:paraId="16C230BB" w14:textId="77777777" w:rsidR="00E84DA1" w:rsidRPr="00216226" w:rsidRDefault="00E84DA1" w:rsidP="00E84DA1">
            <w:pPr>
              <w:jc w:val="right"/>
              <w:rPr>
                <w:rFonts w:eastAsia="MS Gothic" w:cs="Calibri"/>
                <w:sz w:val="20"/>
                <w:szCs w:val="20"/>
                <w:lang w:val="es-ES_tradnl"/>
              </w:rPr>
            </w:pPr>
          </w:p>
        </w:tc>
        <w:tc>
          <w:tcPr>
            <w:tcW w:w="808" w:type="pct"/>
            <w:vMerge/>
          </w:tcPr>
          <w:p w14:paraId="32D43985" w14:textId="77777777" w:rsidR="00E84DA1" w:rsidRPr="00216226" w:rsidRDefault="00E84DA1" w:rsidP="00E84DA1">
            <w:pPr>
              <w:jc w:val="both"/>
              <w:rPr>
                <w:rFonts w:eastAsia="MS Gothic" w:cs="Calibri"/>
                <w:sz w:val="20"/>
                <w:szCs w:val="20"/>
                <w:lang w:val="es-ES_tradnl"/>
              </w:rPr>
            </w:pPr>
          </w:p>
        </w:tc>
      </w:tr>
      <w:tr w:rsidR="00E84DA1" w:rsidRPr="00216226" w14:paraId="111584B1" w14:textId="77777777" w:rsidTr="00A96806">
        <w:trPr>
          <w:trHeight w:val="706"/>
          <w:jc w:val="center"/>
        </w:trPr>
        <w:tc>
          <w:tcPr>
            <w:tcW w:w="1611" w:type="pct"/>
            <w:vMerge w:val="restart"/>
          </w:tcPr>
          <w:p w14:paraId="707583CE" w14:textId="55E5DAD1"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Apoyo del Fondo Mundial a través de los RS</w:t>
            </w:r>
          </w:p>
        </w:tc>
        <w:tc>
          <w:tcPr>
            <w:tcW w:w="1081" w:type="pct"/>
          </w:tcPr>
          <w:p w14:paraId="674E6E3E" w14:textId="64371AF3"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HSH</w:t>
            </w:r>
          </w:p>
        </w:tc>
        <w:tc>
          <w:tcPr>
            <w:tcW w:w="856" w:type="pct"/>
          </w:tcPr>
          <w:p w14:paraId="46E83CD4"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1.4%</w:t>
            </w:r>
          </w:p>
        </w:tc>
        <w:tc>
          <w:tcPr>
            <w:tcW w:w="644" w:type="pct"/>
            <w:vMerge w:val="restart"/>
          </w:tcPr>
          <w:p w14:paraId="567277F7" w14:textId="4AF43750" w:rsidR="00E84DA1" w:rsidRPr="00216226" w:rsidRDefault="003C4EC6" w:rsidP="00E84DA1">
            <w:pPr>
              <w:jc w:val="right"/>
              <w:rPr>
                <w:rFonts w:eastAsia="MS Gothic" w:cs="Calibri"/>
                <w:sz w:val="20"/>
                <w:szCs w:val="20"/>
                <w:lang w:val="es-ES_tradnl"/>
              </w:rPr>
            </w:pPr>
            <w:r w:rsidRPr="00216226">
              <w:rPr>
                <w:rFonts w:eastAsia="MS Gothic" w:cs="Calibri"/>
                <w:sz w:val="20"/>
                <w:szCs w:val="20"/>
                <w:lang w:val="es-ES_tradnl"/>
              </w:rPr>
              <w:t xml:space="preserve">Julio-septiembre </w:t>
            </w:r>
            <w:r w:rsidR="00E84DA1" w:rsidRPr="00216226">
              <w:rPr>
                <w:rFonts w:eastAsia="MS Gothic" w:cs="Calibri"/>
                <w:sz w:val="20"/>
                <w:szCs w:val="20"/>
                <w:lang w:val="es-ES_tradnl"/>
              </w:rPr>
              <w:t>2018</w:t>
            </w:r>
          </w:p>
        </w:tc>
        <w:tc>
          <w:tcPr>
            <w:tcW w:w="808" w:type="pct"/>
            <w:vMerge w:val="restart"/>
          </w:tcPr>
          <w:p w14:paraId="00712E9A" w14:textId="77777777" w:rsidR="00E84DA1" w:rsidRPr="00C816C5" w:rsidRDefault="00E84DA1" w:rsidP="00E84DA1">
            <w:pPr>
              <w:jc w:val="both"/>
              <w:rPr>
                <w:rFonts w:eastAsia="MS Gothic" w:cs="Calibri"/>
                <w:i/>
                <w:sz w:val="20"/>
                <w:szCs w:val="20"/>
                <w:lang w:val="es-ES_tradnl"/>
              </w:rPr>
            </w:pPr>
            <w:r w:rsidRPr="00C816C5">
              <w:rPr>
                <w:rFonts w:eastAsia="MS Gothic" w:cs="Calibri"/>
                <w:i/>
                <w:sz w:val="20"/>
                <w:szCs w:val="20"/>
                <w:lang w:val="es-ES_tradnl"/>
              </w:rPr>
              <w:t>Global Communities</w:t>
            </w:r>
          </w:p>
        </w:tc>
      </w:tr>
      <w:tr w:rsidR="00E84DA1" w:rsidRPr="00216226" w14:paraId="41767822" w14:textId="77777777" w:rsidTr="00A96806">
        <w:trPr>
          <w:jc w:val="center"/>
        </w:trPr>
        <w:tc>
          <w:tcPr>
            <w:tcW w:w="1611" w:type="pct"/>
            <w:vMerge/>
          </w:tcPr>
          <w:p w14:paraId="01903D5E" w14:textId="77777777" w:rsidR="00E84DA1" w:rsidRPr="00216226" w:rsidRDefault="00E84DA1" w:rsidP="00E84DA1">
            <w:pPr>
              <w:rPr>
                <w:rFonts w:eastAsia="MS Gothic" w:cs="Calibri"/>
                <w:sz w:val="20"/>
                <w:szCs w:val="20"/>
                <w:lang w:val="es-ES_tradnl"/>
              </w:rPr>
            </w:pPr>
          </w:p>
        </w:tc>
        <w:tc>
          <w:tcPr>
            <w:tcW w:w="1081" w:type="pct"/>
          </w:tcPr>
          <w:p w14:paraId="158EED92" w14:textId="3AE484F6" w:rsidR="00E84DA1" w:rsidRPr="00216226" w:rsidRDefault="003C4EC6" w:rsidP="00E84DA1">
            <w:pPr>
              <w:jc w:val="both"/>
              <w:rPr>
                <w:rFonts w:eastAsia="MS Gothic" w:cs="Calibri"/>
                <w:sz w:val="20"/>
                <w:szCs w:val="20"/>
                <w:lang w:val="es-ES_tradnl"/>
              </w:rPr>
            </w:pPr>
            <w:r w:rsidRPr="00216226">
              <w:rPr>
                <w:rFonts w:eastAsia="MS Gothic" w:cs="Calibri"/>
                <w:sz w:val="20"/>
                <w:szCs w:val="20"/>
                <w:lang w:val="es-ES_tradnl"/>
              </w:rPr>
              <w:t>Mujeres transgénero</w:t>
            </w:r>
          </w:p>
        </w:tc>
        <w:tc>
          <w:tcPr>
            <w:tcW w:w="856" w:type="pct"/>
          </w:tcPr>
          <w:p w14:paraId="273CAE88" w14:textId="77777777" w:rsidR="00E84DA1" w:rsidRPr="00216226" w:rsidRDefault="00E84DA1" w:rsidP="00E84DA1">
            <w:pPr>
              <w:jc w:val="right"/>
              <w:rPr>
                <w:rFonts w:eastAsia="MS Gothic" w:cs="Calibri"/>
                <w:b/>
                <w:sz w:val="20"/>
                <w:szCs w:val="20"/>
                <w:lang w:val="es-ES_tradnl"/>
              </w:rPr>
            </w:pPr>
            <w:r w:rsidRPr="00216226">
              <w:rPr>
                <w:rFonts w:eastAsia="MS Gothic" w:cs="Calibri"/>
                <w:b/>
                <w:sz w:val="20"/>
                <w:szCs w:val="20"/>
                <w:lang w:val="es-ES_tradnl"/>
              </w:rPr>
              <w:t>7.30%</w:t>
            </w:r>
          </w:p>
        </w:tc>
        <w:tc>
          <w:tcPr>
            <w:tcW w:w="644" w:type="pct"/>
            <w:vMerge/>
          </w:tcPr>
          <w:p w14:paraId="5E004C61" w14:textId="77777777" w:rsidR="00E84DA1" w:rsidRPr="00216226" w:rsidRDefault="00E84DA1" w:rsidP="00E84DA1">
            <w:pPr>
              <w:jc w:val="right"/>
              <w:rPr>
                <w:rFonts w:eastAsia="MS Gothic" w:cs="Calibri"/>
                <w:sz w:val="20"/>
                <w:szCs w:val="20"/>
                <w:lang w:val="es-ES_tradnl"/>
              </w:rPr>
            </w:pPr>
          </w:p>
        </w:tc>
        <w:tc>
          <w:tcPr>
            <w:tcW w:w="808" w:type="pct"/>
            <w:vMerge/>
          </w:tcPr>
          <w:p w14:paraId="4C7F0F30" w14:textId="77777777" w:rsidR="00E84DA1" w:rsidRPr="00216226" w:rsidRDefault="00E84DA1" w:rsidP="00E84DA1">
            <w:pPr>
              <w:jc w:val="both"/>
              <w:rPr>
                <w:rFonts w:eastAsia="MS Gothic" w:cs="Calibri"/>
                <w:sz w:val="20"/>
                <w:szCs w:val="20"/>
                <w:lang w:val="es-ES_tradnl"/>
              </w:rPr>
            </w:pPr>
          </w:p>
        </w:tc>
      </w:tr>
      <w:tr w:rsidR="00E84DA1" w:rsidRPr="00216226" w14:paraId="0ACF3A9C" w14:textId="77777777" w:rsidTr="00A96806">
        <w:trPr>
          <w:jc w:val="center"/>
        </w:trPr>
        <w:tc>
          <w:tcPr>
            <w:tcW w:w="1611" w:type="pct"/>
            <w:vMerge/>
          </w:tcPr>
          <w:p w14:paraId="78EB8611" w14:textId="77777777" w:rsidR="00E84DA1" w:rsidRPr="00216226" w:rsidRDefault="00E84DA1" w:rsidP="00E84DA1">
            <w:pPr>
              <w:rPr>
                <w:rFonts w:eastAsia="MS Gothic" w:cs="Calibri"/>
                <w:sz w:val="20"/>
                <w:szCs w:val="20"/>
                <w:lang w:val="es-ES_tradnl"/>
              </w:rPr>
            </w:pPr>
          </w:p>
        </w:tc>
        <w:tc>
          <w:tcPr>
            <w:tcW w:w="1081" w:type="pct"/>
          </w:tcPr>
          <w:p w14:paraId="7E833295" w14:textId="43D26921" w:rsidR="00E84DA1" w:rsidRPr="00216226" w:rsidRDefault="00460210" w:rsidP="00E84DA1">
            <w:pPr>
              <w:jc w:val="both"/>
              <w:rPr>
                <w:rFonts w:eastAsia="MS Gothic" w:cs="Calibri"/>
                <w:sz w:val="20"/>
                <w:szCs w:val="20"/>
                <w:lang w:val="es-ES_tradnl"/>
              </w:rPr>
            </w:pPr>
            <w:r w:rsidRPr="00216226">
              <w:rPr>
                <w:rFonts w:eastAsia="MS Gothic" w:cs="Calibri"/>
                <w:sz w:val="20"/>
                <w:szCs w:val="20"/>
                <w:lang w:val="es-ES_tradnl"/>
              </w:rPr>
              <w:t>Trabajadoras sexuales</w:t>
            </w:r>
          </w:p>
        </w:tc>
        <w:tc>
          <w:tcPr>
            <w:tcW w:w="856" w:type="pct"/>
          </w:tcPr>
          <w:p w14:paraId="0A387A70"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0.14%</w:t>
            </w:r>
          </w:p>
        </w:tc>
        <w:tc>
          <w:tcPr>
            <w:tcW w:w="644" w:type="pct"/>
            <w:vMerge/>
          </w:tcPr>
          <w:p w14:paraId="33BDDB5A" w14:textId="77777777" w:rsidR="00E84DA1" w:rsidRPr="00216226" w:rsidRDefault="00E84DA1" w:rsidP="00E84DA1">
            <w:pPr>
              <w:jc w:val="right"/>
              <w:rPr>
                <w:rFonts w:eastAsia="MS Gothic" w:cs="Calibri"/>
                <w:sz w:val="20"/>
                <w:szCs w:val="20"/>
                <w:lang w:val="es-ES_tradnl"/>
              </w:rPr>
            </w:pPr>
          </w:p>
        </w:tc>
        <w:tc>
          <w:tcPr>
            <w:tcW w:w="808" w:type="pct"/>
            <w:vMerge/>
          </w:tcPr>
          <w:p w14:paraId="1594DC2C" w14:textId="77777777" w:rsidR="00E84DA1" w:rsidRPr="00216226" w:rsidRDefault="00E84DA1" w:rsidP="00E84DA1">
            <w:pPr>
              <w:jc w:val="both"/>
              <w:rPr>
                <w:rFonts w:eastAsia="MS Gothic" w:cs="Calibri"/>
                <w:sz w:val="20"/>
                <w:szCs w:val="20"/>
                <w:lang w:val="es-ES_tradnl"/>
              </w:rPr>
            </w:pPr>
          </w:p>
        </w:tc>
      </w:tr>
      <w:tr w:rsidR="00E84DA1" w:rsidRPr="00216226" w14:paraId="20D4D942" w14:textId="77777777" w:rsidTr="00A96806">
        <w:trPr>
          <w:jc w:val="center"/>
        </w:trPr>
        <w:tc>
          <w:tcPr>
            <w:tcW w:w="1611" w:type="pct"/>
            <w:vMerge/>
          </w:tcPr>
          <w:p w14:paraId="4B08361B" w14:textId="77777777" w:rsidR="00E84DA1" w:rsidRPr="00216226" w:rsidRDefault="00E84DA1" w:rsidP="00E84DA1">
            <w:pPr>
              <w:rPr>
                <w:rFonts w:eastAsia="MS Gothic" w:cs="Calibri"/>
                <w:sz w:val="20"/>
                <w:szCs w:val="20"/>
                <w:lang w:val="es-ES_tradnl"/>
              </w:rPr>
            </w:pPr>
          </w:p>
        </w:tc>
        <w:tc>
          <w:tcPr>
            <w:tcW w:w="1081" w:type="pct"/>
          </w:tcPr>
          <w:p w14:paraId="151095EF" w14:textId="38C8B94B" w:rsidR="00E84DA1" w:rsidRPr="00216226" w:rsidRDefault="003C6851" w:rsidP="00E84DA1">
            <w:pPr>
              <w:jc w:val="both"/>
              <w:rPr>
                <w:rFonts w:eastAsia="MS Gothic" w:cs="Calibri"/>
                <w:sz w:val="20"/>
                <w:szCs w:val="20"/>
                <w:lang w:val="es-ES_tradnl"/>
              </w:rPr>
            </w:pPr>
            <w:r>
              <w:rPr>
                <w:rFonts w:eastAsia="MS Gothic" w:cs="Calibri"/>
                <w:sz w:val="20"/>
                <w:szCs w:val="20"/>
                <w:lang w:val="es-ES_tradnl"/>
              </w:rPr>
              <w:t>Garífuna</w:t>
            </w:r>
            <w:r w:rsidR="00460210" w:rsidRPr="00216226">
              <w:rPr>
                <w:rFonts w:eastAsia="MS Gothic" w:cs="Calibri"/>
                <w:sz w:val="20"/>
                <w:szCs w:val="20"/>
                <w:lang w:val="es-ES_tradnl"/>
              </w:rPr>
              <w:t xml:space="preserve"> </w:t>
            </w:r>
            <w:r w:rsidR="00E84DA1" w:rsidRPr="00216226">
              <w:rPr>
                <w:rFonts w:eastAsia="MS Gothic" w:cs="Calibri"/>
                <w:sz w:val="20"/>
                <w:szCs w:val="20"/>
                <w:lang w:val="es-ES_tradnl"/>
              </w:rPr>
              <w:t xml:space="preserve"> People</w:t>
            </w:r>
          </w:p>
        </w:tc>
        <w:tc>
          <w:tcPr>
            <w:tcW w:w="856" w:type="pct"/>
          </w:tcPr>
          <w:p w14:paraId="3854A96C"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0.10%</w:t>
            </w:r>
          </w:p>
        </w:tc>
        <w:tc>
          <w:tcPr>
            <w:tcW w:w="644" w:type="pct"/>
            <w:vMerge/>
          </w:tcPr>
          <w:p w14:paraId="22F46589" w14:textId="77777777" w:rsidR="00E84DA1" w:rsidRPr="00216226" w:rsidRDefault="00E84DA1" w:rsidP="00E84DA1">
            <w:pPr>
              <w:jc w:val="right"/>
              <w:rPr>
                <w:rFonts w:eastAsia="MS Gothic" w:cs="Calibri"/>
                <w:sz w:val="20"/>
                <w:szCs w:val="20"/>
                <w:lang w:val="es-ES_tradnl"/>
              </w:rPr>
            </w:pPr>
          </w:p>
        </w:tc>
        <w:tc>
          <w:tcPr>
            <w:tcW w:w="808" w:type="pct"/>
            <w:vMerge/>
          </w:tcPr>
          <w:p w14:paraId="14E7EF52" w14:textId="77777777" w:rsidR="00E84DA1" w:rsidRPr="00216226" w:rsidRDefault="00E84DA1" w:rsidP="00E84DA1">
            <w:pPr>
              <w:jc w:val="both"/>
              <w:rPr>
                <w:rFonts w:eastAsia="MS Gothic" w:cs="Calibri"/>
                <w:sz w:val="20"/>
                <w:szCs w:val="20"/>
                <w:lang w:val="es-ES_tradnl"/>
              </w:rPr>
            </w:pPr>
          </w:p>
        </w:tc>
      </w:tr>
      <w:tr w:rsidR="00E84DA1" w:rsidRPr="00216226" w14:paraId="5EE0B16B" w14:textId="77777777" w:rsidTr="00A96806">
        <w:trPr>
          <w:jc w:val="center"/>
        </w:trPr>
        <w:tc>
          <w:tcPr>
            <w:tcW w:w="1611" w:type="pct"/>
            <w:vMerge/>
          </w:tcPr>
          <w:p w14:paraId="209F82DC" w14:textId="77777777" w:rsidR="00E84DA1" w:rsidRPr="00216226" w:rsidRDefault="00E84DA1" w:rsidP="00E84DA1">
            <w:pPr>
              <w:rPr>
                <w:rFonts w:eastAsia="MS Gothic" w:cs="Calibri"/>
                <w:sz w:val="20"/>
                <w:szCs w:val="20"/>
                <w:lang w:val="es-ES_tradnl"/>
              </w:rPr>
            </w:pPr>
          </w:p>
        </w:tc>
        <w:tc>
          <w:tcPr>
            <w:tcW w:w="1081" w:type="pct"/>
          </w:tcPr>
          <w:p w14:paraId="226BE925" w14:textId="561ACC14" w:rsidR="00E84DA1" w:rsidRPr="00216226" w:rsidRDefault="00CB285B" w:rsidP="00E84DA1">
            <w:pPr>
              <w:jc w:val="both"/>
              <w:rPr>
                <w:rFonts w:eastAsia="MS Gothic" w:cs="Calibri"/>
                <w:sz w:val="20"/>
                <w:szCs w:val="20"/>
                <w:lang w:val="es-ES_tradnl"/>
              </w:rPr>
            </w:pPr>
            <w:r>
              <w:rPr>
                <w:rFonts w:eastAsia="MS Gothic" w:cs="Calibri"/>
                <w:sz w:val="20"/>
                <w:szCs w:val="20"/>
                <w:lang w:val="es-ES_tradnl"/>
              </w:rPr>
              <w:t>PPL</w:t>
            </w:r>
          </w:p>
        </w:tc>
        <w:tc>
          <w:tcPr>
            <w:tcW w:w="856" w:type="pct"/>
          </w:tcPr>
          <w:p w14:paraId="20DC0543"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0.30%</w:t>
            </w:r>
          </w:p>
        </w:tc>
        <w:tc>
          <w:tcPr>
            <w:tcW w:w="644" w:type="pct"/>
            <w:vMerge/>
          </w:tcPr>
          <w:p w14:paraId="33C2A67E" w14:textId="77777777" w:rsidR="00E84DA1" w:rsidRPr="00216226" w:rsidRDefault="00E84DA1" w:rsidP="00E84DA1">
            <w:pPr>
              <w:jc w:val="right"/>
              <w:rPr>
                <w:rFonts w:eastAsia="MS Gothic" w:cs="Calibri"/>
                <w:sz w:val="20"/>
                <w:szCs w:val="20"/>
                <w:lang w:val="es-ES_tradnl"/>
              </w:rPr>
            </w:pPr>
          </w:p>
        </w:tc>
        <w:tc>
          <w:tcPr>
            <w:tcW w:w="808" w:type="pct"/>
            <w:vMerge/>
          </w:tcPr>
          <w:p w14:paraId="4D7A10BB" w14:textId="77777777" w:rsidR="00E84DA1" w:rsidRPr="00216226" w:rsidRDefault="00E84DA1" w:rsidP="00E84DA1">
            <w:pPr>
              <w:jc w:val="both"/>
              <w:rPr>
                <w:rFonts w:eastAsia="MS Gothic" w:cs="Calibri"/>
                <w:sz w:val="20"/>
                <w:szCs w:val="20"/>
                <w:lang w:val="es-ES_tradnl"/>
              </w:rPr>
            </w:pPr>
          </w:p>
        </w:tc>
      </w:tr>
      <w:tr w:rsidR="00E84DA1" w:rsidRPr="00216226" w14:paraId="2F87E642" w14:textId="77777777" w:rsidTr="00A96806">
        <w:trPr>
          <w:jc w:val="center"/>
        </w:trPr>
        <w:tc>
          <w:tcPr>
            <w:tcW w:w="1611" w:type="pct"/>
            <w:vMerge w:val="restart"/>
          </w:tcPr>
          <w:p w14:paraId="6D034DC1" w14:textId="07C0CEB5" w:rsidR="00E84DA1" w:rsidRPr="00216226" w:rsidRDefault="00E84DA1" w:rsidP="00E84DA1">
            <w:pPr>
              <w:rPr>
                <w:rFonts w:eastAsia="MS Gothic" w:cs="Calibri"/>
                <w:sz w:val="20"/>
                <w:szCs w:val="20"/>
                <w:lang w:val="es-ES_tradnl"/>
              </w:rPr>
            </w:pPr>
            <w:r w:rsidRPr="000A1D9C">
              <w:rPr>
                <w:rFonts w:eastAsia="MS Gothic" w:cs="Calibri"/>
                <w:i/>
                <w:sz w:val="20"/>
                <w:szCs w:val="20"/>
                <w:lang w:val="es-ES_tradnl"/>
              </w:rPr>
              <w:t>USAID</w:t>
            </w:r>
            <w:r w:rsidRPr="00216226">
              <w:rPr>
                <w:rFonts w:eastAsia="MS Gothic" w:cs="Calibri"/>
                <w:sz w:val="20"/>
                <w:szCs w:val="20"/>
                <w:lang w:val="es-ES_tradnl"/>
              </w:rPr>
              <w:t xml:space="preserve"> </w:t>
            </w:r>
            <w:r w:rsidR="003C4EC6" w:rsidRPr="00216226">
              <w:rPr>
                <w:rFonts w:eastAsia="MS Gothic" w:cs="Calibri"/>
                <w:sz w:val="20"/>
                <w:szCs w:val="20"/>
                <w:lang w:val="es-ES_tradnl"/>
              </w:rPr>
              <w:t>a través de</w:t>
            </w:r>
            <w:r w:rsidRPr="00216226">
              <w:rPr>
                <w:rFonts w:eastAsia="MS Gothic" w:cs="Calibri"/>
                <w:sz w:val="20"/>
                <w:szCs w:val="20"/>
                <w:lang w:val="es-ES_tradnl"/>
              </w:rPr>
              <w:t xml:space="preserve"> </w:t>
            </w:r>
            <w:r w:rsidRPr="00D93C5D">
              <w:rPr>
                <w:rFonts w:eastAsia="MS Gothic" w:cs="Calibri"/>
                <w:i/>
                <w:sz w:val="20"/>
                <w:szCs w:val="20"/>
                <w:lang w:val="es-ES_tradnl"/>
              </w:rPr>
              <w:t>PASMO</w:t>
            </w:r>
            <w:r w:rsidRPr="00216226">
              <w:rPr>
                <w:rFonts w:eastAsia="MS Gothic" w:cs="Calibri"/>
                <w:sz w:val="20"/>
                <w:szCs w:val="20"/>
                <w:lang w:val="es-ES_tradnl"/>
              </w:rPr>
              <w:t xml:space="preserve"> </w:t>
            </w:r>
          </w:p>
        </w:tc>
        <w:tc>
          <w:tcPr>
            <w:tcW w:w="1081" w:type="pct"/>
          </w:tcPr>
          <w:p w14:paraId="32CAD6EE" w14:textId="252C8B02" w:rsidR="00E84DA1" w:rsidRPr="00216226" w:rsidRDefault="00460210" w:rsidP="00E84DA1">
            <w:pPr>
              <w:rPr>
                <w:rFonts w:eastAsia="MS Gothic" w:cs="Calibri"/>
                <w:sz w:val="20"/>
                <w:szCs w:val="20"/>
                <w:lang w:val="es-ES_tradnl"/>
              </w:rPr>
            </w:pPr>
            <w:r w:rsidRPr="00216226">
              <w:rPr>
                <w:rFonts w:eastAsia="MS Gothic" w:cs="Calibri"/>
                <w:sz w:val="20"/>
                <w:szCs w:val="20"/>
                <w:lang w:val="es-ES_tradnl"/>
              </w:rPr>
              <w:t>HSH</w:t>
            </w:r>
            <w:r w:rsidR="00E84DA1" w:rsidRPr="00216226">
              <w:rPr>
                <w:rFonts w:eastAsia="MS Gothic" w:cs="Calibri"/>
                <w:sz w:val="20"/>
                <w:szCs w:val="20"/>
                <w:lang w:val="es-ES_tradnl"/>
              </w:rPr>
              <w:t xml:space="preserve"> (</w:t>
            </w:r>
            <w:r w:rsidR="003C4EC6" w:rsidRPr="00216226">
              <w:rPr>
                <w:rFonts w:eastAsia="MS Gothic" w:cs="Calibri"/>
                <w:sz w:val="20"/>
                <w:szCs w:val="20"/>
                <w:lang w:val="es-ES_tradnl"/>
              </w:rPr>
              <w:t>todos los</w:t>
            </w:r>
            <w:r w:rsidR="00E84DA1" w:rsidRPr="00216226">
              <w:rPr>
                <w:rFonts w:eastAsia="MS Gothic" w:cs="Calibri"/>
                <w:sz w:val="20"/>
                <w:szCs w:val="20"/>
                <w:lang w:val="es-ES_tradnl"/>
              </w:rPr>
              <w:t xml:space="preserve"> model</w:t>
            </w:r>
            <w:r w:rsidR="003C4EC6" w:rsidRPr="00216226">
              <w:rPr>
                <w:rFonts w:eastAsia="MS Gothic" w:cs="Calibri"/>
                <w:sz w:val="20"/>
                <w:szCs w:val="20"/>
                <w:lang w:val="es-ES_tradnl"/>
              </w:rPr>
              <w:t>o</w:t>
            </w:r>
            <w:r w:rsidR="00E84DA1" w:rsidRPr="00216226">
              <w:rPr>
                <w:rFonts w:eastAsia="MS Gothic" w:cs="Calibri"/>
                <w:sz w:val="20"/>
                <w:szCs w:val="20"/>
                <w:lang w:val="es-ES_tradnl"/>
              </w:rPr>
              <w:t xml:space="preserve">s) </w:t>
            </w:r>
          </w:p>
        </w:tc>
        <w:tc>
          <w:tcPr>
            <w:tcW w:w="856" w:type="pct"/>
          </w:tcPr>
          <w:p w14:paraId="2AA43F01"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3.00%</w:t>
            </w:r>
          </w:p>
        </w:tc>
        <w:tc>
          <w:tcPr>
            <w:tcW w:w="644" w:type="pct"/>
            <w:vMerge w:val="restart"/>
          </w:tcPr>
          <w:p w14:paraId="7A11DB55" w14:textId="0C71056C" w:rsidR="00E84DA1" w:rsidRPr="00216226" w:rsidRDefault="00E84DA1" w:rsidP="00E84DA1">
            <w:pPr>
              <w:jc w:val="right"/>
              <w:rPr>
                <w:rFonts w:eastAsia="MS Gothic" w:cs="Calibri"/>
                <w:sz w:val="20"/>
                <w:szCs w:val="20"/>
                <w:highlight w:val="yellow"/>
                <w:lang w:val="es-ES_tradnl"/>
              </w:rPr>
            </w:pPr>
            <w:r w:rsidRPr="00216226">
              <w:rPr>
                <w:rFonts w:eastAsia="MS Gothic" w:cs="Calibri"/>
                <w:sz w:val="20"/>
                <w:szCs w:val="20"/>
                <w:lang w:val="es-ES_tradnl"/>
              </w:rPr>
              <w:t>Oct</w:t>
            </w:r>
            <w:r w:rsidR="003C4EC6" w:rsidRPr="00216226">
              <w:rPr>
                <w:rFonts w:eastAsia="MS Gothic" w:cs="Calibri"/>
                <w:sz w:val="20"/>
                <w:szCs w:val="20"/>
                <w:lang w:val="es-ES_tradnl"/>
              </w:rPr>
              <w:t>ubre</w:t>
            </w:r>
            <w:r w:rsidRPr="00216226">
              <w:rPr>
                <w:rFonts w:eastAsia="MS Gothic" w:cs="Calibri"/>
                <w:sz w:val="20"/>
                <w:szCs w:val="20"/>
                <w:lang w:val="es-ES_tradnl"/>
              </w:rPr>
              <w:t xml:space="preserve"> 2017-</w:t>
            </w:r>
            <w:r w:rsidR="003C4EC6" w:rsidRPr="00216226">
              <w:rPr>
                <w:lang w:val="es-ES_tradnl"/>
              </w:rPr>
              <w:t xml:space="preserve"> </w:t>
            </w:r>
            <w:r w:rsidR="003C4EC6" w:rsidRPr="00216226">
              <w:rPr>
                <w:rFonts w:eastAsia="MS Gothic" w:cs="Calibri"/>
                <w:sz w:val="20"/>
                <w:szCs w:val="20"/>
                <w:lang w:val="es-ES_tradnl"/>
              </w:rPr>
              <w:lastRenderedPageBreak/>
              <w:t xml:space="preserve">septiembre </w:t>
            </w:r>
            <w:r w:rsidRPr="00216226">
              <w:rPr>
                <w:rFonts w:eastAsia="MS Gothic" w:cs="Calibri"/>
                <w:sz w:val="20"/>
                <w:szCs w:val="20"/>
                <w:lang w:val="es-ES_tradnl"/>
              </w:rPr>
              <w:t xml:space="preserve">2018 </w:t>
            </w:r>
          </w:p>
        </w:tc>
        <w:tc>
          <w:tcPr>
            <w:tcW w:w="808" w:type="pct"/>
            <w:vMerge w:val="restart"/>
          </w:tcPr>
          <w:p w14:paraId="1A184125" w14:textId="77777777" w:rsidR="00E84DA1" w:rsidRPr="00D93C5D" w:rsidRDefault="00E84DA1" w:rsidP="00E84DA1">
            <w:pPr>
              <w:jc w:val="both"/>
              <w:rPr>
                <w:rFonts w:eastAsia="MS Gothic" w:cs="Calibri"/>
                <w:i/>
                <w:sz w:val="20"/>
                <w:szCs w:val="20"/>
                <w:lang w:val="es-ES_tradnl"/>
              </w:rPr>
            </w:pPr>
            <w:r w:rsidRPr="00D93C5D">
              <w:rPr>
                <w:rFonts w:eastAsia="MS Gothic" w:cs="Calibri"/>
                <w:i/>
                <w:sz w:val="20"/>
                <w:szCs w:val="20"/>
                <w:lang w:val="es-ES_tradnl"/>
              </w:rPr>
              <w:lastRenderedPageBreak/>
              <w:t>PASMO</w:t>
            </w:r>
          </w:p>
        </w:tc>
      </w:tr>
      <w:tr w:rsidR="00E84DA1" w:rsidRPr="00216226" w14:paraId="110FE762" w14:textId="77777777" w:rsidTr="00A96806">
        <w:trPr>
          <w:jc w:val="center"/>
        </w:trPr>
        <w:tc>
          <w:tcPr>
            <w:tcW w:w="1611" w:type="pct"/>
            <w:vMerge/>
          </w:tcPr>
          <w:p w14:paraId="0B994633" w14:textId="77777777" w:rsidR="00E84DA1" w:rsidRPr="00216226" w:rsidRDefault="00E84DA1" w:rsidP="00E84DA1">
            <w:pPr>
              <w:rPr>
                <w:rFonts w:eastAsia="MS Gothic" w:cs="Calibri"/>
                <w:sz w:val="20"/>
                <w:szCs w:val="20"/>
                <w:lang w:val="es-ES_tradnl"/>
              </w:rPr>
            </w:pPr>
          </w:p>
        </w:tc>
        <w:tc>
          <w:tcPr>
            <w:tcW w:w="1081" w:type="pct"/>
          </w:tcPr>
          <w:p w14:paraId="1226CC4D" w14:textId="21D4DDD7"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 xml:space="preserve">Mujeres transgénero </w:t>
            </w:r>
            <w:r w:rsidR="00E84DA1" w:rsidRPr="00216226">
              <w:rPr>
                <w:rFonts w:eastAsia="MS Gothic" w:cs="Calibri"/>
                <w:sz w:val="20"/>
                <w:szCs w:val="20"/>
                <w:lang w:val="es-ES_tradnl"/>
              </w:rPr>
              <w:t>(</w:t>
            </w:r>
            <w:r w:rsidRPr="00216226">
              <w:rPr>
                <w:rFonts w:eastAsia="MS Gothic" w:cs="Calibri"/>
                <w:sz w:val="20"/>
                <w:szCs w:val="20"/>
                <w:lang w:val="es-ES_tradnl"/>
              </w:rPr>
              <w:t>todos los modelos</w:t>
            </w:r>
            <w:r w:rsidR="00E84DA1" w:rsidRPr="00216226">
              <w:rPr>
                <w:rFonts w:eastAsia="MS Gothic" w:cs="Calibri"/>
                <w:sz w:val="20"/>
                <w:szCs w:val="20"/>
                <w:lang w:val="es-ES_tradnl"/>
              </w:rPr>
              <w:t>)</w:t>
            </w:r>
          </w:p>
        </w:tc>
        <w:tc>
          <w:tcPr>
            <w:tcW w:w="856" w:type="pct"/>
          </w:tcPr>
          <w:p w14:paraId="75785B2B" w14:textId="77777777" w:rsidR="00E84DA1" w:rsidRPr="00216226" w:rsidRDefault="00E84DA1" w:rsidP="00E84DA1">
            <w:pPr>
              <w:jc w:val="right"/>
              <w:rPr>
                <w:rFonts w:eastAsia="MS Gothic" w:cs="Calibri"/>
                <w:sz w:val="20"/>
                <w:szCs w:val="20"/>
                <w:lang w:val="es-ES_tradnl"/>
              </w:rPr>
            </w:pPr>
            <w:r w:rsidRPr="00216226">
              <w:rPr>
                <w:rFonts w:eastAsia="MS Gothic" w:cs="Calibri"/>
                <w:b/>
                <w:sz w:val="20"/>
                <w:szCs w:val="20"/>
                <w:lang w:val="es-ES_tradnl"/>
              </w:rPr>
              <w:t>24.00%</w:t>
            </w:r>
          </w:p>
        </w:tc>
        <w:tc>
          <w:tcPr>
            <w:tcW w:w="644" w:type="pct"/>
            <w:vMerge/>
          </w:tcPr>
          <w:p w14:paraId="254E7F7A" w14:textId="77777777" w:rsidR="00E84DA1" w:rsidRPr="00216226" w:rsidRDefault="00E84DA1" w:rsidP="00E84DA1">
            <w:pPr>
              <w:jc w:val="right"/>
              <w:rPr>
                <w:rFonts w:eastAsia="MS Gothic" w:cs="Calibri"/>
                <w:sz w:val="20"/>
                <w:szCs w:val="20"/>
                <w:highlight w:val="yellow"/>
                <w:lang w:val="es-ES_tradnl"/>
              </w:rPr>
            </w:pPr>
          </w:p>
        </w:tc>
        <w:tc>
          <w:tcPr>
            <w:tcW w:w="808" w:type="pct"/>
            <w:vMerge/>
          </w:tcPr>
          <w:p w14:paraId="4F7D32BA" w14:textId="77777777" w:rsidR="00E84DA1" w:rsidRPr="00216226" w:rsidRDefault="00E84DA1" w:rsidP="00E84DA1">
            <w:pPr>
              <w:jc w:val="both"/>
              <w:rPr>
                <w:rFonts w:eastAsia="MS Gothic" w:cs="Calibri"/>
                <w:sz w:val="20"/>
                <w:szCs w:val="20"/>
                <w:lang w:val="es-ES_tradnl"/>
              </w:rPr>
            </w:pPr>
          </w:p>
        </w:tc>
      </w:tr>
      <w:tr w:rsidR="00E84DA1" w:rsidRPr="00216226" w14:paraId="0F70CDFC" w14:textId="77777777" w:rsidTr="00A96806">
        <w:trPr>
          <w:jc w:val="center"/>
        </w:trPr>
        <w:tc>
          <w:tcPr>
            <w:tcW w:w="1611" w:type="pct"/>
            <w:vMerge/>
          </w:tcPr>
          <w:p w14:paraId="2A2C5DF7" w14:textId="77777777" w:rsidR="00E84DA1" w:rsidRPr="00216226" w:rsidRDefault="00E84DA1" w:rsidP="00E84DA1">
            <w:pPr>
              <w:rPr>
                <w:rFonts w:eastAsia="MS Gothic" w:cs="Calibri"/>
                <w:sz w:val="20"/>
                <w:szCs w:val="20"/>
                <w:lang w:val="es-ES_tradnl"/>
              </w:rPr>
            </w:pPr>
          </w:p>
        </w:tc>
        <w:tc>
          <w:tcPr>
            <w:tcW w:w="1081" w:type="pct"/>
          </w:tcPr>
          <w:p w14:paraId="031D8B86" w14:textId="2EC15C24" w:rsidR="00E84DA1" w:rsidRPr="00216226" w:rsidRDefault="003C4EC6" w:rsidP="00453B71">
            <w:pPr>
              <w:rPr>
                <w:rFonts w:eastAsia="MS Gothic" w:cs="Calibri"/>
                <w:sz w:val="20"/>
                <w:szCs w:val="20"/>
                <w:lang w:val="es-ES_tradnl"/>
              </w:rPr>
            </w:pPr>
            <w:r w:rsidRPr="00216226">
              <w:rPr>
                <w:rFonts w:eastAsia="MS Gothic" w:cs="Calibri"/>
                <w:sz w:val="20"/>
                <w:szCs w:val="20"/>
                <w:lang w:val="es-ES_tradnl"/>
              </w:rPr>
              <w:t xml:space="preserve">Divulgación en persona </w:t>
            </w:r>
            <w:r w:rsidR="00E84DA1" w:rsidRPr="00216226">
              <w:rPr>
                <w:rFonts w:eastAsia="MS Gothic" w:cs="Calibri"/>
                <w:sz w:val="20"/>
                <w:szCs w:val="20"/>
                <w:lang w:val="es-ES_tradnl"/>
              </w:rPr>
              <w:t>(</w:t>
            </w:r>
            <w:r w:rsidR="00460210" w:rsidRPr="00216226">
              <w:rPr>
                <w:rFonts w:eastAsia="MS Gothic" w:cs="Calibri"/>
                <w:sz w:val="20"/>
                <w:szCs w:val="20"/>
                <w:lang w:val="es-ES_tradnl"/>
              </w:rPr>
              <w:t>HSH</w:t>
            </w:r>
            <w:r w:rsidR="00E84DA1" w:rsidRPr="00216226">
              <w:rPr>
                <w:rFonts w:eastAsia="MS Gothic" w:cs="Calibri"/>
                <w:sz w:val="20"/>
                <w:szCs w:val="20"/>
                <w:lang w:val="es-ES_tradnl"/>
              </w:rPr>
              <w:t xml:space="preserve"> &amp; </w:t>
            </w:r>
            <w:r w:rsidR="00453B71">
              <w:rPr>
                <w:rFonts w:eastAsia="MS Gothic" w:cs="Calibri"/>
                <w:sz w:val="20"/>
                <w:szCs w:val="20"/>
                <w:lang w:val="es-ES_tradnl"/>
              </w:rPr>
              <w:t>Mujeres transgénero)</w:t>
            </w:r>
          </w:p>
        </w:tc>
        <w:tc>
          <w:tcPr>
            <w:tcW w:w="856" w:type="pct"/>
          </w:tcPr>
          <w:p w14:paraId="1F7E4F66"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2.80%</w:t>
            </w:r>
          </w:p>
        </w:tc>
        <w:tc>
          <w:tcPr>
            <w:tcW w:w="644" w:type="pct"/>
            <w:vMerge/>
          </w:tcPr>
          <w:p w14:paraId="4BB8CCFB" w14:textId="77777777" w:rsidR="00E84DA1" w:rsidRPr="00216226" w:rsidRDefault="00E84DA1" w:rsidP="00E84DA1">
            <w:pPr>
              <w:jc w:val="right"/>
              <w:rPr>
                <w:rFonts w:eastAsia="MS Gothic" w:cs="Calibri"/>
                <w:sz w:val="20"/>
                <w:szCs w:val="20"/>
                <w:highlight w:val="yellow"/>
                <w:lang w:val="es-ES_tradnl"/>
              </w:rPr>
            </w:pPr>
          </w:p>
        </w:tc>
        <w:tc>
          <w:tcPr>
            <w:tcW w:w="808" w:type="pct"/>
            <w:vMerge/>
          </w:tcPr>
          <w:p w14:paraId="0B9C8A42" w14:textId="77777777" w:rsidR="00E84DA1" w:rsidRPr="00216226" w:rsidRDefault="00E84DA1" w:rsidP="00E84DA1">
            <w:pPr>
              <w:jc w:val="both"/>
              <w:rPr>
                <w:rFonts w:eastAsia="MS Gothic" w:cs="Calibri"/>
                <w:sz w:val="20"/>
                <w:szCs w:val="20"/>
                <w:lang w:val="es-ES_tradnl"/>
              </w:rPr>
            </w:pPr>
          </w:p>
        </w:tc>
      </w:tr>
      <w:tr w:rsidR="00E84DA1" w:rsidRPr="00216226" w14:paraId="0FD7E7C8" w14:textId="77777777" w:rsidTr="00A96806">
        <w:trPr>
          <w:jc w:val="center"/>
        </w:trPr>
        <w:tc>
          <w:tcPr>
            <w:tcW w:w="1611" w:type="pct"/>
            <w:vMerge/>
          </w:tcPr>
          <w:p w14:paraId="759B0560" w14:textId="77777777" w:rsidR="00E84DA1" w:rsidRPr="00216226" w:rsidRDefault="00E84DA1" w:rsidP="00E84DA1">
            <w:pPr>
              <w:rPr>
                <w:rFonts w:eastAsia="MS Gothic" w:cs="Calibri"/>
                <w:sz w:val="20"/>
                <w:szCs w:val="20"/>
                <w:lang w:val="es-ES_tradnl"/>
              </w:rPr>
            </w:pPr>
          </w:p>
        </w:tc>
        <w:tc>
          <w:tcPr>
            <w:tcW w:w="1081" w:type="pct"/>
          </w:tcPr>
          <w:p w14:paraId="572A22FE" w14:textId="77777777"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 xml:space="preserve">Social media </w:t>
            </w:r>
          </w:p>
          <w:p w14:paraId="068D5281" w14:textId="1A4F7478"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w:t>
            </w:r>
            <w:r w:rsidR="00460210" w:rsidRPr="00216226">
              <w:rPr>
                <w:rFonts w:eastAsia="MS Gothic" w:cs="Calibri"/>
                <w:sz w:val="20"/>
                <w:szCs w:val="20"/>
                <w:lang w:val="es-ES_tradnl"/>
              </w:rPr>
              <w:t>HSH</w:t>
            </w:r>
            <w:r w:rsidRPr="00216226">
              <w:rPr>
                <w:rFonts w:eastAsia="MS Gothic" w:cs="Calibri"/>
                <w:sz w:val="20"/>
                <w:szCs w:val="20"/>
                <w:lang w:val="es-ES_tradnl"/>
              </w:rPr>
              <w:t xml:space="preserve"> </w:t>
            </w:r>
            <w:r w:rsidR="003C4EC6" w:rsidRPr="00216226">
              <w:rPr>
                <w:rFonts w:eastAsia="MS Gothic" w:cs="Calibri"/>
                <w:sz w:val="20"/>
                <w:szCs w:val="20"/>
                <w:lang w:val="es-ES_tradnl"/>
              </w:rPr>
              <w:t>y</w:t>
            </w:r>
            <w:r w:rsidRPr="00216226">
              <w:rPr>
                <w:rFonts w:eastAsia="MS Gothic" w:cs="Calibri"/>
                <w:sz w:val="20"/>
                <w:szCs w:val="20"/>
                <w:lang w:val="es-ES_tradnl"/>
              </w:rPr>
              <w:t xml:space="preserve"> </w:t>
            </w:r>
            <w:r w:rsidR="003C4EC6" w:rsidRPr="00216226">
              <w:rPr>
                <w:rFonts w:eastAsia="MS Gothic" w:cs="Calibri"/>
                <w:sz w:val="20"/>
                <w:szCs w:val="20"/>
                <w:lang w:val="es-ES_tradnl"/>
              </w:rPr>
              <w:t>Mujeres transgénero</w:t>
            </w:r>
            <w:r w:rsidRPr="00216226">
              <w:rPr>
                <w:rFonts w:eastAsia="MS Gothic" w:cs="Calibri"/>
                <w:sz w:val="20"/>
                <w:szCs w:val="20"/>
                <w:lang w:val="es-ES_tradnl"/>
              </w:rPr>
              <w:t>)</w:t>
            </w:r>
          </w:p>
          <w:p w14:paraId="76A2C560" w14:textId="77777777" w:rsidR="00E84DA1" w:rsidRPr="00216226" w:rsidRDefault="00E84DA1" w:rsidP="00E84DA1">
            <w:pPr>
              <w:rPr>
                <w:rFonts w:eastAsia="MS Gothic" w:cs="Calibri"/>
                <w:sz w:val="20"/>
                <w:szCs w:val="20"/>
                <w:lang w:val="es-ES_tradnl"/>
              </w:rPr>
            </w:pPr>
          </w:p>
        </w:tc>
        <w:tc>
          <w:tcPr>
            <w:tcW w:w="856" w:type="pct"/>
          </w:tcPr>
          <w:p w14:paraId="5D7ADBA6" w14:textId="77777777" w:rsidR="00E84DA1" w:rsidRPr="00216226" w:rsidRDefault="00E84DA1" w:rsidP="00E84DA1">
            <w:pPr>
              <w:jc w:val="right"/>
              <w:rPr>
                <w:rFonts w:eastAsia="MS Gothic" w:cs="Calibri"/>
                <w:b/>
                <w:sz w:val="20"/>
                <w:szCs w:val="20"/>
                <w:lang w:val="es-ES_tradnl"/>
              </w:rPr>
            </w:pPr>
            <w:r w:rsidRPr="00216226">
              <w:rPr>
                <w:rFonts w:eastAsia="MS Gothic" w:cs="Calibri"/>
                <w:b/>
                <w:sz w:val="20"/>
                <w:szCs w:val="20"/>
                <w:lang w:val="es-ES_tradnl"/>
              </w:rPr>
              <w:t>7.23%</w:t>
            </w:r>
          </w:p>
        </w:tc>
        <w:tc>
          <w:tcPr>
            <w:tcW w:w="644" w:type="pct"/>
            <w:vMerge/>
          </w:tcPr>
          <w:p w14:paraId="4D495F2C" w14:textId="77777777" w:rsidR="00E84DA1" w:rsidRPr="00216226" w:rsidRDefault="00E84DA1" w:rsidP="00E84DA1">
            <w:pPr>
              <w:jc w:val="right"/>
              <w:rPr>
                <w:rFonts w:eastAsia="MS Gothic" w:cs="Calibri"/>
                <w:sz w:val="20"/>
                <w:szCs w:val="20"/>
                <w:highlight w:val="yellow"/>
                <w:lang w:val="es-ES_tradnl"/>
              </w:rPr>
            </w:pPr>
          </w:p>
        </w:tc>
        <w:tc>
          <w:tcPr>
            <w:tcW w:w="808" w:type="pct"/>
            <w:vMerge/>
          </w:tcPr>
          <w:p w14:paraId="12D4FC18" w14:textId="77777777" w:rsidR="00E84DA1" w:rsidRPr="00216226" w:rsidRDefault="00E84DA1" w:rsidP="00E84DA1">
            <w:pPr>
              <w:jc w:val="both"/>
              <w:rPr>
                <w:rFonts w:eastAsia="MS Gothic" w:cs="Calibri"/>
                <w:sz w:val="20"/>
                <w:szCs w:val="20"/>
                <w:lang w:val="es-ES_tradnl"/>
              </w:rPr>
            </w:pPr>
          </w:p>
        </w:tc>
      </w:tr>
      <w:tr w:rsidR="00E84DA1" w:rsidRPr="00216226" w14:paraId="05454841" w14:textId="77777777" w:rsidTr="00A96806">
        <w:trPr>
          <w:jc w:val="center"/>
        </w:trPr>
        <w:tc>
          <w:tcPr>
            <w:tcW w:w="1611" w:type="pct"/>
            <w:vMerge w:val="restart"/>
          </w:tcPr>
          <w:p w14:paraId="68E3ACEF" w14:textId="2731454C"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 xml:space="preserve">Asistencia técnica de </w:t>
            </w:r>
            <w:r w:rsidRPr="000A1D9C">
              <w:rPr>
                <w:rFonts w:eastAsia="MS Gothic" w:cs="Calibri"/>
                <w:i/>
                <w:sz w:val="20"/>
                <w:szCs w:val="20"/>
                <w:lang w:val="es-ES_tradnl"/>
              </w:rPr>
              <w:t>CDC</w:t>
            </w:r>
            <w:r w:rsidRPr="00216226">
              <w:rPr>
                <w:rFonts w:eastAsia="MS Gothic" w:cs="Calibri"/>
                <w:sz w:val="20"/>
                <w:szCs w:val="20"/>
                <w:lang w:val="es-ES_tradnl"/>
              </w:rPr>
              <w:t xml:space="preserve"> a través de la UVG para evaluar modelos diferenciados</w:t>
            </w:r>
            <w:r w:rsidR="00E84DA1" w:rsidRPr="00216226">
              <w:rPr>
                <w:rFonts w:eastAsia="MS Gothic" w:cs="Calibri"/>
                <w:sz w:val="20"/>
                <w:szCs w:val="20"/>
                <w:lang w:val="es-ES_tradnl"/>
              </w:rPr>
              <w:t>.</w:t>
            </w:r>
          </w:p>
          <w:p w14:paraId="016E3F65" w14:textId="759E00C1" w:rsidR="00E84DA1" w:rsidRPr="00216226" w:rsidRDefault="00E84DA1" w:rsidP="00E84DA1">
            <w:pPr>
              <w:rPr>
                <w:rFonts w:eastAsia="MS Gothic" w:cs="Calibri"/>
                <w:sz w:val="20"/>
                <w:szCs w:val="20"/>
                <w:lang w:val="es-ES_tradnl"/>
              </w:rPr>
            </w:pPr>
            <w:r w:rsidRPr="00216226">
              <w:rPr>
                <w:rFonts w:eastAsia="MS Gothic" w:cs="Calibri"/>
                <w:sz w:val="20"/>
                <w:szCs w:val="20"/>
                <w:lang w:val="es-ES_tradnl"/>
              </w:rPr>
              <w:t>C</w:t>
            </w:r>
            <w:r w:rsidR="003C4EC6" w:rsidRPr="00216226">
              <w:rPr>
                <w:rFonts w:eastAsia="MS Gothic" w:cs="Calibri"/>
                <w:sz w:val="20"/>
                <w:szCs w:val="20"/>
                <w:lang w:val="es-ES_tradnl"/>
              </w:rPr>
              <w:t xml:space="preserve">ubre tres </w:t>
            </w:r>
            <w:r w:rsidRPr="00216226">
              <w:rPr>
                <w:rFonts w:eastAsia="MS Gothic" w:cs="Calibri"/>
                <w:sz w:val="20"/>
                <w:szCs w:val="20"/>
                <w:lang w:val="es-ES_tradnl"/>
              </w:rPr>
              <w:t xml:space="preserve">VICITS </w:t>
            </w:r>
            <w:r w:rsidR="003C4EC6" w:rsidRPr="00216226">
              <w:rPr>
                <w:rFonts w:eastAsia="MS Gothic" w:cs="Calibri"/>
                <w:sz w:val="20"/>
                <w:szCs w:val="20"/>
                <w:lang w:val="es-ES_tradnl"/>
              </w:rPr>
              <w:t>e</w:t>
            </w:r>
            <w:r w:rsidRPr="00216226">
              <w:rPr>
                <w:rFonts w:eastAsia="MS Gothic" w:cs="Calibri"/>
                <w:sz w:val="20"/>
                <w:szCs w:val="20"/>
                <w:lang w:val="es-ES_tradnl"/>
              </w:rPr>
              <w:t xml:space="preserve">n Tegucigalpa, San Pedro Sula </w:t>
            </w:r>
            <w:r w:rsidR="003C4EC6" w:rsidRPr="00216226">
              <w:rPr>
                <w:rFonts w:eastAsia="MS Gothic" w:cs="Calibri"/>
                <w:sz w:val="20"/>
                <w:szCs w:val="20"/>
                <w:lang w:val="es-ES_tradnl"/>
              </w:rPr>
              <w:t>y</w:t>
            </w:r>
            <w:r w:rsidRPr="00216226">
              <w:rPr>
                <w:rFonts w:eastAsia="MS Gothic" w:cs="Calibri"/>
                <w:sz w:val="20"/>
                <w:szCs w:val="20"/>
                <w:lang w:val="es-ES_tradnl"/>
              </w:rPr>
              <w:t xml:space="preserve"> La Ceiba, </w:t>
            </w:r>
            <w:r w:rsidR="003C4EC6" w:rsidRPr="00216226">
              <w:rPr>
                <w:rFonts w:eastAsia="MS Gothic" w:cs="Calibri"/>
                <w:sz w:val="20"/>
                <w:szCs w:val="20"/>
                <w:lang w:val="es-ES_tradnl"/>
              </w:rPr>
              <w:t>y</w:t>
            </w:r>
            <w:r w:rsidRPr="00216226">
              <w:rPr>
                <w:rFonts w:eastAsia="MS Gothic" w:cs="Calibri"/>
                <w:sz w:val="20"/>
                <w:szCs w:val="20"/>
                <w:lang w:val="es-ES_tradnl"/>
              </w:rPr>
              <w:t xml:space="preserve"> </w:t>
            </w:r>
            <w:r w:rsidR="00460210" w:rsidRPr="00216226">
              <w:rPr>
                <w:rFonts w:eastAsia="MS Gothic" w:cs="Calibri"/>
                <w:sz w:val="20"/>
                <w:szCs w:val="20"/>
                <w:lang w:val="es-ES_tradnl"/>
              </w:rPr>
              <w:t>HSH</w:t>
            </w:r>
            <w:r w:rsidRPr="00216226">
              <w:rPr>
                <w:rFonts w:eastAsia="MS Gothic" w:cs="Calibri"/>
                <w:sz w:val="20"/>
                <w:szCs w:val="20"/>
                <w:lang w:val="es-ES_tradnl"/>
              </w:rPr>
              <w:t xml:space="preserve">, </w:t>
            </w:r>
            <w:r w:rsidR="003C4EC6" w:rsidRPr="00216226">
              <w:rPr>
                <w:rFonts w:eastAsia="MS Gothic" w:cs="Calibri"/>
                <w:sz w:val="20"/>
                <w:szCs w:val="20"/>
                <w:lang w:val="es-ES_tradnl"/>
              </w:rPr>
              <w:t>Mujeres transgénero</w:t>
            </w:r>
            <w:r w:rsidRPr="00216226">
              <w:rPr>
                <w:rFonts w:eastAsia="MS Gothic" w:cs="Calibri"/>
                <w:sz w:val="20"/>
                <w:szCs w:val="20"/>
                <w:lang w:val="es-ES_tradnl"/>
              </w:rPr>
              <w:t xml:space="preserve"> </w:t>
            </w:r>
            <w:r w:rsidR="003C4EC6" w:rsidRPr="00216226">
              <w:rPr>
                <w:rFonts w:eastAsia="MS Gothic" w:cs="Calibri"/>
                <w:sz w:val="20"/>
                <w:szCs w:val="20"/>
                <w:lang w:val="es-ES_tradnl"/>
              </w:rPr>
              <w:t>y</w:t>
            </w:r>
            <w:r w:rsidRPr="00216226">
              <w:rPr>
                <w:rFonts w:eastAsia="MS Gothic" w:cs="Calibri"/>
                <w:sz w:val="20"/>
                <w:szCs w:val="20"/>
                <w:lang w:val="es-ES_tradnl"/>
              </w:rPr>
              <w:t xml:space="preserve"> </w:t>
            </w:r>
            <w:r w:rsidR="00460210" w:rsidRPr="00216226">
              <w:rPr>
                <w:rFonts w:eastAsia="MS Gothic" w:cs="Calibri"/>
                <w:sz w:val="20"/>
                <w:szCs w:val="20"/>
                <w:lang w:val="es-ES_tradnl"/>
              </w:rPr>
              <w:t>Trabajadoras sexuales</w:t>
            </w:r>
            <w:r w:rsidRPr="00216226">
              <w:rPr>
                <w:rFonts w:eastAsia="MS Gothic" w:cs="Calibri"/>
                <w:sz w:val="20"/>
                <w:szCs w:val="20"/>
                <w:lang w:val="es-ES_tradnl"/>
              </w:rPr>
              <w:t xml:space="preserve"> combin</w:t>
            </w:r>
            <w:r w:rsidR="003C4EC6" w:rsidRPr="00216226">
              <w:rPr>
                <w:rFonts w:eastAsia="MS Gothic" w:cs="Calibri"/>
                <w:sz w:val="20"/>
                <w:szCs w:val="20"/>
                <w:lang w:val="es-ES_tradnl"/>
              </w:rPr>
              <w:t>ados</w:t>
            </w:r>
          </w:p>
          <w:p w14:paraId="7D82AEC0" w14:textId="77777777" w:rsidR="00E84DA1" w:rsidRPr="00216226" w:rsidRDefault="00E84DA1" w:rsidP="00E84DA1">
            <w:pPr>
              <w:rPr>
                <w:rFonts w:eastAsia="MS Gothic" w:cs="Calibri"/>
                <w:sz w:val="20"/>
                <w:szCs w:val="20"/>
                <w:lang w:val="es-ES_tradnl"/>
              </w:rPr>
            </w:pPr>
          </w:p>
        </w:tc>
        <w:tc>
          <w:tcPr>
            <w:tcW w:w="1081" w:type="pct"/>
          </w:tcPr>
          <w:p w14:paraId="1976EA46" w14:textId="425CE7AE"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Institucional</w:t>
            </w:r>
            <w:r w:rsidR="00E84DA1" w:rsidRPr="00216226">
              <w:rPr>
                <w:rFonts w:eastAsia="MS Gothic" w:cs="Calibri"/>
                <w:sz w:val="20"/>
                <w:szCs w:val="20"/>
                <w:lang w:val="es-ES_tradnl"/>
              </w:rPr>
              <w:t xml:space="preserve"> (</w:t>
            </w:r>
            <w:r w:rsidRPr="00216226">
              <w:rPr>
                <w:rFonts w:eastAsia="MS Gothic" w:cs="Calibri"/>
                <w:sz w:val="20"/>
                <w:szCs w:val="20"/>
                <w:lang w:val="es-ES_tradnl"/>
              </w:rPr>
              <w:t>horario normal de la mañana</w:t>
            </w:r>
            <w:r w:rsidR="00E84DA1" w:rsidRPr="00216226">
              <w:rPr>
                <w:rFonts w:eastAsia="MS Gothic" w:cs="Calibri"/>
                <w:sz w:val="20"/>
                <w:szCs w:val="20"/>
                <w:lang w:val="es-ES_tradnl"/>
              </w:rPr>
              <w:t>)</w:t>
            </w:r>
          </w:p>
        </w:tc>
        <w:tc>
          <w:tcPr>
            <w:tcW w:w="856" w:type="pct"/>
          </w:tcPr>
          <w:p w14:paraId="02063B74"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6.60%</w:t>
            </w:r>
          </w:p>
        </w:tc>
        <w:tc>
          <w:tcPr>
            <w:tcW w:w="644" w:type="pct"/>
            <w:vMerge w:val="restart"/>
          </w:tcPr>
          <w:p w14:paraId="44237136" w14:textId="3AEBB5CA"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Oct</w:t>
            </w:r>
            <w:r w:rsidR="003C4EC6" w:rsidRPr="00216226">
              <w:rPr>
                <w:rFonts w:eastAsia="MS Gothic" w:cs="Calibri"/>
                <w:sz w:val="20"/>
                <w:szCs w:val="20"/>
                <w:lang w:val="es-ES_tradnl"/>
              </w:rPr>
              <w:t>ubre</w:t>
            </w:r>
            <w:r w:rsidRPr="00216226">
              <w:rPr>
                <w:rFonts w:eastAsia="MS Gothic" w:cs="Calibri"/>
                <w:sz w:val="20"/>
                <w:szCs w:val="20"/>
                <w:lang w:val="es-ES_tradnl"/>
              </w:rPr>
              <w:t xml:space="preserve"> 2017-</w:t>
            </w:r>
            <w:r w:rsidR="003C4EC6" w:rsidRPr="00216226">
              <w:rPr>
                <w:rFonts w:eastAsia="MS Gothic" w:cs="Calibri"/>
                <w:sz w:val="20"/>
                <w:szCs w:val="20"/>
                <w:lang w:val="es-ES_tradnl"/>
              </w:rPr>
              <w:t xml:space="preserve">agosto </w:t>
            </w:r>
            <w:r w:rsidRPr="00216226">
              <w:rPr>
                <w:rFonts w:eastAsia="MS Gothic" w:cs="Calibri"/>
                <w:sz w:val="20"/>
                <w:szCs w:val="20"/>
                <w:lang w:val="es-ES_tradnl"/>
              </w:rPr>
              <w:t>2018</w:t>
            </w:r>
          </w:p>
        </w:tc>
        <w:tc>
          <w:tcPr>
            <w:tcW w:w="808" w:type="pct"/>
            <w:vMerge w:val="restart"/>
          </w:tcPr>
          <w:p w14:paraId="1EBAF492" w14:textId="77777777" w:rsidR="00E84DA1" w:rsidRPr="00216226" w:rsidRDefault="00E84DA1" w:rsidP="00E84DA1">
            <w:pPr>
              <w:jc w:val="both"/>
              <w:rPr>
                <w:rFonts w:eastAsia="MS Gothic" w:cs="Calibri"/>
                <w:sz w:val="20"/>
                <w:szCs w:val="20"/>
                <w:lang w:val="es-ES_tradnl"/>
              </w:rPr>
            </w:pPr>
            <w:r w:rsidRPr="000A1D9C">
              <w:rPr>
                <w:rFonts w:eastAsia="MS Gothic" w:cs="Calibri"/>
                <w:i/>
                <w:sz w:val="20"/>
                <w:szCs w:val="20"/>
                <w:lang w:val="es-ES_tradnl"/>
              </w:rPr>
              <w:t>CDC</w:t>
            </w:r>
            <w:r w:rsidRPr="00216226">
              <w:rPr>
                <w:rFonts w:eastAsia="MS Gothic" w:cs="Calibri"/>
                <w:sz w:val="20"/>
                <w:szCs w:val="20"/>
                <w:lang w:val="es-ES_tradnl"/>
              </w:rPr>
              <w:t>/UVG</w:t>
            </w:r>
          </w:p>
        </w:tc>
      </w:tr>
      <w:tr w:rsidR="00E84DA1" w:rsidRPr="00216226" w14:paraId="711D4D71" w14:textId="77777777" w:rsidTr="00A96806">
        <w:trPr>
          <w:jc w:val="center"/>
        </w:trPr>
        <w:tc>
          <w:tcPr>
            <w:tcW w:w="1611" w:type="pct"/>
            <w:vMerge/>
          </w:tcPr>
          <w:p w14:paraId="4DF19677" w14:textId="77777777" w:rsidR="00E84DA1" w:rsidRPr="00216226" w:rsidRDefault="00E84DA1" w:rsidP="00E84DA1">
            <w:pPr>
              <w:jc w:val="both"/>
              <w:rPr>
                <w:rFonts w:eastAsia="MS Gothic" w:cs="Calibri"/>
                <w:sz w:val="20"/>
                <w:szCs w:val="20"/>
                <w:lang w:val="es-ES_tradnl"/>
              </w:rPr>
            </w:pPr>
          </w:p>
        </w:tc>
        <w:tc>
          <w:tcPr>
            <w:tcW w:w="1081" w:type="pct"/>
          </w:tcPr>
          <w:p w14:paraId="48263D8E" w14:textId="1086CC22"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Horario ampliado (abre por la noche</w:t>
            </w:r>
            <w:r w:rsidR="00E84DA1" w:rsidRPr="00216226">
              <w:rPr>
                <w:rFonts w:eastAsia="MS Gothic" w:cs="Calibri"/>
                <w:sz w:val="20"/>
                <w:szCs w:val="20"/>
                <w:lang w:val="es-ES_tradnl"/>
              </w:rPr>
              <w:t>)</w:t>
            </w:r>
          </w:p>
        </w:tc>
        <w:tc>
          <w:tcPr>
            <w:tcW w:w="856" w:type="pct"/>
          </w:tcPr>
          <w:p w14:paraId="7E1440C1" w14:textId="77777777" w:rsidR="00E84DA1" w:rsidRPr="00216226" w:rsidRDefault="00E84DA1" w:rsidP="00E84DA1">
            <w:pPr>
              <w:jc w:val="right"/>
              <w:rPr>
                <w:rFonts w:eastAsia="MS Gothic" w:cs="Calibri"/>
                <w:b/>
                <w:sz w:val="20"/>
                <w:szCs w:val="20"/>
                <w:lang w:val="es-ES_tradnl"/>
              </w:rPr>
            </w:pPr>
            <w:r w:rsidRPr="00216226">
              <w:rPr>
                <w:rFonts w:eastAsia="MS Gothic" w:cs="Calibri"/>
                <w:b/>
                <w:sz w:val="20"/>
                <w:szCs w:val="20"/>
                <w:lang w:val="es-ES_tradnl"/>
              </w:rPr>
              <w:t>18.58%</w:t>
            </w:r>
          </w:p>
        </w:tc>
        <w:tc>
          <w:tcPr>
            <w:tcW w:w="644" w:type="pct"/>
            <w:vMerge/>
          </w:tcPr>
          <w:p w14:paraId="6A0539F3" w14:textId="77777777" w:rsidR="00E84DA1" w:rsidRPr="00216226" w:rsidRDefault="00E84DA1" w:rsidP="00E84DA1">
            <w:pPr>
              <w:jc w:val="right"/>
              <w:rPr>
                <w:rFonts w:eastAsia="MS Gothic" w:cs="Calibri"/>
                <w:sz w:val="20"/>
                <w:szCs w:val="20"/>
                <w:lang w:val="es-ES_tradnl"/>
              </w:rPr>
            </w:pPr>
          </w:p>
        </w:tc>
        <w:tc>
          <w:tcPr>
            <w:tcW w:w="808" w:type="pct"/>
            <w:vMerge/>
          </w:tcPr>
          <w:p w14:paraId="658D19A2" w14:textId="77777777" w:rsidR="00E84DA1" w:rsidRPr="00216226" w:rsidRDefault="00E84DA1" w:rsidP="00E84DA1">
            <w:pPr>
              <w:jc w:val="both"/>
              <w:rPr>
                <w:rFonts w:eastAsia="MS Gothic" w:cs="Calibri"/>
                <w:sz w:val="20"/>
                <w:szCs w:val="20"/>
                <w:lang w:val="es-ES_tradnl"/>
              </w:rPr>
            </w:pPr>
          </w:p>
        </w:tc>
      </w:tr>
      <w:tr w:rsidR="00E84DA1" w:rsidRPr="00216226" w14:paraId="5394EC84" w14:textId="77777777" w:rsidTr="00A96806">
        <w:trPr>
          <w:jc w:val="center"/>
        </w:trPr>
        <w:tc>
          <w:tcPr>
            <w:tcW w:w="1611" w:type="pct"/>
            <w:vMerge/>
          </w:tcPr>
          <w:p w14:paraId="0C30CFFB" w14:textId="77777777" w:rsidR="00E84DA1" w:rsidRPr="00216226" w:rsidRDefault="00E84DA1" w:rsidP="00E84DA1">
            <w:pPr>
              <w:jc w:val="both"/>
              <w:rPr>
                <w:rFonts w:eastAsia="MS Gothic" w:cs="Calibri"/>
                <w:sz w:val="20"/>
                <w:szCs w:val="20"/>
                <w:lang w:val="es-ES_tradnl"/>
              </w:rPr>
            </w:pPr>
          </w:p>
        </w:tc>
        <w:tc>
          <w:tcPr>
            <w:tcW w:w="1081" w:type="pct"/>
          </w:tcPr>
          <w:p w14:paraId="47A78143" w14:textId="3D863FAC"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Extramuros (servicio prestado en un local diferente</w:t>
            </w:r>
            <w:r w:rsidR="00E84DA1" w:rsidRPr="00216226">
              <w:rPr>
                <w:rFonts w:eastAsia="MS Gothic" w:cs="Calibri"/>
                <w:sz w:val="20"/>
                <w:szCs w:val="20"/>
                <w:lang w:val="es-ES_tradnl"/>
              </w:rPr>
              <w:t>)</w:t>
            </w:r>
          </w:p>
        </w:tc>
        <w:tc>
          <w:tcPr>
            <w:tcW w:w="856" w:type="pct"/>
          </w:tcPr>
          <w:p w14:paraId="0016C036"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4.00%</w:t>
            </w:r>
          </w:p>
        </w:tc>
        <w:tc>
          <w:tcPr>
            <w:tcW w:w="644" w:type="pct"/>
            <w:vMerge/>
          </w:tcPr>
          <w:p w14:paraId="03D87511" w14:textId="77777777" w:rsidR="00E84DA1" w:rsidRPr="00216226" w:rsidRDefault="00E84DA1" w:rsidP="00E84DA1">
            <w:pPr>
              <w:jc w:val="right"/>
              <w:rPr>
                <w:rFonts w:eastAsia="MS Gothic" w:cs="Calibri"/>
                <w:sz w:val="20"/>
                <w:szCs w:val="20"/>
                <w:lang w:val="es-ES_tradnl"/>
              </w:rPr>
            </w:pPr>
          </w:p>
        </w:tc>
        <w:tc>
          <w:tcPr>
            <w:tcW w:w="808" w:type="pct"/>
            <w:vMerge/>
          </w:tcPr>
          <w:p w14:paraId="220FCF6A" w14:textId="77777777" w:rsidR="00E84DA1" w:rsidRPr="00216226" w:rsidRDefault="00E84DA1" w:rsidP="00E84DA1">
            <w:pPr>
              <w:jc w:val="both"/>
              <w:rPr>
                <w:rFonts w:eastAsia="MS Gothic" w:cs="Calibri"/>
                <w:sz w:val="20"/>
                <w:szCs w:val="20"/>
                <w:lang w:val="es-ES_tradnl"/>
              </w:rPr>
            </w:pPr>
          </w:p>
        </w:tc>
      </w:tr>
      <w:tr w:rsidR="00E84DA1" w:rsidRPr="00216226" w14:paraId="12F13B46" w14:textId="77777777" w:rsidTr="00A96806">
        <w:trPr>
          <w:jc w:val="center"/>
        </w:trPr>
        <w:tc>
          <w:tcPr>
            <w:tcW w:w="1611" w:type="pct"/>
            <w:vMerge/>
          </w:tcPr>
          <w:p w14:paraId="134277DF" w14:textId="77777777" w:rsidR="00E84DA1" w:rsidRPr="00216226" w:rsidRDefault="00E84DA1" w:rsidP="00E84DA1">
            <w:pPr>
              <w:jc w:val="both"/>
              <w:rPr>
                <w:rFonts w:eastAsia="MS Gothic" w:cs="Calibri"/>
                <w:sz w:val="20"/>
                <w:szCs w:val="20"/>
                <w:lang w:val="es-ES_tradnl"/>
              </w:rPr>
            </w:pPr>
          </w:p>
        </w:tc>
        <w:tc>
          <w:tcPr>
            <w:tcW w:w="1081" w:type="pct"/>
          </w:tcPr>
          <w:p w14:paraId="77FD5969" w14:textId="4A56C9D6" w:rsidR="00E84DA1" w:rsidRPr="00216226" w:rsidRDefault="003C4EC6" w:rsidP="00E84DA1">
            <w:pPr>
              <w:rPr>
                <w:rFonts w:eastAsia="MS Gothic" w:cs="Calibri"/>
                <w:sz w:val="20"/>
                <w:szCs w:val="20"/>
                <w:lang w:val="es-ES_tradnl"/>
              </w:rPr>
            </w:pPr>
            <w:r w:rsidRPr="00216226">
              <w:rPr>
                <w:rFonts w:eastAsia="MS Gothic" w:cs="Calibri"/>
                <w:sz w:val="20"/>
                <w:szCs w:val="20"/>
                <w:lang w:val="es-ES_tradnl"/>
              </w:rPr>
              <w:t>Como unidad móvil</w:t>
            </w:r>
          </w:p>
        </w:tc>
        <w:tc>
          <w:tcPr>
            <w:tcW w:w="856" w:type="pct"/>
          </w:tcPr>
          <w:p w14:paraId="4D5C0236" w14:textId="77777777" w:rsidR="00E84DA1" w:rsidRPr="00216226" w:rsidRDefault="00E84DA1" w:rsidP="00E84DA1">
            <w:pPr>
              <w:jc w:val="right"/>
              <w:rPr>
                <w:rFonts w:eastAsia="MS Gothic" w:cs="Calibri"/>
                <w:sz w:val="20"/>
                <w:szCs w:val="20"/>
                <w:lang w:val="es-ES_tradnl"/>
              </w:rPr>
            </w:pPr>
            <w:r w:rsidRPr="00216226">
              <w:rPr>
                <w:rFonts w:eastAsia="MS Gothic" w:cs="Calibri"/>
                <w:sz w:val="20"/>
                <w:szCs w:val="20"/>
                <w:lang w:val="es-ES_tradnl"/>
              </w:rPr>
              <w:t>2.78%</w:t>
            </w:r>
          </w:p>
        </w:tc>
        <w:tc>
          <w:tcPr>
            <w:tcW w:w="644" w:type="pct"/>
            <w:vMerge/>
          </w:tcPr>
          <w:p w14:paraId="5DCDAF33" w14:textId="77777777" w:rsidR="00E84DA1" w:rsidRPr="00216226" w:rsidRDefault="00E84DA1" w:rsidP="00E84DA1">
            <w:pPr>
              <w:jc w:val="right"/>
              <w:rPr>
                <w:rFonts w:eastAsia="MS Gothic" w:cs="Calibri"/>
                <w:sz w:val="20"/>
                <w:szCs w:val="20"/>
                <w:lang w:val="es-ES_tradnl"/>
              </w:rPr>
            </w:pPr>
          </w:p>
        </w:tc>
        <w:tc>
          <w:tcPr>
            <w:tcW w:w="808" w:type="pct"/>
            <w:vMerge/>
          </w:tcPr>
          <w:p w14:paraId="36C732B6" w14:textId="77777777" w:rsidR="00E84DA1" w:rsidRPr="00216226" w:rsidRDefault="00E84DA1" w:rsidP="00E84DA1">
            <w:pPr>
              <w:jc w:val="both"/>
              <w:rPr>
                <w:rFonts w:eastAsia="MS Gothic" w:cs="Calibri"/>
                <w:sz w:val="20"/>
                <w:szCs w:val="20"/>
                <w:lang w:val="es-ES_tradnl"/>
              </w:rPr>
            </w:pPr>
          </w:p>
        </w:tc>
      </w:tr>
    </w:tbl>
    <w:p w14:paraId="4B7BA706" w14:textId="77777777" w:rsidR="00E84DA1" w:rsidRPr="00216226" w:rsidRDefault="00E84DA1" w:rsidP="00E84DA1">
      <w:pPr>
        <w:jc w:val="both"/>
        <w:rPr>
          <w:rFonts w:eastAsia="MS Gothic"/>
          <w:lang w:val="es-ES_tradnl" w:eastAsia="en-US"/>
        </w:rPr>
      </w:pPr>
    </w:p>
    <w:p w14:paraId="4A0E5E65" w14:textId="637C7181" w:rsidR="00E84DA1" w:rsidRPr="00216226" w:rsidRDefault="00EE0F21" w:rsidP="00E84DA1">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E84DA1" w:rsidRPr="00216226">
        <w:rPr>
          <w:rFonts w:ascii="Calibri Light" w:eastAsia="MS Gothic" w:hAnsi="Calibri Light" w:cs="Times New Roman"/>
          <w:b/>
          <w:lang w:val="es-ES_tradnl" w:eastAsia="en-US"/>
        </w:rPr>
        <w:t xml:space="preserve"> 2.3 </w:t>
      </w:r>
      <w:r w:rsidR="00FF3863" w:rsidRPr="00216226">
        <w:rPr>
          <w:rFonts w:ascii="Calibri Light" w:eastAsia="MS Gothic" w:hAnsi="Calibri Light" w:cs="Times New Roman"/>
          <w:b/>
          <w:lang w:val="es-ES_tradnl" w:eastAsia="en-US"/>
        </w:rPr>
        <w:t xml:space="preserve">Vinculación con el tratamiento y la atención </w:t>
      </w:r>
    </w:p>
    <w:p w14:paraId="24481F29" w14:textId="69CC39A6" w:rsidR="00E84DA1" w:rsidRPr="00216226" w:rsidRDefault="00320DF5" w:rsidP="00C816C5">
      <w:pPr>
        <w:jc w:val="both"/>
        <w:rPr>
          <w:rFonts w:ascii="Calibri Light" w:eastAsia="MS Gothic" w:hAnsi="Calibri Light"/>
          <w:lang w:val="es-ES_tradnl" w:eastAsia="en-US"/>
        </w:rPr>
      </w:pPr>
      <w:r w:rsidRPr="00C816C5">
        <w:rPr>
          <w:rFonts w:eastAsia="MS Gothic"/>
          <w:lang w:val="es-ES_tradnl" w:eastAsia="en-US"/>
        </w:rPr>
        <w:t>Insumos:</w:t>
      </w:r>
      <w:r w:rsidR="00E84DA1" w:rsidRPr="00C816C5">
        <w:rPr>
          <w:rFonts w:ascii="Calibri Light" w:eastAsia="MS Gothic" w:hAnsi="Calibri Light"/>
          <w:lang w:val="es-ES_tradnl" w:eastAsia="en-US"/>
        </w:rPr>
        <w:t xml:space="preserve"> </w:t>
      </w:r>
      <w:r w:rsidR="00C816C5" w:rsidRPr="00C816C5">
        <w:rPr>
          <w:rFonts w:ascii="Calibri Light" w:eastAsia="MS Gothic" w:hAnsi="Calibri Light"/>
          <w:lang w:val="es-ES_tradnl" w:eastAsia="en-US"/>
        </w:rPr>
        <w:t xml:space="preserve"> </w:t>
      </w:r>
      <w:r w:rsidR="00FF3863" w:rsidRPr="00C816C5">
        <w:rPr>
          <w:rFonts w:eastAsia="MS Gothic"/>
          <w:lang w:val="es-ES_tradnl" w:eastAsia="en-US"/>
        </w:rPr>
        <w:t>El</w:t>
      </w:r>
      <w:r w:rsidR="00FF3863" w:rsidRPr="00216226">
        <w:rPr>
          <w:rFonts w:eastAsia="MS Gothic"/>
          <w:lang w:val="es-ES_tradnl" w:eastAsia="en-US"/>
        </w:rPr>
        <w:t xml:space="preserve"> Fondo Mundial apoya el fortalecimiento de la respuesta (ampliación del horario de </w:t>
      </w:r>
      <w:r w:rsidR="00C72571" w:rsidRPr="00216226">
        <w:rPr>
          <w:rFonts w:eastAsia="MS Gothic"/>
          <w:lang w:val="es-ES_tradnl" w:eastAsia="en-US"/>
        </w:rPr>
        <w:t>apertura,</w:t>
      </w:r>
      <w:r w:rsidR="00FF3863" w:rsidRPr="00216226">
        <w:rPr>
          <w:rFonts w:eastAsia="MS Gothic"/>
          <w:lang w:val="es-ES_tradnl" w:eastAsia="en-US"/>
        </w:rPr>
        <w:t xml:space="preserve"> capacitación para los servicios favorable con las poblaciones clave, acompañamiento de personas recientemente diagnosticadas por un miembro de las ONG), contribuyendo a que </w:t>
      </w:r>
      <w:r w:rsidR="00A157D9" w:rsidRPr="00216226">
        <w:rPr>
          <w:rFonts w:eastAsia="MS Gothic"/>
          <w:lang w:val="es-ES_tradnl" w:eastAsia="en-US"/>
        </w:rPr>
        <w:t xml:space="preserve">la </w:t>
      </w:r>
      <w:r w:rsidR="00FF3863" w:rsidRPr="00216226">
        <w:rPr>
          <w:rFonts w:eastAsia="MS Gothic"/>
          <w:lang w:val="es-ES_tradnl" w:eastAsia="en-US"/>
        </w:rPr>
        <w:t>vinculación con la atención sea mayor</w:t>
      </w:r>
      <w:r w:rsidR="00E84DA1" w:rsidRPr="00216226">
        <w:rPr>
          <w:rFonts w:eastAsia="MS Gothic"/>
          <w:lang w:val="es-ES_tradnl" w:eastAsia="en-US"/>
        </w:rPr>
        <w:t xml:space="preserve">. </w:t>
      </w:r>
      <w:r w:rsidR="00C72571" w:rsidRPr="00216226">
        <w:rPr>
          <w:rFonts w:eastAsia="MS Gothic"/>
          <w:lang w:val="es-ES_tradnl" w:eastAsia="en-US"/>
        </w:rPr>
        <w:t>En algunos centros, las inversiones posibilitan la existencia de navegadores pares</w:t>
      </w:r>
      <w:r w:rsidR="00E84DA1" w:rsidRPr="00216226">
        <w:rPr>
          <w:rFonts w:eastAsia="MS Gothic"/>
          <w:vertAlign w:val="superscript"/>
          <w:lang w:val="es-ES_tradnl" w:eastAsia="en-US"/>
        </w:rPr>
        <w:footnoteReference w:id="8"/>
      </w:r>
      <w:r w:rsidR="00E84DA1" w:rsidRPr="00216226">
        <w:rPr>
          <w:rFonts w:eastAsia="MS Gothic"/>
          <w:lang w:val="es-ES_tradnl" w:eastAsia="en-US"/>
        </w:rPr>
        <w:t xml:space="preserve"> </w:t>
      </w:r>
      <w:r w:rsidR="00C72571" w:rsidRPr="00216226">
        <w:rPr>
          <w:rFonts w:eastAsia="MS Gothic"/>
          <w:lang w:val="es-ES_tradnl" w:eastAsia="en-US"/>
        </w:rPr>
        <w:t>que ayudan a las poblaciones clave que han sido diagnosticadas con VIH a través del sistema de salud</w:t>
      </w:r>
      <w:r w:rsidR="00E84DA1" w:rsidRPr="00216226">
        <w:rPr>
          <w:rFonts w:eastAsia="MS Gothic"/>
          <w:lang w:val="es-ES_tradnl" w:eastAsia="en-US"/>
        </w:rPr>
        <w:t xml:space="preserve">. </w:t>
      </w:r>
      <w:r w:rsidR="00C72571" w:rsidRPr="00216226">
        <w:rPr>
          <w:rFonts w:eastAsia="MS Gothic"/>
          <w:lang w:val="es-ES_tradnl" w:eastAsia="en-US"/>
        </w:rPr>
        <w:t>La búsqueda de casos perdidos también se implementa con la colaboración de grupos comunitarios, financiada por la subvención del Fondo Mundial</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w:t>
      </w:r>
      <w:r w:rsidR="00680A78" w:rsidRPr="00216226">
        <w:rPr>
          <w:rFonts w:eastAsia="MS Gothic"/>
          <w:lang w:val="es-ES_tradnl" w:eastAsia="en-US"/>
        </w:rPr>
        <w:t xml:space="preserve"> </w:t>
      </w:r>
    </w:p>
    <w:p w14:paraId="7DE032E5" w14:textId="58A626B5" w:rsidR="00E84DA1" w:rsidRPr="00216226" w:rsidRDefault="00320DF5" w:rsidP="00C816C5">
      <w:pPr>
        <w:jc w:val="both"/>
        <w:rPr>
          <w:rFonts w:ascii="Calibri Light" w:eastAsia="MS Gothic" w:hAnsi="Calibri Light"/>
          <w:lang w:val="es-ES_tradnl" w:eastAsia="en-US"/>
        </w:rPr>
      </w:pPr>
      <w:r w:rsidRPr="00C816C5">
        <w:rPr>
          <w:rFonts w:eastAsia="MS Gothic"/>
          <w:lang w:val="es-ES_tradnl" w:eastAsia="en-US"/>
        </w:rPr>
        <w:t>Productos:</w:t>
      </w:r>
      <w:r w:rsidR="00E84DA1" w:rsidRPr="00C816C5">
        <w:rPr>
          <w:rFonts w:ascii="Calibri Light" w:eastAsia="MS Gothic" w:hAnsi="Calibri Light"/>
          <w:lang w:val="es-ES_tradnl" w:eastAsia="en-US"/>
        </w:rPr>
        <w:t xml:space="preserve"> </w:t>
      </w:r>
      <w:bookmarkStart w:id="27" w:name="_Hlk8231985"/>
      <w:r w:rsidR="00C72571" w:rsidRPr="00216226">
        <w:rPr>
          <w:rFonts w:eastAsia="MS Gothic"/>
          <w:lang w:val="es-ES_tradnl" w:eastAsia="en-US"/>
        </w:rPr>
        <w:t>Los servicios de divulgación están disponibles para poblaciones clave y vulnerables proporcionadas por ONG y organizaciones comunitarias. Las poblaciones clave y vulnerables también pueden acceder a ocho clínicas públicas (VICITS), cuyos servicios de divulgación cuentan con el respaldo del Fondo Mundial, aunque no cubren todo el país</w:t>
      </w:r>
      <w:r w:rsidR="00E84DA1" w:rsidRPr="00216226">
        <w:rPr>
          <w:rFonts w:eastAsia="MS Gothic"/>
          <w:lang w:val="es-ES_tradnl" w:eastAsia="en-US"/>
        </w:rPr>
        <w:t xml:space="preserve">. </w:t>
      </w:r>
      <w:r w:rsidR="00C72571" w:rsidRPr="00216226">
        <w:rPr>
          <w:rFonts w:eastAsia="MS Gothic"/>
          <w:lang w:val="es-ES_tradnl" w:eastAsia="en-US"/>
        </w:rPr>
        <w:t>Las inversiones han hecho posible la existencia de navegadores pares</w:t>
      </w:r>
      <w:r w:rsidR="00072F38">
        <w:rPr>
          <w:rFonts w:eastAsia="MS Gothic"/>
          <w:lang w:val="es-ES_tradnl" w:eastAsia="en-US"/>
        </w:rPr>
        <w:t xml:space="preserve"> para vincularse y navegar por </w:t>
      </w:r>
      <w:r w:rsidR="00C72571" w:rsidRPr="00216226">
        <w:rPr>
          <w:rFonts w:eastAsia="MS Gothic"/>
          <w:lang w:val="es-ES_tradnl" w:eastAsia="en-US"/>
        </w:rPr>
        <w:t>l</w:t>
      </w:r>
      <w:r w:rsidR="00072F38">
        <w:rPr>
          <w:rFonts w:eastAsia="MS Gothic"/>
          <w:lang w:val="es-ES_tradnl" w:eastAsia="en-US"/>
        </w:rPr>
        <w:t>os</w:t>
      </w:r>
      <w:r w:rsidR="00C72571" w:rsidRPr="00216226">
        <w:rPr>
          <w:rFonts w:eastAsia="MS Gothic"/>
          <w:lang w:val="es-ES_tradnl" w:eastAsia="en-US"/>
        </w:rPr>
        <w:t xml:space="preserve"> SAI, aunque la efectividad varía de un centro a otro</w:t>
      </w:r>
      <w:r w:rsidR="00E84DA1" w:rsidRPr="00216226">
        <w:rPr>
          <w:rFonts w:eastAsia="MS Gothic"/>
          <w:lang w:val="es-ES_tradnl" w:eastAsia="en-US"/>
        </w:rPr>
        <w:t xml:space="preserve"> </w:t>
      </w:r>
      <w:r w:rsidR="000A4808" w:rsidRPr="00216226">
        <w:rPr>
          <w:rFonts w:eastAsia="MS Gothic"/>
          <w:lang w:val="es-ES_tradnl" w:eastAsia="en-US"/>
        </w:rPr>
        <w:t>(Visita de campo</w:t>
      </w:r>
      <w:bookmarkEnd w:id="27"/>
      <w:r w:rsidR="000A4808" w:rsidRPr="00216226">
        <w:rPr>
          <w:rFonts w:eastAsia="MS Gothic"/>
          <w:lang w:val="es-ES_tradnl" w:eastAsia="en-US"/>
        </w:rPr>
        <w:t>)</w:t>
      </w:r>
      <w:r w:rsidR="00E84DA1" w:rsidRPr="00216226">
        <w:rPr>
          <w:rFonts w:eastAsia="MS Gothic"/>
          <w:lang w:val="es-ES_tradnl" w:eastAsia="en-US"/>
        </w:rPr>
        <w:t xml:space="preserve">. </w:t>
      </w:r>
    </w:p>
    <w:p w14:paraId="1D0D7494" w14:textId="63AF3E31" w:rsidR="00E84DA1" w:rsidRPr="00216226" w:rsidRDefault="004B3528" w:rsidP="00C816C5">
      <w:pPr>
        <w:jc w:val="both"/>
        <w:rPr>
          <w:rFonts w:ascii="Calibri Light" w:eastAsia="MS Gothic" w:hAnsi="Calibri Light"/>
          <w:lang w:val="es-ES_tradnl" w:eastAsia="en-US"/>
        </w:rPr>
      </w:pPr>
      <w:r w:rsidRPr="00C816C5">
        <w:rPr>
          <w:rFonts w:eastAsia="MS Gothic"/>
          <w:lang w:val="es-ES_tradnl" w:eastAsia="en-US"/>
        </w:rPr>
        <w:t>Resultados:</w:t>
      </w:r>
      <w:r w:rsidR="00E84DA1" w:rsidRPr="00C816C5">
        <w:rPr>
          <w:rFonts w:ascii="Calibri Light" w:eastAsia="MS Gothic" w:hAnsi="Calibri Light"/>
          <w:lang w:val="es-ES_tradnl" w:eastAsia="en-US"/>
        </w:rPr>
        <w:t xml:space="preserve"> </w:t>
      </w:r>
      <w:bookmarkStart w:id="28" w:name="_Hlk8231998"/>
      <w:r w:rsidR="00693551" w:rsidRPr="00216226">
        <w:rPr>
          <w:rFonts w:eastAsia="MS Gothic"/>
          <w:lang w:val="es-ES_tradnl" w:eastAsia="en-US"/>
        </w:rPr>
        <w:t>Según el análisis de la cascada del con</w:t>
      </w:r>
      <w:r w:rsidR="00C816C5">
        <w:rPr>
          <w:rFonts w:eastAsia="MS Gothic"/>
          <w:lang w:val="es-ES_tradnl" w:eastAsia="en-US"/>
        </w:rPr>
        <w:t>tinuo de atención</w:t>
      </w:r>
      <w:r w:rsidR="00693551" w:rsidRPr="00216226">
        <w:rPr>
          <w:rFonts w:eastAsia="MS Gothic"/>
          <w:lang w:val="es-ES_tradnl" w:eastAsia="en-US"/>
        </w:rPr>
        <w:t>, entre 2013 y 2016 el nú</w:t>
      </w:r>
      <w:r w:rsidR="00072F38">
        <w:rPr>
          <w:rFonts w:eastAsia="MS Gothic"/>
          <w:lang w:val="es-ES_tradnl" w:eastAsia="en-US"/>
        </w:rPr>
        <w:t>mero de personas vinculadas a lo</w:t>
      </w:r>
      <w:r w:rsidR="00693551" w:rsidRPr="00216226">
        <w:rPr>
          <w:rFonts w:eastAsia="MS Gothic"/>
          <w:lang w:val="es-ES_tradnl" w:eastAsia="en-US"/>
        </w:rPr>
        <w:t xml:space="preserve">s </w:t>
      </w:r>
      <w:r w:rsidR="00E84DA1" w:rsidRPr="00216226">
        <w:rPr>
          <w:rFonts w:eastAsia="MS Gothic"/>
          <w:lang w:val="es-ES_tradnl" w:eastAsia="en-US"/>
        </w:rPr>
        <w:t>SAI (</w:t>
      </w:r>
      <w:r w:rsidR="00693551" w:rsidRPr="00216226">
        <w:rPr>
          <w:rFonts w:eastAsia="MS Gothic"/>
          <w:lang w:val="es-ES_tradnl" w:eastAsia="en-US"/>
        </w:rPr>
        <w:t xml:space="preserve">de las cuales había 54 en 2016) aumentó de </w:t>
      </w:r>
      <w:r w:rsidR="00E84DA1" w:rsidRPr="00216226">
        <w:rPr>
          <w:rFonts w:eastAsia="MS Gothic"/>
          <w:lang w:val="es-ES_tradnl" w:eastAsia="en-US"/>
        </w:rPr>
        <w:t xml:space="preserve">82.5% </w:t>
      </w:r>
      <w:r w:rsidR="00693551" w:rsidRPr="00216226">
        <w:rPr>
          <w:rFonts w:eastAsia="MS Gothic"/>
          <w:lang w:val="es-ES_tradnl" w:eastAsia="en-US"/>
        </w:rPr>
        <w:t>a</w:t>
      </w:r>
      <w:r w:rsidR="00E84DA1" w:rsidRPr="00216226">
        <w:rPr>
          <w:rFonts w:eastAsia="MS Gothic"/>
          <w:lang w:val="es-ES_tradnl" w:eastAsia="en-US"/>
        </w:rPr>
        <w:t xml:space="preserve"> 85.5% </w:t>
      </w:r>
      <w:r w:rsidR="00693551" w:rsidRPr="00216226">
        <w:rPr>
          <w:rFonts w:eastAsia="MS Gothic"/>
          <w:lang w:val="es-ES_tradnl" w:eastAsia="en-US"/>
        </w:rPr>
        <w:t>y de ellas</w:t>
      </w:r>
      <w:r w:rsidR="00E84DA1" w:rsidRPr="00216226">
        <w:rPr>
          <w:rFonts w:eastAsia="MS Gothic"/>
          <w:lang w:val="es-ES_tradnl" w:eastAsia="en-US"/>
        </w:rPr>
        <w:t xml:space="preserve">, 80% </w:t>
      </w:r>
      <w:r w:rsidR="00693551" w:rsidRPr="00216226">
        <w:rPr>
          <w:rFonts w:eastAsia="MS Gothic"/>
          <w:lang w:val="es-ES_tradnl" w:eastAsia="en-US"/>
        </w:rPr>
        <w:t>y</w:t>
      </w:r>
      <w:r w:rsidR="00E84DA1" w:rsidRPr="00216226">
        <w:rPr>
          <w:rFonts w:eastAsia="MS Gothic"/>
          <w:lang w:val="es-ES_tradnl" w:eastAsia="en-US"/>
        </w:rPr>
        <w:t xml:space="preserve"> 83.5%, </w:t>
      </w:r>
      <w:r w:rsidR="00693551" w:rsidRPr="00216226">
        <w:rPr>
          <w:rFonts w:eastAsia="MS Gothic"/>
          <w:lang w:val="es-ES_tradnl" w:eastAsia="en-US"/>
        </w:rPr>
        <w:t>respectivamente</w:t>
      </w:r>
      <w:r w:rsidR="00E84DA1" w:rsidRPr="00216226">
        <w:rPr>
          <w:rFonts w:eastAsia="MS Gothic"/>
          <w:lang w:val="es-ES_tradnl" w:eastAsia="en-US"/>
        </w:rPr>
        <w:t xml:space="preserve">, </w:t>
      </w:r>
      <w:r w:rsidR="00693551" w:rsidRPr="00216226">
        <w:rPr>
          <w:rFonts w:eastAsia="MS Gothic"/>
          <w:lang w:val="es-ES_tradnl" w:eastAsia="en-US"/>
        </w:rPr>
        <w:t>iniciaron</w:t>
      </w:r>
      <w:r w:rsidR="00E84DA1" w:rsidRPr="00216226">
        <w:rPr>
          <w:rFonts w:eastAsia="MS Gothic"/>
          <w:lang w:val="es-ES_tradnl" w:eastAsia="en-US"/>
        </w:rPr>
        <w:t xml:space="preserve"> trat</w:t>
      </w:r>
      <w:r w:rsidR="00693551" w:rsidRPr="00216226">
        <w:rPr>
          <w:rFonts w:eastAsia="MS Gothic"/>
          <w:lang w:val="es-ES_tradnl" w:eastAsia="en-US"/>
        </w:rPr>
        <w:t>a</w:t>
      </w:r>
      <w:r w:rsidR="00E84DA1" w:rsidRPr="00216226">
        <w:rPr>
          <w:rFonts w:eastAsia="MS Gothic"/>
          <w:lang w:val="es-ES_tradnl" w:eastAsia="en-US"/>
        </w:rPr>
        <w:t>m</w:t>
      </w:r>
      <w:r w:rsidR="00693551" w:rsidRPr="00216226">
        <w:rPr>
          <w:rFonts w:eastAsia="MS Gothic"/>
          <w:lang w:val="es-ES_tradnl" w:eastAsia="en-US"/>
        </w:rPr>
        <w:t>i</w:t>
      </w:r>
      <w:r w:rsidR="00E84DA1" w:rsidRPr="00216226">
        <w:rPr>
          <w:rFonts w:eastAsia="MS Gothic"/>
          <w:lang w:val="es-ES_tradnl" w:eastAsia="en-US"/>
        </w:rPr>
        <w:t>ent</w:t>
      </w:r>
      <w:r w:rsidR="00693551" w:rsidRPr="00216226">
        <w:rPr>
          <w:rFonts w:eastAsia="MS Gothic"/>
          <w:lang w:val="es-ES_tradnl" w:eastAsia="en-US"/>
        </w:rPr>
        <w:t>o</w:t>
      </w:r>
      <w:r w:rsidR="00E84DA1" w:rsidRPr="00216226">
        <w:rPr>
          <w:rFonts w:eastAsia="MS Gothic"/>
          <w:lang w:val="es-ES_tradnl" w:eastAsia="en-US"/>
        </w:rPr>
        <w:t xml:space="preserve">. </w:t>
      </w:r>
      <w:r w:rsidR="00693551" w:rsidRPr="00216226">
        <w:rPr>
          <w:rFonts w:eastAsia="MS Gothic"/>
          <w:lang w:val="es-ES_tradnl" w:eastAsia="en-US"/>
        </w:rPr>
        <w:t xml:space="preserve">La pérdida durante el seguimiento en 2016 fue </w:t>
      </w:r>
      <w:r w:rsidR="00E84DA1" w:rsidRPr="00216226">
        <w:rPr>
          <w:rFonts w:eastAsia="MS Gothic"/>
          <w:lang w:val="es-ES_tradnl" w:eastAsia="en-US"/>
        </w:rPr>
        <w:t xml:space="preserve">10%, </w:t>
      </w:r>
      <w:r w:rsidR="00693551" w:rsidRPr="00216226">
        <w:rPr>
          <w:rFonts w:eastAsia="MS Gothic"/>
          <w:lang w:val="es-ES_tradnl" w:eastAsia="en-US"/>
        </w:rPr>
        <w:t xml:space="preserve">pero no existen cifras pasadas disponibles para realizar comparaciones históricas </w:t>
      </w:r>
      <w:r w:rsidR="00E84DA1" w:rsidRPr="00216226">
        <w:rPr>
          <w:rFonts w:eastAsia="MS Gothic"/>
          <w:lang w:val="es-ES_tradnl" w:eastAsia="en-US"/>
        </w:rPr>
        <w:t>(SESAL, 2018a</w:t>
      </w:r>
      <w:bookmarkEnd w:id="28"/>
      <w:r w:rsidR="00E84DA1" w:rsidRPr="00216226">
        <w:rPr>
          <w:rFonts w:eastAsia="MS Gothic"/>
          <w:lang w:val="es-ES_tradnl" w:eastAsia="en-US"/>
        </w:rPr>
        <w:t xml:space="preserve">). </w:t>
      </w:r>
    </w:p>
    <w:p w14:paraId="283E0F22" w14:textId="6C4EE9DD" w:rsidR="00E84DA1" w:rsidRPr="00216226" w:rsidRDefault="00693551" w:rsidP="00B032C2">
      <w:pPr>
        <w:jc w:val="both"/>
        <w:rPr>
          <w:rFonts w:eastAsia="MS Gothic"/>
          <w:lang w:val="es-ES_tradnl" w:eastAsia="en-US"/>
        </w:rPr>
      </w:pPr>
      <w:bookmarkStart w:id="29" w:name="_Hlk8232020"/>
      <w:r w:rsidRPr="00216226">
        <w:rPr>
          <w:rFonts w:eastAsia="MS Gothic"/>
          <w:lang w:val="es-ES_tradnl" w:eastAsia="en-US"/>
        </w:rPr>
        <w:t xml:space="preserve">Sin embargo, estas cifras se basan en las cohortes de </w:t>
      </w:r>
      <w:r w:rsidR="00A157D9" w:rsidRPr="00216226">
        <w:rPr>
          <w:rFonts w:eastAsia="MS Gothic"/>
          <w:lang w:val="es-ES_tradnl" w:eastAsia="en-US"/>
        </w:rPr>
        <w:t xml:space="preserve">los </w:t>
      </w:r>
      <w:r w:rsidRPr="00216226">
        <w:rPr>
          <w:rFonts w:eastAsia="MS Gothic"/>
          <w:lang w:val="es-ES_tradnl" w:eastAsia="en-US"/>
        </w:rPr>
        <w:t xml:space="preserve">hospitales. Dado que la base de datos no es nominal y que algunas partes interesadas sospechan que los registros hospitalarios no son precisos o no se informan con precisión, las cifras pueden no ser totalmente confiables </w:t>
      </w:r>
      <w:r w:rsidR="000A4808" w:rsidRPr="00216226">
        <w:rPr>
          <w:rFonts w:eastAsia="MS Gothic"/>
          <w:lang w:val="es-ES_tradnl" w:eastAsia="en-US"/>
        </w:rPr>
        <w:t>(Visita de campo</w:t>
      </w:r>
      <w:bookmarkEnd w:id="29"/>
      <w:r w:rsidR="000A4808" w:rsidRPr="00216226">
        <w:rPr>
          <w:rFonts w:eastAsia="MS Gothic"/>
          <w:lang w:val="es-ES_tradnl" w:eastAsia="en-US"/>
        </w:rPr>
        <w:t>)</w:t>
      </w:r>
      <w:r w:rsidR="00E84DA1" w:rsidRPr="00216226">
        <w:rPr>
          <w:rFonts w:eastAsia="MS Gothic"/>
          <w:lang w:val="es-ES_tradnl" w:eastAsia="en-US"/>
        </w:rPr>
        <w:t xml:space="preserve">. </w:t>
      </w:r>
    </w:p>
    <w:p w14:paraId="33F60A1F" w14:textId="0ECA664E" w:rsidR="00E84DA1" w:rsidRPr="00216226" w:rsidRDefault="00EE0F21" w:rsidP="00B032C2">
      <w:pPr>
        <w:jc w:val="both"/>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E84DA1" w:rsidRPr="00216226">
        <w:rPr>
          <w:rFonts w:ascii="Calibri Light" w:eastAsia="MS Gothic" w:hAnsi="Calibri Light" w:cs="Times New Roman"/>
          <w:b/>
          <w:lang w:val="es-ES_tradnl" w:eastAsia="en-US"/>
        </w:rPr>
        <w:t xml:space="preserve"> 2.4 </w:t>
      </w:r>
      <w:r w:rsidR="00AE4C8D" w:rsidRPr="00216226">
        <w:rPr>
          <w:rFonts w:ascii="Calibri Light" w:eastAsia="MS Gothic" w:hAnsi="Calibri Light" w:cs="Times New Roman"/>
          <w:b/>
          <w:lang w:val="es-ES_tradnl" w:eastAsia="en-US"/>
        </w:rPr>
        <w:t xml:space="preserve">Tratamiento, atención clínica y monitoreo </w:t>
      </w:r>
    </w:p>
    <w:p w14:paraId="00EF20A8" w14:textId="204DE673" w:rsidR="00E84DA1" w:rsidRPr="00216226" w:rsidRDefault="00320DF5" w:rsidP="00B032C2">
      <w:pPr>
        <w:jc w:val="both"/>
        <w:rPr>
          <w:rFonts w:ascii="Calibri Light" w:eastAsia="MS Gothic" w:hAnsi="Calibri Light"/>
          <w:lang w:val="es-ES_tradnl" w:eastAsia="en-US"/>
        </w:rPr>
      </w:pPr>
      <w:r w:rsidRPr="00C816C5">
        <w:rPr>
          <w:rFonts w:eastAsia="MS Gothic"/>
          <w:lang w:val="es-ES_tradnl" w:eastAsia="en-US"/>
        </w:rPr>
        <w:t>Insumos:</w:t>
      </w:r>
      <w:r w:rsidR="00E84DA1" w:rsidRPr="00C816C5">
        <w:rPr>
          <w:rFonts w:ascii="Calibri Light" w:eastAsia="MS Gothic" w:hAnsi="Calibri Light"/>
          <w:lang w:val="es-ES_tradnl" w:eastAsia="en-US"/>
        </w:rPr>
        <w:t xml:space="preserve"> </w:t>
      </w:r>
      <w:r w:rsidR="00AE4C8D" w:rsidRPr="00216226">
        <w:rPr>
          <w:rFonts w:eastAsia="MS Gothic"/>
          <w:lang w:val="es-ES_tradnl" w:eastAsia="en-US"/>
        </w:rPr>
        <w:t xml:space="preserve">Desde 2003, cuando se puso en marcha la primera subvención en el país, el Fondo Mundial ha estado apoyando toda la gama de actividades relacionadas con el tratamiento, la atención clínica </w:t>
      </w:r>
      <w:r w:rsidR="00AE4C8D" w:rsidRPr="00216226">
        <w:rPr>
          <w:rFonts w:eastAsia="MS Gothic"/>
          <w:lang w:val="es-ES_tradnl" w:eastAsia="en-US"/>
        </w:rPr>
        <w:lastRenderedPageBreak/>
        <w:t>y el monitoreo</w:t>
      </w:r>
      <w:r w:rsidR="00E84DA1" w:rsidRPr="00216226">
        <w:rPr>
          <w:rFonts w:eastAsia="MS Gothic"/>
          <w:lang w:val="es-ES_tradnl" w:eastAsia="en-US"/>
        </w:rPr>
        <w:t xml:space="preserve">. </w:t>
      </w:r>
      <w:r w:rsidR="00AE4C8D" w:rsidRPr="00216226">
        <w:rPr>
          <w:rFonts w:eastAsia="MS Gothic"/>
          <w:lang w:val="es-ES_tradnl" w:eastAsia="en-US"/>
        </w:rPr>
        <w:t xml:space="preserve">Sin embargo, el país se ha estado haciendo cargo gradualmente, y actualmente los recursos nacionales cubren entre el 93% y el 98% (dependiendo de la fuente) del costo de TARV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00AE4C8D" w:rsidRPr="00216226">
        <w:rPr>
          <w:rFonts w:eastAsia="MS Gothic"/>
          <w:lang w:val="es-ES_tradnl" w:eastAsia="en-US"/>
        </w:rPr>
        <w:t>El Fondo Mundial sigue apoyando el tratamiento de primera línea con TARV para una cohorte de pacientes que se están monitoreando para estimar la supervivencia 12 meses después del inicio del tratamiento, y la terapia de rescate / tercera línea para los pacientes que no tienen otras opciones</w:t>
      </w:r>
      <w:r w:rsidR="00E84DA1" w:rsidRPr="00216226">
        <w:rPr>
          <w:rFonts w:eastAsia="MS Gothic"/>
          <w:lang w:val="es-ES_tradnl" w:eastAsia="en-US"/>
        </w:rPr>
        <w:t xml:space="preserve">. </w:t>
      </w:r>
    </w:p>
    <w:p w14:paraId="70C474E4" w14:textId="65E16C59" w:rsidR="00E84DA1" w:rsidRPr="00216226" w:rsidRDefault="00AE4C8D" w:rsidP="00B032C2">
      <w:pPr>
        <w:jc w:val="both"/>
        <w:rPr>
          <w:rFonts w:eastAsia="MS Gothic"/>
          <w:lang w:val="es-ES_tradnl" w:eastAsia="en-US"/>
        </w:rPr>
      </w:pPr>
      <w:r w:rsidRPr="00216226">
        <w:rPr>
          <w:rFonts w:eastAsia="MS Gothic"/>
          <w:lang w:val="es-ES_tradnl" w:eastAsia="en-US"/>
        </w:rPr>
        <w:t>El Fondo Mundial también apoya la capacitación en sensibilidad para profesionales sanitarios, el desarrollo de protocolos y directrices nacionales, así como la vinculación y permanencia en el sistema de salud y la búsqueda de casos perdidos (MCP, 2015; Visita de campo</w:t>
      </w:r>
      <w:r w:rsidR="00E84DA1" w:rsidRPr="00216226">
        <w:rPr>
          <w:rFonts w:eastAsia="MS Gothic"/>
          <w:lang w:val="es-ES_tradnl" w:eastAsia="en-US"/>
        </w:rPr>
        <w:t xml:space="preserve">). </w:t>
      </w:r>
    </w:p>
    <w:p w14:paraId="3BC540F2" w14:textId="33073ABB" w:rsidR="00E84DA1" w:rsidRPr="00216226" w:rsidRDefault="00AE4C8D" w:rsidP="00B032C2">
      <w:pPr>
        <w:jc w:val="both"/>
        <w:rPr>
          <w:rFonts w:eastAsia="MS Gothic"/>
          <w:lang w:val="es-ES_tradnl" w:eastAsia="en-US"/>
        </w:rPr>
      </w:pPr>
      <w:r w:rsidRPr="00216226">
        <w:rPr>
          <w:rFonts w:eastAsia="MS Gothic"/>
          <w:lang w:val="es-ES_tradnl" w:eastAsia="en-US"/>
        </w:rPr>
        <w:t xml:space="preserve">También se presta apoyo para supervisar las quejas y la defensa de los derechos, </w:t>
      </w:r>
      <w:r w:rsidR="00A157D9" w:rsidRPr="00216226">
        <w:rPr>
          <w:rFonts w:eastAsia="MS Gothic"/>
          <w:lang w:val="es-ES_tradnl" w:eastAsia="en-US"/>
        </w:rPr>
        <w:t>además de</w:t>
      </w:r>
      <w:r w:rsidRPr="00216226">
        <w:rPr>
          <w:rFonts w:eastAsia="MS Gothic"/>
          <w:lang w:val="es-ES_tradnl" w:eastAsia="en-US"/>
        </w:rPr>
        <w:t xml:space="preserve"> mejorar las opciones de acceso al tratamiento y disponibilidad (ampliación del horario de atención) (MCP, 2015; Visita de campo</w:t>
      </w:r>
      <w:r w:rsidR="00E84DA1" w:rsidRPr="00216226">
        <w:rPr>
          <w:rFonts w:eastAsia="MS Gothic"/>
          <w:lang w:val="es-ES_tradnl" w:eastAsia="en-US"/>
        </w:rPr>
        <w:t xml:space="preserve">). </w:t>
      </w:r>
    </w:p>
    <w:p w14:paraId="19595B82" w14:textId="308C5AE1" w:rsidR="00E84DA1" w:rsidRPr="00216226" w:rsidRDefault="00AE4C8D" w:rsidP="00B032C2">
      <w:pPr>
        <w:jc w:val="both"/>
        <w:rPr>
          <w:rFonts w:eastAsia="MS Gothic"/>
          <w:lang w:val="es-ES_tradnl" w:eastAsia="en-US"/>
        </w:rPr>
      </w:pPr>
      <w:r w:rsidRPr="00216226">
        <w:rPr>
          <w:rFonts w:eastAsia="MS Gothic"/>
          <w:lang w:val="es-ES_tradnl" w:eastAsia="en-US"/>
        </w:rPr>
        <w:t xml:space="preserve">El Fondo Mundial financia la compra de equipos y reactivos para el recuento de CD4 y mediciones de carga viral. También apoya al servicio logístico para llevar muestras de sangre de todas </w:t>
      </w:r>
      <w:r w:rsidR="00072F38">
        <w:rPr>
          <w:rFonts w:eastAsia="MS Gothic"/>
          <w:lang w:val="es-ES_tradnl" w:eastAsia="en-US"/>
        </w:rPr>
        <w:t>los</w:t>
      </w:r>
      <w:r w:rsidRPr="00216226">
        <w:rPr>
          <w:rFonts w:eastAsia="MS Gothic"/>
          <w:lang w:val="es-ES_tradnl" w:eastAsia="en-US"/>
        </w:rPr>
        <w:t xml:space="preserve"> SAI al Laboratorio Nacional de VIH en la capital</w:t>
      </w:r>
      <w:r w:rsidR="00E84DA1" w:rsidRPr="00216226">
        <w:rPr>
          <w:rFonts w:eastAsia="MS Gothic"/>
          <w:lang w:val="es-ES_tradnl" w:eastAsia="en-US"/>
        </w:rPr>
        <w:t xml:space="preserve">. </w:t>
      </w:r>
    </w:p>
    <w:p w14:paraId="14184AAB" w14:textId="3E7EA086" w:rsidR="00E84DA1" w:rsidRPr="00216226" w:rsidRDefault="00320DF5" w:rsidP="00B032C2">
      <w:pPr>
        <w:jc w:val="both"/>
        <w:rPr>
          <w:rFonts w:ascii="Calibri Light" w:eastAsia="MS Gothic" w:hAnsi="Calibri Light"/>
          <w:lang w:val="es-ES_tradnl" w:eastAsia="en-US"/>
        </w:rPr>
      </w:pPr>
      <w:r w:rsidRPr="00C816C5">
        <w:rPr>
          <w:rFonts w:eastAsia="MS Gothic"/>
          <w:lang w:val="es-ES_tradnl" w:eastAsia="en-US"/>
        </w:rPr>
        <w:t>Productos:</w:t>
      </w:r>
      <w:r w:rsidR="00E84DA1" w:rsidRPr="00C816C5">
        <w:rPr>
          <w:rFonts w:ascii="Calibri Light" w:eastAsia="MS Gothic" w:hAnsi="Calibri Light"/>
          <w:lang w:val="es-ES_tradnl" w:eastAsia="en-US"/>
        </w:rPr>
        <w:t xml:space="preserve"> </w:t>
      </w:r>
      <w:bookmarkStart w:id="30" w:name="_Hlk8232098"/>
      <w:r w:rsidR="00872FAC" w:rsidRPr="00216226">
        <w:rPr>
          <w:rFonts w:eastAsia="MS Gothic"/>
          <w:lang w:val="es-ES_tradnl" w:eastAsia="en-US"/>
        </w:rPr>
        <w:t xml:space="preserve">La cantidad de personal sanitario que se está sensibilizando y capacitando es </w:t>
      </w:r>
      <w:r w:rsidR="00A157D9" w:rsidRPr="00216226">
        <w:rPr>
          <w:rFonts w:eastAsia="MS Gothic"/>
          <w:lang w:val="es-ES_tradnl" w:eastAsia="en-US"/>
        </w:rPr>
        <w:t>considerable</w:t>
      </w:r>
      <w:r w:rsidR="00872FAC" w:rsidRPr="00216226">
        <w:rPr>
          <w:rFonts w:eastAsia="MS Gothic"/>
          <w:lang w:val="es-ES_tradnl" w:eastAsia="en-US"/>
        </w:rPr>
        <w:t xml:space="preserve">: 535 profesionales en 2017 y 821 en 2018 (enero a septiembre) (comunicación por correo electrónico de </w:t>
      </w:r>
      <w:r w:rsidR="00E84DA1" w:rsidRPr="00216226">
        <w:rPr>
          <w:rFonts w:eastAsia="MS Gothic"/>
          <w:lang w:val="es-ES_tradnl" w:eastAsia="en-US"/>
        </w:rPr>
        <w:t xml:space="preserve">CONADEH, 2018). </w:t>
      </w:r>
      <w:r w:rsidR="00872FAC" w:rsidRPr="00216226">
        <w:rPr>
          <w:rFonts w:eastAsia="MS Gothic"/>
          <w:lang w:val="es-ES_tradnl" w:eastAsia="en-US"/>
        </w:rPr>
        <w:t xml:space="preserve">Sin embargo, siguen existiendo importantes brechas debido a la elevada rotación de personal y la falta de una política regular y consistente de los recién llegados de </w:t>
      </w:r>
      <w:r w:rsidR="00A157D9" w:rsidRPr="00216226">
        <w:rPr>
          <w:rFonts w:eastAsia="MS Gothic"/>
          <w:lang w:val="es-ES_tradnl" w:eastAsia="en-US"/>
        </w:rPr>
        <w:t xml:space="preserve">la </w:t>
      </w:r>
      <w:r w:rsidR="00872FAC" w:rsidRPr="00216226">
        <w:rPr>
          <w:rFonts w:eastAsia="MS Gothic"/>
          <w:lang w:val="es-ES_tradnl" w:eastAsia="en-US"/>
        </w:rPr>
        <w:t xml:space="preserve">capacitación </w:t>
      </w:r>
      <w:r w:rsidR="000A4808" w:rsidRPr="00216226">
        <w:rPr>
          <w:rFonts w:eastAsia="MS Gothic"/>
          <w:lang w:val="es-ES_tradnl" w:eastAsia="en-US"/>
        </w:rPr>
        <w:t>(Visita de campo</w:t>
      </w:r>
      <w:bookmarkEnd w:id="30"/>
      <w:r w:rsidR="000A4808" w:rsidRPr="00216226">
        <w:rPr>
          <w:rFonts w:eastAsia="MS Gothic"/>
          <w:lang w:val="es-ES_tradnl" w:eastAsia="en-US"/>
        </w:rPr>
        <w:t>)</w:t>
      </w:r>
      <w:r w:rsidR="00E84DA1" w:rsidRPr="00216226">
        <w:rPr>
          <w:rFonts w:eastAsia="MS Gothic"/>
          <w:lang w:val="es-ES_tradnl" w:eastAsia="en-US"/>
        </w:rPr>
        <w:t xml:space="preserve">. </w:t>
      </w:r>
    </w:p>
    <w:p w14:paraId="02F53DB1" w14:textId="60531A97" w:rsidR="00E84DA1" w:rsidRPr="00216226" w:rsidRDefault="00872FAC" w:rsidP="00B032C2">
      <w:pPr>
        <w:jc w:val="both"/>
        <w:rPr>
          <w:rFonts w:eastAsia="MS Gothic"/>
          <w:lang w:val="es-ES_tradnl" w:eastAsia="en-US"/>
        </w:rPr>
      </w:pPr>
      <w:r w:rsidRPr="00216226">
        <w:rPr>
          <w:rFonts w:eastAsia="MS Gothic"/>
          <w:lang w:val="es-ES_tradnl" w:eastAsia="en-US"/>
        </w:rPr>
        <w:t>Desde 2015, el país ha intentado adaptar las combinaciones de TARV que se ofrecen a los pacientes en conformidad con sus Pautas de tratamiento optimizadas, adaptadas de las recomendaciones de la Organización Mundial de la Salud (OMS)</w:t>
      </w:r>
      <w:r w:rsidR="00C816C5">
        <w:rPr>
          <w:rFonts w:eastAsia="MS Gothic"/>
          <w:lang w:val="es-ES_tradnl" w:eastAsia="en-US"/>
        </w:rPr>
        <w:t xml:space="preserve"> </w:t>
      </w:r>
      <w:r w:rsidR="00E84DA1" w:rsidRPr="00216226">
        <w:rPr>
          <w:rFonts w:eastAsia="MS Gothic"/>
          <w:lang w:val="es-ES_tradnl" w:eastAsia="en-US"/>
        </w:rPr>
        <w:t>(</w:t>
      </w:r>
      <w:r w:rsidRPr="00216226">
        <w:rPr>
          <w:rFonts w:eastAsia="MS Gothic"/>
          <w:lang w:val="es-ES_tradnl" w:eastAsia="en-US"/>
        </w:rPr>
        <w:t>OPS</w:t>
      </w:r>
      <w:r w:rsidR="00E84DA1" w:rsidRPr="00216226">
        <w:rPr>
          <w:rFonts w:eastAsia="MS Gothic"/>
          <w:lang w:val="es-ES_tradnl" w:eastAsia="en-US"/>
        </w:rPr>
        <w:t xml:space="preserve">, 2017). </w:t>
      </w:r>
      <w:r w:rsidRPr="00216226">
        <w:rPr>
          <w:rFonts w:eastAsia="MS Gothic"/>
          <w:lang w:val="es-ES_tradnl" w:eastAsia="en-US"/>
        </w:rPr>
        <w:t xml:space="preserve">Sin embargo, el país ha mantenido un calendario obsoleto de visitas para PVVIH. La mayoría de los pacientes deben asistir a </w:t>
      </w:r>
      <w:r w:rsidR="00072F38">
        <w:rPr>
          <w:rFonts w:eastAsia="MS Gothic"/>
          <w:lang w:val="es-ES_tradnl" w:eastAsia="en-US"/>
        </w:rPr>
        <w:t>los SAI</w:t>
      </w:r>
      <w:r w:rsidRPr="00216226">
        <w:rPr>
          <w:rFonts w:eastAsia="MS Gothic"/>
          <w:lang w:val="es-ES_tradnl" w:eastAsia="en-US"/>
        </w:rPr>
        <w:t xml:space="preserve"> una vez al mes, y sólo ocasionalmente cada dos meses. Cada vez, los pacientes deben ver al médico para una revisión médica estándar antes de que puedan obtener su TARV. Las visitas están programadas temprano por la mañana para todos, lo que requiere largas horas de espera</w:t>
      </w:r>
      <w:r w:rsidR="00E84DA1" w:rsidRPr="00216226">
        <w:rPr>
          <w:rFonts w:eastAsia="MS Gothic"/>
          <w:lang w:val="es-ES_tradnl" w:eastAsia="en-US"/>
        </w:rPr>
        <w:t xml:space="preserve">. </w:t>
      </w:r>
      <w:r w:rsidRPr="00216226">
        <w:rPr>
          <w:rFonts w:eastAsia="MS Gothic"/>
          <w:lang w:val="es-ES_tradnl" w:eastAsia="en-US"/>
        </w:rPr>
        <w:t xml:space="preserve">A los pacientes que llegan más tarde de la hora límite para ser incluidos en la cola se les niega el servicio ese día y se los remite al consejero o al psicólogo antes de ser reprogramados para otra fecha, situación </w:t>
      </w:r>
      <w:r w:rsidR="00A157D9" w:rsidRPr="00216226">
        <w:rPr>
          <w:rFonts w:eastAsia="MS Gothic"/>
          <w:lang w:val="es-ES_tradnl" w:eastAsia="en-US"/>
        </w:rPr>
        <w:t>que los</w:t>
      </w:r>
      <w:r w:rsidRPr="00216226">
        <w:rPr>
          <w:rFonts w:eastAsia="MS Gothic"/>
          <w:lang w:val="es-ES_tradnl" w:eastAsia="en-US"/>
        </w:rPr>
        <w:t xml:space="preserve"> pacientes afectados interpretan como castigo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Pr="00216226">
        <w:rPr>
          <w:rFonts w:eastAsia="MS Gothic"/>
          <w:lang w:val="es-ES_tradnl" w:eastAsia="en-US"/>
        </w:rPr>
        <w:t xml:space="preserve">Este modelo de servicio tiene un alto impacto en la calidad de vida de los pacientes: implica un consumo intensivo de tiempo que afecta las responsabilidades domésticas (lo que tiene implicaciones de género) o solicitar permiso para faltar al trabajo repetidas veces y </w:t>
      </w:r>
      <w:r w:rsidR="00A157D9" w:rsidRPr="00216226">
        <w:rPr>
          <w:rFonts w:eastAsia="MS Gothic"/>
          <w:lang w:val="es-ES_tradnl" w:eastAsia="en-US"/>
        </w:rPr>
        <w:t xml:space="preserve">reiterados </w:t>
      </w:r>
      <w:r w:rsidRPr="00216226">
        <w:rPr>
          <w:rFonts w:eastAsia="MS Gothic"/>
          <w:lang w:val="es-ES_tradnl" w:eastAsia="en-US"/>
        </w:rPr>
        <w:t xml:space="preserve">gastos </w:t>
      </w:r>
      <w:r w:rsidR="00A157D9" w:rsidRPr="00216226">
        <w:rPr>
          <w:rFonts w:eastAsia="MS Gothic"/>
          <w:lang w:val="es-ES_tradnl" w:eastAsia="en-US"/>
        </w:rPr>
        <w:t>de</w:t>
      </w:r>
      <w:r w:rsidRPr="00216226">
        <w:rPr>
          <w:rFonts w:eastAsia="MS Gothic"/>
          <w:lang w:val="es-ES_tradnl" w:eastAsia="en-US"/>
        </w:rPr>
        <w:t xml:space="preserve"> transporte. También resulta en un uso muy intenso de los recursos humanos en los centros de salud, ya que los profesionales deben ver a los pacientes frecuentemente sin ninguna justificación médica</w:t>
      </w:r>
      <w:r w:rsidR="00E84DA1" w:rsidRPr="00216226">
        <w:rPr>
          <w:rFonts w:eastAsia="MS Gothic"/>
          <w:lang w:val="es-ES_tradnl" w:eastAsia="en-US"/>
        </w:rPr>
        <w:t>.</w:t>
      </w:r>
      <w:r w:rsidR="00680A78" w:rsidRPr="00216226">
        <w:rPr>
          <w:rFonts w:eastAsia="MS Gothic"/>
          <w:lang w:val="es-ES_tradnl" w:eastAsia="en-US"/>
        </w:rPr>
        <w:t xml:space="preserve"> </w:t>
      </w:r>
    </w:p>
    <w:p w14:paraId="154C724A" w14:textId="6534E03B" w:rsidR="00E84DA1" w:rsidRPr="00216226" w:rsidRDefault="00872FAC" w:rsidP="00E84DA1">
      <w:pPr>
        <w:jc w:val="both"/>
        <w:rPr>
          <w:rFonts w:eastAsia="MS Gothic"/>
          <w:lang w:val="es-ES_tradnl" w:eastAsia="en-US"/>
        </w:rPr>
      </w:pPr>
      <w:r w:rsidRPr="00216226">
        <w:rPr>
          <w:rFonts w:eastAsia="MS Gothic"/>
          <w:lang w:val="es-ES_tradnl" w:eastAsia="en-US"/>
        </w:rPr>
        <w:t xml:space="preserve">En San Pedro Sula está a punto de comenzar un modelo diferenciado de servicio de tratamiento como piloto, el cual implicará visitas médicas más espaciadas y recogida trimestral de TARV para los pacientes adherentes </w:t>
      </w:r>
      <w:r w:rsidR="000A4808" w:rsidRPr="00216226">
        <w:rPr>
          <w:rFonts w:eastAsia="MS Gothic"/>
          <w:lang w:val="es-ES_tradnl" w:eastAsia="en-US"/>
        </w:rPr>
        <w:t>(Visita de campo)</w:t>
      </w:r>
      <w:r w:rsidR="00E84DA1" w:rsidRPr="00216226">
        <w:rPr>
          <w:rFonts w:eastAsia="MS Gothic"/>
          <w:lang w:val="es-ES_tradnl" w:eastAsia="en-US"/>
        </w:rPr>
        <w:t xml:space="preserve">. </w:t>
      </w:r>
    </w:p>
    <w:p w14:paraId="30C94333" w14:textId="76606F8F" w:rsidR="00E84DA1" w:rsidRPr="00216226" w:rsidRDefault="00FB5AE9" w:rsidP="00E84DA1">
      <w:pPr>
        <w:jc w:val="both"/>
        <w:rPr>
          <w:rFonts w:eastAsia="MS Gothic"/>
          <w:lang w:val="es-ES_tradnl" w:eastAsia="en-US"/>
        </w:rPr>
      </w:pPr>
      <w:bookmarkStart w:id="31" w:name="_Hlk8232164"/>
      <w:r w:rsidRPr="00216226">
        <w:rPr>
          <w:rFonts w:eastAsia="MS Gothic"/>
          <w:lang w:val="es-ES_tradnl" w:eastAsia="en-US"/>
        </w:rPr>
        <w:t>Según se informa, los centros de salud disponen de mecanismos de quejas y comentarios. En 2017, el CONADEH recibió 11 quejas relacionadas con los servicios de salud y 13 en 2018 (enero a septiembre</w:t>
      </w:r>
      <w:r w:rsidR="00E84DA1" w:rsidRPr="00216226">
        <w:rPr>
          <w:rFonts w:eastAsia="MS Gothic"/>
          <w:lang w:val="es-ES_tradnl" w:eastAsia="en-US"/>
        </w:rPr>
        <w:t>) (</w:t>
      </w:r>
      <w:r w:rsidR="0069546B" w:rsidRPr="00216226">
        <w:rPr>
          <w:rFonts w:eastAsia="MS Gothic"/>
          <w:lang w:val="es-ES_tradnl" w:eastAsia="en-US"/>
        </w:rPr>
        <w:t>comunicación por correo electrónico de</w:t>
      </w:r>
      <w:r w:rsidR="00E84DA1" w:rsidRPr="00216226">
        <w:rPr>
          <w:rFonts w:eastAsia="MS Gothic"/>
          <w:lang w:val="es-ES_tradnl" w:eastAsia="en-US"/>
        </w:rPr>
        <w:t xml:space="preserve"> CONADEH, 2018). </w:t>
      </w:r>
      <w:r w:rsidRPr="00216226">
        <w:rPr>
          <w:rFonts w:eastAsia="MS Gothic"/>
          <w:lang w:val="es-ES_tradnl" w:eastAsia="en-US"/>
        </w:rPr>
        <w:t>Es difícil de interpretar el bajo número, ya que puede ser el resultado del mayor esfuerzo para sensibilizar a los trabajadores sanitarios (según afirman CONADEH y SESAL</w:t>
      </w:r>
      <w:r w:rsidR="00E84DA1" w:rsidRPr="00216226">
        <w:rPr>
          <w:rFonts w:eastAsia="MS Gothic"/>
          <w:lang w:val="es-ES_tradnl" w:eastAsia="en-US"/>
        </w:rPr>
        <w:t xml:space="preserve">) </w:t>
      </w:r>
      <w:r w:rsidRPr="00216226">
        <w:rPr>
          <w:rFonts w:eastAsia="MS Gothic"/>
          <w:lang w:val="es-ES_tradnl" w:eastAsia="en-US"/>
        </w:rPr>
        <w:t xml:space="preserve">o puede haber una menor disposición a quejarse entre los pacientes debido a una percepción de inutilidad, impunidad del personal y temor a represalias (según afirman </w:t>
      </w:r>
      <w:r w:rsidRPr="00216226">
        <w:rPr>
          <w:rFonts w:eastAsia="MS Gothic"/>
          <w:lang w:val="es-ES_tradnl" w:eastAsia="en-US"/>
        </w:rPr>
        <w:lastRenderedPageBreak/>
        <w:t>las OSC</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Pr="00216226">
        <w:rPr>
          <w:rFonts w:eastAsia="MS Gothic"/>
          <w:lang w:val="es-ES_tradnl" w:eastAsia="en-US"/>
        </w:rPr>
        <w:t>Por otra parte</w:t>
      </w:r>
      <w:r w:rsidR="00E84DA1" w:rsidRPr="00216226">
        <w:rPr>
          <w:rFonts w:eastAsia="MS Gothic"/>
          <w:lang w:val="es-ES_tradnl" w:eastAsia="en-US"/>
        </w:rPr>
        <w:t xml:space="preserve">, CONADEH </w:t>
      </w:r>
      <w:r w:rsidRPr="00216226">
        <w:rPr>
          <w:rFonts w:eastAsia="MS Gothic"/>
          <w:lang w:val="es-ES_tradnl" w:eastAsia="en-US"/>
        </w:rPr>
        <w:t>sólo recibe las quejas que hayan sido formalmente presentadas por personas involucradas (lo cual no se hace a menos que haya un fuerte apoyo por parte de la comunidad</w:t>
      </w:r>
      <w:r w:rsidR="00E84DA1" w:rsidRPr="00216226">
        <w:rPr>
          <w:rFonts w:eastAsia="MS Gothic"/>
          <w:lang w:val="es-ES_tradnl" w:eastAsia="en-US"/>
        </w:rPr>
        <w:t xml:space="preserve">) </w:t>
      </w:r>
      <w:r w:rsidRPr="00216226">
        <w:rPr>
          <w:rFonts w:eastAsia="MS Gothic"/>
          <w:lang w:val="es-ES_tradnl" w:eastAsia="en-US"/>
        </w:rPr>
        <w:t xml:space="preserve">después de que la Red de </w:t>
      </w:r>
      <w:r w:rsidR="00C816C5">
        <w:rPr>
          <w:rFonts w:eastAsia="MS Gothic"/>
          <w:lang w:val="es-ES_tradnl" w:eastAsia="en-US"/>
        </w:rPr>
        <w:t xml:space="preserve">Promotores de Derechos Humanos </w:t>
      </w:r>
      <w:r w:rsidRPr="00216226">
        <w:rPr>
          <w:rFonts w:eastAsia="MS Gothic"/>
          <w:lang w:val="es-ES_tradnl" w:eastAsia="en-US"/>
        </w:rPr>
        <w:t>no haya logrado abordar el problema a nivel local. Lamentablemente, ni CONADEH ni la Red compilan las quejas que se tratan de forma local</w:t>
      </w:r>
      <w:r w:rsidR="00E84DA1" w:rsidRPr="00216226">
        <w:rPr>
          <w:rFonts w:eastAsia="MS Gothic"/>
          <w:lang w:val="es-ES_tradnl" w:eastAsia="en-US"/>
        </w:rPr>
        <w:t xml:space="preserve"> </w:t>
      </w:r>
      <w:r w:rsidR="000A4808" w:rsidRPr="00216226">
        <w:rPr>
          <w:rFonts w:eastAsia="MS Gothic"/>
          <w:lang w:val="es-ES_tradnl" w:eastAsia="en-US"/>
        </w:rPr>
        <w:t>(Visita de campo</w:t>
      </w:r>
      <w:bookmarkEnd w:id="31"/>
      <w:r w:rsidR="000A4808" w:rsidRPr="00216226">
        <w:rPr>
          <w:rFonts w:eastAsia="MS Gothic"/>
          <w:lang w:val="es-ES_tradnl" w:eastAsia="en-US"/>
        </w:rPr>
        <w:t>)</w:t>
      </w:r>
      <w:r w:rsidR="00E84DA1" w:rsidRPr="00216226">
        <w:rPr>
          <w:rFonts w:eastAsia="MS Gothic"/>
          <w:lang w:val="es-ES_tradnl" w:eastAsia="en-US"/>
        </w:rPr>
        <w:t xml:space="preserve">. </w:t>
      </w:r>
    </w:p>
    <w:p w14:paraId="3423BC7E" w14:textId="1F8C3853" w:rsidR="00E84DA1" w:rsidRPr="00216226" w:rsidRDefault="00FB5AE9" w:rsidP="00E84DA1">
      <w:pPr>
        <w:jc w:val="both"/>
        <w:rPr>
          <w:rFonts w:eastAsia="MS Gothic"/>
          <w:lang w:val="es-ES_tradnl" w:eastAsia="en-US"/>
        </w:rPr>
      </w:pPr>
      <w:r w:rsidRPr="00216226">
        <w:rPr>
          <w:rFonts w:eastAsia="MS Gothic"/>
          <w:lang w:val="es-ES_tradnl" w:eastAsia="en-US"/>
        </w:rPr>
        <w:t xml:space="preserve">Las pruebas de CD4 están formalmente disponibles para todas las PVVIH que acceden a </w:t>
      </w:r>
      <w:r w:rsidR="00072F38">
        <w:rPr>
          <w:rFonts w:eastAsia="MS Gothic"/>
          <w:lang w:val="es-ES_tradnl" w:eastAsia="en-US"/>
        </w:rPr>
        <w:t>los SAI</w:t>
      </w:r>
      <w:r w:rsidRPr="00216226">
        <w:rPr>
          <w:rFonts w:eastAsia="MS Gothic"/>
          <w:lang w:val="es-ES_tradnl" w:eastAsia="en-US"/>
        </w:rPr>
        <w:t>, pero la sociedad civil ha informado sobre desabastecimientos, y las autoridades públicas lo han reconocido</w:t>
      </w:r>
      <w:r w:rsidR="00E84DA1" w:rsidRPr="00216226">
        <w:rPr>
          <w:rFonts w:eastAsia="MS Gothic"/>
          <w:lang w:val="es-ES_tradnl" w:eastAsia="en-US"/>
        </w:rPr>
        <w:t xml:space="preserve">. </w:t>
      </w:r>
      <w:r w:rsidRPr="00216226">
        <w:rPr>
          <w:rFonts w:eastAsia="MS Gothic"/>
          <w:lang w:val="es-ES_tradnl" w:eastAsia="en-US"/>
        </w:rPr>
        <w:t>El principal motivo de la escasez de reactivos para el recuento de CD4 parece ser la descentralización del proceso de adquisición, lo que llevó a deseconomías de escala, precios más altos y menores cantidades adquiridas con el mismo presupuesto</w:t>
      </w:r>
      <w:r w:rsidR="00E84DA1" w:rsidRPr="00216226">
        <w:rPr>
          <w:rFonts w:eastAsia="MS Gothic"/>
          <w:lang w:val="es-ES_tradnl" w:eastAsia="en-US"/>
        </w:rPr>
        <w:t xml:space="preserve">. </w:t>
      </w:r>
      <w:r w:rsidR="00B51E56" w:rsidRPr="00216226">
        <w:rPr>
          <w:rFonts w:eastAsia="MS Gothic"/>
          <w:lang w:val="es-ES_tradnl" w:eastAsia="en-US"/>
        </w:rPr>
        <w:t>El país se encuentra actualmente en proceso de modernizar la adquisición de reactivos CD4</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w:t>
      </w:r>
      <w:r w:rsidR="002136F3" w:rsidRPr="00216226">
        <w:rPr>
          <w:lang w:val="es-ES_tradnl"/>
        </w:rPr>
        <w:t xml:space="preserve"> </w:t>
      </w:r>
    </w:p>
    <w:p w14:paraId="5A02F3C1" w14:textId="45273046" w:rsidR="00E84DA1" w:rsidRPr="00216226" w:rsidRDefault="00B51E56" w:rsidP="00E84DA1">
      <w:pPr>
        <w:jc w:val="both"/>
        <w:rPr>
          <w:rFonts w:eastAsia="MS Gothic"/>
          <w:lang w:val="es-ES_tradnl" w:eastAsia="en-US"/>
        </w:rPr>
      </w:pPr>
      <w:r w:rsidRPr="00216226">
        <w:rPr>
          <w:rFonts w:eastAsia="MS Gothic"/>
          <w:lang w:val="es-ES_tradnl" w:eastAsia="en-US"/>
        </w:rPr>
        <w:t>Hasta hace poco, el acceso a las mediciones de carga viral era difícil y los resultados se comunicaban con largos retrasos, incluso meses después de la extracción de la muestra</w:t>
      </w:r>
      <w:r w:rsidR="00E84DA1" w:rsidRPr="00216226">
        <w:rPr>
          <w:rFonts w:eastAsia="MS Gothic"/>
          <w:lang w:val="es-ES_tradnl" w:eastAsia="en-US"/>
        </w:rPr>
        <w:t xml:space="preserve">. </w:t>
      </w:r>
      <w:r w:rsidRPr="00216226">
        <w:rPr>
          <w:rFonts w:eastAsia="MS Gothic"/>
          <w:lang w:val="es-ES_tradnl" w:eastAsia="en-US"/>
        </w:rPr>
        <w:t>La situación ha mejorado notablemente desde 2017. Todas las muestras se recogen regularmente por mensajería y se envían al Laboratorio Nacional de VIH en un plazo de 24 horas</w:t>
      </w:r>
      <w:r w:rsidR="00E84DA1" w:rsidRPr="00216226">
        <w:rPr>
          <w:rFonts w:eastAsia="MS Gothic"/>
          <w:lang w:val="es-ES_tradnl" w:eastAsia="en-US"/>
        </w:rPr>
        <w:t xml:space="preserve">. </w:t>
      </w:r>
      <w:r w:rsidRPr="00216226">
        <w:rPr>
          <w:rFonts w:eastAsia="MS Gothic"/>
          <w:lang w:val="es-ES_tradnl" w:eastAsia="en-US"/>
        </w:rPr>
        <w:t>La temperatura de la muestra se verifica en la recepción</w:t>
      </w:r>
      <w:r w:rsidR="006E03D3" w:rsidRPr="00216226">
        <w:rPr>
          <w:rFonts w:eastAsia="MS Gothic"/>
          <w:lang w:val="es-ES_tradnl" w:eastAsia="en-US"/>
        </w:rPr>
        <w:t xml:space="preserve"> y</w:t>
      </w:r>
      <w:r w:rsidRPr="00216226">
        <w:rPr>
          <w:rFonts w:eastAsia="MS Gothic"/>
          <w:lang w:val="es-ES_tradnl" w:eastAsia="en-US"/>
        </w:rPr>
        <w:t xml:space="preserve">, si es válida, se envía para su </w:t>
      </w:r>
      <w:r w:rsidR="006E03D3" w:rsidRPr="00216226">
        <w:rPr>
          <w:rFonts w:eastAsia="MS Gothic"/>
          <w:lang w:val="es-ES_tradnl" w:eastAsia="en-US"/>
        </w:rPr>
        <w:t>manejo</w:t>
      </w:r>
      <w:r w:rsidRPr="00216226">
        <w:rPr>
          <w:rFonts w:eastAsia="MS Gothic"/>
          <w:lang w:val="es-ES_tradnl" w:eastAsia="en-US"/>
        </w:rPr>
        <w:t xml:space="preserve"> antes de insertarla en el equipo de reacci</w:t>
      </w:r>
      <w:r w:rsidR="00C816C5">
        <w:rPr>
          <w:rFonts w:eastAsia="MS Gothic"/>
          <w:lang w:val="es-ES_tradnl" w:eastAsia="en-US"/>
        </w:rPr>
        <w:t>ón en cadena de la polimerasa</w:t>
      </w:r>
      <w:r w:rsidR="006E03D3" w:rsidRPr="00216226">
        <w:rPr>
          <w:rFonts w:eastAsia="MS Gothic"/>
          <w:lang w:val="es-ES_tradnl" w:eastAsia="en-US"/>
        </w:rPr>
        <w:t>,</w:t>
      </w:r>
      <w:r w:rsidRPr="00216226">
        <w:rPr>
          <w:rFonts w:eastAsia="MS Gothic"/>
          <w:lang w:val="es-ES_tradnl" w:eastAsia="en-US"/>
        </w:rPr>
        <w:t xml:space="preserve"> que funciona durante toda la noche</w:t>
      </w:r>
      <w:r w:rsidR="00E84DA1" w:rsidRPr="00216226">
        <w:rPr>
          <w:rFonts w:eastAsia="MS Gothic"/>
          <w:lang w:val="es-ES_tradnl" w:eastAsia="en-US"/>
        </w:rPr>
        <w:t xml:space="preserve">. </w:t>
      </w:r>
      <w:r w:rsidRPr="00216226">
        <w:rPr>
          <w:rFonts w:eastAsia="MS Gothic"/>
          <w:lang w:val="es-ES_tradnl" w:eastAsia="en-US"/>
        </w:rPr>
        <w:t xml:space="preserve">Los médicos de </w:t>
      </w:r>
      <w:r w:rsidR="00072F38">
        <w:rPr>
          <w:rFonts w:eastAsia="MS Gothic"/>
          <w:lang w:val="es-ES_tradnl" w:eastAsia="en-US"/>
        </w:rPr>
        <w:t>los SAI</w:t>
      </w:r>
      <w:r w:rsidRPr="00216226">
        <w:rPr>
          <w:rFonts w:eastAsia="MS Gothic"/>
          <w:lang w:val="es-ES_tradnl" w:eastAsia="en-US"/>
        </w:rPr>
        <w:t xml:space="preserve"> primero recibirán los resultados de medición de carga viral a través de las redes sociales</w:t>
      </w:r>
      <w:r w:rsidR="00E84DA1" w:rsidRPr="00216226">
        <w:rPr>
          <w:rFonts w:eastAsia="MS Gothic"/>
          <w:lang w:val="es-ES_tradnl" w:eastAsia="en-US"/>
        </w:rPr>
        <w:t xml:space="preserve"> (</w:t>
      </w:r>
      <w:r w:rsidRPr="00216226">
        <w:rPr>
          <w:rFonts w:eastAsia="MS Gothic"/>
          <w:lang w:val="es-ES_tradnl" w:eastAsia="en-US"/>
        </w:rPr>
        <w:t xml:space="preserve">generalmente por </w:t>
      </w:r>
      <w:r w:rsidR="00E84DA1" w:rsidRPr="00216226">
        <w:rPr>
          <w:rFonts w:eastAsia="MS Gothic"/>
          <w:lang w:val="es-ES_tradnl" w:eastAsia="en-US"/>
        </w:rPr>
        <w:t xml:space="preserve">WhatsApp) </w:t>
      </w:r>
      <w:r w:rsidRPr="00216226">
        <w:rPr>
          <w:rFonts w:eastAsia="MS Gothic"/>
          <w:lang w:val="es-ES_tradnl" w:eastAsia="en-US"/>
        </w:rPr>
        <w:t>en menos de una semana después de la recepción de la muestra, y luego en forma</w:t>
      </w:r>
      <w:r w:rsidR="006E03D3" w:rsidRPr="00216226">
        <w:rPr>
          <w:rFonts w:eastAsia="MS Gothic"/>
          <w:lang w:val="es-ES_tradnl" w:eastAsia="en-US"/>
        </w:rPr>
        <w:t>to</w:t>
      </w:r>
      <w:r w:rsidRPr="00216226">
        <w:rPr>
          <w:rFonts w:eastAsia="MS Gothic"/>
          <w:lang w:val="es-ES_tradnl" w:eastAsia="en-US"/>
        </w:rPr>
        <w:t xml:space="preserve"> impres</w:t>
      </w:r>
      <w:r w:rsidR="006E03D3" w:rsidRPr="00216226">
        <w:rPr>
          <w:rFonts w:eastAsia="MS Gothic"/>
          <w:lang w:val="es-ES_tradnl" w:eastAsia="en-US"/>
        </w:rPr>
        <w:t>o</w:t>
      </w:r>
      <w:r w:rsidRPr="00216226">
        <w:rPr>
          <w:rFonts w:eastAsia="MS Gothic"/>
          <w:lang w:val="es-ES_tradnl" w:eastAsia="en-US"/>
        </w:rPr>
        <w:t xml:space="preserve"> unos días después</w:t>
      </w:r>
      <w:r w:rsidR="00E84DA1" w:rsidRPr="00216226">
        <w:rPr>
          <w:rFonts w:eastAsia="MS Gothic"/>
          <w:lang w:val="es-ES_tradnl" w:eastAsia="en-US"/>
        </w:rPr>
        <w:t xml:space="preserve">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Pr="00216226">
        <w:rPr>
          <w:rFonts w:eastAsia="MS Gothic"/>
          <w:lang w:val="es-ES_tradnl" w:eastAsia="en-US"/>
        </w:rPr>
        <w:t xml:space="preserve">El </w:t>
      </w:r>
      <w:r w:rsidR="006E03D3" w:rsidRPr="00216226">
        <w:rPr>
          <w:rFonts w:eastAsia="MS Gothic"/>
          <w:lang w:val="es-ES_tradnl" w:eastAsia="en-US"/>
        </w:rPr>
        <w:t xml:space="preserve">Laboratorio Nacional </w:t>
      </w:r>
      <w:r w:rsidRPr="00216226">
        <w:rPr>
          <w:rFonts w:eastAsia="MS Gothic"/>
          <w:lang w:val="es-ES_tradnl" w:eastAsia="en-US"/>
        </w:rPr>
        <w:t>de VIH realizó alrededor de 11,000 pruebas de carga viral en 2017, lo que representa aproximadamente una medición de carga viral por paciente con TARV por año en promedio</w:t>
      </w:r>
      <w:r w:rsidR="00E84DA1" w:rsidRPr="00216226">
        <w:rPr>
          <w:rFonts w:eastAsia="MS Gothic"/>
          <w:lang w:val="es-ES_tradnl" w:eastAsia="en-US"/>
        </w:rPr>
        <w:t xml:space="preserve">. </w:t>
      </w:r>
      <w:r w:rsidRPr="00216226">
        <w:rPr>
          <w:rFonts w:eastAsia="MS Gothic"/>
          <w:lang w:val="es-ES_tradnl" w:eastAsia="en-US"/>
        </w:rPr>
        <w:t>Dado que este es un promedio, puede tergiversar la situación real, ya que algunos pacientes pueden haber tenido una medición, otros dos (o incluso más) y otros ninguna por año (Visita de campo</w:t>
      </w:r>
      <w:r w:rsidR="00E84DA1" w:rsidRPr="00216226">
        <w:rPr>
          <w:rFonts w:eastAsia="MS Gothic"/>
          <w:lang w:val="es-ES_tradnl" w:eastAsia="en-US"/>
        </w:rPr>
        <w:t>).</w:t>
      </w:r>
      <w:r w:rsidR="002136F3" w:rsidRPr="00216226">
        <w:rPr>
          <w:lang w:val="es-ES_tradnl"/>
        </w:rPr>
        <w:t xml:space="preserve"> </w:t>
      </w:r>
    </w:p>
    <w:p w14:paraId="3E4E25FB" w14:textId="0728D084" w:rsidR="00E84DA1" w:rsidRPr="00216226" w:rsidRDefault="00D004DC" w:rsidP="00E84DA1">
      <w:pPr>
        <w:jc w:val="both"/>
        <w:rPr>
          <w:rFonts w:eastAsia="MS Gothic"/>
          <w:lang w:val="es-ES_tradnl" w:eastAsia="en-US"/>
        </w:rPr>
      </w:pPr>
      <w:r w:rsidRPr="00216226">
        <w:rPr>
          <w:rFonts w:eastAsia="MS Gothic"/>
          <w:lang w:val="es-ES_tradnl" w:eastAsia="en-US"/>
        </w:rPr>
        <w:t>El bajo nivel de utilización del servicio de carga viral se debe a la cantidad insuficien</w:t>
      </w:r>
      <w:r w:rsidR="00C816C5">
        <w:rPr>
          <w:rFonts w:eastAsia="MS Gothic"/>
          <w:lang w:val="es-ES_tradnl" w:eastAsia="en-US"/>
        </w:rPr>
        <w:t>te de muestras enviadas desde lo</w:t>
      </w:r>
      <w:r w:rsidRPr="00216226">
        <w:rPr>
          <w:rFonts w:eastAsia="MS Gothic"/>
          <w:lang w:val="es-ES_tradnl" w:eastAsia="en-US"/>
        </w:rPr>
        <w:t>s SAI al Laboratorio Nacional de VIH</w:t>
      </w:r>
      <w:r w:rsidR="00E84DA1" w:rsidRPr="00216226">
        <w:rPr>
          <w:rFonts w:eastAsia="MS Gothic"/>
          <w:lang w:val="es-ES_tradnl" w:eastAsia="en-US"/>
        </w:rPr>
        <w:t xml:space="preserve">. </w:t>
      </w:r>
      <w:r w:rsidRPr="00216226">
        <w:rPr>
          <w:rFonts w:eastAsia="MS Gothic"/>
          <w:lang w:val="es-ES_tradnl" w:eastAsia="en-US"/>
        </w:rPr>
        <w:t>Esto parece haberse originado debido a una combinación de factores, entre los que se incluye que los pacientes que no se presentan a las visitas médicas, o se presentan tarde en días en que los laboratorios del hospital ya no los aceptan para la extracción de sangre a partir de cierta hora (después de las 10 am, en la mayoría de los centros</w:t>
      </w:r>
      <w:r w:rsidR="00E84DA1" w:rsidRPr="00216226">
        <w:rPr>
          <w:rFonts w:eastAsia="MS Gothic"/>
          <w:lang w:val="es-ES_tradnl" w:eastAsia="en-US"/>
        </w:rPr>
        <w:t xml:space="preserve">), </w:t>
      </w:r>
      <w:r w:rsidR="00C816C5">
        <w:rPr>
          <w:rFonts w:eastAsia="MS Gothic"/>
          <w:lang w:val="es-ES_tradnl" w:eastAsia="en-US"/>
        </w:rPr>
        <w:t>y / o debido a que lo</w:t>
      </w:r>
      <w:r w:rsidRPr="00216226">
        <w:rPr>
          <w:rFonts w:eastAsia="MS Gothic"/>
          <w:lang w:val="es-ES_tradnl" w:eastAsia="en-US"/>
        </w:rPr>
        <w:t xml:space="preserve">s SAI no realizan el seguimiento sobre cuándo debe hacerse una medición de carga viral </w:t>
      </w:r>
      <w:r w:rsidR="00B44187" w:rsidRPr="00216226">
        <w:rPr>
          <w:rFonts w:eastAsia="MS Gothic"/>
          <w:lang w:val="es-ES_tradnl" w:eastAsia="en-US"/>
        </w:rPr>
        <w:t xml:space="preserve">cada paciente </w:t>
      </w:r>
      <w:r w:rsidR="000A4808" w:rsidRPr="00216226">
        <w:rPr>
          <w:rFonts w:eastAsia="MS Gothic"/>
          <w:lang w:val="es-ES_tradnl" w:eastAsia="en-US"/>
        </w:rPr>
        <w:t>(Visita de campo)</w:t>
      </w:r>
      <w:r w:rsidR="00E84DA1" w:rsidRPr="00216226">
        <w:rPr>
          <w:rFonts w:eastAsia="MS Gothic"/>
          <w:lang w:val="es-ES_tradnl" w:eastAsia="en-US"/>
        </w:rPr>
        <w:t xml:space="preserve">. </w:t>
      </w:r>
    </w:p>
    <w:p w14:paraId="5713D31E" w14:textId="740AEA53" w:rsidR="00E84DA1" w:rsidRPr="00C816C5" w:rsidRDefault="004B3528" w:rsidP="00C816C5">
      <w:pPr>
        <w:jc w:val="both"/>
        <w:rPr>
          <w:rFonts w:eastAsia="MS Gothic"/>
          <w:lang w:val="es-ES_tradnl" w:eastAsia="en-US"/>
        </w:rPr>
      </w:pPr>
      <w:r w:rsidRPr="00C816C5">
        <w:rPr>
          <w:rFonts w:eastAsia="MS Gothic"/>
          <w:lang w:val="es-ES_tradnl" w:eastAsia="en-US"/>
        </w:rPr>
        <w:t>Resultados:</w:t>
      </w:r>
      <w:r w:rsidR="00C816C5">
        <w:rPr>
          <w:rFonts w:eastAsia="MS Gothic"/>
          <w:lang w:val="es-ES_tradnl" w:eastAsia="en-US"/>
        </w:rPr>
        <w:t xml:space="preserve"> </w:t>
      </w:r>
      <w:r w:rsidR="00E84DA1" w:rsidRPr="00216226">
        <w:rPr>
          <w:rFonts w:ascii="Calibri Light" w:eastAsia="MS Gothic" w:hAnsi="Calibri Light"/>
          <w:b/>
          <w:i/>
          <w:lang w:val="es-ES_tradnl" w:eastAsia="en-US"/>
        </w:rPr>
        <w:t xml:space="preserve"> </w:t>
      </w:r>
      <w:r w:rsidR="002F3B7C" w:rsidRPr="00216226">
        <w:rPr>
          <w:rFonts w:eastAsia="MS Gothic"/>
          <w:lang w:val="es-ES_tradnl" w:eastAsia="en-US"/>
        </w:rPr>
        <w:t>A lo largo de los años ha habido un aumento en la cobertura geográfica de los servicios de tratamiento a través de l</w:t>
      </w:r>
      <w:r w:rsidR="00C816C5">
        <w:rPr>
          <w:rFonts w:eastAsia="MS Gothic"/>
          <w:lang w:val="es-ES_tradnl" w:eastAsia="en-US"/>
        </w:rPr>
        <w:t>o</w:t>
      </w:r>
      <w:r w:rsidR="002F3B7C" w:rsidRPr="00216226">
        <w:rPr>
          <w:rFonts w:eastAsia="MS Gothic"/>
          <w:lang w:val="es-ES_tradnl" w:eastAsia="en-US"/>
        </w:rPr>
        <w:t xml:space="preserve">s SAI, que </w:t>
      </w:r>
      <w:r w:rsidR="00B44187" w:rsidRPr="00216226">
        <w:rPr>
          <w:rFonts w:eastAsia="MS Gothic"/>
          <w:lang w:val="es-ES_tradnl" w:eastAsia="en-US"/>
        </w:rPr>
        <w:t>al presente</w:t>
      </w:r>
      <w:r w:rsidR="002F3B7C" w:rsidRPr="00216226">
        <w:rPr>
          <w:rFonts w:eastAsia="MS Gothic"/>
          <w:lang w:val="es-ES_tradnl" w:eastAsia="en-US"/>
        </w:rPr>
        <w:t xml:space="preserve"> se mantienen principalmente con recursos domésticos</w:t>
      </w:r>
      <w:r w:rsidR="00E84DA1" w:rsidRPr="00216226">
        <w:rPr>
          <w:rFonts w:eastAsia="MS Gothic"/>
          <w:lang w:val="es-ES_tradnl" w:eastAsia="en-US"/>
        </w:rPr>
        <w:t xml:space="preserve">. </w:t>
      </w:r>
      <w:r w:rsidR="002F3B7C" w:rsidRPr="00216226">
        <w:rPr>
          <w:rFonts w:eastAsia="MS Gothic"/>
          <w:lang w:val="es-ES_tradnl" w:eastAsia="en-US"/>
        </w:rPr>
        <w:t xml:space="preserve">Las brechas continúan siendo considerables, y aún el 48% de las PVVIH estimadas no tienen vinculación a ellas debido a razones socioeconómicas, culturales, geográficas y de seguridad, así como a aspectos de estigma y discriminación </w:t>
      </w:r>
      <w:r w:rsidR="00E84DA1" w:rsidRPr="00216226">
        <w:rPr>
          <w:rFonts w:eastAsia="MS Gothic"/>
          <w:lang w:val="es-ES_tradnl" w:eastAsia="en-US"/>
        </w:rPr>
        <w:t xml:space="preserve">(PENSIDA IV). </w:t>
      </w:r>
    </w:p>
    <w:p w14:paraId="2E9703EF" w14:textId="465F0B34" w:rsidR="00E84DA1" w:rsidRPr="00216226" w:rsidRDefault="002F3B7C" w:rsidP="00B032C2">
      <w:pPr>
        <w:jc w:val="both"/>
        <w:rPr>
          <w:rFonts w:eastAsia="MS Gothic"/>
          <w:lang w:val="es-ES_tradnl" w:eastAsia="en-US"/>
        </w:rPr>
      </w:pPr>
      <w:bookmarkStart w:id="32" w:name="_Hlk8232242"/>
      <w:r w:rsidRPr="00216226">
        <w:rPr>
          <w:rFonts w:eastAsia="MS Gothic"/>
          <w:lang w:val="es-ES_tradnl" w:eastAsia="en-US"/>
        </w:rPr>
        <w:t xml:space="preserve">La capacitación del personal no está optimizada debido a la </w:t>
      </w:r>
      <w:r w:rsidR="0013370B" w:rsidRPr="00216226">
        <w:rPr>
          <w:rFonts w:eastAsia="MS Gothic"/>
          <w:lang w:val="es-ES_tradnl" w:eastAsia="en-US"/>
        </w:rPr>
        <w:t>elevada</w:t>
      </w:r>
      <w:r w:rsidRPr="00216226">
        <w:rPr>
          <w:rFonts w:eastAsia="MS Gothic"/>
          <w:lang w:val="es-ES_tradnl" w:eastAsia="en-US"/>
        </w:rPr>
        <w:t xml:space="preserve"> rotación y la falta de políticas de capacitación </w:t>
      </w:r>
      <w:r w:rsidR="0013370B" w:rsidRPr="00216226">
        <w:rPr>
          <w:rFonts w:eastAsia="MS Gothic"/>
          <w:lang w:val="es-ES_tradnl" w:eastAsia="en-US"/>
        </w:rPr>
        <w:t>estables</w:t>
      </w:r>
      <w:r w:rsidRPr="00216226">
        <w:rPr>
          <w:rFonts w:eastAsia="MS Gothic"/>
          <w:lang w:val="es-ES_tradnl" w:eastAsia="en-US"/>
        </w:rPr>
        <w:t xml:space="preserve">. El número de personas diagnosticadas en tratamiento es superior al 80% desde al menos 2013, pero las personas con carga viral suprimida disminuyeron en un 9% entre 2013 y 2016 </w:t>
      </w:r>
      <w:r w:rsidR="00E84DA1" w:rsidRPr="00216226">
        <w:rPr>
          <w:rFonts w:eastAsia="MS Gothic"/>
          <w:lang w:val="es-ES_tradnl" w:eastAsia="en-US"/>
        </w:rPr>
        <w:t>(</w:t>
      </w:r>
      <w:r w:rsidR="00E84DA1" w:rsidRPr="00C816C5">
        <w:rPr>
          <w:rFonts w:eastAsia="MS Gothic"/>
          <w:lang w:val="es-ES_tradnl" w:eastAsia="en-US"/>
        </w:rPr>
        <w:t>SESAL</w:t>
      </w:r>
      <w:r w:rsidR="00E84DA1" w:rsidRPr="00216226">
        <w:rPr>
          <w:rFonts w:eastAsia="MS Gothic"/>
          <w:lang w:val="es-ES_tradnl" w:eastAsia="en-US"/>
        </w:rPr>
        <w:t xml:space="preserve">, 2018a). </w:t>
      </w:r>
      <w:r w:rsidR="0013370B" w:rsidRPr="00216226">
        <w:rPr>
          <w:rFonts w:eastAsia="MS Gothic"/>
          <w:lang w:val="es-ES_tradnl" w:eastAsia="en-US"/>
        </w:rPr>
        <w:t xml:space="preserve">Sin embargo, no está claro si el menor número de personas con carga viral suprimida se debe más a problemas de adherencia o fracaso del tratamiento o a la falta de acceso a las mediciones de carga viral (ver más arriba), o a una combinación de ambos </w:t>
      </w:r>
      <w:r w:rsidR="000A4808" w:rsidRPr="00216226">
        <w:rPr>
          <w:rFonts w:eastAsia="MS Gothic"/>
          <w:lang w:val="es-ES_tradnl" w:eastAsia="en-US"/>
        </w:rPr>
        <w:t>(Visita de campo</w:t>
      </w:r>
      <w:bookmarkEnd w:id="32"/>
      <w:r w:rsidR="000A4808" w:rsidRPr="00216226">
        <w:rPr>
          <w:rFonts w:eastAsia="MS Gothic"/>
          <w:lang w:val="es-ES_tradnl" w:eastAsia="en-US"/>
        </w:rPr>
        <w:t>)</w:t>
      </w:r>
      <w:r w:rsidR="00E84DA1" w:rsidRPr="00216226">
        <w:rPr>
          <w:rFonts w:eastAsia="MS Gothic"/>
          <w:lang w:val="es-ES_tradnl" w:eastAsia="en-US"/>
        </w:rPr>
        <w:t>.</w:t>
      </w:r>
      <w:r w:rsidR="00680A78" w:rsidRPr="00216226">
        <w:rPr>
          <w:rFonts w:eastAsia="MS Gothic"/>
          <w:lang w:val="es-ES_tradnl" w:eastAsia="en-US"/>
        </w:rPr>
        <w:t xml:space="preserve"> </w:t>
      </w:r>
    </w:p>
    <w:p w14:paraId="5D3B7153" w14:textId="77777777" w:rsidR="00B44187" w:rsidRPr="00216226" w:rsidRDefault="00B44187" w:rsidP="00B032C2">
      <w:pPr>
        <w:jc w:val="both"/>
        <w:rPr>
          <w:rFonts w:eastAsia="MS Gothic"/>
          <w:lang w:val="es-ES_tradnl" w:eastAsia="en-US"/>
        </w:rPr>
      </w:pPr>
    </w:p>
    <w:p w14:paraId="14646DB9" w14:textId="27892205" w:rsidR="00E84DA1" w:rsidRPr="00216226" w:rsidRDefault="00EE0F21" w:rsidP="00E84DA1">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E84DA1" w:rsidRPr="00216226">
        <w:rPr>
          <w:rFonts w:ascii="Calibri Light" w:eastAsia="MS Gothic" w:hAnsi="Calibri Light" w:cs="Times New Roman"/>
          <w:b/>
          <w:lang w:val="es-ES_tradnl" w:eastAsia="en-US"/>
        </w:rPr>
        <w:t xml:space="preserve"> 2.5 </w:t>
      </w:r>
      <w:r w:rsidR="0013370B" w:rsidRPr="00216226">
        <w:rPr>
          <w:rFonts w:ascii="Calibri Light" w:eastAsia="MS Gothic" w:hAnsi="Calibri Light" w:cs="Times New Roman"/>
          <w:b/>
          <w:lang w:val="es-ES_tradnl" w:eastAsia="en-US"/>
        </w:rPr>
        <w:t xml:space="preserve">Enfoque y métodos para garantizar la calidad </w:t>
      </w:r>
    </w:p>
    <w:p w14:paraId="6BD21F88" w14:textId="29203009" w:rsidR="00E84DA1" w:rsidRPr="00C816C5" w:rsidRDefault="00320DF5" w:rsidP="00C816C5">
      <w:pPr>
        <w:jc w:val="both"/>
        <w:rPr>
          <w:rFonts w:ascii="Calibri Light" w:eastAsia="MS Gothic" w:hAnsi="Calibri Light"/>
          <w:i/>
          <w:lang w:val="es-ES_tradnl" w:eastAsia="en-US"/>
        </w:rPr>
      </w:pPr>
      <w:r w:rsidRPr="00C816C5">
        <w:rPr>
          <w:rFonts w:eastAsia="MS Gothic"/>
          <w:lang w:val="es-ES_tradnl" w:eastAsia="en-US"/>
        </w:rPr>
        <w:lastRenderedPageBreak/>
        <w:t>Insumos:</w:t>
      </w:r>
      <w:r w:rsidR="00E84DA1" w:rsidRPr="00C816C5">
        <w:rPr>
          <w:rFonts w:ascii="Calibri Light" w:eastAsia="MS Gothic" w:hAnsi="Calibri Light"/>
          <w:i/>
          <w:lang w:val="es-ES_tradnl" w:eastAsia="en-US"/>
        </w:rPr>
        <w:t xml:space="preserve"> </w:t>
      </w:r>
      <w:r w:rsidR="0013370B" w:rsidRPr="00216226">
        <w:rPr>
          <w:rFonts w:eastAsia="MS Gothic"/>
          <w:lang w:val="es-ES_tradnl" w:eastAsia="en-US"/>
        </w:rPr>
        <w:t xml:space="preserve">El Fondo Mundial ha estado apoyando al país para interpretar los datos procedentes de las encuestas </w:t>
      </w:r>
      <w:r w:rsidR="00B44187" w:rsidRPr="00216226">
        <w:rPr>
          <w:rFonts w:eastAsia="MS Gothic"/>
          <w:lang w:val="es-ES_tradnl" w:eastAsia="en-US"/>
        </w:rPr>
        <w:t>e</w:t>
      </w:r>
      <w:r w:rsidR="0013370B" w:rsidRPr="00216226">
        <w:rPr>
          <w:rFonts w:eastAsia="MS Gothic"/>
          <w:lang w:val="es-ES_tradnl" w:eastAsia="en-US"/>
        </w:rPr>
        <w:t xml:space="preserve"> implementaciones de los programas, especialmente para adaptar los enfoques para la divulgación, la prevención y las pruebas de poblaciones clave, y la prestación de servicios de atención sanitaria </w:t>
      </w:r>
      <w:r w:rsidR="000A4808" w:rsidRPr="00216226">
        <w:rPr>
          <w:rFonts w:eastAsia="MS Gothic"/>
          <w:lang w:val="es-ES_tradnl" w:eastAsia="en-US"/>
        </w:rPr>
        <w:t>(Visita de campo)</w:t>
      </w:r>
      <w:r w:rsidR="00E84DA1" w:rsidRPr="00216226">
        <w:rPr>
          <w:rFonts w:eastAsia="MS Gothic"/>
          <w:lang w:val="es-ES_tradnl" w:eastAsia="en-US"/>
        </w:rPr>
        <w:t xml:space="preserve">. </w:t>
      </w:r>
      <w:r w:rsidR="0013370B" w:rsidRPr="00216226">
        <w:rPr>
          <w:rFonts w:eastAsia="MS Gothic"/>
          <w:lang w:val="es-ES_tradnl" w:eastAsia="en-US"/>
        </w:rPr>
        <w:t xml:space="preserve">Esto ha llevado a la elaboración e implementación de procedimientos operativos </w:t>
      </w:r>
      <w:r w:rsidR="00B44187" w:rsidRPr="00216226">
        <w:rPr>
          <w:rFonts w:eastAsia="MS Gothic"/>
          <w:lang w:val="es-ES_tradnl" w:eastAsia="en-US"/>
        </w:rPr>
        <w:t>normalizados</w:t>
      </w:r>
      <w:r w:rsidR="0013370B" w:rsidRPr="00216226">
        <w:rPr>
          <w:rFonts w:eastAsia="MS Gothic"/>
          <w:lang w:val="es-ES_tradnl" w:eastAsia="en-US"/>
        </w:rPr>
        <w:t xml:space="preserve"> para garantizar el control de calidad de la respuesta al VIH (ver más abajo</w:t>
      </w:r>
      <w:r w:rsidR="00E84DA1" w:rsidRPr="00216226">
        <w:rPr>
          <w:rFonts w:eastAsia="MS Gothic"/>
          <w:lang w:val="es-ES_tradnl" w:eastAsia="en-US"/>
        </w:rPr>
        <w:t xml:space="preserve">). </w:t>
      </w:r>
    </w:p>
    <w:p w14:paraId="77108FA0" w14:textId="74786B67" w:rsidR="00E84DA1" w:rsidRPr="00216226" w:rsidRDefault="002734BF" w:rsidP="00B032C2">
      <w:pPr>
        <w:jc w:val="both"/>
        <w:rPr>
          <w:rFonts w:eastAsia="MS Gothic"/>
          <w:lang w:val="es-ES_tradnl" w:eastAsia="en-US"/>
        </w:rPr>
      </w:pPr>
      <w:r w:rsidRPr="00216226">
        <w:rPr>
          <w:rFonts w:eastAsia="MS Gothic"/>
          <w:lang w:val="es-ES_tradnl" w:eastAsia="en-US"/>
        </w:rPr>
        <w:t xml:space="preserve">Otros </w:t>
      </w:r>
      <w:r w:rsidR="0085786A" w:rsidRPr="00216226">
        <w:rPr>
          <w:rFonts w:eastAsia="MS Gothic"/>
          <w:lang w:val="es-ES_tradnl" w:eastAsia="en-US"/>
        </w:rPr>
        <w:t>socios para el desarrollo</w:t>
      </w:r>
      <w:r w:rsidRPr="00216226">
        <w:rPr>
          <w:rFonts w:eastAsia="MS Gothic"/>
          <w:lang w:val="es-ES_tradnl" w:eastAsia="en-US"/>
        </w:rPr>
        <w:t xml:space="preserve"> (</w:t>
      </w:r>
      <w:r w:rsidRPr="000A1D9C">
        <w:rPr>
          <w:rFonts w:eastAsia="MS Gothic"/>
          <w:i/>
          <w:lang w:val="es-ES_tradnl" w:eastAsia="en-US"/>
        </w:rPr>
        <w:t>USAID</w:t>
      </w:r>
      <w:r w:rsidRPr="00216226">
        <w:rPr>
          <w:rFonts w:eastAsia="MS Gothic"/>
          <w:lang w:val="es-ES_tradnl" w:eastAsia="en-US"/>
        </w:rPr>
        <w:t xml:space="preserve">, </w:t>
      </w:r>
      <w:r w:rsidRPr="000A1D9C">
        <w:rPr>
          <w:rFonts w:eastAsia="MS Gothic"/>
          <w:i/>
          <w:lang w:val="es-ES_tradnl" w:eastAsia="en-US"/>
        </w:rPr>
        <w:t>CDC</w:t>
      </w:r>
      <w:r w:rsidRPr="00216226">
        <w:rPr>
          <w:rFonts w:eastAsia="MS Gothic"/>
          <w:lang w:val="es-ES_tradnl" w:eastAsia="en-US"/>
        </w:rPr>
        <w:t xml:space="preserve">, </w:t>
      </w:r>
      <w:r w:rsidRPr="00C816C5">
        <w:rPr>
          <w:rFonts w:eastAsia="MS Gothic"/>
          <w:i/>
          <w:lang w:val="es-ES_tradnl" w:eastAsia="en-US"/>
        </w:rPr>
        <w:t>PEPFAR</w:t>
      </w:r>
      <w:r w:rsidRPr="00216226">
        <w:rPr>
          <w:rFonts w:eastAsia="MS Gothic"/>
          <w:lang w:val="es-ES_tradnl" w:eastAsia="en-US"/>
        </w:rPr>
        <w:t>, ONUSIDA, OPS-OMS) también han desempeñado un papel relevante en la prestación de asistencia técnica para generar evidencia de mejor calidad, enfoques empíricamente contrastados y guías y protocolos técnicos</w:t>
      </w:r>
      <w:r w:rsidR="0013370B" w:rsidRPr="00216226">
        <w:rPr>
          <w:rFonts w:eastAsia="MS Gothic"/>
          <w:lang w:val="es-ES_tradnl" w:eastAsia="en-US"/>
        </w:rPr>
        <w:t xml:space="preserve"> </w:t>
      </w:r>
      <w:r w:rsidR="00E84DA1" w:rsidRPr="00216226">
        <w:rPr>
          <w:rFonts w:eastAsia="MS Gothic"/>
          <w:lang w:val="es-ES_tradnl" w:eastAsia="en-US"/>
        </w:rPr>
        <w:t xml:space="preserve">(PENSIDA II, III, </w:t>
      </w:r>
      <w:r w:rsidR="0013448B" w:rsidRPr="00216226">
        <w:rPr>
          <w:rFonts w:eastAsia="MS Gothic"/>
          <w:lang w:val="es-ES_tradnl" w:eastAsia="en-US"/>
        </w:rPr>
        <w:t>y</w:t>
      </w:r>
      <w:r w:rsidR="00E84DA1" w:rsidRPr="00216226">
        <w:rPr>
          <w:rFonts w:eastAsia="MS Gothic"/>
          <w:lang w:val="es-ES_tradnl" w:eastAsia="en-US"/>
        </w:rPr>
        <w:t xml:space="preserve"> IV). </w:t>
      </w:r>
    </w:p>
    <w:p w14:paraId="5162EAA1" w14:textId="28F5D4F1" w:rsidR="00E84DA1" w:rsidRPr="00C816C5" w:rsidRDefault="00320DF5" w:rsidP="00C816C5">
      <w:pPr>
        <w:jc w:val="both"/>
        <w:rPr>
          <w:rFonts w:ascii="Calibri Light" w:eastAsia="MS Gothic" w:hAnsi="Calibri Light"/>
          <w:i/>
          <w:lang w:val="es-ES_tradnl" w:eastAsia="en-US"/>
        </w:rPr>
      </w:pPr>
      <w:r w:rsidRPr="00C816C5">
        <w:rPr>
          <w:rFonts w:eastAsia="MS Gothic"/>
          <w:lang w:val="es-ES_tradnl" w:eastAsia="en-US"/>
        </w:rPr>
        <w:t>Productos:</w:t>
      </w:r>
      <w:r w:rsidR="00E84DA1" w:rsidRPr="00C816C5">
        <w:rPr>
          <w:rFonts w:ascii="Calibri Light" w:eastAsia="MS Gothic" w:hAnsi="Calibri Light"/>
          <w:i/>
          <w:lang w:val="es-ES_tradnl" w:eastAsia="en-US"/>
        </w:rPr>
        <w:t xml:space="preserve"> </w:t>
      </w:r>
      <w:r w:rsidR="002734BF" w:rsidRPr="00216226">
        <w:rPr>
          <w:rFonts w:eastAsia="MS Gothic"/>
          <w:lang w:val="es-ES_tradnl" w:eastAsia="en-US"/>
        </w:rPr>
        <w:t xml:space="preserve">El país posee una serie de normas y protocolos técnicos (manejo de ITS, pacientes pediátricos, estigma y discriminación, mujeres embarazadas </w:t>
      </w:r>
      <w:r w:rsidR="00B44187" w:rsidRPr="00216226">
        <w:rPr>
          <w:rFonts w:eastAsia="MS Gothic"/>
          <w:lang w:val="es-ES_tradnl" w:eastAsia="en-US"/>
        </w:rPr>
        <w:t>seropositivas</w:t>
      </w:r>
      <w:r w:rsidR="002734BF" w:rsidRPr="00216226">
        <w:rPr>
          <w:rFonts w:eastAsia="MS Gothic"/>
          <w:lang w:val="es-ES_tradnl" w:eastAsia="en-US"/>
        </w:rPr>
        <w:t xml:space="preserve">, </w:t>
      </w:r>
      <w:r w:rsidR="006546B1" w:rsidRPr="006546B1">
        <w:rPr>
          <w:rFonts w:eastAsia="MS Gothic"/>
          <w:lang w:val="es-ES_tradnl" w:eastAsia="en-US"/>
        </w:rPr>
        <w:t>la profilaxis después de la exposición al VIH</w:t>
      </w:r>
      <w:r w:rsidR="002734BF" w:rsidRPr="006546B1">
        <w:rPr>
          <w:rFonts w:eastAsia="MS Gothic"/>
          <w:lang w:val="es-ES_tradnl" w:eastAsia="en-US"/>
        </w:rPr>
        <w:t>,</w:t>
      </w:r>
      <w:r w:rsidR="002734BF" w:rsidRPr="00216226">
        <w:rPr>
          <w:rFonts w:eastAsia="MS Gothic"/>
          <w:lang w:val="es-ES_tradnl" w:eastAsia="en-US"/>
        </w:rPr>
        <w:t xml:space="preserve"> paquete de servicios definidos en ITS y VIH</w:t>
      </w:r>
      <w:r w:rsidR="00E84DA1" w:rsidRPr="00216226">
        <w:rPr>
          <w:rFonts w:eastAsia="MS Gothic"/>
          <w:lang w:val="es-ES_tradnl" w:eastAsia="en-US"/>
        </w:rPr>
        <w:t xml:space="preserve">), </w:t>
      </w:r>
      <w:r w:rsidR="002734BF" w:rsidRPr="00216226">
        <w:rPr>
          <w:rFonts w:eastAsia="MS Gothic"/>
          <w:lang w:val="es-ES_tradnl" w:eastAsia="en-US"/>
        </w:rPr>
        <w:t xml:space="preserve">evaluaciones (relacionadas con la información </w:t>
      </w:r>
      <w:r w:rsidR="00B44187" w:rsidRPr="00216226">
        <w:rPr>
          <w:rFonts w:eastAsia="MS Gothic"/>
          <w:lang w:val="es-ES_tradnl" w:eastAsia="en-US"/>
        </w:rPr>
        <w:t xml:space="preserve">insuficiente </w:t>
      </w:r>
      <w:r w:rsidR="002734BF" w:rsidRPr="00216226">
        <w:rPr>
          <w:rFonts w:eastAsia="MS Gothic"/>
          <w:lang w:val="es-ES_tradnl" w:eastAsia="en-US"/>
        </w:rPr>
        <w:t xml:space="preserve">de casos de VIH, </w:t>
      </w:r>
      <w:r w:rsidR="00CB285B">
        <w:rPr>
          <w:rFonts w:eastAsia="MS Gothic"/>
          <w:lang w:val="es-ES_tradnl" w:eastAsia="en-US"/>
        </w:rPr>
        <w:t>PPL</w:t>
      </w:r>
      <w:r w:rsidR="002734BF" w:rsidRPr="00216226">
        <w:rPr>
          <w:rFonts w:eastAsia="MS Gothic"/>
          <w:lang w:val="es-ES_tradnl" w:eastAsia="en-US"/>
        </w:rPr>
        <w:t xml:space="preserve"> y VIH, asuntos de género en la respuesta nacional al VIH), recopilación de datos (</w:t>
      </w:r>
      <w:r w:rsidR="002734BF" w:rsidRPr="001C51BB">
        <w:rPr>
          <w:rFonts w:eastAsia="MS Gothic"/>
          <w:i/>
          <w:lang w:val="es-ES_tradnl" w:eastAsia="en-US"/>
        </w:rPr>
        <w:t>PSE</w:t>
      </w:r>
      <w:r w:rsidR="002734BF" w:rsidRPr="00216226">
        <w:rPr>
          <w:rFonts w:eastAsia="MS Gothic"/>
          <w:lang w:val="es-ES_tradnl" w:eastAsia="en-US"/>
        </w:rPr>
        <w:t xml:space="preserve">, </w:t>
      </w:r>
      <w:r w:rsidR="00B44187" w:rsidRPr="00216226">
        <w:rPr>
          <w:rFonts w:eastAsia="MS Gothic"/>
          <w:lang w:val="es-ES_tradnl" w:eastAsia="en-US"/>
        </w:rPr>
        <w:t>cascada del continuo de atención</w:t>
      </w:r>
      <w:r w:rsidR="002734BF" w:rsidRPr="00216226">
        <w:rPr>
          <w:rFonts w:eastAsia="MS Gothic"/>
          <w:lang w:val="es-ES_tradnl" w:eastAsia="en-US"/>
        </w:rPr>
        <w:t xml:space="preserve">, </w:t>
      </w:r>
      <w:r w:rsidR="00B44187" w:rsidRPr="00216226">
        <w:rPr>
          <w:rFonts w:eastAsia="MS Gothic"/>
          <w:lang w:val="es-ES_tradnl" w:eastAsia="en-US"/>
        </w:rPr>
        <w:t xml:space="preserve">indicadores </w:t>
      </w:r>
      <w:r w:rsidR="002734BF" w:rsidRPr="00216226">
        <w:rPr>
          <w:rFonts w:eastAsia="MS Gothic"/>
          <w:lang w:val="es-ES_tradnl" w:eastAsia="en-US"/>
        </w:rPr>
        <w:t xml:space="preserve">de impacto) y modelos (casos de inversión en VIH) destinados a monitorear y mejorar la calidad de servicios </w:t>
      </w:r>
      <w:r w:rsidR="00E84DA1" w:rsidRPr="00216226">
        <w:rPr>
          <w:rFonts w:eastAsia="MS Gothic"/>
          <w:lang w:val="es-ES_tradnl" w:eastAsia="en-US"/>
        </w:rPr>
        <w:t>(</w:t>
      </w:r>
      <w:r w:rsidR="00D44421" w:rsidRPr="00216226">
        <w:rPr>
          <w:rFonts w:eastAsia="MS Gothic"/>
          <w:lang w:val="es-ES_tradnl" w:eastAsia="en-US"/>
        </w:rPr>
        <w:t>MCP</w:t>
      </w:r>
      <w:r w:rsidR="00E84DA1" w:rsidRPr="00216226">
        <w:rPr>
          <w:rFonts w:eastAsia="MS Gothic"/>
          <w:lang w:val="es-ES_tradnl" w:eastAsia="en-US"/>
        </w:rPr>
        <w:t xml:space="preserve">, 2018). </w:t>
      </w:r>
    </w:p>
    <w:p w14:paraId="5AD005EB" w14:textId="09D927CB" w:rsidR="00E84DA1" w:rsidRPr="00216226" w:rsidRDefault="002734BF" w:rsidP="00B032C2">
      <w:pPr>
        <w:jc w:val="both"/>
        <w:rPr>
          <w:rFonts w:eastAsia="MS Gothic"/>
          <w:lang w:val="es-ES_tradnl" w:eastAsia="en-US"/>
        </w:rPr>
      </w:pPr>
      <w:r w:rsidRPr="00216226">
        <w:rPr>
          <w:rFonts w:eastAsia="MS Gothic"/>
          <w:lang w:val="es-ES_tradnl" w:eastAsia="en-US"/>
        </w:rPr>
        <w:t>Los protocolos más importantes que se utilizan actualmente son las "Guías para aumentar la capacidad de supervisión", seis en total, que cubren diferentes áreas de atención médica: ITS, pediatría, adolescentes y adultos, consejería, pruebas de VIH y PTMI (Unidad de control de calidad</w:t>
      </w:r>
      <w:r w:rsidR="00E84DA1" w:rsidRPr="00216226">
        <w:rPr>
          <w:rFonts w:eastAsia="MS Gothic"/>
          <w:lang w:val="es-ES_tradnl" w:eastAsia="en-US"/>
        </w:rPr>
        <w:t xml:space="preserve">, 2017). </w:t>
      </w:r>
      <w:r w:rsidRPr="00216226">
        <w:rPr>
          <w:rFonts w:eastAsia="MS Gothic"/>
          <w:lang w:val="es-ES_tradnl" w:eastAsia="en-US"/>
        </w:rPr>
        <w:t xml:space="preserve">Estas guías se enfocan en verificar que la visita médica se desarrolle de conformidad con las normas de buenas prácticas con el fin de ayudar a los profesionales de la sanidad a mejorar, y no tienen en cuenta los indicadores de impacto (tales como tasas de positividad, porcentaje de pacientes con carga viral suprimida o la calidad de vida que informa el paciente) como indicadores de calidad </w:t>
      </w:r>
      <w:r w:rsidR="000A4808" w:rsidRPr="00216226">
        <w:rPr>
          <w:rFonts w:eastAsia="MS Gothic"/>
          <w:lang w:val="es-ES_tradnl" w:eastAsia="en-US"/>
        </w:rPr>
        <w:t>(Visita de campo)</w:t>
      </w:r>
      <w:r w:rsidR="00E84DA1" w:rsidRPr="00216226">
        <w:rPr>
          <w:rFonts w:eastAsia="MS Gothic"/>
          <w:lang w:val="es-ES_tradnl" w:eastAsia="en-US"/>
        </w:rPr>
        <w:t xml:space="preserve">. </w:t>
      </w:r>
    </w:p>
    <w:p w14:paraId="797FE3A1" w14:textId="52606BA8" w:rsidR="00E84DA1" w:rsidRPr="00C816C5" w:rsidRDefault="004B3528" w:rsidP="00C816C5">
      <w:pPr>
        <w:jc w:val="both"/>
        <w:rPr>
          <w:rFonts w:ascii="Calibri Light" w:eastAsia="MS Gothic" w:hAnsi="Calibri Light"/>
          <w:i/>
          <w:lang w:val="es-ES_tradnl" w:eastAsia="en-US"/>
        </w:rPr>
      </w:pPr>
      <w:r w:rsidRPr="00C816C5">
        <w:rPr>
          <w:rFonts w:eastAsia="MS Gothic"/>
          <w:lang w:val="es-ES_tradnl" w:eastAsia="en-US"/>
        </w:rPr>
        <w:t>Resultados:</w:t>
      </w:r>
      <w:r w:rsidR="00E84DA1" w:rsidRPr="00C816C5">
        <w:rPr>
          <w:rFonts w:ascii="Calibri Light" w:eastAsia="MS Gothic" w:hAnsi="Calibri Light"/>
          <w:i/>
          <w:lang w:val="es-ES_tradnl" w:eastAsia="en-US"/>
        </w:rPr>
        <w:t xml:space="preserve"> </w:t>
      </w:r>
      <w:bookmarkStart w:id="33" w:name="_Hlk8232354"/>
      <w:r w:rsidR="002734BF" w:rsidRPr="00216226">
        <w:rPr>
          <w:rFonts w:eastAsia="MS Gothic"/>
          <w:lang w:val="es-ES_tradnl" w:eastAsia="en-US"/>
        </w:rPr>
        <w:t xml:space="preserve">Hasta ahora, no ha habido un uso claro de las evaluaciones de calidad, incluidos los indicadores de impacto, para discutir y adoptar modelos diferenciados de servicios para aumentar la eficacia de la respuesta nacional. Las autoridades públicas parecen haber comenzado recientemente a considerar </w:t>
      </w:r>
      <w:r w:rsidR="00B44187" w:rsidRPr="00216226">
        <w:rPr>
          <w:rFonts w:eastAsia="MS Gothic"/>
          <w:lang w:val="es-ES_tradnl" w:eastAsia="en-US"/>
        </w:rPr>
        <w:t>los datos de</w:t>
      </w:r>
      <w:r w:rsidR="002734BF" w:rsidRPr="00216226">
        <w:rPr>
          <w:rFonts w:eastAsia="MS Gothic"/>
          <w:lang w:val="es-ES_tradnl" w:eastAsia="en-US"/>
        </w:rPr>
        <w:t xml:space="preserve"> calidad y de impacto para repensar el alcance de las poblaciones clave </w:t>
      </w:r>
      <w:r w:rsidR="00E84DA1" w:rsidRPr="00216226">
        <w:rPr>
          <w:rFonts w:eastAsia="MS Gothic"/>
          <w:lang w:val="es-ES_tradnl" w:eastAsia="en-US"/>
        </w:rPr>
        <w:t>(</w:t>
      </w:r>
      <w:r w:rsidR="001F6E0F" w:rsidRPr="00216226">
        <w:rPr>
          <w:rFonts w:eastAsia="MS Gothic"/>
          <w:lang w:val="es-ES_tradnl" w:eastAsia="en-US"/>
        </w:rPr>
        <w:t xml:space="preserve">priorizando los enfoques de </w:t>
      </w:r>
      <w:r w:rsidR="001F6E0F" w:rsidRPr="00943294">
        <w:rPr>
          <w:rFonts w:eastAsia="MS Gothic"/>
          <w:i/>
          <w:lang w:val="es-ES_tradnl" w:eastAsia="en-US"/>
        </w:rPr>
        <w:t>HTC</w:t>
      </w:r>
      <w:r w:rsidR="001F6E0F" w:rsidRPr="00216226">
        <w:rPr>
          <w:rFonts w:eastAsia="MS Gothic"/>
          <w:lang w:val="es-ES_tradnl" w:eastAsia="en-US"/>
        </w:rPr>
        <w:t xml:space="preserve"> con mayores tasas de positividad</w:t>
      </w:r>
      <w:r w:rsidR="00E84DA1" w:rsidRPr="00216226">
        <w:rPr>
          <w:rFonts w:eastAsia="MS Gothic"/>
          <w:lang w:val="es-ES_tradnl" w:eastAsia="en-US"/>
        </w:rPr>
        <w:t xml:space="preserve">) </w:t>
      </w:r>
      <w:r w:rsidR="002734BF" w:rsidRPr="00216226">
        <w:rPr>
          <w:rFonts w:eastAsia="MS Gothic"/>
          <w:lang w:val="es-ES_tradnl" w:eastAsia="en-US"/>
        </w:rPr>
        <w:t xml:space="preserve">y un servicio de atención médica más eficiente para las </w:t>
      </w:r>
      <w:r w:rsidR="00DB2E29" w:rsidRPr="00216226">
        <w:rPr>
          <w:rFonts w:eastAsia="MS Gothic"/>
          <w:lang w:val="es-ES_tradnl" w:eastAsia="en-US"/>
        </w:rPr>
        <w:t>PVVIH</w:t>
      </w:r>
      <w:r w:rsidR="002734BF" w:rsidRPr="00216226">
        <w:rPr>
          <w:rFonts w:eastAsia="MS Gothic"/>
          <w:lang w:val="es-ES_tradnl" w:eastAsia="en-US"/>
        </w:rPr>
        <w:t xml:space="preserve"> (pilotar un nuevo programa de visitas médicas más conveniente para los pacientes y que consuma menos recursos humanos</w:t>
      </w:r>
      <w:r w:rsidR="00E84DA1" w:rsidRPr="00216226">
        <w:rPr>
          <w:rFonts w:eastAsia="MS Gothic"/>
          <w:lang w:val="es-ES_tradnl" w:eastAsia="en-US"/>
        </w:rPr>
        <w:t xml:space="preserve">) </w:t>
      </w:r>
      <w:r w:rsidR="000A4808" w:rsidRPr="00216226">
        <w:rPr>
          <w:rFonts w:eastAsia="MS Gothic"/>
          <w:lang w:val="es-ES_tradnl" w:eastAsia="en-US"/>
        </w:rPr>
        <w:t>(Visita de campo</w:t>
      </w:r>
      <w:bookmarkEnd w:id="33"/>
      <w:r w:rsidR="000A4808" w:rsidRPr="00216226">
        <w:rPr>
          <w:rFonts w:eastAsia="MS Gothic"/>
          <w:lang w:val="es-ES_tradnl" w:eastAsia="en-US"/>
        </w:rPr>
        <w:t>)</w:t>
      </w:r>
      <w:r w:rsidR="00E84DA1" w:rsidRPr="00216226">
        <w:rPr>
          <w:rFonts w:eastAsia="MS Gothic"/>
          <w:lang w:val="es-ES_tradnl" w:eastAsia="en-US"/>
        </w:rPr>
        <w:t>.</w:t>
      </w:r>
      <w:r w:rsidR="002136F3" w:rsidRPr="00216226">
        <w:rPr>
          <w:lang w:val="es-ES_tradnl"/>
        </w:rPr>
        <w:t xml:space="preserve"> </w:t>
      </w:r>
    </w:p>
    <w:p w14:paraId="1063634E" w14:textId="6CBBD6A6" w:rsidR="005D3854" w:rsidRPr="00216226" w:rsidRDefault="005F63B6" w:rsidP="00404AB2">
      <w:pPr>
        <w:jc w:val="center"/>
        <w:rPr>
          <w:rFonts w:eastAsia="MS Gothic"/>
          <w:lang w:val="es-ES_tradnl" w:eastAsia="en-US"/>
        </w:rPr>
      </w:pPr>
      <w:r w:rsidRPr="00404AB2">
        <w:rPr>
          <w:i/>
          <w:lang w:val="es-US"/>
        </w:rPr>
        <w:t xml:space="preserve"> </w:t>
      </w:r>
      <w:r w:rsidR="00404AB2" w:rsidRPr="00404AB2">
        <w:rPr>
          <w:i/>
          <w:lang w:val="es-US"/>
        </w:rPr>
        <w:t>“</w:t>
      </w:r>
      <w:r w:rsidR="00404AB2" w:rsidRPr="00404AB2">
        <w:rPr>
          <w:i/>
          <w:lang w:val="es-ES_tradnl"/>
        </w:rPr>
        <w:t>Las personas no se presentan a las visitas médicas porque no pueden. Puede haber madres con responsabilidades domésticas, o personas que viven lejos del centro de salud que, por razones de confidencialidad, no pueden pagar el transporte, o personas que no pueden darse el lujo de perder tantos días de trabajo. Los profesionales de la salud no entienden eso, y nos castigan, enviándonos al consejero. No es un problema de adherencia, sino un problema social”. – Representante de OSC</w:t>
      </w:r>
      <w:r w:rsidR="005D3854" w:rsidRPr="00216226">
        <w:rPr>
          <w:lang w:val="es-ES_tradnl"/>
        </w:rPr>
        <w:br w:type="page"/>
      </w:r>
    </w:p>
    <w:p w14:paraId="7CE67CA3" w14:textId="77777777" w:rsidR="005D3854" w:rsidRPr="00216226" w:rsidRDefault="005D3854">
      <w:pPr>
        <w:pStyle w:val="Heading2"/>
        <w:rPr>
          <w:lang w:val="es-ES_tradnl"/>
        </w:rPr>
        <w:sectPr w:rsidR="005D3854" w:rsidRPr="00216226" w:rsidSect="005D3854">
          <w:pgSz w:w="11906" w:h="16838"/>
          <w:pgMar w:top="1440" w:right="1440" w:bottom="1440" w:left="1440" w:header="706" w:footer="706" w:gutter="0"/>
          <w:cols w:space="720"/>
          <w:docGrid w:linePitch="299"/>
        </w:sectPr>
      </w:pPr>
    </w:p>
    <w:p w14:paraId="6C6E080A" w14:textId="65CE3147" w:rsidR="00F061A0" w:rsidRPr="00216226" w:rsidRDefault="00A61B0A">
      <w:pPr>
        <w:pStyle w:val="Heading2"/>
        <w:rPr>
          <w:lang w:val="es-ES_tradnl"/>
        </w:rPr>
      </w:pPr>
      <w:r w:rsidRPr="00216226">
        <w:rPr>
          <w:lang w:val="es-ES_tradnl"/>
        </w:rPr>
        <w:lastRenderedPageBreak/>
        <w:t>Tablero de mando de los Indicadores Clave</w:t>
      </w:r>
      <w:r w:rsidR="000C0F5B" w:rsidRPr="00216226">
        <w:rPr>
          <w:lang w:val="es-ES_tradnl"/>
        </w:rPr>
        <w:t xml:space="preserve">: </w:t>
      </w:r>
      <w:r w:rsidR="003E78F0" w:rsidRPr="00216226">
        <w:rPr>
          <w:lang w:val="es-ES_tradnl"/>
        </w:rPr>
        <w:t>Objetivo</w:t>
      </w:r>
      <w:r w:rsidR="000C0F5B" w:rsidRPr="00216226">
        <w:rPr>
          <w:lang w:val="es-ES_tradnl"/>
        </w:rPr>
        <w:t xml:space="preserve"> 2</w:t>
      </w:r>
    </w:p>
    <w:tbl>
      <w:tblPr>
        <w:tblStyle w:val="a3"/>
        <w:tblW w:w="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086"/>
      </w:tblGrid>
      <w:tr w:rsidR="002C2B32" w:rsidRPr="009A4A93" w14:paraId="1D590F73" w14:textId="77777777" w:rsidTr="007927C3">
        <w:trPr>
          <w:trHeight w:val="60"/>
        </w:trPr>
        <w:tc>
          <w:tcPr>
            <w:tcW w:w="4891" w:type="dxa"/>
            <w:gridSpan w:val="2"/>
            <w:shd w:val="clear" w:color="auto" w:fill="F2F2F2"/>
            <w:vAlign w:val="center"/>
          </w:tcPr>
          <w:p w14:paraId="68FF186D" w14:textId="78D34815" w:rsidR="002C2B32" w:rsidRPr="00216226" w:rsidRDefault="00A61B0A" w:rsidP="007927C3">
            <w:pPr>
              <w:spacing w:after="0" w:line="240" w:lineRule="auto"/>
              <w:rPr>
                <w:b/>
                <w:color w:val="808080"/>
                <w:sz w:val="20"/>
                <w:szCs w:val="20"/>
                <w:lang w:val="es-ES_tradnl"/>
              </w:rPr>
            </w:pPr>
            <w:r w:rsidRPr="00216226">
              <w:rPr>
                <w:b/>
                <w:sz w:val="20"/>
                <w:szCs w:val="20"/>
                <w:lang w:val="es-ES_tradnl"/>
              </w:rPr>
              <w:t>Claves del Tablero de mando</w:t>
            </w:r>
          </w:p>
        </w:tc>
      </w:tr>
      <w:tr w:rsidR="002C2B32" w:rsidRPr="00216226" w14:paraId="40388D24" w14:textId="77777777" w:rsidTr="007927C3">
        <w:trPr>
          <w:trHeight w:val="280"/>
        </w:trPr>
        <w:tc>
          <w:tcPr>
            <w:tcW w:w="805" w:type="dxa"/>
            <w:shd w:val="clear" w:color="auto" w:fill="C00000"/>
          </w:tcPr>
          <w:p w14:paraId="7CB2804C" w14:textId="77777777" w:rsidR="002C2B32" w:rsidRPr="00216226" w:rsidRDefault="002C2B32" w:rsidP="007927C3">
            <w:pPr>
              <w:spacing w:after="0" w:line="240" w:lineRule="auto"/>
              <w:rPr>
                <w:b/>
                <w:color w:val="000000" w:themeColor="text1"/>
                <w:lang w:val="es-ES_tradnl"/>
              </w:rPr>
            </w:pPr>
            <w:r w:rsidRPr="00216226">
              <w:rPr>
                <w:b/>
                <w:color w:val="000000" w:themeColor="text1"/>
                <w:lang w:val="es-ES_tradnl"/>
              </w:rPr>
              <w:t>1</w:t>
            </w:r>
          </w:p>
        </w:tc>
        <w:tc>
          <w:tcPr>
            <w:tcW w:w="4086" w:type="dxa"/>
          </w:tcPr>
          <w:p w14:paraId="66F0D56C" w14:textId="26167DEE" w:rsidR="002C2B32" w:rsidRPr="00216226" w:rsidRDefault="00A61B0A" w:rsidP="007927C3">
            <w:pPr>
              <w:spacing w:after="0" w:line="240" w:lineRule="auto"/>
              <w:rPr>
                <w:sz w:val="20"/>
                <w:szCs w:val="20"/>
                <w:lang w:val="es-ES_tradnl"/>
              </w:rPr>
            </w:pPr>
            <w:r w:rsidRPr="00216226">
              <w:rPr>
                <w:sz w:val="20"/>
                <w:szCs w:val="20"/>
                <w:lang w:val="es-ES_tradnl"/>
              </w:rPr>
              <w:t>Muy bajo</w:t>
            </w:r>
          </w:p>
        </w:tc>
      </w:tr>
      <w:tr w:rsidR="002C2B32" w:rsidRPr="00216226" w14:paraId="0351C4DF" w14:textId="77777777" w:rsidTr="007927C3">
        <w:trPr>
          <w:trHeight w:val="60"/>
        </w:trPr>
        <w:tc>
          <w:tcPr>
            <w:tcW w:w="805" w:type="dxa"/>
            <w:shd w:val="clear" w:color="auto" w:fill="FF9300"/>
          </w:tcPr>
          <w:p w14:paraId="548B700C" w14:textId="77777777" w:rsidR="002C2B32" w:rsidRPr="00216226" w:rsidRDefault="002C2B32" w:rsidP="007927C3">
            <w:pPr>
              <w:spacing w:after="0" w:line="240" w:lineRule="auto"/>
              <w:rPr>
                <w:b/>
                <w:sz w:val="20"/>
                <w:szCs w:val="20"/>
                <w:lang w:val="es-ES_tradnl"/>
              </w:rPr>
            </w:pPr>
            <w:r w:rsidRPr="00216226">
              <w:rPr>
                <w:b/>
                <w:sz w:val="20"/>
                <w:szCs w:val="20"/>
                <w:lang w:val="es-ES_tradnl"/>
              </w:rPr>
              <w:t>2</w:t>
            </w:r>
          </w:p>
        </w:tc>
        <w:tc>
          <w:tcPr>
            <w:tcW w:w="4086" w:type="dxa"/>
          </w:tcPr>
          <w:p w14:paraId="045671A0" w14:textId="47A23880" w:rsidR="002C2B32" w:rsidRPr="00216226" w:rsidRDefault="00A61B0A" w:rsidP="007927C3">
            <w:pPr>
              <w:spacing w:after="0" w:line="240" w:lineRule="auto"/>
              <w:rPr>
                <w:sz w:val="20"/>
                <w:szCs w:val="20"/>
                <w:lang w:val="es-ES_tradnl"/>
              </w:rPr>
            </w:pPr>
            <w:r w:rsidRPr="00216226">
              <w:rPr>
                <w:sz w:val="20"/>
                <w:szCs w:val="20"/>
                <w:lang w:val="es-ES_tradnl"/>
              </w:rPr>
              <w:t>Bajo</w:t>
            </w:r>
          </w:p>
        </w:tc>
      </w:tr>
      <w:tr w:rsidR="002C2B32" w:rsidRPr="00216226" w14:paraId="09533378" w14:textId="77777777" w:rsidTr="007927C3">
        <w:trPr>
          <w:trHeight w:val="60"/>
        </w:trPr>
        <w:tc>
          <w:tcPr>
            <w:tcW w:w="805" w:type="dxa"/>
            <w:shd w:val="clear" w:color="auto" w:fill="FFD965"/>
          </w:tcPr>
          <w:p w14:paraId="72FA45E6" w14:textId="77777777" w:rsidR="002C2B32" w:rsidRPr="00216226" w:rsidRDefault="002C2B32" w:rsidP="007927C3">
            <w:pPr>
              <w:spacing w:after="0" w:line="240" w:lineRule="auto"/>
              <w:rPr>
                <w:b/>
                <w:sz w:val="20"/>
                <w:szCs w:val="20"/>
                <w:lang w:val="es-ES_tradnl"/>
              </w:rPr>
            </w:pPr>
            <w:r w:rsidRPr="00216226">
              <w:rPr>
                <w:b/>
                <w:sz w:val="20"/>
                <w:szCs w:val="20"/>
                <w:lang w:val="es-ES_tradnl"/>
              </w:rPr>
              <w:t>3</w:t>
            </w:r>
          </w:p>
        </w:tc>
        <w:tc>
          <w:tcPr>
            <w:tcW w:w="4086" w:type="dxa"/>
          </w:tcPr>
          <w:p w14:paraId="06586CD1" w14:textId="24693477" w:rsidR="002C2B32" w:rsidRPr="00216226" w:rsidRDefault="00A61B0A" w:rsidP="007927C3">
            <w:pPr>
              <w:spacing w:after="0" w:line="240" w:lineRule="auto"/>
              <w:rPr>
                <w:sz w:val="20"/>
                <w:szCs w:val="20"/>
                <w:lang w:val="es-ES_tradnl"/>
              </w:rPr>
            </w:pPr>
            <w:r w:rsidRPr="00216226">
              <w:rPr>
                <w:sz w:val="20"/>
                <w:szCs w:val="20"/>
                <w:lang w:val="es-ES_tradnl"/>
              </w:rPr>
              <w:t>Moderado</w:t>
            </w:r>
          </w:p>
        </w:tc>
      </w:tr>
      <w:tr w:rsidR="002C2B32" w:rsidRPr="00216226" w14:paraId="6658B4E5" w14:textId="77777777" w:rsidTr="007927C3">
        <w:trPr>
          <w:trHeight w:val="60"/>
        </w:trPr>
        <w:tc>
          <w:tcPr>
            <w:tcW w:w="805" w:type="dxa"/>
            <w:shd w:val="clear" w:color="auto" w:fill="A8D08D"/>
          </w:tcPr>
          <w:p w14:paraId="57EA3625" w14:textId="77777777" w:rsidR="002C2B32" w:rsidRPr="00216226" w:rsidRDefault="002C2B32" w:rsidP="007927C3">
            <w:pPr>
              <w:spacing w:after="0" w:line="240" w:lineRule="auto"/>
              <w:rPr>
                <w:b/>
                <w:sz w:val="20"/>
                <w:szCs w:val="20"/>
                <w:lang w:val="es-ES_tradnl"/>
              </w:rPr>
            </w:pPr>
            <w:r w:rsidRPr="00216226">
              <w:rPr>
                <w:b/>
                <w:sz w:val="20"/>
                <w:szCs w:val="20"/>
                <w:lang w:val="es-ES_tradnl"/>
              </w:rPr>
              <w:t>4</w:t>
            </w:r>
          </w:p>
        </w:tc>
        <w:tc>
          <w:tcPr>
            <w:tcW w:w="4086" w:type="dxa"/>
          </w:tcPr>
          <w:p w14:paraId="4F2C0215" w14:textId="47517907" w:rsidR="002C2B32" w:rsidRPr="00216226" w:rsidRDefault="00A61B0A" w:rsidP="007927C3">
            <w:pPr>
              <w:spacing w:after="0" w:line="240" w:lineRule="auto"/>
              <w:rPr>
                <w:sz w:val="20"/>
                <w:szCs w:val="20"/>
                <w:lang w:val="es-ES_tradnl"/>
              </w:rPr>
            </w:pPr>
            <w:r w:rsidRPr="00216226">
              <w:rPr>
                <w:sz w:val="20"/>
                <w:szCs w:val="20"/>
                <w:lang w:val="es-ES_tradnl"/>
              </w:rPr>
              <w:t>Bueno</w:t>
            </w:r>
            <w:r w:rsidR="002C2B32" w:rsidRPr="00216226">
              <w:rPr>
                <w:sz w:val="20"/>
                <w:szCs w:val="20"/>
                <w:lang w:val="es-ES_tradnl"/>
              </w:rPr>
              <w:t xml:space="preserve"> </w:t>
            </w:r>
          </w:p>
        </w:tc>
      </w:tr>
    </w:tbl>
    <w:tbl>
      <w:tblPr>
        <w:tblStyle w:val="a4"/>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8"/>
        <w:gridCol w:w="1800"/>
        <w:gridCol w:w="5310"/>
        <w:gridCol w:w="2970"/>
      </w:tblGrid>
      <w:tr w:rsidR="008B248C" w:rsidRPr="00216226" w14:paraId="3466EB3C" w14:textId="7EC72A61" w:rsidTr="00E12234">
        <w:tc>
          <w:tcPr>
            <w:tcW w:w="3978" w:type="dxa"/>
            <w:shd w:val="clear" w:color="auto" w:fill="F2F2F2"/>
          </w:tcPr>
          <w:p w14:paraId="54376164" w14:textId="172110D7" w:rsidR="008B248C" w:rsidRPr="00216226" w:rsidRDefault="008B248C">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Indica</w:t>
            </w:r>
            <w:r w:rsidR="002276CB" w:rsidRPr="00216226">
              <w:rPr>
                <w:b/>
                <w:color w:val="000000"/>
                <w:sz w:val="20"/>
                <w:szCs w:val="20"/>
                <w:lang w:val="es-ES_tradnl"/>
              </w:rPr>
              <w:t>d</w:t>
            </w:r>
            <w:r w:rsidRPr="00216226">
              <w:rPr>
                <w:b/>
                <w:color w:val="000000"/>
                <w:sz w:val="20"/>
                <w:szCs w:val="20"/>
                <w:lang w:val="es-ES_tradnl"/>
              </w:rPr>
              <w:t xml:space="preserve">or </w:t>
            </w:r>
          </w:p>
        </w:tc>
        <w:tc>
          <w:tcPr>
            <w:tcW w:w="1800" w:type="dxa"/>
            <w:shd w:val="clear" w:color="auto" w:fill="F2F2F2"/>
          </w:tcPr>
          <w:p w14:paraId="6BA0199C" w14:textId="430520D5" w:rsidR="008B248C" w:rsidRPr="00216226" w:rsidRDefault="00AA352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Puntuación</w:t>
            </w:r>
          </w:p>
        </w:tc>
        <w:tc>
          <w:tcPr>
            <w:tcW w:w="5310" w:type="dxa"/>
            <w:shd w:val="clear" w:color="auto" w:fill="F2F2F2"/>
          </w:tcPr>
          <w:p w14:paraId="78035F2B" w14:textId="7FC63168" w:rsidR="008B248C"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Justificación</w:t>
            </w:r>
          </w:p>
        </w:tc>
        <w:tc>
          <w:tcPr>
            <w:tcW w:w="2970" w:type="dxa"/>
            <w:shd w:val="clear" w:color="auto" w:fill="F2F2F2"/>
          </w:tcPr>
          <w:p w14:paraId="39B1C945" w14:textId="6C94F307" w:rsidR="008B248C"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Fuente de los Datos</w:t>
            </w:r>
          </w:p>
        </w:tc>
      </w:tr>
      <w:tr w:rsidR="006744E2" w:rsidRPr="006744E2" w14:paraId="53A974AC" w14:textId="7483239F" w:rsidTr="00A96806">
        <w:trPr>
          <w:trHeight w:val="1421"/>
        </w:trPr>
        <w:tc>
          <w:tcPr>
            <w:tcW w:w="3978" w:type="dxa"/>
          </w:tcPr>
          <w:p w14:paraId="6B5B24F3" w14:textId="7F43BB18" w:rsidR="006744E2" w:rsidRPr="00216226" w:rsidRDefault="006744E2" w:rsidP="006744E2">
            <w:pPr>
              <w:rPr>
                <w:sz w:val="20"/>
                <w:szCs w:val="20"/>
                <w:lang w:val="es-ES_tradnl"/>
              </w:rPr>
            </w:pPr>
            <w:r w:rsidRPr="00216226">
              <w:rPr>
                <w:b/>
                <w:bCs/>
                <w:sz w:val="20"/>
                <w:szCs w:val="20"/>
                <w:lang w:val="es-ES_tradnl" w:eastAsia="en-AU"/>
              </w:rPr>
              <w:t>Poblaciones clave alcanzadas:</w:t>
            </w:r>
            <w:r w:rsidRPr="00216226">
              <w:rPr>
                <w:bCs/>
                <w:sz w:val="20"/>
                <w:szCs w:val="20"/>
                <w:lang w:val="es-ES_tradnl" w:eastAsia="en-AU"/>
              </w:rPr>
              <w:t xml:space="preserve"> % de 2 poblaciones clave con mayor prevalencia alcanzada por paquetes de servicios definidos</w:t>
            </w:r>
          </w:p>
        </w:tc>
        <w:tc>
          <w:tcPr>
            <w:tcW w:w="1800" w:type="dxa"/>
            <w:shd w:val="clear" w:color="auto" w:fill="FFD965"/>
          </w:tcPr>
          <w:p w14:paraId="22A57B69" w14:textId="3494A958"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417C2BCF" w14:textId="60B5B622" w:rsidR="006744E2" w:rsidRPr="00216226" w:rsidRDefault="006744E2" w:rsidP="006744E2">
            <w:pPr>
              <w:pBdr>
                <w:top w:val="nil"/>
                <w:left w:val="nil"/>
                <w:bottom w:val="nil"/>
                <w:right w:val="nil"/>
                <w:between w:val="nil"/>
              </w:pBdr>
              <w:spacing w:line="240" w:lineRule="auto"/>
              <w:rPr>
                <w:i/>
                <w:color w:val="000000"/>
                <w:sz w:val="20"/>
                <w:szCs w:val="20"/>
                <w:lang w:val="es-ES_tradnl"/>
              </w:rPr>
            </w:pPr>
            <w:r w:rsidRPr="00216226">
              <w:rPr>
                <w:sz w:val="20"/>
                <w:szCs w:val="20"/>
                <w:lang w:val="es-ES_tradnl"/>
              </w:rPr>
              <w:t xml:space="preserve">Este número se basa en la media del % para mujeres </w:t>
            </w:r>
            <w:r>
              <w:rPr>
                <w:sz w:val="20"/>
                <w:szCs w:val="20"/>
                <w:lang w:val="es-ES_tradnl"/>
              </w:rPr>
              <w:t xml:space="preserve">transgénero </w:t>
            </w:r>
            <w:r w:rsidRPr="00216226">
              <w:rPr>
                <w:sz w:val="20"/>
                <w:szCs w:val="20"/>
                <w:lang w:val="es-ES_tradnl"/>
              </w:rPr>
              <w:t xml:space="preserve">(52%) y HSH (83%) en el </w:t>
            </w:r>
            <w:r w:rsidRPr="001C51BB">
              <w:rPr>
                <w:i/>
                <w:sz w:val="20"/>
                <w:szCs w:val="20"/>
                <w:lang w:val="es-ES_tradnl"/>
              </w:rPr>
              <w:t>PUDR</w:t>
            </w:r>
            <w:r w:rsidRPr="00216226">
              <w:rPr>
                <w:sz w:val="20"/>
                <w:szCs w:val="20"/>
                <w:lang w:val="es-ES_tradnl"/>
              </w:rPr>
              <w:t xml:space="preserve"> con fecha del 31/12/2017. El denominador es el objetivo nacional. El numerador incluye todas las actividades comunicadas. Sin embargo, no se informan todas las actividades de todos los actores.</w:t>
            </w:r>
          </w:p>
        </w:tc>
        <w:tc>
          <w:tcPr>
            <w:tcW w:w="2970" w:type="dxa"/>
          </w:tcPr>
          <w:p w14:paraId="65FA7682" w14:textId="4F5201DE" w:rsidR="006744E2" w:rsidRPr="00216226" w:rsidRDefault="006744E2" w:rsidP="006744E2">
            <w:pPr>
              <w:pBdr>
                <w:top w:val="nil"/>
                <w:left w:val="nil"/>
                <w:bottom w:val="nil"/>
                <w:right w:val="nil"/>
                <w:between w:val="nil"/>
              </w:pBdr>
              <w:spacing w:after="0" w:line="240" w:lineRule="auto"/>
              <w:rPr>
                <w:color w:val="000000"/>
                <w:sz w:val="20"/>
                <w:szCs w:val="20"/>
                <w:highlight w:val="yellow"/>
                <w:lang w:val="es-ES_tradnl"/>
              </w:rPr>
            </w:pPr>
            <w:r w:rsidRPr="000A1D9C">
              <w:rPr>
                <w:i/>
                <w:color w:val="000000"/>
                <w:sz w:val="20"/>
                <w:szCs w:val="20"/>
                <w:lang w:val="en-US"/>
              </w:rPr>
              <w:t>PUDR</w:t>
            </w:r>
            <w:r w:rsidRPr="000F2240">
              <w:rPr>
                <w:color w:val="000000"/>
                <w:sz w:val="20"/>
                <w:szCs w:val="20"/>
                <w:lang w:val="en-US"/>
              </w:rPr>
              <w:t>, 2017</w:t>
            </w:r>
          </w:p>
        </w:tc>
      </w:tr>
      <w:tr w:rsidR="006744E2" w:rsidRPr="006744E2" w14:paraId="192111BD" w14:textId="54A13ADB" w:rsidTr="00E84DA1">
        <w:tc>
          <w:tcPr>
            <w:tcW w:w="3978" w:type="dxa"/>
          </w:tcPr>
          <w:p w14:paraId="26EDC779" w14:textId="6CF07E17" w:rsidR="006744E2" w:rsidRPr="00216226" w:rsidRDefault="006744E2" w:rsidP="006744E2">
            <w:pPr>
              <w:rPr>
                <w:sz w:val="20"/>
                <w:szCs w:val="20"/>
                <w:lang w:val="es-ES_tradnl"/>
              </w:rPr>
            </w:pPr>
            <w:r w:rsidRPr="00216226">
              <w:rPr>
                <w:b/>
                <w:bCs/>
                <w:sz w:val="20"/>
                <w:szCs w:val="20"/>
                <w:lang w:val="es-ES_tradnl" w:eastAsia="en-AU"/>
              </w:rPr>
              <w:t xml:space="preserve">PVVIH que conocen su estado: </w:t>
            </w:r>
            <w:r w:rsidRPr="00216226">
              <w:rPr>
                <w:bCs/>
                <w:sz w:val="20"/>
                <w:szCs w:val="20"/>
                <w:lang w:val="es-ES_tradnl" w:eastAsia="en-AU"/>
              </w:rPr>
              <w:t>% estimado de PVVIH y conocen su estado positivo</w:t>
            </w:r>
          </w:p>
        </w:tc>
        <w:tc>
          <w:tcPr>
            <w:tcW w:w="1800" w:type="dxa"/>
            <w:shd w:val="clear" w:color="auto" w:fill="FFD965"/>
          </w:tcPr>
          <w:p w14:paraId="0B0A3065" w14:textId="463157E1"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20EF5874" w14:textId="0D0B0500" w:rsidR="006744E2" w:rsidRPr="00216226" w:rsidRDefault="006744E2" w:rsidP="003F39AD">
            <w:pPr>
              <w:pBdr>
                <w:top w:val="nil"/>
                <w:left w:val="nil"/>
                <w:bottom w:val="nil"/>
                <w:right w:val="nil"/>
                <w:between w:val="nil"/>
              </w:pBdr>
              <w:spacing w:line="240" w:lineRule="auto"/>
              <w:rPr>
                <w:sz w:val="20"/>
                <w:szCs w:val="20"/>
                <w:lang w:val="es-ES_tradnl"/>
              </w:rPr>
            </w:pPr>
            <w:r w:rsidRPr="00216226">
              <w:rPr>
                <w:sz w:val="20"/>
                <w:szCs w:val="20"/>
                <w:lang w:val="es-ES_tradnl"/>
              </w:rPr>
              <w:t xml:space="preserve">La proporción de PVVIH que conocen su estado a partir de 2016 es del 61%, según las estimaciones del </w:t>
            </w:r>
            <w:r w:rsidR="003F39AD">
              <w:rPr>
                <w:sz w:val="20"/>
                <w:szCs w:val="20"/>
                <w:lang w:val="es-ES_tradnl"/>
              </w:rPr>
              <w:t>SESAL</w:t>
            </w:r>
            <w:r w:rsidRPr="00216226">
              <w:rPr>
                <w:sz w:val="20"/>
                <w:szCs w:val="20"/>
                <w:lang w:val="es-ES_tradnl"/>
              </w:rPr>
              <w:t>. Estas estimaciones las realiza el país en función al número de personas que reciben TARV, las que están en la fase previa a la TARV y a las pérdidas durante el seguimiento de las cohortes hospitalarias, no del registro nominal. Una combinación de informes insuficientes y un posible doble cómputo hace que estas cifras sean cuestionables.</w:t>
            </w:r>
          </w:p>
        </w:tc>
        <w:tc>
          <w:tcPr>
            <w:tcW w:w="2970" w:type="dxa"/>
          </w:tcPr>
          <w:p w14:paraId="485BD766" w14:textId="181E7845" w:rsidR="006744E2" w:rsidRPr="00216226" w:rsidRDefault="006744E2" w:rsidP="006744E2">
            <w:pPr>
              <w:pBdr>
                <w:top w:val="nil"/>
                <w:left w:val="nil"/>
                <w:bottom w:val="nil"/>
                <w:right w:val="nil"/>
                <w:between w:val="nil"/>
              </w:pBdr>
              <w:spacing w:after="0" w:line="240" w:lineRule="auto"/>
              <w:rPr>
                <w:i/>
                <w:color w:val="000000"/>
                <w:sz w:val="20"/>
                <w:szCs w:val="20"/>
                <w:lang w:val="es-ES_tradnl"/>
              </w:rPr>
            </w:pPr>
            <w:r>
              <w:rPr>
                <w:color w:val="000000"/>
                <w:sz w:val="20"/>
                <w:szCs w:val="20"/>
                <w:lang w:val="en-US"/>
              </w:rPr>
              <w:t>SESAL 2018a.</w:t>
            </w:r>
            <w:r w:rsidRPr="000F2240">
              <w:rPr>
                <w:color w:val="000000"/>
                <w:sz w:val="20"/>
                <w:szCs w:val="20"/>
                <w:lang w:val="en-US"/>
              </w:rPr>
              <w:t xml:space="preserve"> </w:t>
            </w:r>
          </w:p>
        </w:tc>
      </w:tr>
      <w:tr w:rsidR="006744E2" w:rsidRPr="006744E2" w14:paraId="301943FC" w14:textId="066336DB" w:rsidTr="00E84DA1">
        <w:tc>
          <w:tcPr>
            <w:tcW w:w="3978" w:type="dxa"/>
          </w:tcPr>
          <w:p w14:paraId="24B250F6" w14:textId="3C5C7F47" w:rsidR="006744E2" w:rsidRPr="00216226" w:rsidRDefault="006744E2" w:rsidP="006744E2">
            <w:pPr>
              <w:rPr>
                <w:b/>
                <w:sz w:val="20"/>
                <w:szCs w:val="20"/>
                <w:lang w:val="es-ES_tradnl"/>
              </w:rPr>
            </w:pPr>
            <w:r w:rsidRPr="00216226">
              <w:rPr>
                <w:b/>
                <w:bCs/>
                <w:sz w:val="20"/>
                <w:szCs w:val="20"/>
                <w:lang w:val="es-ES_tradnl"/>
              </w:rPr>
              <w:t>Vinculación con el tratamiento y la atención:</w:t>
            </w:r>
            <w:r w:rsidRPr="00216226">
              <w:rPr>
                <w:bCs/>
                <w:sz w:val="20"/>
                <w:szCs w:val="20"/>
                <w:lang w:val="es-ES_tradnl"/>
              </w:rPr>
              <w:t xml:space="preserve"> Disponibilidad y tipos de programas de vinculación, entre diagnóstico / detección y tratamiento</w:t>
            </w:r>
          </w:p>
        </w:tc>
        <w:tc>
          <w:tcPr>
            <w:tcW w:w="1800" w:type="dxa"/>
            <w:shd w:val="clear" w:color="auto" w:fill="FFD965"/>
          </w:tcPr>
          <w:p w14:paraId="67D8A3EA" w14:textId="6E053471"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7D152AD6" w14:textId="04B7FB73" w:rsidR="006744E2" w:rsidRPr="00216226" w:rsidRDefault="006744E2" w:rsidP="006744E2">
            <w:pPr>
              <w:pBdr>
                <w:top w:val="nil"/>
                <w:left w:val="nil"/>
                <w:bottom w:val="nil"/>
                <w:right w:val="nil"/>
                <w:between w:val="nil"/>
              </w:pBdr>
              <w:spacing w:line="240" w:lineRule="auto"/>
              <w:rPr>
                <w:sz w:val="20"/>
                <w:szCs w:val="20"/>
                <w:lang w:val="es-ES_tradnl"/>
              </w:rPr>
            </w:pPr>
            <w:r w:rsidRPr="00216226">
              <w:rPr>
                <w:sz w:val="20"/>
                <w:szCs w:val="20"/>
                <w:lang w:val="es-ES_tradnl"/>
              </w:rPr>
              <w:t>La vinculación con la atención de las PVVIH que conocen su estado se estimó en un 85% en 2016, según las cohortes hospitalarias (ver comentario en la celda anterior). Existen brechas en la vinculación de las poblaciones clave y las mujeres embarazadas. El 96% de las personas con TB y VIH están en TARV.</w:t>
            </w:r>
          </w:p>
        </w:tc>
        <w:tc>
          <w:tcPr>
            <w:tcW w:w="2970" w:type="dxa"/>
          </w:tcPr>
          <w:p w14:paraId="273C1806" w14:textId="63F8A1A4" w:rsidR="006744E2" w:rsidRPr="00216226" w:rsidRDefault="006744E2" w:rsidP="006744E2">
            <w:pPr>
              <w:pBdr>
                <w:top w:val="nil"/>
                <w:left w:val="nil"/>
                <w:bottom w:val="nil"/>
                <w:right w:val="nil"/>
                <w:between w:val="nil"/>
              </w:pBdr>
              <w:spacing w:after="0" w:line="240" w:lineRule="auto"/>
              <w:rPr>
                <w:i/>
                <w:color w:val="000000"/>
                <w:sz w:val="20"/>
                <w:szCs w:val="20"/>
                <w:lang w:val="es-ES_tradnl"/>
              </w:rPr>
            </w:pPr>
            <w:r>
              <w:rPr>
                <w:color w:val="000000"/>
                <w:sz w:val="20"/>
                <w:szCs w:val="20"/>
                <w:lang w:val="en-US"/>
              </w:rPr>
              <w:t>SESAL 2018a.</w:t>
            </w:r>
          </w:p>
        </w:tc>
      </w:tr>
      <w:tr w:rsidR="006744E2" w:rsidRPr="006744E2" w14:paraId="3FCDA414" w14:textId="477254F4" w:rsidTr="00E84DA1">
        <w:tc>
          <w:tcPr>
            <w:tcW w:w="3978" w:type="dxa"/>
          </w:tcPr>
          <w:p w14:paraId="5451F848" w14:textId="21362021" w:rsidR="006744E2" w:rsidRPr="00216226" w:rsidRDefault="006744E2" w:rsidP="006744E2">
            <w:pPr>
              <w:rPr>
                <w:sz w:val="20"/>
                <w:szCs w:val="20"/>
                <w:lang w:val="es-ES_tradnl"/>
              </w:rPr>
            </w:pPr>
            <w:r w:rsidRPr="00216226">
              <w:rPr>
                <w:b/>
                <w:bCs/>
                <w:sz w:val="20"/>
                <w:szCs w:val="20"/>
                <w:lang w:val="es-ES_tradnl" w:eastAsia="en-AU"/>
              </w:rPr>
              <w:t>Cobertura TARV</w:t>
            </w:r>
            <w:r w:rsidRPr="00216226">
              <w:rPr>
                <w:bCs/>
                <w:sz w:val="20"/>
                <w:szCs w:val="20"/>
                <w:lang w:val="es-ES_tradnl" w:eastAsia="en-AU"/>
              </w:rPr>
              <w:t xml:space="preserve"> % estimado de PVVIH actualmente en TARV (adultos y niños</w:t>
            </w:r>
            <w:r w:rsidRPr="00216226">
              <w:rPr>
                <w:sz w:val="20"/>
                <w:szCs w:val="20"/>
                <w:lang w:val="es-ES_tradnl"/>
              </w:rPr>
              <w:t xml:space="preserve">) </w:t>
            </w:r>
          </w:p>
        </w:tc>
        <w:tc>
          <w:tcPr>
            <w:tcW w:w="1800" w:type="dxa"/>
            <w:shd w:val="clear" w:color="auto" w:fill="FFD965"/>
          </w:tcPr>
          <w:p w14:paraId="67AEC4E9" w14:textId="58B9CDDB"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36C507EB" w14:textId="66978A29" w:rsidR="006744E2" w:rsidRPr="00216226" w:rsidRDefault="006744E2" w:rsidP="006744E2">
            <w:pPr>
              <w:pBdr>
                <w:top w:val="nil"/>
                <w:left w:val="nil"/>
                <w:bottom w:val="nil"/>
                <w:right w:val="nil"/>
                <w:between w:val="nil"/>
              </w:pBdr>
              <w:spacing w:after="0" w:line="240" w:lineRule="auto"/>
              <w:rPr>
                <w:sz w:val="20"/>
                <w:szCs w:val="20"/>
                <w:lang w:val="es-ES_tradnl"/>
              </w:rPr>
            </w:pPr>
            <w:r w:rsidRPr="00216226">
              <w:rPr>
                <w:sz w:val="20"/>
                <w:szCs w:val="20"/>
                <w:lang w:val="es-ES_tradnl"/>
              </w:rPr>
              <w:t>El 52% de las PVVIH están en TARV en 2017: 11,506 de un total de 22,000, según las cohortes hospitalarias agregadas.</w:t>
            </w:r>
          </w:p>
        </w:tc>
        <w:tc>
          <w:tcPr>
            <w:tcW w:w="2970" w:type="dxa"/>
          </w:tcPr>
          <w:p w14:paraId="0831E604" w14:textId="545E01B8" w:rsidR="006744E2" w:rsidRPr="00216226" w:rsidRDefault="006744E2" w:rsidP="006744E2">
            <w:pPr>
              <w:pBdr>
                <w:top w:val="nil"/>
                <w:left w:val="nil"/>
                <w:bottom w:val="nil"/>
                <w:right w:val="nil"/>
                <w:between w:val="nil"/>
              </w:pBdr>
              <w:spacing w:after="0" w:line="240" w:lineRule="auto"/>
              <w:rPr>
                <w:i/>
                <w:color w:val="000000"/>
                <w:sz w:val="20"/>
                <w:szCs w:val="20"/>
                <w:lang w:val="es-ES_tradnl"/>
              </w:rPr>
            </w:pPr>
            <w:r>
              <w:rPr>
                <w:color w:val="000000"/>
                <w:sz w:val="20"/>
                <w:szCs w:val="20"/>
                <w:lang w:val="en-US"/>
              </w:rPr>
              <w:t>SESAL 2018a.</w:t>
            </w:r>
          </w:p>
        </w:tc>
      </w:tr>
      <w:tr w:rsidR="006744E2" w:rsidRPr="006744E2" w14:paraId="5AC2E687" w14:textId="7D51E4F7" w:rsidTr="00E84DA1">
        <w:tc>
          <w:tcPr>
            <w:tcW w:w="3978" w:type="dxa"/>
          </w:tcPr>
          <w:p w14:paraId="4F1C67B6" w14:textId="4076304F" w:rsidR="006744E2" w:rsidRPr="00216226" w:rsidRDefault="006744E2" w:rsidP="006744E2">
            <w:pPr>
              <w:rPr>
                <w:sz w:val="20"/>
                <w:szCs w:val="20"/>
                <w:lang w:val="es-ES_tradnl"/>
              </w:rPr>
            </w:pPr>
            <w:r w:rsidRPr="00216226">
              <w:rPr>
                <w:b/>
                <w:bCs/>
                <w:sz w:val="20"/>
                <w:szCs w:val="20"/>
                <w:lang w:val="es-ES_tradnl" w:eastAsia="en-AU"/>
              </w:rPr>
              <w:lastRenderedPageBreak/>
              <w:t>Retención TARV de 12 meses:</w:t>
            </w:r>
            <w:r w:rsidRPr="00216226">
              <w:rPr>
                <w:bCs/>
                <w:sz w:val="20"/>
                <w:szCs w:val="20"/>
                <w:lang w:val="es-ES_tradnl" w:eastAsia="en-AU"/>
              </w:rPr>
              <w:t xml:space="preserve"> % de personas que alguna vez iniciaron TARV y que continúan recibiéndolo 12 meses después de iniciado (adultos y niños</w:t>
            </w:r>
            <w:r w:rsidRPr="00216226">
              <w:rPr>
                <w:sz w:val="20"/>
                <w:szCs w:val="20"/>
                <w:lang w:val="es-ES_tradnl"/>
              </w:rPr>
              <w:t xml:space="preserve">) </w:t>
            </w:r>
          </w:p>
        </w:tc>
        <w:tc>
          <w:tcPr>
            <w:tcW w:w="1800" w:type="dxa"/>
            <w:shd w:val="clear" w:color="auto" w:fill="FFD965"/>
          </w:tcPr>
          <w:p w14:paraId="0FC37FCC" w14:textId="6B1B3FAB"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5A0A5DF2" w14:textId="019495BB" w:rsidR="006744E2" w:rsidRPr="00216226" w:rsidRDefault="006744E2" w:rsidP="006744E2">
            <w:pPr>
              <w:pStyle w:val="Header"/>
              <w:rPr>
                <w:sz w:val="20"/>
                <w:szCs w:val="20"/>
                <w:lang w:val="es-ES_tradnl"/>
              </w:rPr>
            </w:pPr>
            <w:r w:rsidRPr="00216226">
              <w:rPr>
                <w:sz w:val="20"/>
                <w:szCs w:val="20"/>
                <w:lang w:val="es-ES_tradnl"/>
              </w:rPr>
              <w:t xml:space="preserve">El 82% (847/1,030) de la cohorte hospitalaria de SESAL que inició TARV en 2016 estaba en tratamiento 12 meses después de haber comenzado.   </w:t>
            </w:r>
          </w:p>
        </w:tc>
        <w:tc>
          <w:tcPr>
            <w:tcW w:w="2970" w:type="dxa"/>
          </w:tcPr>
          <w:p w14:paraId="49C9DCCE" w14:textId="3574D453" w:rsidR="006744E2" w:rsidRPr="00216226" w:rsidRDefault="006744E2" w:rsidP="006744E2">
            <w:pPr>
              <w:pBdr>
                <w:top w:val="nil"/>
                <w:left w:val="nil"/>
                <w:bottom w:val="nil"/>
                <w:right w:val="nil"/>
                <w:between w:val="nil"/>
              </w:pBdr>
              <w:spacing w:after="0" w:line="240" w:lineRule="auto"/>
              <w:rPr>
                <w:i/>
                <w:color w:val="000000"/>
                <w:sz w:val="20"/>
                <w:szCs w:val="20"/>
                <w:lang w:val="es-ES_tradnl"/>
              </w:rPr>
            </w:pPr>
            <w:r>
              <w:rPr>
                <w:color w:val="000000"/>
                <w:sz w:val="20"/>
                <w:szCs w:val="20"/>
                <w:lang w:val="en-US"/>
              </w:rPr>
              <w:t>SESAL 2018a.</w:t>
            </w:r>
          </w:p>
        </w:tc>
      </w:tr>
      <w:tr w:rsidR="006744E2" w:rsidRPr="006744E2" w14:paraId="6107EA29" w14:textId="60289517" w:rsidTr="00E84DA1">
        <w:tc>
          <w:tcPr>
            <w:tcW w:w="3978" w:type="dxa"/>
          </w:tcPr>
          <w:p w14:paraId="0212AC2D" w14:textId="4A23AC3E" w:rsidR="006744E2" w:rsidRPr="00216226" w:rsidRDefault="006744E2" w:rsidP="006744E2">
            <w:pPr>
              <w:rPr>
                <w:sz w:val="20"/>
                <w:szCs w:val="20"/>
                <w:lang w:val="es-ES_tradnl"/>
              </w:rPr>
            </w:pPr>
            <w:r w:rsidRPr="00216226">
              <w:rPr>
                <w:b/>
                <w:bCs/>
                <w:sz w:val="20"/>
                <w:szCs w:val="20"/>
                <w:lang w:val="es-ES_tradnl" w:eastAsia="en-AU"/>
              </w:rPr>
              <w:t>Supresión viral:</w:t>
            </w:r>
            <w:r w:rsidRPr="00216226">
              <w:rPr>
                <w:bCs/>
                <w:sz w:val="20"/>
                <w:szCs w:val="20"/>
                <w:lang w:val="es-ES_tradnl" w:eastAsia="en-AU"/>
              </w:rPr>
              <w:t xml:space="preserve"> % de personas que se retienen en TARV durante al menos 6 meses, con una carga viral de </w:t>
            </w:r>
            <w:r w:rsidRPr="00216226">
              <w:rPr>
                <w:sz w:val="20"/>
                <w:szCs w:val="20"/>
                <w:lang w:val="es-ES_tradnl"/>
              </w:rPr>
              <w:t>&lt;1,000 copias/ml</w:t>
            </w:r>
          </w:p>
        </w:tc>
        <w:tc>
          <w:tcPr>
            <w:tcW w:w="1800" w:type="dxa"/>
            <w:shd w:val="clear" w:color="auto" w:fill="FFD965"/>
          </w:tcPr>
          <w:p w14:paraId="2163F9BD" w14:textId="0F667FA8" w:rsidR="006744E2" w:rsidRPr="00216226" w:rsidRDefault="006744E2" w:rsidP="006744E2">
            <w:pPr>
              <w:pBdr>
                <w:top w:val="nil"/>
                <w:left w:val="nil"/>
                <w:bottom w:val="nil"/>
                <w:right w:val="nil"/>
                <w:between w:val="nil"/>
              </w:pBdr>
              <w:spacing w:after="0" w:line="240" w:lineRule="auto"/>
              <w:jc w:val="center"/>
              <w:rPr>
                <w:b/>
                <w:color w:val="000000"/>
                <w:sz w:val="20"/>
                <w:szCs w:val="20"/>
                <w:lang w:val="es-ES_tradnl"/>
              </w:rPr>
            </w:pPr>
            <w:r w:rsidRPr="00216226">
              <w:rPr>
                <w:b/>
                <w:color w:val="000000"/>
                <w:sz w:val="20"/>
                <w:szCs w:val="20"/>
                <w:lang w:val="es-ES_tradnl"/>
              </w:rPr>
              <w:t>3</w:t>
            </w:r>
          </w:p>
        </w:tc>
        <w:tc>
          <w:tcPr>
            <w:tcW w:w="5310" w:type="dxa"/>
          </w:tcPr>
          <w:p w14:paraId="137094C4" w14:textId="2138469A" w:rsidR="006744E2" w:rsidRPr="00216226" w:rsidRDefault="006744E2" w:rsidP="006744E2">
            <w:pPr>
              <w:pBdr>
                <w:top w:val="nil"/>
                <w:left w:val="nil"/>
                <w:bottom w:val="nil"/>
                <w:right w:val="nil"/>
                <w:between w:val="nil"/>
              </w:pBdr>
              <w:spacing w:after="0" w:line="240" w:lineRule="auto"/>
              <w:rPr>
                <w:sz w:val="20"/>
                <w:szCs w:val="20"/>
                <w:lang w:val="es-ES_tradnl"/>
              </w:rPr>
            </w:pPr>
            <w:r w:rsidRPr="00216226">
              <w:rPr>
                <w:sz w:val="20"/>
                <w:szCs w:val="20"/>
                <w:lang w:val="es-ES_tradnl"/>
              </w:rPr>
              <w:t>De las 10,848 personas que recibieron TARV en 2016 (no se especificó tiempo de tratamiento), 7,152 (65.93%) tenían &lt;1,000 copias/ml.</w:t>
            </w:r>
          </w:p>
        </w:tc>
        <w:tc>
          <w:tcPr>
            <w:tcW w:w="2970" w:type="dxa"/>
          </w:tcPr>
          <w:p w14:paraId="0FEC6D6C" w14:textId="5E023DE1" w:rsidR="006744E2" w:rsidRPr="00216226" w:rsidRDefault="006744E2" w:rsidP="006744E2">
            <w:pPr>
              <w:pBdr>
                <w:top w:val="nil"/>
                <w:left w:val="nil"/>
                <w:bottom w:val="nil"/>
                <w:right w:val="nil"/>
                <w:between w:val="nil"/>
              </w:pBdr>
              <w:spacing w:after="0" w:line="240" w:lineRule="auto"/>
              <w:rPr>
                <w:i/>
                <w:color w:val="000000"/>
                <w:sz w:val="20"/>
                <w:szCs w:val="20"/>
                <w:lang w:val="es-ES_tradnl"/>
              </w:rPr>
            </w:pPr>
            <w:r>
              <w:rPr>
                <w:color w:val="000000"/>
                <w:sz w:val="20"/>
                <w:szCs w:val="20"/>
                <w:lang w:val="en-US"/>
              </w:rPr>
              <w:t>SESAL 2018a.</w:t>
            </w:r>
          </w:p>
        </w:tc>
      </w:tr>
      <w:tr w:rsidR="00E84DA1" w:rsidRPr="00216226" w14:paraId="373550B1" w14:textId="7C2E8872" w:rsidTr="00E84DA1">
        <w:tc>
          <w:tcPr>
            <w:tcW w:w="3978" w:type="dxa"/>
            <w:shd w:val="clear" w:color="auto" w:fill="D9D9D9"/>
            <w:vAlign w:val="center"/>
          </w:tcPr>
          <w:p w14:paraId="07AF0143" w14:textId="66E9BC79" w:rsidR="00E84DA1" w:rsidRPr="00216226" w:rsidRDefault="00FB0B72" w:rsidP="00E84DA1">
            <w:pPr>
              <w:rPr>
                <w:b/>
                <w:sz w:val="20"/>
                <w:szCs w:val="20"/>
                <w:lang w:val="es-ES_tradnl"/>
              </w:rPr>
            </w:pPr>
            <w:r w:rsidRPr="00216226">
              <w:rPr>
                <w:b/>
                <w:color w:val="000000"/>
                <w:sz w:val="20"/>
                <w:szCs w:val="20"/>
                <w:lang w:val="es-ES_tradnl"/>
              </w:rPr>
              <w:t xml:space="preserve">Puntuación compuesta a través de todos los componentes relevantes </w:t>
            </w:r>
            <w:r w:rsidR="00E84DA1" w:rsidRPr="00216226">
              <w:rPr>
                <w:b/>
                <w:color w:val="000000"/>
                <w:sz w:val="20"/>
                <w:szCs w:val="20"/>
                <w:lang w:val="es-ES_tradnl"/>
              </w:rPr>
              <w:t xml:space="preserve">(6) </w:t>
            </w:r>
          </w:p>
        </w:tc>
        <w:tc>
          <w:tcPr>
            <w:tcW w:w="1800" w:type="dxa"/>
            <w:shd w:val="clear" w:color="auto" w:fill="FFD965"/>
          </w:tcPr>
          <w:p w14:paraId="5FD01D10" w14:textId="699AC44D" w:rsidR="00E84DA1" w:rsidRPr="00216226" w:rsidRDefault="00E84DA1" w:rsidP="00E84DA1">
            <w:pPr>
              <w:pBdr>
                <w:top w:val="nil"/>
                <w:left w:val="nil"/>
                <w:bottom w:val="nil"/>
                <w:right w:val="nil"/>
                <w:between w:val="nil"/>
              </w:pBdr>
              <w:spacing w:after="0" w:line="240" w:lineRule="auto"/>
              <w:jc w:val="center"/>
              <w:rPr>
                <w:b/>
                <w:color w:val="000000"/>
                <w:sz w:val="20"/>
                <w:szCs w:val="20"/>
                <w:lang w:val="es-ES_tradnl"/>
              </w:rPr>
            </w:pPr>
            <w:r w:rsidRPr="00216226">
              <w:rPr>
                <w:b/>
                <w:iCs/>
                <w:color w:val="000000" w:themeColor="text1"/>
                <w:sz w:val="20"/>
                <w:szCs w:val="20"/>
                <w:lang w:val="es-ES_tradnl"/>
              </w:rPr>
              <w:t>3</w:t>
            </w:r>
          </w:p>
        </w:tc>
        <w:tc>
          <w:tcPr>
            <w:tcW w:w="5310" w:type="dxa"/>
          </w:tcPr>
          <w:p w14:paraId="4DF7D1B8" w14:textId="77777777" w:rsidR="00E84DA1" w:rsidRPr="00216226" w:rsidRDefault="00E84DA1" w:rsidP="00E84DA1">
            <w:pPr>
              <w:pBdr>
                <w:top w:val="nil"/>
                <w:left w:val="nil"/>
                <w:bottom w:val="nil"/>
                <w:right w:val="nil"/>
                <w:between w:val="nil"/>
              </w:pBdr>
              <w:spacing w:after="0" w:line="240" w:lineRule="auto"/>
              <w:rPr>
                <w:i/>
                <w:color w:val="000000"/>
                <w:sz w:val="20"/>
                <w:szCs w:val="20"/>
                <w:lang w:val="es-ES_tradnl"/>
              </w:rPr>
            </w:pPr>
          </w:p>
        </w:tc>
        <w:tc>
          <w:tcPr>
            <w:tcW w:w="2970" w:type="dxa"/>
          </w:tcPr>
          <w:p w14:paraId="203570CE" w14:textId="77777777" w:rsidR="00E84DA1" w:rsidRPr="00216226" w:rsidRDefault="00E84DA1" w:rsidP="00E84DA1">
            <w:pPr>
              <w:pBdr>
                <w:top w:val="nil"/>
                <w:left w:val="nil"/>
                <w:bottom w:val="nil"/>
                <w:right w:val="nil"/>
                <w:between w:val="nil"/>
              </w:pBdr>
              <w:spacing w:after="0" w:line="240" w:lineRule="auto"/>
              <w:rPr>
                <w:i/>
                <w:color w:val="000000"/>
                <w:sz w:val="20"/>
                <w:szCs w:val="20"/>
                <w:lang w:val="es-ES_tradnl"/>
              </w:rPr>
            </w:pPr>
          </w:p>
        </w:tc>
      </w:tr>
    </w:tbl>
    <w:p w14:paraId="3A0830E1" w14:textId="77777777" w:rsidR="00E12234" w:rsidRPr="00216226" w:rsidRDefault="00E12234">
      <w:pPr>
        <w:rPr>
          <w:b/>
          <w:color w:val="4472C4"/>
          <w:sz w:val="26"/>
          <w:szCs w:val="26"/>
          <w:lang w:val="es-ES_tradnl"/>
        </w:rPr>
        <w:sectPr w:rsidR="00E12234" w:rsidRPr="00216226" w:rsidSect="00E12234">
          <w:pgSz w:w="16838" w:h="11906" w:orient="landscape"/>
          <w:pgMar w:top="1440" w:right="1440" w:bottom="1440" w:left="1440" w:header="706" w:footer="706" w:gutter="0"/>
          <w:cols w:space="720"/>
          <w:docGrid w:linePitch="299"/>
        </w:sectPr>
      </w:pPr>
    </w:p>
    <w:p w14:paraId="4E53C0DC" w14:textId="5B8DF77F" w:rsidR="00F061A0" w:rsidRPr="00216226" w:rsidRDefault="003E78F0">
      <w:pPr>
        <w:rPr>
          <w:b/>
          <w:color w:val="008DB8"/>
          <w:sz w:val="24"/>
          <w:szCs w:val="24"/>
          <w:lang w:val="es-ES_tradnl"/>
        </w:rPr>
      </w:pPr>
      <w:r w:rsidRPr="00216226">
        <w:rPr>
          <w:b/>
          <w:color w:val="4472C4"/>
          <w:sz w:val="26"/>
          <w:szCs w:val="26"/>
          <w:lang w:val="es-ES_tradnl"/>
        </w:rPr>
        <w:lastRenderedPageBreak/>
        <w:t>Objetivo</w:t>
      </w:r>
      <w:r w:rsidR="009D6FAD" w:rsidRPr="00216226">
        <w:rPr>
          <w:b/>
          <w:color w:val="4472C4"/>
          <w:sz w:val="26"/>
          <w:szCs w:val="26"/>
          <w:lang w:val="es-ES_tradnl"/>
        </w:rPr>
        <w:t xml:space="preserve"> 3.</w:t>
      </w:r>
      <w:r w:rsidR="009D6FAD" w:rsidRPr="00216226">
        <w:rPr>
          <w:b/>
          <w:i/>
          <w:color w:val="0391BE"/>
          <w:lang w:val="es-ES_tradnl"/>
        </w:rPr>
        <w:t xml:space="preserve"> </w:t>
      </w:r>
      <w:r w:rsidR="00964EB0" w:rsidRPr="00216226">
        <w:rPr>
          <w:b/>
          <w:lang w:val="es-ES_tradnl"/>
        </w:rPr>
        <w:t>Evaluar hasta qué punto los sistemas de datos nacionales generan, informan de y utilizan datos de calidad</w:t>
      </w:r>
      <w:r w:rsidR="00E84DA1" w:rsidRPr="00216226">
        <w:rPr>
          <w:b/>
          <w:lang w:val="es-ES_tradnl"/>
        </w:rPr>
        <w:t>.</w:t>
      </w:r>
    </w:p>
    <w:p w14:paraId="6763A4E6" w14:textId="4CB5F0DB" w:rsidR="00FB3358" w:rsidRPr="00216226" w:rsidRDefault="00964EB0" w:rsidP="00964EB0">
      <w:pPr>
        <w:jc w:val="both"/>
        <w:rPr>
          <w:rFonts w:eastAsia="MS Gothic"/>
          <w:lang w:val="es-ES_tradnl" w:eastAsia="en-US"/>
        </w:rPr>
      </w:pPr>
      <w:r w:rsidRPr="00216226">
        <w:rPr>
          <w:rFonts w:eastAsia="MS Gothic"/>
          <w:lang w:val="es-ES_tradnl" w:eastAsia="en-US"/>
        </w:rPr>
        <w:t xml:space="preserve">El Sistema Integrado de Información en Salud </w:t>
      </w:r>
      <w:r w:rsidR="00FB3358" w:rsidRPr="00216226">
        <w:rPr>
          <w:rFonts w:eastAsia="MS Gothic"/>
          <w:lang w:val="es-ES_tradnl" w:eastAsia="en-US"/>
        </w:rPr>
        <w:t xml:space="preserve">(SIIS) </w:t>
      </w:r>
      <w:r w:rsidRPr="00216226">
        <w:rPr>
          <w:rFonts w:eastAsia="MS Gothic"/>
          <w:lang w:val="es-ES_tradnl" w:eastAsia="en-US"/>
        </w:rPr>
        <w:t>actualmente se está fortaleciendo debido a sus deficiencias reconocidas, a pesar de que ha recibido apoyo regular del Fondo Mundial y otros socios para el desarrollo (</w:t>
      </w:r>
      <w:r w:rsidRPr="00404AB2">
        <w:rPr>
          <w:rFonts w:eastAsia="MS Gothic"/>
          <w:i/>
          <w:lang w:val="es-ES_tradnl" w:eastAsia="en-US"/>
        </w:rPr>
        <w:t>PEPFAR</w:t>
      </w:r>
      <w:r w:rsidRPr="00216226">
        <w:rPr>
          <w:rFonts w:eastAsia="MS Gothic"/>
          <w:lang w:val="es-ES_tradnl" w:eastAsia="en-US"/>
        </w:rPr>
        <w:t xml:space="preserve">). La implementación del SIIS está básicamente en su infancia, y el país corre el riesgo de perder una importante subvención </w:t>
      </w:r>
      <w:r w:rsidR="00FB3358" w:rsidRPr="00216226">
        <w:rPr>
          <w:rFonts w:eastAsia="MS Gothic"/>
          <w:lang w:val="es-ES_tradnl" w:eastAsia="en-US"/>
        </w:rPr>
        <w:t>(</w:t>
      </w:r>
      <w:r w:rsidR="00652E09">
        <w:rPr>
          <w:rFonts w:eastAsia="MS Gothic"/>
          <w:lang w:val="es-ES_tradnl" w:eastAsia="en-US"/>
        </w:rPr>
        <w:t xml:space="preserve">US$ </w:t>
      </w:r>
      <w:r w:rsidR="00FB3358" w:rsidRPr="00216226">
        <w:rPr>
          <w:rFonts w:eastAsia="MS Gothic"/>
          <w:lang w:val="es-ES_tradnl" w:eastAsia="en-US"/>
        </w:rPr>
        <w:t xml:space="preserve">500,000 </w:t>
      </w:r>
      <w:r w:rsidRPr="00216226">
        <w:rPr>
          <w:rFonts w:eastAsia="MS Gothic"/>
          <w:lang w:val="es-ES_tradnl" w:eastAsia="en-US"/>
        </w:rPr>
        <w:t>para el componente de VIH del SIIS) del Fondo Mundial, a menos que lo implementen antes de junio de 2019, lo cual es altamente improbable</w:t>
      </w:r>
      <w:r w:rsidR="00FB3358" w:rsidRPr="00216226">
        <w:rPr>
          <w:rFonts w:eastAsia="MS Gothic"/>
          <w:lang w:val="es-ES_tradnl" w:eastAsia="en-US"/>
        </w:rPr>
        <w:t>.</w:t>
      </w:r>
    </w:p>
    <w:p w14:paraId="74B9EB03" w14:textId="76C9E215" w:rsidR="00FB3358" w:rsidRPr="00216226" w:rsidRDefault="00964EB0" w:rsidP="00FB3358">
      <w:pPr>
        <w:jc w:val="both"/>
        <w:rPr>
          <w:rFonts w:eastAsia="MS Gothic"/>
          <w:lang w:val="es-ES_tradnl" w:eastAsia="en-US"/>
        </w:rPr>
      </w:pPr>
      <w:r w:rsidRPr="00216226">
        <w:rPr>
          <w:rFonts w:eastAsia="MS Gothic"/>
          <w:lang w:val="es-ES_tradnl" w:eastAsia="en-US"/>
        </w:rPr>
        <w:t xml:space="preserve">El país informa que se está utilizando el </w:t>
      </w:r>
      <w:r w:rsidRPr="00C033A0">
        <w:rPr>
          <w:rFonts w:eastAsia="MS Gothic"/>
          <w:i/>
          <w:lang w:val="es-ES_tradnl" w:eastAsia="en-US"/>
        </w:rPr>
        <w:t>UIC</w:t>
      </w:r>
      <w:r w:rsidRPr="00216226">
        <w:rPr>
          <w:rFonts w:eastAsia="MS Gothic"/>
          <w:lang w:val="es-ES_tradnl" w:eastAsia="en-US"/>
        </w:rPr>
        <w:t xml:space="preserve">. El </w:t>
      </w:r>
      <w:r w:rsidRPr="00C033A0">
        <w:rPr>
          <w:rFonts w:eastAsia="MS Gothic"/>
          <w:i/>
          <w:lang w:val="es-ES_tradnl" w:eastAsia="en-US"/>
        </w:rPr>
        <w:t>UIC</w:t>
      </w:r>
      <w:r w:rsidRPr="00216226">
        <w:rPr>
          <w:rFonts w:eastAsia="MS Gothic"/>
          <w:lang w:val="es-ES_tradnl" w:eastAsia="en-US"/>
        </w:rPr>
        <w:t xml:space="preserve"> es el número del documento nacional de identidad, y no todos los miembros de la comunidad lo tienen o quieren</w:t>
      </w:r>
      <w:r w:rsidR="00CB7227" w:rsidRPr="00216226">
        <w:rPr>
          <w:rFonts w:eastAsia="MS Gothic"/>
          <w:lang w:val="es-ES_tradnl" w:eastAsia="en-US"/>
        </w:rPr>
        <w:t xml:space="preserve"> revelarlo</w:t>
      </w:r>
      <w:r w:rsidRPr="00216226">
        <w:rPr>
          <w:rFonts w:eastAsia="MS Gothic"/>
          <w:lang w:val="es-ES_tradnl" w:eastAsia="en-US"/>
        </w:rPr>
        <w:t xml:space="preserve">. En esas circunstancias, se asigna un código </w:t>
      </w:r>
      <w:r w:rsidR="00CB7227" w:rsidRPr="00216226">
        <w:rPr>
          <w:rFonts w:eastAsia="MS Gothic"/>
          <w:lang w:val="es-ES_tradnl" w:eastAsia="en-US"/>
        </w:rPr>
        <w:t>que se toma de</w:t>
      </w:r>
      <w:r w:rsidRPr="00216226">
        <w:rPr>
          <w:rFonts w:eastAsia="MS Gothic"/>
          <w:lang w:val="es-ES_tradnl" w:eastAsia="en-US"/>
        </w:rPr>
        <w:t xml:space="preserve"> una combinación de datos personales, pero esto se basa en la información proporcionada por la persona. En cualquier caso, dado que el sistema de información no funciona como una red, el cómputo doble sólo se puede descartar después, una vez que las autoridades públicas hayan recibido los registros de cada parte interesada. Esto consume mucho tiempo y probablemente genera errores</w:t>
      </w:r>
      <w:r w:rsidR="00FB3358" w:rsidRPr="00216226">
        <w:rPr>
          <w:rFonts w:eastAsia="MS Gothic"/>
          <w:lang w:val="es-ES_tradnl" w:eastAsia="en-US"/>
        </w:rPr>
        <w:t xml:space="preserve">. </w:t>
      </w:r>
    </w:p>
    <w:p w14:paraId="156C9ED4" w14:textId="77777777" w:rsidR="00CB7227" w:rsidRPr="00216226" w:rsidRDefault="00CB7227" w:rsidP="00FB3358">
      <w:pPr>
        <w:jc w:val="both"/>
        <w:rPr>
          <w:rFonts w:eastAsia="MS Gothic"/>
          <w:lang w:val="es-ES_tradnl" w:eastAsia="en-US"/>
        </w:rPr>
      </w:pPr>
    </w:p>
    <w:p w14:paraId="1B79BBAB" w14:textId="4DBEB8CF" w:rsidR="00FB3358" w:rsidRPr="00216226" w:rsidRDefault="00EE0F21" w:rsidP="00FB3358">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FB3358" w:rsidRPr="00216226">
        <w:rPr>
          <w:rFonts w:ascii="Calibri Light" w:eastAsia="MS Gothic" w:hAnsi="Calibri Light" w:cs="Times New Roman"/>
          <w:b/>
          <w:lang w:val="es-ES_tradnl" w:eastAsia="en-US"/>
        </w:rPr>
        <w:t xml:space="preserve"> 3.1 </w:t>
      </w:r>
      <w:r w:rsidR="00A97B1D" w:rsidRPr="00216226">
        <w:rPr>
          <w:rFonts w:ascii="Calibri Light" w:eastAsia="MS Gothic" w:hAnsi="Calibri Light" w:cs="Times New Roman"/>
          <w:b/>
          <w:lang w:val="es-ES_tradnl" w:eastAsia="en-US"/>
        </w:rPr>
        <w:t xml:space="preserve">Datos epidemiológicos, de vigilancia y de contexto </w:t>
      </w:r>
    </w:p>
    <w:p w14:paraId="2821400D" w14:textId="7189E843" w:rsidR="00FB3358" w:rsidRPr="00216226" w:rsidRDefault="00320DF5" w:rsidP="00404AB2">
      <w:pPr>
        <w:rPr>
          <w:rFonts w:ascii="Calibri Light" w:eastAsia="MS Gothic" w:hAnsi="Calibri Light"/>
          <w:b/>
          <w:i/>
          <w:lang w:val="es-ES_tradnl" w:eastAsia="en-US"/>
        </w:rPr>
      </w:pPr>
      <w:r w:rsidRPr="00404AB2">
        <w:rPr>
          <w:rFonts w:eastAsia="MS Gothic"/>
          <w:lang w:val="es-ES_tradnl" w:eastAsia="en-US"/>
        </w:rPr>
        <w:t>Insumos:</w:t>
      </w:r>
      <w:r w:rsidR="00FB3358" w:rsidRPr="00404AB2">
        <w:rPr>
          <w:rFonts w:ascii="Calibri Light" w:eastAsia="MS Gothic" w:hAnsi="Calibri Light"/>
          <w:lang w:val="es-ES_tradnl" w:eastAsia="en-US"/>
        </w:rPr>
        <w:t xml:space="preserve"> </w:t>
      </w:r>
      <w:r w:rsidR="00A97B1D" w:rsidRPr="00216226">
        <w:rPr>
          <w:rFonts w:eastAsia="MS Gothic"/>
          <w:lang w:val="es-ES_tradnl" w:eastAsia="en-US"/>
        </w:rPr>
        <w:t xml:space="preserve">La subvención actual incluyó apoyo financiero para mejorar el monitoreo y la evaluación en tres áreas </w:t>
      </w:r>
      <w:r w:rsidR="00FB3358" w:rsidRPr="00216226">
        <w:rPr>
          <w:rFonts w:eastAsia="MS Gothic"/>
          <w:lang w:val="es-ES_tradnl" w:eastAsia="en-US"/>
        </w:rPr>
        <w:t>(</w:t>
      </w:r>
      <w:r w:rsidR="00D44421" w:rsidRPr="00216226">
        <w:rPr>
          <w:rFonts w:eastAsia="MS Gothic"/>
          <w:lang w:val="es-ES_tradnl" w:eastAsia="en-US"/>
        </w:rPr>
        <w:t>MCP</w:t>
      </w:r>
      <w:r w:rsidR="00FB3358" w:rsidRPr="00216226">
        <w:rPr>
          <w:rFonts w:eastAsia="MS Gothic"/>
          <w:lang w:val="es-ES_tradnl" w:eastAsia="en-US"/>
        </w:rPr>
        <w:t xml:space="preserve">, 2015): </w:t>
      </w:r>
    </w:p>
    <w:p w14:paraId="1EA2FDA7" w14:textId="4C04D842" w:rsidR="00FB3358" w:rsidRPr="00216226" w:rsidRDefault="00A97B1D" w:rsidP="00FB3358">
      <w:pPr>
        <w:numPr>
          <w:ilvl w:val="1"/>
          <w:numId w:val="18"/>
        </w:numPr>
        <w:jc w:val="both"/>
        <w:rPr>
          <w:rFonts w:eastAsia="MS Gothic"/>
          <w:lang w:val="es-ES_tradnl" w:eastAsia="en-US"/>
        </w:rPr>
      </w:pPr>
      <w:r w:rsidRPr="00216226">
        <w:rPr>
          <w:rFonts w:eastAsia="MS Gothic"/>
          <w:lang w:val="es-ES_tradnl" w:eastAsia="en-US"/>
        </w:rPr>
        <w:t xml:space="preserve">La transmisión de informes periódicos de casos de VIH e ITS, la revisión de herramientas de recopilación de datos para mejorar la calidad y el fortalecimiento del equipo tecnológico y del personal en todos los niveles institucionales </w:t>
      </w:r>
      <w:r w:rsidR="00FB3358" w:rsidRPr="00216226">
        <w:rPr>
          <w:rFonts w:eastAsia="MS Gothic"/>
          <w:lang w:val="es-ES_tradnl" w:eastAsia="en-US"/>
        </w:rPr>
        <w:t xml:space="preserve">– </w:t>
      </w:r>
      <w:r w:rsidRPr="00216226">
        <w:rPr>
          <w:rFonts w:eastAsia="MS Gothic"/>
          <w:lang w:val="es-ES_tradnl" w:eastAsia="en-US"/>
        </w:rPr>
        <w:t>esto incluye la elaboración e implementación de guías de procedimientos estandarizados para el control de calidad de los datos de VIH</w:t>
      </w:r>
      <w:r w:rsidR="00404AB2">
        <w:rPr>
          <w:rFonts w:eastAsia="MS Gothic"/>
          <w:lang w:val="es-ES_tradnl" w:eastAsia="en-US"/>
        </w:rPr>
        <w:t>;</w:t>
      </w:r>
    </w:p>
    <w:p w14:paraId="6DE9BBB8" w14:textId="6EE4E1E5" w:rsidR="00FB3358" w:rsidRPr="00216226" w:rsidRDefault="00A97B1D" w:rsidP="00FB3358">
      <w:pPr>
        <w:numPr>
          <w:ilvl w:val="1"/>
          <w:numId w:val="18"/>
        </w:numPr>
        <w:jc w:val="both"/>
        <w:rPr>
          <w:rFonts w:eastAsia="MS Gothic"/>
          <w:lang w:val="es-ES_tradnl" w:eastAsia="en-US"/>
        </w:rPr>
      </w:pPr>
      <w:r w:rsidRPr="00216226">
        <w:rPr>
          <w:rFonts w:eastAsia="MS Gothic"/>
          <w:lang w:val="es-ES_tradnl" w:eastAsia="en-US"/>
        </w:rPr>
        <w:t>Mejor acceso a datos de calidad a través de la publicación y divulga</w:t>
      </w:r>
      <w:r w:rsidR="00404AB2">
        <w:rPr>
          <w:rFonts w:eastAsia="MS Gothic"/>
          <w:lang w:val="es-ES_tradnl" w:eastAsia="en-US"/>
        </w:rPr>
        <w:t>ción de información estratégica; y</w:t>
      </w:r>
    </w:p>
    <w:p w14:paraId="3AD369B2" w14:textId="376B497A" w:rsidR="00FB3358" w:rsidRPr="00216226" w:rsidRDefault="00A97B1D" w:rsidP="00FB3358">
      <w:pPr>
        <w:numPr>
          <w:ilvl w:val="1"/>
          <w:numId w:val="18"/>
        </w:numPr>
        <w:jc w:val="both"/>
        <w:rPr>
          <w:rFonts w:eastAsia="MS Gothic"/>
          <w:lang w:val="es-ES_tradnl" w:eastAsia="en-US"/>
        </w:rPr>
      </w:pPr>
      <w:r w:rsidRPr="00216226">
        <w:rPr>
          <w:rFonts w:eastAsia="MS Gothic"/>
          <w:lang w:val="es-ES_tradnl" w:eastAsia="en-US"/>
        </w:rPr>
        <w:t xml:space="preserve">Dos encuestas: una </w:t>
      </w:r>
      <w:r w:rsidRPr="00D93C5D">
        <w:rPr>
          <w:rFonts w:eastAsia="MS Gothic"/>
          <w:i/>
          <w:lang w:val="es-ES_tradnl" w:eastAsia="en-US"/>
        </w:rPr>
        <w:t>IBBS</w:t>
      </w:r>
      <w:r w:rsidRPr="00216226">
        <w:rPr>
          <w:rFonts w:eastAsia="MS Gothic"/>
          <w:lang w:val="es-ES_tradnl" w:eastAsia="en-US"/>
        </w:rPr>
        <w:t xml:space="preserve"> en </w:t>
      </w:r>
      <w:r w:rsidR="00CB285B">
        <w:rPr>
          <w:rFonts w:eastAsia="MS Gothic"/>
          <w:lang w:val="es-ES_tradnl" w:eastAsia="en-US"/>
        </w:rPr>
        <w:t>PPL</w:t>
      </w:r>
      <w:r w:rsidRPr="00216226">
        <w:rPr>
          <w:rFonts w:eastAsia="MS Gothic"/>
          <w:lang w:val="es-ES_tradnl" w:eastAsia="en-US"/>
        </w:rPr>
        <w:t xml:space="preserve"> y un estudio de conocimientos, actitudes y prácticas (KAP, por sus siglas en inglés) en la población </w:t>
      </w:r>
      <w:r w:rsidR="003C6851">
        <w:rPr>
          <w:rFonts w:eastAsia="MS Gothic"/>
          <w:lang w:val="es-ES_tradnl" w:eastAsia="en-US"/>
        </w:rPr>
        <w:t>Garífuna</w:t>
      </w:r>
      <w:r w:rsidR="00404AB2">
        <w:rPr>
          <w:rFonts w:eastAsia="MS Gothic"/>
          <w:lang w:val="es-ES_tradnl" w:eastAsia="en-US"/>
        </w:rPr>
        <w:t>.</w:t>
      </w:r>
      <w:r w:rsidR="00FB3358" w:rsidRPr="00216226">
        <w:rPr>
          <w:rFonts w:eastAsia="MS Gothic"/>
          <w:vertAlign w:val="superscript"/>
          <w:lang w:val="es-ES_tradnl" w:eastAsia="en-US"/>
        </w:rPr>
        <w:footnoteReference w:id="9"/>
      </w:r>
      <w:r w:rsidR="00680A78" w:rsidRPr="00216226">
        <w:rPr>
          <w:rFonts w:eastAsia="MS Gothic"/>
          <w:lang w:val="es-ES_tradnl" w:eastAsia="en-US"/>
        </w:rPr>
        <w:t xml:space="preserve">  </w:t>
      </w:r>
    </w:p>
    <w:p w14:paraId="5B8AA236" w14:textId="445038E7" w:rsidR="00FB3358" w:rsidRPr="00404AB2" w:rsidRDefault="00320DF5" w:rsidP="00404AB2">
      <w:pPr>
        <w:jc w:val="both"/>
        <w:rPr>
          <w:rFonts w:ascii="Calibri Light" w:eastAsia="MS Gothic" w:hAnsi="Calibri Light"/>
          <w:i/>
          <w:lang w:val="es-ES_tradnl" w:eastAsia="en-US"/>
        </w:rPr>
      </w:pPr>
      <w:r w:rsidRPr="00404AB2">
        <w:rPr>
          <w:rFonts w:eastAsia="MS Gothic"/>
          <w:lang w:val="es-ES_tradnl" w:eastAsia="en-US"/>
        </w:rPr>
        <w:t>Productos:</w:t>
      </w:r>
      <w:r w:rsidR="00FB3358" w:rsidRPr="00404AB2">
        <w:rPr>
          <w:rFonts w:ascii="Calibri Light" w:eastAsia="MS Gothic" w:hAnsi="Calibri Light"/>
          <w:i/>
          <w:lang w:val="es-ES_tradnl" w:eastAsia="en-US"/>
        </w:rPr>
        <w:t xml:space="preserve"> </w:t>
      </w:r>
      <w:r w:rsidR="00404AB2">
        <w:rPr>
          <w:rFonts w:ascii="Calibri Light" w:eastAsia="MS Gothic" w:hAnsi="Calibri Light"/>
          <w:i/>
          <w:lang w:val="es-ES_tradnl" w:eastAsia="en-US"/>
        </w:rPr>
        <w:t xml:space="preserve"> </w:t>
      </w:r>
      <w:r w:rsidR="00A97B1D" w:rsidRPr="00216226">
        <w:rPr>
          <w:rFonts w:eastAsia="MS Gothic"/>
          <w:lang w:val="es-ES_tradnl" w:eastAsia="en-US"/>
        </w:rPr>
        <w:t xml:space="preserve">El último </w:t>
      </w:r>
      <w:r w:rsidR="00404AB2" w:rsidRPr="00404AB2">
        <w:rPr>
          <w:rFonts w:eastAsia="MS Gothic"/>
          <w:lang w:val="es-ES_tradnl" w:eastAsia="en-US"/>
        </w:rPr>
        <w:t>Informe mundial de av</w:t>
      </w:r>
      <w:r w:rsidR="00404AB2">
        <w:rPr>
          <w:rFonts w:eastAsia="MS Gothic"/>
          <w:lang w:val="es-ES_tradnl" w:eastAsia="en-US"/>
        </w:rPr>
        <w:t>ances en la lucha contra el SIDA</w:t>
      </w:r>
      <w:r w:rsidR="00A97B1D" w:rsidRPr="00216226">
        <w:rPr>
          <w:rFonts w:eastAsia="MS Gothic"/>
          <w:lang w:val="es-ES_tradnl" w:eastAsia="en-US"/>
        </w:rPr>
        <w:t xml:space="preserve"> para Honduras es de 2017, pero no se ha completado. Faltan datos significativos, como la proporción de poblaciones clave que conocen su estado de VIH o la cobertura de TARV para cada población clave</w:t>
      </w:r>
      <w:r w:rsidR="00FB3358" w:rsidRPr="00216226">
        <w:rPr>
          <w:rFonts w:eastAsia="MS Gothic"/>
          <w:lang w:val="es-ES_tradnl" w:eastAsia="en-US"/>
        </w:rPr>
        <w:t xml:space="preserve">. </w:t>
      </w:r>
      <w:r w:rsidR="00A97B1D" w:rsidRPr="00216226">
        <w:rPr>
          <w:rFonts w:eastAsia="MS Gothic"/>
          <w:lang w:val="es-ES_tradnl" w:eastAsia="en-US"/>
        </w:rPr>
        <w:t>Estimaciones del tamaño de la población para HSH</w:t>
      </w:r>
      <w:r w:rsidR="00FB3358" w:rsidRPr="00216226">
        <w:rPr>
          <w:rFonts w:eastAsia="MS Gothic"/>
          <w:lang w:val="es-ES_tradnl" w:eastAsia="en-US"/>
        </w:rPr>
        <w:t xml:space="preserve">, </w:t>
      </w:r>
      <w:r w:rsidR="00CB7227" w:rsidRPr="00216226">
        <w:rPr>
          <w:rFonts w:eastAsia="MS Gothic"/>
          <w:lang w:val="es-ES_tradnl" w:eastAsia="en-US"/>
        </w:rPr>
        <w:t xml:space="preserve">trabajadoras </w:t>
      </w:r>
      <w:r w:rsidR="00460210" w:rsidRPr="00216226">
        <w:rPr>
          <w:rFonts w:eastAsia="MS Gothic"/>
          <w:lang w:val="es-ES_tradnl" w:eastAsia="en-US"/>
        </w:rPr>
        <w:t>sexuales</w:t>
      </w:r>
      <w:r w:rsidR="00A97B1D" w:rsidRPr="00216226">
        <w:rPr>
          <w:rFonts w:eastAsia="MS Gothic"/>
          <w:lang w:val="es-ES_tradnl" w:eastAsia="en-US"/>
        </w:rPr>
        <w:t xml:space="preserve"> y</w:t>
      </w:r>
      <w:r w:rsidR="00FB3358" w:rsidRPr="00216226">
        <w:rPr>
          <w:rFonts w:eastAsia="MS Gothic"/>
          <w:lang w:val="es-ES_tradnl" w:eastAsia="en-US"/>
        </w:rPr>
        <w:t xml:space="preserve"> </w:t>
      </w:r>
      <w:r w:rsidR="00453B71">
        <w:rPr>
          <w:rFonts w:eastAsia="MS Gothic"/>
          <w:lang w:val="es-ES_tradnl" w:eastAsia="en-US"/>
        </w:rPr>
        <w:t>m</w:t>
      </w:r>
      <w:r w:rsidR="00CB7227" w:rsidRPr="00216226">
        <w:rPr>
          <w:rFonts w:eastAsia="MS Gothic"/>
          <w:lang w:val="es-ES_tradnl" w:eastAsia="en-US"/>
        </w:rPr>
        <w:t xml:space="preserve">ujeres </w:t>
      </w:r>
      <w:r w:rsidR="00453B71">
        <w:rPr>
          <w:rFonts w:eastAsia="MS Gothic"/>
          <w:lang w:val="es-ES_tradnl" w:eastAsia="en-US"/>
        </w:rPr>
        <w:t>transgénero</w:t>
      </w:r>
      <w:r w:rsidR="00FB3358" w:rsidRPr="00216226">
        <w:rPr>
          <w:rFonts w:eastAsia="MS Gothic"/>
          <w:lang w:val="es-ES_tradnl" w:eastAsia="en-US"/>
        </w:rPr>
        <w:t xml:space="preserve"> </w:t>
      </w:r>
      <w:r w:rsidR="00A97B1D" w:rsidRPr="00216226">
        <w:rPr>
          <w:rFonts w:eastAsia="MS Gothic"/>
          <w:lang w:val="es-ES_tradnl" w:eastAsia="en-US"/>
        </w:rPr>
        <w:t xml:space="preserve">están disponibles a partir de </w:t>
      </w:r>
      <w:r w:rsidR="00FB3358" w:rsidRPr="00216226">
        <w:rPr>
          <w:rFonts w:eastAsia="MS Gothic"/>
          <w:lang w:val="es-ES_tradnl" w:eastAsia="en-US"/>
        </w:rPr>
        <w:t xml:space="preserve">2015 (PENSIDA IV). </w:t>
      </w:r>
      <w:r w:rsidR="00A97B1D" w:rsidRPr="00216226">
        <w:rPr>
          <w:rFonts w:eastAsia="MS Gothic"/>
          <w:lang w:val="es-ES_tradnl" w:eastAsia="en-US"/>
        </w:rPr>
        <w:t xml:space="preserve">También se encuentran disponibles estimaciones recientes para </w:t>
      </w:r>
      <w:r w:rsidR="00CB285B">
        <w:rPr>
          <w:rFonts w:eastAsia="MS Gothic"/>
          <w:lang w:val="es-ES_tradnl" w:eastAsia="en-US"/>
        </w:rPr>
        <w:t>PPL</w:t>
      </w:r>
      <w:r w:rsidR="00A97B1D" w:rsidRPr="00216226">
        <w:rPr>
          <w:rFonts w:eastAsia="MS Gothic"/>
          <w:lang w:val="es-ES_tradnl" w:eastAsia="en-US"/>
        </w:rPr>
        <w:t xml:space="preserve">, mujeres embarazadas y </w:t>
      </w:r>
      <w:r w:rsidR="00827BE2" w:rsidRPr="00216226">
        <w:rPr>
          <w:rFonts w:eastAsia="MS Gothic"/>
          <w:lang w:val="es-ES_tradnl" w:eastAsia="en-US"/>
        </w:rPr>
        <w:t xml:space="preserve">población </w:t>
      </w:r>
      <w:r w:rsidR="003C6851">
        <w:rPr>
          <w:rFonts w:eastAsia="MS Gothic"/>
          <w:lang w:val="es-ES_tradnl" w:eastAsia="en-US"/>
        </w:rPr>
        <w:t>Garífuna</w:t>
      </w:r>
      <w:r w:rsidR="00FB3358" w:rsidRPr="00216226">
        <w:rPr>
          <w:rFonts w:eastAsia="MS Gothic"/>
          <w:lang w:val="es-ES_tradnl" w:eastAsia="en-US"/>
        </w:rPr>
        <w:t xml:space="preserve">. </w:t>
      </w:r>
    </w:p>
    <w:p w14:paraId="707DD592" w14:textId="2A3284FD" w:rsidR="00FB3358" w:rsidRPr="00216226" w:rsidRDefault="00A97B1D" w:rsidP="00FB3358">
      <w:pPr>
        <w:jc w:val="both"/>
        <w:rPr>
          <w:rFonts w:eastAsia="MS Gothic"/>
          <w:lang w:val="es-ES_tradnl" w:eastAsia="en-US"/>
        </w:rPr>
      </w:pPr>
      <w:r w:rsidRPr="00216226">
        <w:rPr>
          <w:rFonts w:eastAsia="MS Gothic"/>
          <w:lang w:val="es-ES_tradnl" w:eastAsia="en-US"/>
        </w:rPr>
        <w:t xml:space="preserve">El estudio </w:t>
      </w:r>
      <w:r w:rsidRPr="00D93C5D">
        <w:rPr>
          <w:rFonts w:eastAsia="MS Gothic"/>
          <w:i/>
          <w:lang w:val="es-ES_tradnl" w:eastAsia="en-US"/>
        </w:rPr>
        <w:t>IBBS</w:t>
      </w:r>
      <w:r w:rsidRPr="00216226">
        <w:rPr>
          <w:rFonts w:eastAsia="MS Gothic"/>
          <w:lang w:val="es-ES_tradnl" w:eastAsia="en-US"/>
        </w:rPr>
        <w:t xml:space="preserve"> más reciente para HSH,</w:t>
      </w:r>
      <w:r w:rsidR="00B4240C" w:rsidRPr="00216226">
        <w:rPr>
          <w:rFonts w:eastAsia="MS Gothic"/>
          <w:lang w:val="es-ES_tradnl" w:eastAsia="en-US"/>
        </w:rPr>
        <w:t xml:space="preserve"> </w:t>
      </w:r>
      <w:r w:rsidR="00CB7227" w:rsidRPr="00216226">
        <w:rPr>
          <w:rFonts w:eastAsia="MS Gothic"/>
          <w:lang w:val="es-ES_tradnl" w:eastAsia="en-US"/>
        </w:rPr>
        <w:t xml:space="preserve">trabajadoras sexuales y mujeres transgénero </w:t>
      </w:r>
      <w:r w:rsidRPr="00216226">
        <w:rPr>
          <w:rFonts w:eastAsia="MS Gothic"/>
          <w:lang w:val="es-ES_tradnl" w:eastAsia="en-US"/>
        </w:rPr>
        <w:t>es la</w:t>
      </w:r>
      <w:r w:rsidR="00FB3358" w:rsidRPr="00216226">
        <w:rPr>
          <w:rFonts w:eastAsia="MS Gothic"/>
          <w:lang w:val="es-ES_tradnl" w:eastAsia="en-US"/>
        </w:rPr>
        <w:t xml:space="preserve"> </w:t>
      </w:r>
      <w:r w:rsidR="00404AB2">
        <w:rPr>
          <w:rFonts w:eastAsia="MS Gothic"/>
          <w:lang w:val="es-ES_tradnl" w:eastAsia="en-US"/>
        </w:rPr>
        <w:t>ECVC</w:t>
      </w:r>
      <w:r w:rsidR="0061307E" w:rsidRPr="00216226">
        <w:rPr>
          <w:rFonts w:eastAsia="MS Gothic"/>
          <w:lang w:val="es-ES_tradnl" w:eastAsia="en-US"/>
        </w:rPr>
        <w:t xml:space="preserve"> </w:t>
      </w:r>
      <w:r w:rsidR="00404AB2">
        <w:rPr>
          <w:rFonts w:eastAsia="MS Gothic"/>
          <w:lang w:val="es-ES_tradnl" w:eastAsia="en-US"/>
        </w:rPr>
        <w:t xml:space="preserve">en Poblaciones Vulnerables </w:t>
      </w:r>
      <w:r w:rsidRPr="00216226">
        <w:rPr>
          <w:rFonts w:eastAsia="MS Gothic"/>
          <w:lang w:val="es-ES_tradnl" w:eastAsia="en-US"/>
        </w:rPr>
        <w:t>de</w:t>
      </w:r>
      <w:r w:rsidR="00FB3358" w:rsidRPr="00216226">
        <w:rPr>
          <w:rFonts w:eastAsia="MS Gothic"/>
          <w:lang w:val="es-ES_tradnl" w:eastAsia="en-US"/>
        </w:rPr>
        <w:t xml:space="preserve"> 2012. </w:t>
      </w:r>
      <w:r w:rsidRPr="00216226">
        <w:rPr>
          <w:rFonts w:eastAsia="MS Gothic"/>
          <w:lang w:val="es-ES_tradnl" w:eastAsia="en-US"/>
        </w:rPr>
        <w:t>E</w:t>
      </w:r>
      <w:r w:rsidR="00FB3358" w:rsidRPr="00216226">
        <w:rPr>
          <w:rFonts w:eastAsia="MS Gothic"/>
          <w:lang w:val="es-ES_tradnl" w:eastAsia="en-US"/>
        </w:rPr>
        <w:t xml:space="preserve">n </w:t>
      </w:r>
      <w:r w:rsidR="00CB285B">
        <w:rPr>
          <w:rFonts w:eastAsia="MS Gothic"/>
          <w:lang w:val="es-ES_tradnl" w:eastAsia="en-US"/>
        </w:rPr>
        <w:t>PPL</w:t>
      </w:r>
      <w:r w:rsidR="00FB3358" w:rsidRPr="00216226">
        <w:rPr>
          <w:rFonts w:eastAsia="MS Gothic"/>
          <w:lang w:val="es-ES_tradnl" w:eastAsia="en-US"/>
        </w:rPr>
        <w:t xml:space="preserve">, </w:t>
      </w:r>
      <w:r w:rsidRPr="00216226">
        <w:rPr>
          <w:rFonts w:eastAsia="MS Gothic"/>
          <w:lang w:val="es-ES_tradnl" w:eastAsia="en-US"/>
        </w:rPr>
        <w:t>los datos epidemiológicos más recientes son de 2015 (</w:t>
      </w:r>
      <w:r w:rsidR="0061307E" w:rsidRPr="00216226">
        <w:rPr>
          <w:rFonts w:eastAsia="MS Gothic"/>
          <w:lang w:val="es-ES_tradnl" w:eastAsia="en-US"/>
        </w:rPr>
        <w:t xml:space="preserve">únicamente </w:t>
      </w:r>
      <w:r w:rsidRPr="00216226">
        <w:rPr>
          <w:rFonts w:eastAsia="MS Gothic"/>
          <w:lang w:val="es-ES_tradnl" w:eastAsia="en-US"/>
        </w:rPr>
        <w:t xml:space="preserve">de instituciones penitenciarias en Tegucigalpa y San Pedro Sula), respaldados por la subvención del Fondo Mundial. Los datos más recientes de la población </w:t>
      </w:r>
      <w:r w:rsidR="003C6851">
        <w:rPr>
          <w:rFonts w:eastAsia="MS Gothic"/>
          <w:lang w:val="es-ES_tradnl" w:eastAsia="en-US"/>
        </w:rPr>
        <w:t>Garífuna</w:t>
      </w:r>
      <w:r w:rsidRPr="00216226">
        <w:rPr>
          <w:rFonts w:eastAsia="MS Gothic"/>
          <w:lang w:val="es-ES_tradnl" w:eastAsia="en-US"/>
        </w:rPr>
        <w:t xml:space="preserve"> son de </w:t>
      </w:r>
      <w:r w:rsidR="00FB3358" w:rsidRPr="00216226">
        <w:rPr>
          <w:rFonts w:eastAsia="MS Gothic"/>
          <w:lang w:val="es-ES_tradnl" w:eastAsia="en-US"/>
        </w:rPr>
        <w:t>2017, financ</w:t>
      </w:r>
      <w:r w:rsidR="00B4240C" w:rsidRPr="00216226">
        <w:rPr>
          <w:rFonts w:eastAsia="MS Gothic"/>
          <w:lang w:val="es-ES_tradnl" w:eastAsia="en-US"/>
        </w:rPr>
        <w:t>iado por</w:t>
      </w:r>
      <w:r w:rsidR="00FB3358" w:rsidRPr="00216226">
        <w:rPr>
          <w:rFonts w:eastAsia="MS Gothic"/>
          <w:lang w:val="es-ES_tradnl" w:eastAsia="en-US"/>
        </w:rPr>
        <w:t xml:space="preserve"> </w:t>
      </w:r>
      <w:r w:rsidR="00FB3358" w:rsidRPr="00404AB2">
        <w:rPr>
          <w:rFonts w:eastAsia="MS Gothic"/>
          <w:i/>
          <w:lang w:val="es-ES_tradnl" w:eastAsia="en-US"/>
        </w:rPr>
        <w:t>PEPFAR</w:t>
      </w:r>
      <w:r w:rsidR="00FB3358" w:rsidRPr="00216226">
        <w:rPr>
          <w:rFonts w:eastAsia="MS Gothic"/>
          <w:lang w:val="es-ES_tradnl" w:eastAsia="en-US"/>
        </w:rPr>
        <w:t xml:space="preserve">. </w:t>
      </w:r>
    </w:p>
    <w:p w14:paraId="267727B8" w14:textId="42DCF599" w:rsidR="00FB3358" w:rsidRPr="00216226" w:rsidRDefault="00B4240C" w:rsidP="00FB3358">
      <w:pPr>
        <w:jc w:val="both"/>
        <w:rPr>
          <w:rFonts w:eastAsia="MS Gothic"/>
          <w:lang w:val="es-ES_tradnl" w:eastAsia="en-US"/>
        </w:rPr>
      </w:pPr>
      <w:r w:rsidRPr="00216226">
        <w:rPr>
          <w:rFonts w:eastAsia="MS Gothic"/>
          <w:lang w:val="es-ES_tradnl" w:eastAsia="en-US"/>
        </w:rPr>
        <w:lastRenderedPageBreak/>
        <w:t>Las tasas de positividad están disponibles para HSH</w:t>
      </w:r>
      <w:r w:rsidR="00FB3358" w:rsidRPr="00216226">
        <w:rPr>
          <w:rFonts w:eastAsia="MS Gothic"/>
          <w:lang w:val="es-ES_tradnl" w:eastAsia="en-US"/>
        </w:rPr>
        <w:t xml:space="preserve">, </w:t>
      </w:r>
      <w:r w:rsidR="0061307E" w:rsidRPr="00216226">
        <w:rPr>
          <w:rFonts w:eastAsia="MS Gothic"/>
          <w:lang w:val="es-ES_tradnl" w:eastAsia="en-US"/>
        </w:rPr>
        <w:t xml:space="preserve">trabajadoras sexuales y mujeres </w:t>
      </w:r>
      <w:r w:rsidRPr="00216226">
        <w:rPr>
          <w:rFonts w:eastAsia="MS Gothic"/>
          <w:lang w:val="es-ES_tradnl" w:eastAsia="en-US"/>
        </w:rPr>
        <w:t>transgénero</w:t>
      </w:r>
      <w:r w:rsidR="0061307E" w:rsidRPr="00216226">
        <w:rPr>
          <w:rFonts w:eastAsia="MS Gothic"/>
          <w:lang w:val="es-ES_tradnl" w:eastAsia="en-US"/>
        </w:rPr>
        <w:t>,</w:t>
      </w:r>
      <w:r w:rsidR="00FB3358" w:rsidRPr="00216226">
        <w:rPr>
          <w:rFonts w:eastAsia="MS Gothic"/>
          <w:lang w:val="es-ES_tradnl" w:eastAsia="en-US"/>
        </w:rPr>
        <w:t xml:space="preserve"> </w:t>
      </w:r>
      <w:r w:rsidR="0061307E" w:rsidRPr="00216226">
        <w:rPr>
          <w:rFonts w:eastAsia="MS Gothic"/>
          <w:lang w:val="es-ES_tradnl" w:eastAsia="en-US"/>
        </w:rPr>
        <w:t>de</w:t>
      </w:r>
      <w:r w:rsidR="00FB3358" w:rsidRPr="00216226">
        <w:rPr>
          <w:rFonts w:eastAsia="MS Gothic"/>
          <w:lang w:val="es-ES_tradnl" w:eastAsia="en-US"/>
        </w:rPr>
        <w:t xml:space="preserve"> 2015, 2016</w:t>
      </w:r>
      <w:r w:rsidRPr="00216226">
        <w:rPr>
          <w:rFonts w:eastAsia="MS Gothic"/>
          <w:lang w:val="es-ES_tradnl" w:eastAsia="en-US"/>
        </w:rPr>
        <w:t xml:space="preserve"> y</w:t>
      </w:r>
      <w:r w:rsidR="00FB3358" w:rsidRPr="00216226">
        <w:rPr>
          <w:rFonts w:eastAsia="MS Gothic"/>
          <w:lang w:val="es-ES_tradnl" w:eastAsia="en-US"/>
        </w:rPr>
        <w:t xml:space="preserve"> 2017</w:t>
      </w:r>
      <w:r w:rsidR="0061307E" w:rsidRPr="00216226">
        <w:rPr>
          <w:rFonts w:eastAsia="MS Gothic"/>
          <w:lang w:val="es-ES_tradnl" w:eastAsia="en-US"/>
        </w:rPr>
        <w:t>,</w:t>
      </w:r>
      <w:r w:rsidR="00FB3358" w:rsidRPr="00216226">
        <w:rPr>
          <w:rFonts w:eastAsia="MS Gothic"/>
          <w:lang w:val="es-ES_tradnl" w:eastAsia="en-US"/>
        </w:rPr>
        <w:t xml:space="preserve"> </w:t>
      </w:r>
      <w:r w:rsidRPr="00216226">
        <w:rPr>
          <w:rFonts w:eastAsia="MS Gothic"/>
          <w:lang w:val="es-ES_tradnl" w:eastAsia="en-US"/>
        </w:rPr>
        <w:t xml:space="preserve">de los ocho sitios centinela de VICITS </w:t>
      </w:r>
      <w:r w:rsidR="00FB3358" w:rsidRPr="00216226">
        <w:rPr>
          <w:rFonts w:eastAsia="MS Gothic"/>
          <w:lang w:val="es-ES_tradnl" w:eastAsia="en-US"/>
        </w:rPr>
        <w:t xml:space="preserve">(SESAL, 2018c). </w:t>
      </w:r>
      <w:r w:rsidRPr="00216226">
        <w:rPr>
          <w:rFonts w:eastAsia="MS Gothic"/>
          <w:lang w:val="es-ES_tradnl" w:eastAsia="en-US"/>
        </w:rPr>
        <w:t>Desde</w:t>
      </w:r>
      <w:r w:rsidR="00FB3358" w:rsidRPr="00216226">
        <w:rPr>
          <w:rFonts w:eastAsia="MS Gothic"/>
          <w:lang w:val="es-ES_tradnl" w:eastAsia="en-US"/>
        </w:rPr>
        <w:t xml:space="preserve"> 2017, </w:t>
      </w:r>
      <w:r w:rsidRPr="00216226">
        <w:rPr>
          <w:rFonts w:eastAsia="MS Gothic"/>
          <w:lang w:val="es-ES_tradnl" w:eastAsia="en-US"/>
        </w:rPr>
        <w:t xml:space="preserve">los receptores del Fondo Mundial y los socios de </w:t>
      </w:r>
      <w:r w:rsidRPr="00404AB2">
        <w:rPr>
          <w:rFonts w:eastAsia="MS Gothic"/>
          <w:i/>
          <w:lang w:val="es-ES_tradnl" w:eastAsia="en-US"/>
        </w:rPr>
        <w:t>PEPFAR</w:t>
      </w:r>
      <w:r w:rsidRPr="00216226">
        <w:rPr>
          <w:rFonts w:eastAsia="MS Gothic"/>
          <w:lang w:val="es-ES_tradnl" w:eastAsia="en-US"/>
        </w:rPr>
        <w:t xml:space="preserve"> (UVG-</w:t>
      </w:r>
      <w:r w:rsidRPr="000A1D9C">
        <w:rPr>
          <w:rFonts w:eastAsia="MS Gothic"/>
          <w:i/>
          <w:lang w:val="es-ES_tradnl" w:eastAsia="en-US"/>
        </w:rPr>
        <w:t>CDC</w:t>
      </w:r>
      <w:r w:rsidRPr="00216226">
        <w:rPr>
          <w:rFonts w:eastAsia="MS Gothic"/>
          <w:lang w:val="es-ES_tradnl" w:eastAsia="en-US"/>
        </w:rPr>
        <w:t xml:space="preserve"> y </w:t>
      </w:r>
      <w:r w:rsidRPr="00D93C5D">
        <w:rPr>
          <w:rFonts w:eastAsia="MS Gothic"/>
          <w:i/>
          <w:lang w:val="es-ES_tradnl" w:eastAsia="en-US"/>
        </w:rPr>
        <w:t>PASMO</w:t>
      </w:r>
      <w:r w:rsidRPr="00216226">
        <w:rPr>
          <w:rFonts w:eastAsia="MS Gothic"/>
          <w:lang w:val="es-ES_tradnl" w:eastAsia="en-US"/>
        </w:rPr>
        <w:t>-</w:t>
      </w:r>
      <w:r w:rsidRPr="000A1D9C">
        <w:rPr>
          <w:rFonts w:eastAsia="MS Gothic"/>
          <w:i/>
          <w:lang w:val="es-ES_tradnl" w:eastAsia="en-US"/>
        </w:rPr>
        <w:t>USAID</w:t>
      </w:r>
      <w:r w:rsidRPr="00216226">
        <w:rPr>
          <w:rFonts w:eastAsia="MS Gothic"/>
          <w:lang w:val="es-ES_tradnl" w:eastAsia="en-US"/>
        </w:rPr>
        <w:t>) también están proporcionando tasas de positividad (visita de campo y comunicación directa por correo electrónico con las partes interesadas; ver</w:t>
      </w:r>
      <w:r w:rsidR="00FB3358" w:rsidRPr="00216226">
        <w:rPr>
          <w:rFonts w:eastAsia="MS Gothic"/>
          <w:lang w:val="es-ES_tradnl" w:eastAsia="en-US"/>
        </w:rPr>
        <w:t xml:space="preserve"> Tabl</w:t>
      </w:r>
      <w:r w:rsidRPr="00216226">
        <w:rPr>
          <w:rFonts w:eastAsia="MS Gothic"/>
          <w:lang w:val="es-ES_tradnl" w:eastAsia="en-US"/>
        </w:rPr>
        <w:t>a</w:t>
      </w:r>
      <w:r w:rsidR="00174C7E">
        <w:rPr>
          <w:rFonts w:eastAsia="MS Gothic"/>
          <w:lang w:val="es-ES_tradnl" w:eastAsia="en-US"/>
        </w:rPr>
        <w:t xml:space="preserve"> 6</w:t>
      </w:r>
      <w:r w:rsidR="00FB3358" w:rsidRPr="00216226">
        <w:rPr>
          <w:rFonts w:eastAsia="MS Gothic"/>
          <w:lang w:val="es-ES_tradnl" w:eastAsia="en-US"/>
        </w:rPr>
        <w:t>).</w:t>
      </w:r>
      <w:r w:rsidR="00FD09A9" w:rsidRPr="00216226">
        <w:rPr>
          <w:lang w:val="es-ES_tradnl"/>
        </w:rPr>
        <w:t xml:space="preserve"> </w:t>
      </w:r>
    </w:p>
    <w:p w14:paraId="443B840D" w14:textId="0D6CCF03" w:rsidR="00FB3358" w:rsidRPr="00216226" w:rsidRDefault="00B4240C" w:rsidP="00FB3358">
      <w:pPr>
        <w:jc w:val="both"/>
        <w:rPr>
          <w:rFonts w:eastAsia="MS Gothic"/>
          <w:lang w:val="es-ES_tradnl" w:eastAsia="en-US"/>
        </w:rPr>
      </w:pPr>
      <w:r w:rsidRPr="00216226">
        <w:rPr>
          <w:rFonts w:eastAsia="MS Gothic"/>
          <w:lang w:val="es-ES_tradnl" w:eastAsia="en-US"/>
        </w:rPr>
        <w:t xml:space="preserve">Todos los datos se incluyen sistemáticamente en los Planes Estratégicos Nacionales y otros documentos (PENSIDA II, III y IV). Sin embargo, hasta ahora, las tasas de positividad no se han utilizado para evaluar y priorizar los modelos de prueba diferenciados </w:t>
      </w:r>
      <w:r w:rsidR="000A4808" w:rsidRPr="00216226">
        <w:rPr>
          <w:rFonts w:eastAsia="MS Gothic"/>
          <w:lang w:val="es-ES_tradnl" w:eastAsia="en-US"/>
        </w:rPr>
        <w:t>(Visita de campo)</w:t>
      </w:r>
      <w:r w:rsidR="00FB3358" w:rsidRPr="00216226">
        <w:rPr>
          <w:rFonts w:eastAsia="MS Gothic"/>
          <w:lang w:val="es-ES_tradnl" w:eastAsia="en-US"/>
        </w:rPr>
        <w:t xml:space="preserve">. </w:t>
      </w:r>
    </w:p>
    <w:p w14:paraId="3A45C821" w14:textId="049A3B6A" w:rsidR="00FB3358" w:rsidRPr="00216226" w:rsidRDefault="00EA6B13" w:rsidP="00FB3358">
      <w:pPr>
        <w:jc w:val="both"/>
        <w:rPr>
          <w:rFonts w:eastAsia="MS Gothic"/>
          <w:lang w:val="es-ES_tradnl" w:eastAsia="en-US"/>
        </w:rPr>
      </w:pPr>
      <w:r w:rsidRPr="00216226">
        <w:rPr>
          <w:rFonts w:eastAsia="MS Gothic"/>
          <w:lang w:val="es-ES_tradnl" w:eastAsia="en-US"/>
        </w:rPr>
        <w:t>Según la Unida</w:t>
      </w:r>
      <w:r w:rsidR="00174C7E">
        <w:rPr>
          <w:rFonts w:eastAsia="MS Gothic"/>
          <w:lang w:val="es-ES_tradnl" w:eastAsia="en-US"/>
        </w:rPr>
        <w:t>d de Gestión de la Información</w:t>
      </w:r>
      <w:r w:rsidRPr="00216226">
        <w:rPr>
          <w:rFonts w:eastAsia="MS Gothic"/>
          <w:lang w:val="es-ES_tradnl" w:eastAsia="en-US"/>
        </w:rPr>
        <w:t>, el sistema de información integrado está en desarrollo y se tomarán medidas específicas en los próximos meses</w:t>
      </w:r>
      <w:r w:rsidR="00FB3358" w:rsidRPr="00216226">
        <w:rPr>
          <w:rFonts w:eastAsia="MS Gothic"/>
          <w:lang w:val="es-ES_tradnl" w:eastAsia="en-US"/>
        </w:rPr>
        <w:t xml:space="preserve">. </w:t>
      </w:r>
      <w:r w:rsidRPr="00216226">
        <w:rPr>
          <w:rFonts w:eastAsia="MS Gothic"/>
          <w:lang w:val="es-ES_tradnl" w:eastAsia="en-US"/>
        </w:rPr>
        <w:t>La mayoría de las partes interesadas opinan que no hay un liderazgo y capacidad claros para avanzar hacia un sistema de información verdaderamente integrado en el próximo año</w:t>
      </w:r>
      <w:r w:rsidR="00FB3358" w:rsidRPr="00216226">
        <w:rPr>
          <w:rFonts w:eastAsia="MS Gothic"/>
          <w:lang w:val="es-ES_tradnl" w:eastAsia="en-US"/>
        </w:rPr>
        <w:t xml:space="preserve"> </w:t>
      </w:r>
      <w:r w:rsidR="000A4808" w:rsidRPr="00216226">
        <w:rPr>
          <w:rFonts w:eastAsia="MS Gothic"/>
          <w:lang w:val="es-ES_tradnl" w:eastAsia="en-US"/>
        </w:rPr>
        <w:t>(Visita de campo)</w:t>
      </w:r>
      <w:r w:rsidR="00FB3358" w:rsidRPr="00216226">
        <w:rPr>
          <w:rFonts w:eastAsia="MS Gothic"/>
          <w:lang w:val="es-ES_tradnl" w:eastAsia="en-US"/>
        </w:rPr>
        <w:t xml:space="preserve">. </w:t>
      </w:r>
    </w:p>
    <w:p w14:paraId="221B78ED" w14:textId="52FEEAD4" w:rsidR="00FB3358" w:rsidRPr="00216226" w:rsidRDefault="004B3528" w:rsidP="003F39AD">
      <w:pPr>
        <w:jc w:val="both"/>
        <w:rPr>
          <w:rFonts w:ascii="Calibri Light" w:eastAsia="MS Gothic" w:hAnsi="Calibri Light"/>
          <w:lang w:val="es-ES_tradnl" w:eastAsia="en-US"/>
        </w:rPr>
      </w:pPr>
      <w:r w:rsidRPr="003F39AD">
        <w:rPr>
          <w:rFonts w:eastAsia="MS Gothic"/>
          <w:lang w:val="es-ES_tradnl" w:eastAsia="en-US"/>
        </w:rPr>
        <w:t>Resultados:</w:t>
      </w:r>
      <w:r w:rsidR="00FB3358" w:rsidRPr="003F39AD">
        <w:rPr>
          <w:rFonts w:ascii="Calibri Light" w:eastAsia="MS Gothic" w:hAnsi="Calibri Light"/>
          <w:lang w:val="es-ES_tradnl" w:eastAsia="en-US"/>
        </w:rPr>
        <w:t xml:space="preserve"> </w:t>
      </w:r>
      <w:r w:rsidR="003F39AD">
        <w:rPr>
          <w:rFonts w:ascii="Calibri Light" w:eastAsia="MS Gothic" w:hAnsi="Calibri Light"/>
          <w:lang w:val="es-ES_tradnl" w:eastAsia="en-US"/>
        </w:rPr>
        <w:t xml:space="preserve"> </w:t>
      </w:r>
      <w:r w:rsidR="00B4240C" w:rsidRPr="00216226">
        <w:rPr>
          <w:rFonts w:eastAsia="MS Gothic"/>
          <w:lang w:val="es-ES_tradnl" w:eastAsia="en-US"/>
        </w:rPr>
        <w:t xml:space="preserve">El país tiene datos generales de incidencia y prevalencia, así como información agregada sobre la cascada del continuo de atención, utilizando la metodología </w:t>
      </w:r>
      <w:r w:rsidR="00B4240C" w:rsidRPr="003F39AD">
        <w:rPr>
          <w:rFonts w:eastAsia="MS Gothic"/>
          <w:i/>
          <w:lang w:val="es-ES_tradnl" w:eastAsia="en-US"/>
        </w:rPr>
        <w:t>Spectrum</w:t>
      </w:r>
      <w:r w:rsidR="00B4240C" w:rsidRPr="00216226">
        <w:rPr>
          <w:rFonts w:eastAsia="MS Gothic"/>
          <w:lang w:val="es-ES_tradnl" w:eastAsia="en-US"/>
        </w:rPr>
        <w:t xml:space="preserve"> desde 2013 a 2016 (SESAL, 2018). Sin embargo, faltan datos precisos sobre la cantidad de PVVIH diagnosticadas pero no vinculadas al sistema de salud o cómo se distribuye esa cifra entre las poblaciones clave</w:t>
      </w:r>
      <w:r w:rsidR="00FB3358" w:rsidRPr="00216226">
        <w:rPr>
          <w:rFonts w:eastAsia="MS Gothic"/>
          <w:lang w:val="es-ES_tradnl" w:eastAsia="en-US"/>
        </w:rPr>
        <w:t xml:space="preserve">. </w:t>
      </w:r>
      <w:r w:rsidR="0041054C" w:rsidRPr="00216226">
        <w:rPr>
          <w:rFonts w:eastAsia="MS Gothic"/>
          <w:lang w:val="es-ES_tradnl" w:eastAsia="en-US"/>
        </w:rPr>
        <w:t>Se dispone de un nú</w:t>
      </w:r>
      <w:r w:rsidR="003F39AD">
        <w:rPr>
          <w:rFonts w:eastAsia="MS Gothic"/>
          <w:lang w:val="es-ES_tradnl" w:eastAsia="en-US"/>
        </w:rPr>
        <w:t>mero de personas vinculadas a lo</w:t>
      </w:r>
      <w:r w:rsidR="0041054C" w:rsidRPr="00216226">
        <w:rPr>
          <w:rFonts w:eastAsia="MS Gothic"/>
          <w:lang w:val="es-ES_tradnl" w:eastAsia="en-US"/>
        </w:rPr>
        <w:t>s SAI, en tratamiento con TARV y con carga viral suprimida, según las cohortes hospitalarias, que no son nominales. Es posible informar de manera insuficiente o excesiva, o contar al mismo paciente más de una vez</w:t>
      </w:r>
      <w:r w:rsidR="00FB3358" w:rsidRPr="00216226">
        <w:rPr>
          <w:rFonts w:eastAsia="MS Gothic"/>
          <w:lang w:val="es-ES_tradnl" w:eastAsia="en-US"/>
        </w:rPr>
        <w:t>.</w:t>
      </w:r>
      <w:r w:rsidR="00680A78" w:rsidRPr="00216226">
        <w:rPr>
          <w:rFonts w:eastAsia="MS Gothic"/>
          <w:lang w:val="es-ES_tradnl" w:eastAsia="en-US"/>
        </w:rPr>
        <w:t xml:space="preserve"> </w:t>
      </w:r>
    </w:p>
    <w:p w14:paraId="12FAD4E5" w14:textId="0F767A61" w:rsidR="00FB3358" w:rsidRPr="00216226" w:rsidRDefault="00825A69" w:rsidP="00B032C2">
      <w:pPr>
        <w:jc w:val="both"/>
        <w:rPr>
          <w:rFonts w:eastAsia="MS Gothic"/>
          <w:lang w:val="es-ES_tradnl" w:eastAsia="en-US"/>
        </w:rPr>
      </w:pPr>
      <w:r w:rsidRPr="00216226">
        <w:rPr>
          <w:rFonts w:eastAsia="MS Gothic"/>
          <w:lang w:val="es-ES_tradnl" w:eastAsia="en-US"/>
        </w:rPr>
        <w:t>En una en</w:t>
      </w:r>
      <w:r w:rsidR="003F39AD">
        <w:rPr>
          <w:rFonts w:eastAsia="MS Gothic"/>
          <w:lang w:val="es-ES_tradnl" w:eastAsia="en-US"/>
        </w:rPr>
        <w:t xml:space="preserve">cuesta realizada en 2010 por la SESAL </w:t>
      </w:r>
      <w:r w:rsidRPr="00216226">
        <w:rPr>
          <w:rFonts w:eastAsia="MS Gothic"/>
          <w:lang w:val="es-ES_tradnl" w:eastAsia="en-US"/>
        </w:rPr>
        <w:t>(SESAL, 2012a), se estimó que la notificación insuficiente llega a un 37%, per</w:t>
      </w:r>
      <w:r w:rsidR="003F39AD">
        <w:rPr>
          <w:rFonts w:eastAsia="MS Gothic"/>
          <w:lang w:val="es-ES_tradnl" w:eastAsia="en-US"/>
        </w:rPr>
        <w:t>o los funcionarios públicos de la SESAL,</w:t>
      </w:r>
      <w:r w:rsidRPr="00216226">
        <w:rPr>
          <w:rFonts w:eastAsia="MS Gothic"/>
          <w:lang w:val="es-ES_tradnl" w:eastAsia="en-US"/>
        </w:rPr>
        <w:t xml:space="preserve"> consideran que, gracias a los esfuerzos continuos para reducir esta brecha, el porcentaje debería ser mucho menor hoy. Sin embargo, no hay datos empíricos más recientes disponibles </w:t>
      </w:r>
      <w:r w:rsidR="000A4808" w:rsidRPr="00216226">
        <w:rPr>
          <w:rFonts w:eastAsia="MS Gothic"/>
          <w:lang w:val="es-ES_tradnl" w:eastAsia="en-US"/>
        </w:rPr>
        <w:t>(Visita de campo)</w:t>
      </w:r>
      <w:r w:rsidR="00FB3358" w:rsidRPr="00216226">
        <w:rPr>
          <w:rFonts w:eastAsia="MS Gothic"/>
          <w:lang w:val="es-ES_tradnl" w:eastAsia="en-US"/>
        </w:rPr>
        <w:t xml:space="preserve">. </w:t>
      </w:r>
    </w:p>
    <w:p w14:paraId="3B356C88" w14:textId="7EA43CFD" w:rsidR="00FB3358" w:rsidRPr="00216226" w:rsidRDefault="00FB3358" w:rsidP="00FB3358">
      <w:pPr>
        <w:rPr>
          <w:rFonts w:ascii="Calibri Light" w:eastAsia="MS Gothic" w:hAnsi="Calibri Light" w:cs="Times New Roman"/>
          <w:b/>
          <w:lang w:val="es-ES_tradnl" w:eastAsia="en-US"/>
        </w:rPr>
      </w:pPr>
      <w:r w:rsidRPr="00216226">
        <w:rPr>
          <w:rFonts w:ascii="Calibri Light" w:eastAsia="MS Gothic" w:hAnsi="Calibri Light" w:cs="Times New Roman"/>
          <w:lang w:val="es-ES_tradnl" w:eastAsia="en-US"/>
        </w:rPr>
        <w:br/>
      </w:r>
      <w:r w:rsidR="00EE0F21" w:rsidRPr="00216226">
        <w:rPr>
          <w:rFonts w:ascii="Calibri Light" w:eastAsia="MS Gothic" w:hAnsi="Calibri Light" w:cs="Times New Roman"/>
          <w:b/>
          <w:lang w:val="es-ES_tradnl" w:eastAsia="en-US"/>
        </w:rPr>
        <w:t>Dominio</w:t>
      </w:r>
      <w:r w:rsidRPr="00216226">
        <w:rPr>
          <w:rFonts w:ascii="Calibri Light" w:eastAsia="MS Gothic" w:hAnsi="Calibri Light" w:cs="Times New Roman"/>
          <w:b/>
          <w:lang w:val="es-ES_tradnl" w:eastAsia="en-US"/>
        </w:rPr>
        <w:t xml:space="preserve"> 3.2 </w:t>
      </w:r>
      <w:r w:rsidR="00825A69" w:rsidRPr="00216226">
        <w:rPr>
          <w:rFonts w:ascii="Calibri Light" w:eastAsia="MS Gothic" w:hAnsi="Calibri Light" w:cs="Times New Roman"/>
          <w:b/>
          <w:lang w:val="es-ES_tradnl" w:eastAsia="en-US"/>
        </w:rPr>
        <w:t xml:space="preserve">Uso del servicio y datos e informes del programa </w:t>
      </w:r>
    </w:p>
    <w:p w14:paraId="0B915FDF" w14:textId="339AA40F" w:rsidR="00FB3358" w:rsidRPr="003F39AD" w:rsidRDefault="00320DF5" w:rsidP="003F39AD">
      <w:pPr>
        <w:jc w:val="both"/>
        <w:rPr>
          <w:rFonts w:ascii="Calibri Light" w:eastAsia="MS Gothic" w:hAnsi="Calibri Light"/>
          <w:i/>
          <w:lang w:val="es-ES_tradnl" w:eastAsia="en-US"/>
        </w:rPr>
      </w:pPr>
      <w:r w:rsidRPr="003F39AD">
        <w:rPr>
          <w:rFonts w:eastAsia="MS Gothic"/>
          <w:lang w:val="es-ES_tradnl" w:eastAsia="en-US"/>
        </w:rPr>
        <w:t>Insumos:</w:t>
      </w:r>
      <w:r w:rsidR="00FB3358" w:rsidRPr="003F39AD">
        <w:rPr>
          <w:rFonts w:ascii="Calibri Light" w:eastAsia="MS Gothic" w:hAnsi="Calibri Light"/>
          <w:i/>
          <w:lang w:val="es-ES_tradnl" w:eastAsia="en-US"/>
        </w:rPr>
        <w:t xml:space="preserve"> </w:t>
      </w:r>
      <w:r w:rsidR="00825A69" w:rsidRPr="00216226">
        <w:rPr>
          <w:rFonts w:eastAsia="MS Gothic"/>
          <w:lang w:val="es-ES_tradnl" w:eastAsia="en-US"/>
        </w:rPr>
        <w:t xml:space="preserve">Las inversiones del Fondo Mundial han ofrecido apoyo financiero para fortalecer un sistema de información sobre el VIH que podría ser unificado, coherente y vinculado con medidas de calidad. Este sistema debería haber establecido la </w:t>
      </w:r>
      <w:r w:rsidR="00825A69" w:rsidRPr="00C033A0">
        <w:rPr>
          <w:rFonts w:eastAsia="MS Gothic"/>
          <w:i/>
          <w:lang w:val="es-ES_tradnl" w:eastAsia="en-US"/>
        </w:rPr>
        <w:t>UIC</w:t>
      </w:r>
      <w:r w:rsidR="00825A69" w:rsidRPr="00216226">
        <w:rPr>
          <w:rFonts w:eastAsia="MS Gothic"/>
          <w:lang w:val="es-ES_tradnl" w:eastAsia="en-US"/>
        </w:rPr>
        <w:t xml:space="preserve"> para gestionar clientes individuales</w:t>
      </w:r>
      <w:r w:rsidR="00FB3358" w:rsidRPr="00216226">
        <w:rPr>
          <w:rFonts w:eastAsia="MS Gothic"/>
          <w:lang w:val="es-ES_tradnl" w:eastAsia="en-US"/>
        </w:rPr>
        <w:t xml:space="preserve">. </w:t>
      </w:r>
      <w:r w:rsidR="00825A69" w:rsidRPr="00216226">
        <w:rPr>
          <w:rFonts w:eastAsia="MS Gothic"/>
          <w:lang w:val="es-ES_tradnl" w:eastAsia="en-US"/>
        </w:rPr>
        <w:t xml:space="preserve">Las contribuciones del Fondo Mundial también debían cubrir el apoyo para la elaboración y difusión de </w:t>
      </w:r>
      <w:r w:rsidR="00EA6B13" w:rsidRPr="00216226">
        <w:rPr>
          <w:rFonts w:eastAsia="MS Gothic"/>
          <w:lang w:val="es-ES_tradnl" w:eastAsia="en-US"/>
        </w:rPr>
        <w:t xml:space="preserve">los </w:t>
      </w:r>
      <w:r w:rsidR="00825A69" w:rsidRPr="00216226">
        <w:rPr>
          <w:rFonts w:eastAsia="MS Gothic"/>
          <w:lang w:val="es-ES_tradnl" w:eastAsia="en-US"/>
        </w:rPr>
        <w:t xml:space="preserve">informes. Sin embargo, la contribución más reciente y significativa del Fondo Mundial para mejorar el </w:t>
      </w:r>
      <w:r w:rsidR="000A1DD4">
        <w:rPr>
          <w:rFonts w:eastAsia="MS Gothic"/>
          <w:lang w:val="es-ES_tradnl" w:eastAsia="en-US"/>
        </w:rPr>
        <w:t>SIIS</w:t>
      </w:r>
      <w:r w:rsidR="00825A69" w:rsidRPr="00216226">
        <w:rPr>
          <w:rFonts w:eastAsia="MS Gothic"/>
          <w:lang w:val="es-ES_tradnl" w:eastAsia="en-US"/>
        </w:rPr>
        <w:t xml:space="preserve"> no se ha gastado</w:t>
      </w:r>
      <w:r w:rsidR="00FB3358" w:rsidRPr="00216226">
        <w:rPr>
          <w:rFonts w:eastAsia="MS Gothic"/>
          <w:lang w:val="es-ES_tradnl" w:eastAsia="en-US"/>
        </w:rPr>
        <w:t xml:space="preserve"> (</w:t>
      </w:r>
      <w:r w:rsidR="00D44421" w:rsidRPr="00216226">
        <w:rPr>
          <w:rFonts w:eastAsia="MS Gothic"/>
          <w:lang w:val="es-ES_tradnl" w:eastAsia="en-US"/>
        </w:rPr>
        <w:t>MCP</w:t>
      </w:r>
      <w:r w:rsidR="00FB3358" w:rsidRPr="00216226">
        <w:rPr>
          <w:rFonts w:eastAsia="MS Gothic"/>
          <w:lang w:val="es-ES_tradnl" w:eastAsia="en-US"/>
        </w:rPr>
        <w:t>, 2015; Visit</w:t>
      </w:r>
      <w:r w:rsidR="00825A69" w:rsidRPr="00216226">
        <w:rPr>
          <w:rFonts w:eastAsia="MS Gothic"/>
          <w:lang w:val="es-ES_tradnl" w:eastAsia="en-US"/>
        </w:rPr>
        <w:t>a de campo</w:t>
      </w:r>
      <w:r w:rsidR="00FB3358" w:rsidRPr="00216226">
        <w:rPr>
          <w:rFonts w:eastAsia="MS Gothic"/>
          <w:lang w:val="es-ES_tradnl" w:eastAsia="en-US"/>
        </w:rPr>
        <w:t xml:space="preserve">). </w:t>
      </w:r>
    </w:p>
    <w:p w14:paraId="6317A5E8" w14:textId="52BECF87" w:rsidR="00FB3358" w:rsidRPr="000A1DD4" w:rsidRDefault="00320DF5" w:rsidP="00B032C2">
      <w:pPr>
        <w:jc w:val="both"/>
        <w:rPr>
          <w:rFonts w:ascii="Calibri Light" w:eastAsia="MS Gothic" w:hAnsi="Calibri Light"/>
          <w:i/>
          <w:lang w:val="es-ES_tradnl" w:eastAsia="en-US"/>
        </w:rPr>
      </w:pPr>
      <w:r w:rsidRPr="000A1DD4">
        <w:rPr>
          <w:rFonts w:eastAsia="MS Gothic"/>
          <w:lang w:val="es-ES_tradnl" w:eastAsia="en-US"/>
        </w:rPr>
        <w:t>Productos:</w:t>
      </w:r>
      <w:r w:rsidR="00FB3358" w:rsidRPr="000A1DD4">
        <w:rPr>
          <w:rFonts w:ascii="Calibri Light" w:eastAsia="MS Gothic" w:hAnsi="Calibri Light"/>
          <w:i/>
          <w:lang w:val="es-ES_tradnl" w:eastAsia="en-US"/>
        </w:rPr>
        <w:t xml:space="preserve"> </w:t>
      </w:r>
      <w:bookmarkStart w:id="34" w:name="_Hlk8232637"/>
      <w:r w:rsidR="00825A69" w:rsidRPr="00216226">
        <w:rPr>
          <w:rFonts w:eastAsia="MS Gothic"/>
          <w:lang w:val="es-ES_tradnl" w:eastAsia="en-US"/>
        </w:rPr>
        <w:t xml:space="preserve">Se dice que los UIC se utilizan en el país. Sin embargo, esto presenta varias deficiencias. Los </w:t>
      </w:r>
      <w:r w:rsidR="00825A69" w:rsidRPr="00C033A0">
        <w:rPr>
          <w:rFonts w:eastAsia="MS Gothic"/>
          <w:i/>
          <w:lang w:val="es-ES_tradnl" w:eastAsia="en-US"/>
        </w:rPr>
        <w:t>UIC</w:t>
      </w:r>
      <w:r w:rsidR="00825A69" w:rsidRPr="00216226">
        <w:rPr>
          <w:rFonts w:eastAsia="MS Gothic"/>
          <w:lang w:val="es-ES_tradnl" w:eastAsia="en-US"/>
        </w:rPr>
        <w:t xml:space="preserve"> se basan en el número del documento nacional de identidad. Algunos miembros de las poblaciones clave no quieren usar o </w:t>
      </w:r>
      <w:r w:rsidR="00EA6B13" w:rsidRPr="00216226">
        <w:rPr>
          <w:rFonts w:eastAsia="MS Gothic"/>
          <w:lang w:val="es-ES_tradnl" w:eastAsia="en-US"/>
        </w:rPr>
        <w:t>revelar</w:t>
      </w:r>
      <w:r w:rsidR="00825A69" w:rsidRPr="00216226">
        <w:rPr>
          <w:rFonts w:eastAsia="MS Gothic"/>
          <w:lang w:val="es-ES_tradnl" w:eastAsia="en-US"/>
        </w:rPr>
        <w:t xml:space="preserve"> su número de identidad debido a la desconfianza existente con los servicios gubernamentales; esto afecta principalmente</w:t>
      </w:r>
      <w:r w:rsidR="00FB3358" w:rsidRPr="00216226">
        <w:rPr>
          <w:rFonts w:eastAsia="MS Gothic"/>
          <w:lang w:val="es-ES_tradnl" w:eastAsia="en-US"/>
        </w:rPr>
        <w:t xml:space="preserve"> </w:t>
      </w:r>
      <w:r w:rsidR="00EA6B13" w:rsidRPr="00216226">
        <w:rPr>
          <w:rFonts w:eastAsia="MS Gothic"/>
          <w:lang w:val="es-ES_tradnl" w:eastAsia="en-US"/>
        </w:rPr>
        <w:t xml:space="preserve">a las mujeres </w:t>
      </w:r>
      <w:r w:rsidR="00453B71">
        <w:rPr>
          <w:rFonts w:eastAsia="MS Gothic"/>
          <w:lang w:val="es-ES_tradnl" w:eastAsia="en-US"/>
        </w:rPr>
        <w:t xml:space="preserve">transgénero </w:t>
      </w:r>
      <w:r w:rsidR="00D42DAF" w:rsidRPr="00216226">
        <w:rPr>
          <w:rFonts w:eastAsia="MS Gothic"/>
          <w:lang w:val="es-ES_tradnl" w:eastAsia="en-US"/>
        </w:rPr>
        <w:t>que son trabajadoras sexuales y a las</w:t>
      </w:r>
      <w:r w:rsidR="00FB3358" w:rsidRPr="00216226">
        <w:rPr>
          <w:rFonts w:eastAsia="MS Gothic"/>
          <w:lang w:val="es-ES_tradnl" w:eastAsia="en-US"/>
        </w:rPr>
        <w:t xml:space="preserve"> </w:t>
      </w:r>
      <w:r w:rsidR="00EA6B13" w:rsidRPr="00216226">
        <w:rPr>
          <w:rFonts w:eastAsia="MS Gothic"/>
          <w:lang w:val="es-ES_tradnl" w:eastAsia="en-US"/>
        </w:rPr>
        <w:t>trabajadoras sexuales</w:t>
      </w:r>
      <w:r w:rsidR="00FB3358" w:rsidRPr="00216226">
        <w:rPr>
          <w:rFonts w:eastAsia="MS Gothic"/>
          <w:lang w:val="es-ES_tradnl" w:eastAsia="en-US"/>
        </w:rPr>
        <w:t xml:space="preserve">. </w:t>
      </w:r>
      <w:r w:rsidR="00D42DAF" w:rsidRPr="00216226">
        <w:rPr>
          <w:rFonts w:eastAsia="MS Gothic"/>
          <w:lang w:val="es-ES_tradnl" w:eastAsia="en-US"/>
        </w:rPr>
        <w:t>En tales casos, se crea un código de sustitución utilizando una combinación de mayúsculas y números tomados del nombre de la persona, los nombres de los padres de la persona y la fecha de nacimiento. Esta información no es totalmente confiable, ya que los detalles proporcionados pueden no ser precisos</w:t>
      </w:r>
      <w:r w:rsidR="00FB3358" w:rsidRPr="00216226">
        <w:rPr>
          <w:rFonts w:eastAsia="MS Gothic"/>
          <w:lang w:val="es-ES_tradnl" w:eastAsia="en-US"/>
        </w:rPr>
        <w:t xml:space="preserve">. </w:t>
      </w:r>
      <w:r w:rsidR="00D42DAF" w:rsidRPr="00216226">
        <w:rPr>
          <w:rFonts w:eastAsia="MS Gothic"/>
          <w:lang w:val="es-ES_tradnl" w:eastAsia="en-US"/>
        </w:rPr>
        <w:t xml:space="preserve">En cualquier caso, los implementadores de programas y los servicios de salud no comparten un sistema de recopilación de datos en línea, lo que significa que no se puede evitar el doble cómputo por adelantado, lo que requiere verificaciones </w:t>
      </w:r>
      <w:r w:rsidR="00997E91" w:rsidRPr="00216226">
        <w:rPr>
          <w:rFonts w:eastAsia="MS Gothic"/>
          <w:lang w:val="es-ES_tradnl" w:eastAsia="en-US"/>
        </w:rPr>
        <w:t>que consumen muchísimo tiempo</w:t>
      </w:r>
      <w:r w:rsidR="00D42DAF" w:rsidRPr="00216226">
        <w:rPr>
          <w:rFonts w:eastAsia="MS Gothic"/>
          <w:lang w:val="es-ES_tradnl" w:eastAsia="en-US"/>
        </w:rPr>
        <w:t xml:space="preserve"> a nivel central </w:t>
      </w:r>
      <w:r w:rsidR="000A4808" w:rsidRPr="00216226">
        <w:rPr>
          <w:rFonts w:eastAsia="MS Gothic"/>
          <w:lang w:val="es-ES_tradnl" w:eastAsia="en-US"/>
        </w:rPr>
        <w:t>(Visita de campo</w:t>
      </w:r>
      <w:bookmarkEnd w:id="34"/>
      <w:r w:rsidR="000A4808" w:rsidRPr="00216226">
        <w:rPr>
          <w:rFonts w:eastAsia="MS Gothic"/>
          <w:lang w:val="es-ES_tradnl" w:eastAsia="en-US"/>
        </w:rPr>
        <w:t>)</w:t>
      </w:r>
      <w:r w:rsidR="00FB3358" w:rsidRPr="00216226">
        <w:rPr>
          <w:rFonts w:eastAsia="MS Gothic"/>
          <w:lang w:val="es-ES_tradnl" w:eastAsia="en-US"/>
        </w:rPr>
        <w:t>.</w:t>
      </w:r>
      <w:r w:rsidR="00FD09A9" w:rsidRPr="00216226">
        <w:rPr>
          <w:lang w:val="es-ES_tradnl"/>
        </w:rPr>
        <w:t xml:space="preserve"> </w:t>
      </w:r>
    </w:p>
    <w:p w14:paraId="1D44A274" w14:textId="4D59B35B" w:rsidR="00FB3358" w:rsidRPr="00216226" w:rsidRDefault="00D42DAF" w:rsidP="00FB3358">
      <w:pPr>
        <w:jc w:val="both"/>
        <w:rPr>
          <w:rFonts w:eastAsia="MS Gothic"/>
          <w:lang w:val="es-ES_tradnl" w:eastAsia="en-US"/>
        </w:rPr>
      </w:pPr>
      <w:r w:rsidRPr="00216226">
        <w:rPr>
          <w:rFonts w:eastAsia="MS Gothic"/>
          <w:lang w:val="es-ES_tradnl" w:eastAsia="en-US"/>
        </w:rPr>
        <w:lastRenderedPageBreak/>
        <w:t xml:space="preserve">Además, cada parte interesada (receptores del Fondo Mundial, socios de PEPFAR, centros públicos; </w:t>
      </w:r>
      <w:r w:rsidR="00997E91" w:rsidRPr="00216226">
        <w:rPr>
          <w:rFonts w:eastAsia="MS Gothic"/>
          <w:lang w:val="es-ES_tradnl" w:eastAsia="en-US"/>
        </w:rPr>
        <w:t xml:space="preserve">no se recopilan </w:t>
      </w:r>
      <w:r w:rsidRPr="00216226">
        <w:rPr>
          <w:rFonts w:eastAsia="MS Gothic"/>
          <w:lang w:val="es-ES_tradnl" w:eastAsia="en-US"/>
        </w:rPr>
        <w:t>datos de los servicios privados) utiliza su propio sistema de recopilación de datos</w:t>
      </w:r>
      <w:r w:rsidR="00FB3358" w:rsidRPr="00216226">
        <w:rPr>
          <w:rFonts w:eastAsia="MS Gothic"/>
          <w:lang w:val="es-ES_tradnl" w:eastAsia="en-US"/>
        </w:rPr>
        <w:t xml:space="preserve">. </w:t>
      </w:r>
      <w:r w:rsidRPr="00216226">
        <w:rPr>
          <w:rFonts w:eastAsia="MS Gothic"/>
          <w:lang w:val="es-ES_tradnl" w:eastAsia="en-US"/>
        </w:rPr>
        <w:t>E</w:t>
      </w:r>
      <w:r w:rsidR="00FB3358" w:rsidRPr="00216226">
        <w:rPr>
          <w:rFonts w:eastAsia="MS Gothic"/>
          <w:lang w:val="es-ES_tradnl" w:eastAsia="en-US"/>
        </w:rPr>
        <w:t xml:space="preserve">n VICITS </w:t>
      </w:r>
      <w:r w:rsidR="000A1DD4">
        <w:rPr>
          <w:rFonts w:eastAsia="MS Gothic"/>
          <w:lang w:val="es-ES_tradnl" w:eastAsia="en-US"/>
        </w:rPr>
        <w:t>y lo</w:t>
      </w:r>
      <w:r w:rsidRPr="00216226">
        <w:rPr>
          <w:rFonts w:eastAsia="MS Gothic"/>
          <w:lang w:val="es-ES_tradnl" w:eastAsia="en-US"/>
        </w:rPr>
        <w:t>s</w:t>
      </w:r>
      <w:r w:rsidR="00FB3358" w:rsidRPr="00216226">
        <w:rPr>
          <w:rFonts w:eastAsia="MS Gothic"/>
          <w:lang w:val="es-ES_tradnl" w:eastAsia="en-US"/>
        </w:rPr>
        <w:t xml:space="preserve"> SAI, </w:t>
      </w:r>
      <w:r w:rsidRPr="00216226">
        <w:rPr>
          <w:rFonts w:eastAsia="MS Gothic"/>
          <w:lang w:val="es-ES_tradnl" w:eastAsia="en-US"/>
        </w:rPr>
        <w:t xml:space="preserve">cada servicio (laboratorio, asesoramiento, farmacia, control médico) utiliza su propio libro de registro. Los datos del paciente se escriben manualmente en libros físicos, luego se transfieren a archivos Excel separados y se almacenan en el sistema informático del servicio, que es una tarea que consume mucho tiempo. No existen medidas para evitar el riesgo de perder fuentes de datos debido a accidentes que afectan los libros físicos o los archivos digitales, que son altamente vulnerables a las infecciones </w:t>
      </w:r>
      <w:r w:rsidR="00997E91" w:rsidRPr="00216226">
        <w:rPr>
          <w:rFonts w:eastAsia="MS Gothic"/>
          <w:lang w:val="es-ES_tradnl" w:eastAsia="en-US"/>
        </w:rPr>
        <w:t xml:space="preserve">informáticas </w:t>
      </w:r>
      <w:r w:rsidRPr="00216226">
        <w:rPr>
          <w:rFonts w:eastAsia="MS Gothic"/>
          <w:lang w:val="es-ES_tradnl" w:eastAsia="en-US"/>
        </w:rPr>
        <w:t xml:space="preserve">virales </w:t>
      </w:r>
      <w:r w:rsidR="000A4808" w:rsidRPr="00216226">
        <w:rPr>
          <w:rFonts w:eastAsia="MS Gothic"/>
          <w:lang w:val="es-ES_tradnl" w:eastAsia="en-US"/>
        </w:rPr>
        <w:t>(Visita de campo)</w:t>
      </w:r>
      <w:r w:rsidR="00FB3358" w:rsidRPr="00216226">
        <w:rPr>
          <w:rFonts w:eastAsia="MS Gothic"/>
          <w:lang w:val="es-ES_tradnl" w:eastAsia="en-US"/>
        </w:rPr>
        <w:t xml:space="preserve">. </w:t>
      </w:r>
    </w:p>
    <w:p w14:paraId="6D190891" w14:textId="77777777" w:rsidR="00FB3358" w:rsidRPr="00216226" w:rsidRDefault="00FB3358" w:rsidP="00FB3358">
      <w:pPr>
        <w:jc w:val="center"/>
        <w:rPr>
          <w:rFonts w:eastAsia="MS Gothic"/>
          <w:lang w:val="es-ES_tradnl" w:eastAsia="en-US"/>
        </w:rPr>
      </w:pPr>
      <w:r w:rsidRPr="00216226">
        <w:rPr>
          <w:rFonts w:eastAsia="MS Gothic"/>
          <w:noProof/>
          <w:lang w:val="en-US" w:eastAsia="en-US"/>
        </w:rPr>
        <w:drawing>
          <wp:inline distT="0" distB="0" distL="0" distR="0" wp14:anchorId="59786125" wp14:editId="7A33BC21">
            <wp:extent cx="3072130" cy="2863003"/>
            <wp:effectExtent l="0" t="0" r="0" b="0"/>
            <wp:docPr id="8" name="Imagen 8" descr="C:\Users\Usuario\Documents\Clientes\APMG\Focused Countries\Countries\Honduras\H1\Evaluation\Fotos\IMG_0490 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cuments\Clientes\APMG\Focused Countries\Countries\Honduras\H1\Evaluation\Fotos\IMG_0490 bi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4221" cy="2864951"/>
                    </a:xfrm>
                    <a:prstGeom prst="rect">
                      <a:avLst/>
                    </a:prstGeom>
                    <a:noFill/>
                    <a:ln>
                      <a:noFill/>
                    </a:ln>
                  </pic:spPr>
                </pic:pic>
              </a:graphicData>
            </a:graphic>
          </wp:inline>
        </w:drawing>
      </w:r>
    </w:p>
    <w:p w14:paraId="746A8700" w14:textId="3BDC8E35" w:rsidR="00FB3358" w:rsidRPr="00216226" w:rsidRDefault="00997E91" w:rsidP="00FB3358">
      <w:pPr>
        <w:spacing w:after="0"/>
        <w:jc w:val="center"/>
        <w:rPr>
          <w:rFonts w:eastAsia="MS Gothic"/>
          <w:i/>
          <w:sz w:val="20"/>
          <w:szCs w:val="20"/>
          <w:lang w:val="es-ES_tradnl" w:eastAsia="en-US"/>
        </w:rPr>
      </w:pPr>
      <w:r w:rsidRPr="00216226">
        <w:rPr>
          <w:rFonts w:eastAsia="MS Gothic"/>
          <w:i/>
          <w:sz w:val="20"/>
          <w:szCs w:val="20"/>
          <w:lang w:val="es-ES_tradnl" w:eastAsia="en-US"/>
        </w:rPr>
        <w:t>F</w:t>
      </w:r>
      <w:r w:rsidR="00FB3358" w:rsidRPr="00216226">
        <w:rPr>
          <w:rFonts w:eastAsia="MS Gothic"/>
          <w:i/>
          <w:sz w:val="20"/>
          <w:szCs w:val="20"/>
          <w:lang w:val="es-ES_tradnl" w:eastAsia="en-US"/>
        </w:rPr>
        <w:t xml:space="preserve">oto: </w:t>
      </w:r>
      <w:r w:rsidRPr="00216226">
        <w:rPr>
          <w:rFonts w:eastAsia="MS Gothic"/>
          <w:i/>
          <w:sz w:val="20"/>
          <w:szCs w:val="20"/>
          <w:lang w:val="es-ES_tradnl" w:eastAsia="en-US"/>
        </w:rPr>
        <w:t xml:space="preserve">Libro de registro de resultados de laboratorio en </w:t>
      </w:r>
      <w:r w:rsidR="00072F38">
        <w:rPr>
          <w:rFonts w:eastAsia="MS Gothic"/>
          <w:i/>
          <w:sz w:val="20"/>
          <w:szCs w:val="20"/>
          <w:lang w:val="es-ES_tradnl" w:eastAsia="en-US"/>
        </w:rPr>
        <w:t>el</w:t>
      </w:r>
      <w:r w:rsidRPr="00072F38">
        <w:rPr>
          <w:rFonts w:eastAsia="MS Gothic"/>
          <w:i/>
          <w:sz w:val="20"/>
          <w:szCs w:val="20"/>
          <w:lang w:val="es-ES_tradnl" w:eastAsia="en-US"/>
        </w:rPr>
        <w:t xml:space="preserve"> </w:t>
      </w:r>
      <w:r w:rsidR="00FB3358" w:rsidRPr="00072F38">
        <w:rPr>
          <w:rFonts w:eastAsia="MS Gothic"/>
          <w:i/>
          <w:sz w:val="20"/>
          <w:szCs w:val="20"/>
          <w:lang w:val="es-ES_tradnl" w:eastAsia="en-US"/>
        </w:rPr>
        <w:t xml:space="preserve">SAI </w:t>
      </w:r>
      <w:r w:rsidR="00FB3358" w:rsidRPr="00216226">
        <w:rPr>
          <w:rFonts w:eastAsia="MS Gothic"/>
          <w:i/>
          <w:sz w:val="20"/>
          <w:szCs w:val="20"/>
          <w:lang w:val="es-ES_tradnl" w:eastAsia="en-US"/>
        </w:rPr>
        <w:t xml:space="preserve">La Ceiba, Atlántida, Honduras </w:t>
      </w:r>
    </w:p>
    <w:p w14:paraId="35CA1398" w14:textId="48B860A2" w:rsidR="00FB3358" w:rsidRPr="00216226" w:rsidRDefault="00FB3358" w:rsidP="00FB3358">
      <w:pPr>
        <w:spacing w:after="0"/>
        <w:jc w:val="center"/>
        <w:rPr>
          <w:rFonts w:eastAsia="MS Gothic"/>
          <w:i/>
          <w:sz w:val="20"/>
          <w:szCs w:val="20"/>
          <w:lang w:val="es-ES_tradnl" w:eastAsia="en-US"/>
        </w:rPr>
      </w:pPr>
      <w:r w:rsidRPr="00216226">
        <w:rPr>
          <w:rFonts w:eastAsia="MS Gothic"/>
          <w:i/>
          <w:sz w:val="20"/>
          <w:szCs w:val="20"/>
          <w:lang w:val="es-ES_tradnl" w:eastAsia="en-US"/>
        </w:rPr>
        <w:t>(</w:t>
      </w:r>
      <w:r w:rsidR="00997E91" w:rsidRPr="00216226">
        <w:rPr>
          <w:rFonts w:eastAsia="MS Gothic"/>
          <w:i/>
          <w:sz w:val="20"/>
          <w:szCs w:val="20"/>
          <w:lang w:val="es-ES_tradnl" w:eastAsia="en-US"/>
        </w:rPr>
        <w:t>La columna de la izquierda con los nombres de los pacientes ha sido cortada por razones de confidencialidad</w:t>
      </w:r>
      <w:r w:rsidRPr="00216226">
        <w:rPr>
          <w:rFonts w:eastAsia="MS Gothic"/>
          <w:i/>
          <w:sz w:val="20"/>
          <w:szCs w:val="20"/>
          <w:lang w:val="es-ES_tradnl" w:eastAsia="en-US"/>
        </w:rPr>
        <w:t xml:space="preserve">) </w:t>
      </w:r>
    </w:p>
    <w:p w14:paraId="245E8D28" w14:textId="77777777" w:rsidR="00FB3358" w:rsidRPr="00216226" w:rsidRDefault="00FB3358" w:rsidP="00FB3358">
      <w:pPr>
        <w:spacing w:after="0"/>
        <w:jc w:val="center"/>
        <w:rPr>
          <w:rFonts w:eastAsia="MS Gothic"/>
          <w:i/>
          <w:lang w:val="es-ES_tradnl" w:eastAsia="en-US"/>
        </w:rPr>
      </w:pPr>
    </w:p>
    <w:p w14:paraId="5A59F053" w14:textId="405EF569" w:rsidR="00FB3358" w:rsidRPr="00216226" w:rsidRDefault="004B3528" w:rsidP="000A1DD4">
      <w:pPr>
        <w:jc w:val="both"/>
        <w:rPr>
          <w:rFonts w:ascii="Calibri Light" w:eastAsia="MS Gothic" w:hAnsi="Calibri Light"/>
          <w:b/>
          <w:i/>
          <w:lang w:val="es-ES_tradnl" w:eastAsia="en-US"/>
        </w:rPr>
      </w:pPr>
      <w:r w:rsidRPr="000A1DD4">
        <w:rPr>
          <w:rFonts w:eastAsia="MS Gothic"/>
          <w:lang w:val="es-ES_tradnl" w:eastAsia="en-US"/>
        </w:rPr>
        <w:t>Resultados:</w:t>
      </w:r>
      <w:r w:rsidR="00FB3358" w:rsidRPr="000A1DD4">
        <w:rPr>
          <w:rFonts w:ascii="Calibri Light" w:eastAsia="MS Gothic" w:hAnsi="Calibri Light"/>
          <w:i/>
          <w:lang w:val="es-ES_tradnl" w:eastAsia="en-US"/>
        </w:rPr>
        <w:t xml:space="preserve"> </w:t>
      </w:r>
      <w:r w:rsidR="00D42DAF" w:rsidRPr="00216226">
        <w:rPr>
          <w:rFonts w:eastAsia="MS Gothic"/>
          <w:lang w:val="es-ES_tradnl" w:eastAsia="en-US"/>
        </w:rPr>
        <w:t xml:space="preserve">Los sistemas de datos siguen siendo débiles, inconsistentes, fragmentarios e incompletos. La puntualidad de los informes varía de un </w:t>
      </w:r>
      <w:r w:rsidR="00997E91" w:rsidRPr="00216226">
        <w:rPr>
          <w:rFonts w:eastAsia="MS Gothic"/>
          <w:lang w:val="es-ES_tradnl" w:eastAsia="en-US"/>
        </w:rPr>
        <w:t>local</w:t>
      </w:r>
      <w:r w:rsidR="00D42DAF" w:rsidRPr="00216226">
        <w:rPr>
          <w:rFonts w:eastAsia="MS Gothic"/>
          <w:lang w:val="es-ES_tradnl" w:eastAsia="en-US"/>
        </w:rPr>
        <w:t xml:space="preserve"> a otro; s</w:t>
      </w:r>
      <w:r w:rsidR="00665932" w:rsidRPr="00216226">
        <w:rPr>
          <w:rFonts w:eastAsia="MS Gothic"/>
          <w:lang w:val="es-ES_tradnl" w:eastAsia="en-US"/>
        </w:rPr>
        <w:t>ó</w:t>
      </w:r>
      <w:r w:rsidR="00D42DAF" w:rsidRPr="00216226">
        <w:rPr>
          <w:rFonts w:eastAsia="MS Gothic"/>
          <w:lang w:val="es-ES_tradnl" w:eastAsia="en-US"/>
        </w:rPr>
        <w:t xml:space="preserve">lo el 33% de los locales informan en menos de cinco días después del final del mes, según lo exigen las directrices normativas </w:t>
      </w:r>
      <w:r w:rsidR="000A4808" w:rsidRPr="00216226">
        <w:rPr>
          <w:rFonts w:eastAsia="MS Gothic"/>
          <w:lang w:val="es-ES_tradnl" w:eastAsia="en-US"/>
        </w:rPr>
        <w:t>(Visita de campo)</w:t>
      </w:r>
      <w:r w:rsidR="00FB3358" w:rsidRPr="00216226">
        <w:rPr>
          <w:rFonts w:eastAsia="MS Gothic"/>
          <w:lang w:val="es-ES_tradnl" w:eastAsia="en-US"/>
        </w:rPr>
        <w:t xml:space="preserve">. </w:t>
      </w:r>
      <w:r w:rsidR="00665932" w:rsidRPr="00216226">
        <w:rPr>
          <w:rFonts w:eastAsia="MS Gothic"/>
          <w:lang w:val="es-ES_tradnl" w:eastAsia="en-US"/>
        </w:rPr>
        <w:t xml:space="preserve">Se sospecha que la insuficiencia de los informes sigue siendo significativa, pero no se ha realizado una auditoría exhaustiva recientemente para comprender la magnitud del problema </w:t>
      </w:r>
      <w:r w:rsidR="000A4808" w:rsidRPr="00216226">
        <w:rPr>
          <w:rFonts w:eastAsia="MS Gothic"/>
          <w:lang w:val="es-ES_tradnl" w:eastAsia="en-US"/>
        </w:rPr>
        <w:t>(Visita de campo)</w:t>
      </w:r>
      <w:r w:rsidR="00FB3358" w:rsidRPr="00216226">
        <w:rPr>
          <w:rFonts w:eastAsia="MS Gothic"/>
          <w:lang w:val="es-ES_tradnl" w:eastAsia="en-US"/>
        </w:rPr>
        <w:t>.</w:t>
      </w:r>
      <w:r w:rsidR="00680A78" w:rsidRPr="00216226">
        <w:rPr>
          <w:rFonts w:eastAsia="MS Gothic"/>
          <w:lang w:val="es-ES_tradnl" w:eastAsia="en-US"/>
        </w:rPr>
        <w:t xml:space="preserve"> </w:t>
      </w:r>
    </w:p>
    <w:p w14:paraId="47659437" w14:textId="1E1B295D" w:rsidR="00FB3358" w:rsidRPr="00216226" w:rsidRDefault="00665932" w:rsidP="00B032C2">
      <w:pPr>
        <w:jc w:val="both"/>
        <w:rPr>
          <w:rFonts w:eastAsia="MS Gothic"/>
          <w:lang w:val="es-ES_tradnl" w:eastAsia="en-US"/>
        </w:rPr>
      </w:pPr>
      <w:r w:rsidRPr="00216226">
        <w:rPr>
          <w:rFonts w:eastAsia="MS Gothic"/>
          <w:lang w:val="es-ES_tradnl" w:eastAsia="en-US"/>
        </w:rPr>
        <w:t xml:space="preserve">La Tarjeta Nacional de Identidad se utiliza como proxy de la </w:t>
      </w:r>
      <w:r w:rsidRPr="00C033A0">
        <w:rPr>
          <w:rFonts w:eastAsia="MS Gothic"/>
          <w:i/>
          <w:lang w:val="es-ES_tradnl" w:eastAsia="en-US"/>
        </w:rPr>
        <w:t>UIC</w:t>
      </w:r>
      <w:r w:rsidRPr="00216226">
        <w:rPr>
          <w:rFonts w:eastAsia="MS Gothic"/>
          <w:lang w:val="es-ES_tradnl" w:eastAsia="en-US"/>
        </w:rPr>
        <w:t xml:space="preserve">. Sin embargo, un gran número de poblaciones clave (particularmente entre </w:t>
      </w:r>
      <w:r w:rsidR="00997E91" w:rsidRPr="00216226">
        <w:rPr>
          <w:rFonts w:eastAsia="MS Gothic"/>
          <w:lang w:val="es-ES_tradnl" w:eastAsia="en-US"/>
        </w:rPr>
        <w:t xml:space="preserve">trabajadoras sexuales and mujeres </w:t>
      </w:r>
      <w:r w:rsidR="00453B71">
        <w:rPr>
          <w:rFonts w:eastAsia="MS Gothic"/>
          <w:lang w:val="es-ES_tradnl" w:eastAsia="en-US"/>
        </w:rPr>
        <w:t xml:space="preserve">transgénero </w:t>
      </w:r>
      <w:r w:rsidRPr="00216226">
        <w:rPr>
          <w:rFonts w:eastAsia="MS Gothic"/>
          <w:lang w:val="es-ES_tradnl" w:eastAsia="en-US"/>
        </w:rPr>
        <w:t>que son trabajadoras sexuales) no la usan. En tales casos, se asigna un código que combina las iniciales del nombre de usuario, las iniciales del padre y la fecha de nacimiento, basándose en la consistencia de la información proporcionada por el usuario</w:t>
      </w:r>
      <w:r w:rsidR="00FB3358" w:rsidRPr="00216226">
        <w:rPr>
          <w:rFonts w:eastAsia="MS Gothic"/>
          <w:lang w:val="es-ES_tradnl" w:eastAsia="en-US"/>
        </w:rPr>
        <w:t xml:space="preserve">. </w:t>
      </w:r>
      <w:r w:rsidRPr="00216226">
        <w:rPr>
          <w:rFonts w:eastAsia="MS Gothic"/>
          <w:lang w:val="es-ES_tradnl" w:eastAsia="en-US"/>
        </w:rPr>
        <w:t>Dado que las herramientas de recopilación de datos no están interconectadas ni estandarizadas, sólo se puede verificar y eliminar el doble cómputo manualmente después de la recopilación de datos</w:t>
      </w:r>
      <w:r w:rsidR="00FB3358" w:rsidRPr="00216226">
        <w:rPr>
          <w:rFonts w:eastAsia="MS Gothic"/>
          <w:lang w:val="es-ES_tradnl" w:eastAsia="en-US"/>
        </w:rPr>
        <w:t xml:space="preserve"> </w:t>
      </w:r>
      <w:r w:rsidR="000A4808" w:rsidRPr="00216226">
        <w:rPr>
          <w:rFonts w:eastAsia="MS Gothic"/>
          <w:lang w:val="es-ES_tradnl" w:eastAsia="en-US"/>
        </w:rPr>
        <w:t>(Visita de campo)</w:t>
      </w:r>
      <w:r w:rsidR="00FB3358" w:rsidRPr="00216226">
        <w:rPr>
          <w:rFonts w:eastAsia="MS Gothic"/>
          <w:lang w:val="es-ES_tradnl" w:eastAsia="en-US"/>
        </w:rPr>
        <w:t xml:space="preserve">. </w:t>
      </w:r>
    </w:p>
    <w:p w14:paraId="0E58A10A" w14:textId="123F2146" w:rsidR="00FB3358" w:rsidRPr="00216226" w:rsidRDefault="00EE0F21" w:rsidP="00FB3358">
      <w:pPr>
        <w:jc w:val="both"/>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Dominio</w:t>
      </w:r>
      <w:r w:rsidR="00FB3358" w:rsidRPr="00216226">
        <w:rPr>
          <w:rFonts w:ascii="Calibri Light" w:eastAsia="MS Gothic" w:hAnsi="Calibri Light" w:cs="Times New Roman"/>
          <w:b/>
          <w:lang w:val="es-ES_tradnl" w:eastAsia="en-US"/>
        </w:rPr>
        <w:t xml:space="preserve"> 3.3 </w:t>
      </w:r>
      <w:r w:rsidR="00665932" w:rsidRPr="00216226">
        <w:rPr>
          <w:rFonts w:ascii="Calibri Light" w:eastAsia="MS Gothic" w:hAnsi="Calibri Light" w:cs="Times New Roman"/>
          <w:b/>
          <w:lang w:val="es-ES_tradnl" w:eastAsia="en-US"/>
        </w:rPr>
        <w:t xml:space="preserve">Utilización de los datos para impulsar el diseño y la práctica del servicio </w:t>
      </w:r>
    </w:p>
    <w:p w14:paraId="7926B487" w14:textId="69272444" w:rsidR="00FB3358" w:rsidRPr="000A1DD4" w:rsidRDefault="00320DF5" w:rsidP="00FB3358">
      <w:pPr>
        <w:jc w:val="both"/>
        <w:rPr>
          <w:rFonts w:ascii="Calibri Light" w:eastAsia="MS Gothic" w:hAnsi="Calibri Light"/>
          <w:i/>
          <w:lang w:val="es-ES_tradnl" w:eastAsia="en-US"/>
        </w:rPr>
      </w:pPr>
      <w:r w:rsidRPr="000A1DD4">
        <w:rPr>
          <w:rFonts w:eastAsia="MS Gothic"/>
          <w:lang w:val="es-ES_tradnl" w:eastAsia="en-US"/>
        </w:rPr>
        <w:t>Insumos:</w:t>
      </w:r>
      <w:r w:rsidR="00FB3358" w:rsidRPr="000A1DD4">
        <w:rPr>
          <w:rFonts w:ascii="Calibri Light" w:eastAsia="MS Gothic" w:hAnsi="Calibri Light"/>
          <w:i/>
          <w:lang w:val="es-ES_tradnl" w:eastAsia="en-US"/>
        </w:rPr>
        <w:t xml:space="preserve"> </w:t>
      </w:r>
      <w:r w:rsidR="00665932" w:rsidRPr="00216226">
        <w:rPr>
          <w:rFonts w:eastAsia="MS Gothic"/>
          <w:lang w:val="es-ES_tradnl" w:eastAsia="en-US"/>
        </w:rPr>
        <w:t xml:space="preserve">El Fondo Mundial ha estado proporcionando y ofreciendo apoyo al país para mejorar su sistema de información y análisis sobre VIH, como </w:t>
      </w:r>
      <w:r w:rsidR="00997E91" w:rsidRPr="00216226">
        <w:rPr>
          <w:rFonts w:eastAsia="MS Gothic"/>
          <w:lang w:val="es-ES_tradnl" w:eastAsia="en-US"/>
        </w:rPr>
        <w:t xml:space="preserve">también </w:t>
      </w:r>
      <w:r w:rsidR="00665932" w:rsidRPr="00216226">
        <w:rPr>
          <w:rFonts w:eastAsia="MS Gothic"/>
          <w:lang w:val="es-ES_tradnl" w:eastAsia="en-US"/>
        </w:rPr>
        <w:t xml:space="preserve">a servicios como VICITS, de donde se obtuvo información específica y limitada sobre </w:t>
      </w:r>
      <w:r w:rsidR="00460210" w:rsidRPr="00216226">
        <w:rPr>
          <w:rFonts w:eastAsia="MS Gothic"/>
          <w:lang w:val="es-ES_tradnl" w:eastAsia="en-US"/>
        </w:rPr>
        <w:t>HSH</w:t>
      </w:r>
      <w:r w:rsidR="00FB3358" w:rsidRPr="00216226">
        <w:rPr>
          <w:rFonts w:eastAsia="MS Gothic"/>
          <w:lang w:val="es-ES_tradnl" w:eastAsia="en-US"/>
        </w:rPr>
        <w:t xml:space="preserve">, </w:t>
      </w:r>
      <w:r w:rsidR="00997E91" w:rsidRPr="00216226">
        <w:rPr>
          <w:rFonts w:eastAsia="MS Gothic"/>
          <w:lang w:val="es-ES_tradnl" w:eastAsia="en-US"/>
        </w:rPr>
        <w:t xml:space="preserve">trabajadoras sexuales y mujeres </w:t>
      </w:r>
      <w:r w:rsidR="00B4240C" w:rsidRPr="00216226">
        <w:rPr>
          <w:rFonts w:eastAsia="MS Gothic"/>
          <w:lang w:val="es-ES_tradnl" w:eastAsia="en-US"/>
        </w:rPr>
        <w:t>transgénero</w:t>
      </w:r>
      <w:r w:rsidR="00FB3358" w:rsidRPr="00216226">
        <w:rPr>
          <w:rFonts w:eastAsia="MS Gothic"/>
          <w:lang w:val="es-ES_tradnl" w:eastAsia="en-US"/>
        </w:rPr>
        <w:t xml:space="preserve">. </w:t>
      </w:r>
      <w:r w:rsidR="002D2AC7" w:rsidRPr="00216226">
        <w:rPr>
          <w:rFonts w:eastAsia="MS Gothic"/>
          <w:lang w:val="es-ES_tradnl" w:eastAsia="en-US"/>
        </w:rPr>
        <w:t xml:space="preserve">Las subvenciones incluyeron la contratación de asistencia técnica para mejorar la competencia del personal en el uso e interpretación de datos </w:t>
      </w:r>
      <w:r w:rsidR="00FB3358" w:rsidRPr="00216226">
        <w:rPr>
          <w:rFonts w:eastAsia="MS Gothic"/>
          <w:lang w:val="es-ES_tradnl" w:eastAsia="en-US"/>
        </w:rPr>
        <w:t>(</w:t>
      </w:r>
      <w:r w:rsidR="00D44421" w:rsidRPr="00216226">
        <w:rPr>
          <w:rFonts w:eastAsia="MS Gothic"/>
          <w:lang w:val="es-ES_tradnl" w:eastAsia="en-US"/>
        </w:rPr>
        <w:t>MCP</w:t>
      </w:r>
      <w:r w:rsidR="00FB3358" w:rsidRPr="00216226">
        <w:rPr>
          <w:rFonts w:eastAsia="MS Gothic"/>
          <w:lang w:val="es-ES_tradnl" w:eastAsia="en-US"/>
        </w:rPr>
        <w:t xml:space="preserve">, 2015). </w:t>
      </w:r>
      <w:r w:rsidR="002D2AC7" w:rsidRPr="00216226">
        <w:rPr>
          <w:rFonts w:eastAsia="MS Gothic"/>
          <w:lang w:val="es-ES_tradnl" w:eastAsia="en-US"/>
        </w:rPr>
        <w:t>Otros socios para el desarrollo (ONUSIDA</w:t>
      </w:r>
      <w:r w:rsidR="00FB3358" w:rsidRPr="00216226">
        <w:rPr>
          <w:rFonts w:eastAsia="MS Gothic"/>
          <w:lang w:val="es-ES_tradnl" w:eastAsia="en-US"/>
        </w:rPr>
        <w:t xml:space="preserve">, </w:t>
      </w:r>
      <w:r w:rsidR="00FB3358" w:rsidRPr="000A1DD4">
        <w:rPr>
          <w:rFonts w:eastAsia="MS Gothic"/>
          <w:i/>
          <w:lang w:val="es-ES_tradnl" w:eastAsia="en-US"/>
        </w:rPr>
        <w:t>PEPFAR</w:t>
      </w:r>
      <w:r w:rsidR="00FB3358" w:rsidRPr="00216226">
        <w:rPr>
          <w:rFonts w:eastAsia="MS Gothic"/>
          <w:lang w:val="es-ES_tradnl" w:eastAsia="en-US"/>
        </w:rPr>
        <w:t>/</w:t>
      </w:r>
      <w:r w:rsidR="00FB3358" w:rsidRPr="000A1D9C">
        <w:rPr>
          <w:rFonts w:eastAsia="MS Gothic"/>
          <w:i/>
          <w:lang w:val="es-ES_tradnl" w:eastAsia="en-US"/>
        </w:rPr>
        <w:t>CDC</w:t>
      </w:r>
      <w:r w:rsidR="00FB3358" w:rsidRPr="00216226">
        <w:rPr>
          <w:rFonts w:eastAsia="MS Gothic"/>
          <w:lang w:val="es-ES_tradnl" w:eastAsia="en-US"/>
        </w:rPr>
        <w:t>/</w:t>
      </w:r>
      <w:r w:rsidR="00FB3358" w:rsidRPr="000A1D9C">
        <w:rPr>
          <w:rFonts w:eastAsia="MS Gothic"/>
          <w:i/>
          <w:lang w:val="es-ES_tradnl" w:eastAsia="en-US"/>
        </w:rPr>
        <w:t>USAID</w:t>
      </w:r>
      <w:r w:rsidR="00FB3358" w:rsidRPr="00216226">
        <w:rPr>
          <w:rFonts w:eastAsia="MS Gothic"/>
          <w:lang w:val="es-ES_tradnl" w:eastAsia="en-US"/>
        </w:rPr>
        <w:t>,</w:t>
      </w:r>
      <w:r w:rsidR="000A1DD4">
        <w:rPr>
          <w:rFonts w:eastAsia="MS Gothic"/>
          <w:lang w:val="es-ES_tradnl" w:eastAsia="en-US"/>
        </w:rPr>
        <w:t xml:space="preserve"> </w:t>
      </w:r>
      <w:r w:rsidR="00872FAC" w:rsidRPr="00216226">
        <w:rPr>
          <w:rFonts w:eastAsia="MS Gothic"/>
          <w:lang w:val="es-ES_tradnl" w:eastAsia="en-US"/>
        </w:rPr>
        <w:t>OPS</w:t>
      </w:r>
      <w:r w:rsidR="00FB3358" w:rsidRPr="00216226">
        <w:rPr>
          <w:rFonts w:eastAsia="MS Gothic"/>
          <w:lang w:val="es-ES_tradnl" w:eastAsia="en-US"/>
        </w:rPr>
        <w:t xml:space="preserve">) </w:t>
      </w:r>
      <w:r w:rsidR="00997E91" w:rsidRPr="00216226">
        <w:rPr>
          <w:rFonts w:eastAsia="MS Gothic"/>
          <w:lang w:val="es-ES_tradnl" w:eastAsia="en-US"/>
        </w:rPr>
        <w:t xml:space="preserve">también </w:t>
      </w:r>
      <w:r w:rsidR="002D2AC7" w:rsidRPr="00216226">
        <w:rPr>
          <w:rFonts w:eastAsia="MS Gothic"/>
          <w:lang w:val="es-ES_tradnl" w:eastAsia="en-US"/>
        </w:rPr>
        <w:t xml:space="preserve">han contribuido </w:t>
      </w:r>
      <w:r w:rsidR="00997E91" w:rsidRPr="00216226">
        <w:rPr>
          <w:rFonts w:eastAsia="MS Gothic"/>
          <w:lang w:val="es-ES_tradnl" w:eastAsia="en-US"/>
        </w:rPr>
        <w:t>considerablemente</w:t>
      </w:r>
      <w:r w:rsidR="002D2AC7" w:rsidRPr="00216226">
        <w:rPr>
          <w:rFonts w:eastAsia="MS Gothic"/>
          <w:lang w:val="es-ES_tradnl" w:eastAsia="en-US"/>
        </w:rPr>
        <w:t xml:space="preserve"> con la asistencia técnica </w:t>
      </w:r>
      <w:r w:rsidR="002D2AC7" w:rsidRPr="00216226">
        <w:rPr>
          <w:rFonts w:eastAsia="MS Gothic"/>
          <w:lang w:val="es-ES_tradnl" w:eastAsia="en-US"/>
        </w:rPr>
        <w:lastRenderedPageBreak/>
        <w:t>(PENSIDA IV). Las contribuciones del Fondo Mundial han ayudado a diseminar los datos y utilizarlos para actividades de capacitación y sensibilización dirigidas a proveedores de atención sanitaria y otros funcionarios públicos</w:t>
      </w:r>
      <w:r w:rsidR="00FB3358" w:rsidRPr="00216226">
        <w:rPr>
          <w:rFonts w:eastAsia="MS Gothic"/>
          <w:lang w:val="es-ES_tradnl" w:eastAsia="en-US"/>
        </w:rPr>
        <w:t xml:space="preserve">. </w:t>
      </w:r>
    </w:p>
    <w:p w14:paraId="5CE88C36" w14:textId="6BB054B1" w:rsidR="00FB3358" w:rsidRPr="000A1DD4" w:rsidRDefault="00320DF5" w:rsidP="00FB3358">
      <w:pPr>
        <w:jc w:val="both"/>
        <w:rPr>
          <w:rFonts w:eastAsia="MS Gothic"/>
          <w:lang w:val="es-ES_tradnl" w:eastAsia="en-US"/>
        </w:rPr>
      </w:pPr>
      <w:r w:rsidRPr="000A1DD4">
        <w:rPr>
          <w:rFonts w:eastAsia="MS Gothic"/>
          <w:lang w:val="es-ES_tradnl" w:eastAsia="en-US"/>
        </w:rPr>
        <w:t>Productos:</w:t>
      </w:r>
      <w:bookmarkStart w:id="35" w:name="_Hlk8232731"/>
      <w:r w:rsidR="000A1DD4">
        <w:rPr>
          <w:rFonts w:eastAsia="MS Gothic"/>
          <w:lang w:val="es-ES_tradnl" w:eastAsia="en-US"/>
        </w:rPr>
        <w:t xml:space="preserve"> </w:t>
      </w:r>
      <w:r w:rsidR="002D2AC7" w:rsidRPr="00216226">
        <w:rPr>
          <w:rFonts w:eastAsia="MS Gothic"/>
          <w:lang w:val="es-ES_tradnl" w:eastAsia="en-US"/>
        </w:rPr>
        <w:t xml:space="preserve">Se han publicado informes basados en el análisis de datos, siendo los más recientes los perfiles epidemiológicos de los </w:t>
      </w:r>
      <w:r w:rsidR="00CB285B">
        <w:rPr>
          <w:rFonts w:eastAsia="MS Gothic"/>
          <w:lang w:val="es-ES_tradnl" w:eastAsia="en-US"/>
        </w:rPr>
        <w:t>PPL</w:t>
      </w:r>
      <w:r w:rsidR="00FB3358" w:rsidRPr="00216226">
        <w:rPr>
          <w:rFonts w:eastAsia="MS Gothic"/>
          <w:lang w:val="es-ES_tradnl" w:eastAsia="en-US"/>
        </w:rPr>
        <w:t xml:space="preserve"> (SESAL, 2015b) </w:t>
      </w:r>
      <w:r w:rsidR="002D2AC7" w:rsidRPr="00216226">
        <w:rPr>
          <w:rFonts w:eastAsia="MS Gothic"/>
          <w:lang w:val="es-ES_tradnl" w:eastAsia="en-US"/>
        </w:rPr>
        <w:t>y la</w:t>
      </w:r>
      <w:r w:rsidR="00FB3358" w:rsidRPr="00216226">
        <w:rPr>
          <w:rFonts w:eastAsia="MS Gothic"/>
          <w:lang w:val="es-ES_tradnl" w:eastAsia="en-US"/>
        </w:rPr>
        <w:t xml:space="preserve"> </w:t>
      </w:r>
      <w:r w:rsidR="00827BE2" w:rsidRPr="00216226">
        <w:rPr>
          <w:rFonts w:eastAsia="MS Gothic"/>
          <w:lang w:val="es-ES_tradnl" w:eastAsia="en-US"/>
        </w:rPr>
        <w:t xml:space="preserve">población </w:t>
      </w:r>
      <w:r w:rsidR="003C6851">
        <w:rPr>
          <w:rFonts w:eastAsia="MS Gothic"/>
          <w:lang w:val="es-ES_tradnl" w:eastAsia="en-US"/>
        </w:rPr>
        <w:t>Garífuna</w:t>
      </w:r>
      <w:r w:rsidR="00FB3358" w:rsidRPr="00216226">
        <w:rPr>
          <w:rFonts w:eastAsia="MS Gothic"/>
          <w:lang w:val="es-ES_tradnl" w:eastAsia="en-US"/>
        </w:rPr>
        <w:t xml:space="preserve"> (Álvarez-Rodríguez, et al., 2017). </w:t>
      </w:r>
      <w:r w:rsidR="002D2AC7" w:rsidRPr="00216226">
        <w:rPr>
          <w:rFonts w:eastAsia="MS Gothic"/>
          <w:lang w:val="es-ES_tradnl" w:eastAsia="en-US"/>
        </w:rPr>
        <w:t xml:space="preserve">Se publican informes sobre las actividades en VICITS, con el apoyo del Fondo Mundial. Los datos se han utilizado para recomendar e implementar cambios en el modelo de servicio, </w:t>
      </w:r>
      <w:r w:rsidR="00997E91" w:rsidRPr="00216226">
        <w:rPr>
          <w:rFonts w:eastAsia="MS Gothic"/>
          <w:lang w:val="es-ES_tradnl" w:eastAsia="en-US"/>
        </w:rPr>
        <w:t xml:space="preserve">tales </w:t>
      </w:r>
      <w:r w:rsidR="002D2AC7" w:rsidRPr="00216226">
        <w:rPr>
          <w:rFonts w:eastAsia="MS Gothic"/>
          <w:lang w:val="es-ES_tradnl" w:eastAsia="en-US"/>
        </w:rPr>
        <w:t>como priorizar la intervención en los municipios donde se detectó una mayor tasa de positividad (cohorte de VICITS</w:t>
      </w:r>
      <w:r w:rsidR="00FB3358" w:rsidRPr="00216226">
        <w:rPr>
          <w:rFonts w:eastAsia="MS Gothic"/>
          <w:lang w:val="es-ES_tradnl" w:eastAsia="en-US"/>
        </w:rPr>
        <w:t xml:space="preserve">), </w:t>
      </w:r>
      <w:r w:rsidR="002D2AC7" w:rsidRPr="00216226">
        <w:rPr>
          <w:rFonts w:eastAsia="MS Gothic"/>
          <w:lang w:val="es-ES_tradnl" w:eastAsia="en-US"/>
        </w:rPr>
        <w:t xml:space="preserve">notificación para el seguimiento de los socios, capacitación en pruebas de VIH, ampliación de los servicios de pruebas de VIH a otros centros de salud, ampliación de los horarios en servicios sanitarios, unidades móviles para </w:t>
      </w:r>
      <w:r w:rsidR="00997E91" w:rsidRPr="00216226">
        <w:rPr>
          <w:rFonts w:eastAsia="MS Gothic"/>
          <w:lang w:val="es-ES_tradnl" w:eastAsia="en-US"/>
        </w:rPr>
        <w:t xml:space="preserve">trabajadoras sexuales, y capacitación </w:t>
      </w:r>
      <w:r w:rsidR="002D2AC7" w:rsidRPr="00216226">
        <w:rPr>
          <w:rFonts w:eastAsia="MS Gothic"/>
          <w:lang w:val="es-ES_tradnl" w:eastAsia="en-US"/>
        </w:rPr>
        <w:t xml:space="preserve">y sensibilización para trabajadores sanitarios favorables a las </w:t>
      </w:r>
      <w:r w:rsidR="0097517B" w:rsidRPr="00216226">
        <w:rPr>
          <w:rFonts w:eastAsia="MS Gothic"/>
          <w:lang w:val="es-ES_tradnl" w:eastAsia="en-US"/>
        </w:rPr>
        <w:t>poblaciones clave</w:t>
      </w:r>
      <w:r w:rsidR="00FB3358" w:rsidRPr="00216226">
        <w:rPr>
          <w:rFonts w:eastAsia="MS Gothic"/>
          <w:lang w:val="es-ES_tradnl" w:eastAsia="en-US"/>
        </w:rPr>
        <w:t xml:space="preserve"> (</w:t>
      </w:r>
      <w:r w:rsidR="00D44421" w:rsidRPr="00216226">
        <w:rPr>
          <w:rFonts w:eastAsia="MS Gothic"/>
          <w:lang w:val="es-ES_tradnl" w:eastAsia="en-US"/>
        </w:rPr>
        <w:t>MCP</w:t>
      </w:r>
      <w:r w:rsidR="00FB3358" w:rsidRPr="00216226">
        <w:rPr>
          <w:rFonts w:eastAsia="MS Gothic"/>
          <w:lang w:val="es-ES_tradnl" w:eastAsia="en-US"/>
        </w:rPr>
        <w:t xml:space="preserve">, 2018). </w:t>
      </w:r>
      <w:r w:rsidR="002D2AC7" w:rsidRPr="00216226">
        <w:rPr>
          <w:rFonts w:eastAsia="MS Gothic"/>
          <w:lang w:val="es-ES_tradnl" w:eastAsia="en-US"/>
        </w:rPr>
        <w:t xml:space="preserve">Sin embargo, los datos sobre las tasas de positividad no se han utilizado para priorizar los modelos de servicio de </w:t>
      </w:r>
      <w:r w:rsidR="002D2AC7" w:rsidRPr="00943294">
        <w:rPr>
          <w:rFonts w:eastAsia="MS Gothic"/>
          <w:i/>
          <w:lang w:val="es-ES_tradnl" w:eastAsia="en-US"/>
        </w:rPr>
        <w:t>HTC</w:t>
      </w:r>
      <w:r w:rsidR="002D2AC7" w:rsidRPr="00216226">
        <w:rPr>
          <w:rFonts w:eastAsia="MS Gothic"/>
          <w:lang w:val="es-ES_tradnl" w:eastAsia="en-US"/>
        </w:rPr>
        <w:t xml:space="preserve"> que han demostrado ser más efectivos en la identificación de nuevos casos </w:t>
      </w:r>
      <w:r w:rsidR="00997E91" w:rsidRPr="00216226">
        <w:rPr>
          <w:rFonts w:eastAsia="MS Gothic"/>
          <w:lang w:val="es-ES_tradnl" w:eastAsia="en-US"/>
        </w:rPr>
        <w:t>seropositivos</w:t>
      </w:r>
      <w:r w:rsidR="00FB3358" w:rsidRPr="00216226">
        <w:rPr>
          <w:rFonts w:eastAsia="MS Gothic"/>
          <w:lang w:val="es-ES_tradnl" w:eastAsia="en-US"/>
        </w:rPr>
        <w:t xml:space="preserve"> </w:t>
      </w:r>
      <w:r w:rsidR="000A4808" w:rsidRPr="00216226">
        <w:rPr>
          <w:rFonts w:eastAsia="MS Gothic"/>
          <w:lang w:val="es-ES_tradnl" w:eastAsia="en-US"/>
        </w:rPr>
        <w:t>(Visita de campo</w:t>
      </w:r>
      <w:bookmarkEnd w:id="35"/>
      <w:r w:rsidR="000A4808" w:rsidRPr="00216226">
        <w:rPr>
          <w:rFonts w:eastAsia="MS Gothic"/>
          <w:lang w:val="es-ES_tradnl" w:eastAsia="en-US"/>
        </w:rPr>
        <w:t>)</w:t>
      </w:r>
      <w:r w:rsidR="00FB3358" w:rsidRPr="00216226">
        <w:rPr>
          <w:rFonts w:eastAsia="MS Gothic"/>
          <w:lang w:val="es-ES_tradnl" w:eastAsia="en-US"/>
        </w:rPr>
        <w:t>.</w:t>
      </w:r>
    </w:p>
    <w:p w14:paraId="6057E67B" w14:textId="35968AC9" w:rsidR="00FB3358" w:rsidRPr="000A1DD4" w:rsidRDefault="004B3528" w:rsidP="00FB3358">
      <w:pPr>
        <w:jc w:val="both"/>
        <w:rPr>
          <w:rFonts w:ascii="Calibri Light" w:eastAsia="MS Gothic" w:hAnsi="Calibri Light"/>
          <w:i/>
          <w:lang w:val="es-ES_tradnl" w:eastAsia="en-US"/>
        </w:rPr>
      </w:pPr>
      <w:r w:rsidRPr="000A1DD4">
        <w:rPr>
          <w:rFonts w:eastAsia="MS Gothic"/>
          <w:lang w:val="es-ES_tradnl" w:eastAsia="en-US"/>
        </w:rPr>
        <w:t>Resultados:</w:t>
      </w:r>
      <w:r w:rsidR="00FB3358" w:rsidRPr="000A1DD4">
        <w:rPr>
          <w:rFonts w:ascii="Calibri Light" w:eastAsia="MS Gothic" w:hAnsi="Calibri Light"/>
          <w:i/>
          <w:lang w:val="es-ES_tradnl" w:eastAsia="en-US"/>
        </w:rPr>
        <w:t xml:space="preserve"> </w:t>
      </w:r>
      <w:bookmarkStart w:id="36" w:name="_Hlk8232747"/>
      <w:r w:rsidR="002D2AC7" w:rsidRPr="00216226">
        <w:rPr>
          <w:rFonts w:eastAsia="MS Gothic"/>
          <w:lang w:val="es-ES_tradnl" w:eastAsia="en-US"/>
        </w:rPr>
        <w:t xml:space="preserve">Incluso si las tasas de cobertura del servicio en función de los objetivos nacionales varían según las poblaciones clave, los datos del último </w:t>
      </w:r>
      <w:r w:rsidR="002D2AC7" w:rsidRPr="001C51BB">
        <w:rPr>
          <w:rFonts w:eastAsia="MS Gothic"/>
          <w:i/>
          <w:lang w:val="es-ES_tradnl" w:eastAsia="en-US"/>
        </w:rPr>
        <w:t>PUDR</w:t>
      </w:r>
      <w:r w:rsidR="002D2AC7" w:rsidRPr="00216226">
        <w:rPr>
          <w:rFonts w:eastAsia="MS Gothic"/>
          <w:lang w:val="es-ES_tradnl" w:eastAsia="en-US"/>
        </w:rPr>
        <w:t xml:space="preserve"> disponible (con fecha del 31 de diciembre de 2017) indican que el Fondo Mundial ha contribuido de manera crucial a un mayor acceso a los servicios por parte de todas las poblaciones clave </w:t>
      </w:r>
      <w:r w:rsidR="00FB3358" w:rsidRPr="00216226">
        <w:rPr>
          <w:rFonts w:eastAsia="MS Gothic"/>
          <w:lang w:val="es-ES_tradnl" w:eastAsia="en-US"/>
        </w:rPr>
        <w:t>(</w:t>
      </w:r>
      <w:r w:rsidR="00460210" w:rsidRPr="00216226">
        <w:rPr>
          <w:rFonts w:eastAsia="MS Gothic"/>
          <w:lang w:val="es-ES_tradnl" w:eastAsia="en-US"/>
        </w:rPr>
        <w:t>HSH</w:t>
      </w:r>
      <w:r w:rsidR="00FB3358" w:rsidRPr="00216226">
        <w:rPr>
          <w:rFonts w:eastAsia="MS Gothic"/>
          <w:lang w:val="es-ES_tradnl" w:eastAsia="en-US"/>
        </w:rPr>
        <w:t xml:space="preserve">, </w:t>
      </w:r>
      <w:r w:rsidR="00997E91" w:rsidRPr="00216226">
        <w:rPr>
          <w:rFonts w:eastAsia="MS Gothic"/>
          <w:lang w:val="es-ES_tradnl" w:eastAsia="en-US"/>
        </w:rPr>
        <w:t>trabajadora</w:t>
      </w:r>
      <w:r w:rsidR="00453B71">
        <w:rPr>
          <w:rFonts w:eastAsia="MS Gothic"/>
          <w:lang w:val="es-ES_tradnl" w:eastAsia="en-US"/>
        </w:rPr>
        <w:t>s sexuales, mujeres transgénero</w:t>
      </w:r>
      <w:r w:rsidR="00FB3358" w:rsidRPr="00216226">
        <w:rPr>
          <w:rFonts w:eastAsia="MS Gothic"/>
          <w:lang w:val="es-ES_tradnl" w:eastAsia="en-US"/>
        </w:rPr>
        <w:t xml:space="preserve">, </w:t>
      </w:r>
      <w:r w:rsidR="00CB285B">
        <w:rPr>
          <w:rFonts w:eastAsia="MS Gothic"/>
          <w:lang w:val="es-ES_tradnl" w:eastAsia="en-US"/>
        </w:rPr>
        <w:t>PPL</w:t>
      </w:r>
      <w:r w:rsidR="00FB3358" w:rsidRPr="00216226">
        <w:rPr>
          <w:rFonts w:eastAsia="MS Gothic"/>
          <w:lang w:val="es-ES_tradnl" w:eastAsia="en-US"/>
        </w:rPr>
        <w:t xml:space="preserve">, </w:t>
      </w:r>
      <w:r w:rsidR="00827BE2" w:rsidRPr="00216226">
        <w:rPr>
          <w:rFonts w:eastAsia="MS Gothic"/>
          <w:lang w:val="es-ES_tradnl" w:eastAsia="en-US"/>
        </w:rPr>
        <w:t xml:space="preserve">población </w:t>
      </w:r>
      <w:r w:rsidR="003C6851">
        <w:rPr>
          <w:rFonts w:eastAsia="MS Gothic"/>
          <w:lang w:val="es-ES_tradnl" w:eastAsia="en-US"/>
        </w:rPr>
        <w:t>Garífuna</w:t>
      </w:r>
      <w:r w:rsidR="00FB3358" w:rsidRPr="00216226">
        <w:rPr>
          <w:rFonts w:eastAsia="MS Gothic"/>
          <w:lang w:val="es-ES_tradnl" w:eastAsia="en-US"/>
        </w:rPr>
        <w:t xml:space="preserve">). </w:t>
      </w:r>
      <w:r w:rsidR="00C35668" w:rsidRPr="00216226">
        <w:rPr>
          <w:rFonts w:eastAsia="MS Gothic"/>
          <w:lang w:val="es-ES_tradnl" w:eastAsia="en-US"/>
        </w:rPr>
        <w:t>Estos esfuerzos están siendo apoyados por la subvención actual en proporciones que varían de</w:t>
      </w:r>
      <w:r w:rsidR="00FB3358" w:rsidRPr="00216226">
        <w:rPr>
          <w:rFonts w:eastAsia="MS Gothic"/>
          <w:lang w:val="es-ES_tradnl" w:eastAsia="en-US"/>
        </w:rPr>
        <w:t xml:space="preserve"> 57.30% (</w:t>
      </w:r>
      <w:r w:rsidR="00997E91" w:rsidRPr="00216226">
        <w:rPr>
          <w:rFonts w:eastAsia="MS Gothic"/>
          <w:lang w:val="es-ES_tradnl" w:eastAsia="en-US"/>
        </w:rPr>
        <w:t>trabajadoras sexuales</w:t>
      </w:r>
      <w:r w:rsidR="00FB3358" w:rsidRPr="00216226">
        <w:rPr>
          <w:rFonts w:eastAsia="MS Gothic"/>
          <w:lang w:val="es-ES_tradnl" w:eastAsia="en-US"/>
        </w:rPr>
        <w:t xml:space="preserve">) </w:t>
      </w:r>
      <w:r w:rsidR="00C35668" w:rsidRPr="00216226">
        <w:rPr>
          <w:rFonts w:eastAsia="MS Gothic"/>
          <w:lang w:val="es-ES_tradnl" w:eastAsia="en-US"/>
        </w:rPr>
        <w:t>a</w:t>
      </w:r>
      <w:r w:rsidR="00FB3358" w:rsidRPr="00216226">
        <w:rPr>
          <w:rFonts w:eastAsia="MS Gothic"/>
          <w:lang w:val="es-ES_tradnl" w:eastAsia="en-US"/>
        </w:rPr>
        <w:t xml:space="preserve"> 100% (</w:t>
      </w:r>
      <w:r w:rsidR="00CB285B">
        <w:rPr>
          <w:rFonts w:eastAsia="MS Gothic"/>
          <w:lang w:val="es-ES_tradnl" w:eastAsia="en-US"/>
        </w:rPr>
        <w:t>PPL</w:t>
      </w:r>
      <w:r w:rsidR="00FB3358" w:rsidRPr="00216226">
        <w:rPr>
          <w:rFonts w:eastAsia="MS Gothic"/>
          <w:lang w:val="es-ES_tradnl" w:eastAsia="en-US"/>
        </w:rPr>
        <w:t>) (</w:t>
      </w:r>
      <w:r w:rsidR="00C35668" w:rsidRPr="00216226">
        <w:rPr>
          <w:rFonts w:eastAsia="MS Gothic"/>
          <w:lang w:val="es-ES_tradnl" w:eastAsia="en-US"/>
        </w:rPr>
        <w:t>ver</w:t>
      </w:r>
      <w:r w:rsidR="00FB3358" w:rsidRPr="00216226">
        <w:rPr>
          <w:rFonts w:eastAsia="MS Gothic"/>
          <w:lang w:val="es-ES_tradnl" w:eastAsia="en-US"/>
        </w:rPr>
        <w:t xml:space="preserve"> Tabl</w:t>
      </w:r>
      <w:r w:rsidR="00C35668" w:rsidRPr="00216226">
        <w:rPr>
          <w:rFonts w:eastAsia="MS Gothic"/>
          <w:lang w:val="es-ES_tradnl" w:eastAsia="en-US"/>
        </w:rPr>
        <w:t>a</w:t>
      </w:r>
      <w:r w:rsidR="00FB3358" w:rsidRPr="00216226">
        <w:rPr>
          <w:rFonts w:eastAsia="MS Gothic"/>
          <w:lang w:val="es-ES_tradnl" w:eastAsia="en-US"/>
        </w:rPr>
        <w:t xml:space="preserve"> </w:t>
      </w:r>
      <w:bookmarkEnd w:id="36"/>
      <w:r w:rsidR="001B2A25">
        <w:rPr>
          <w:rFonts w:eastAsia="MS Gothic"/>
          <w:lang w:val="es-ES_tradnl" w:eastAsia="en-US"/>
        </w:rPr>
        <w:t>4</w:t>
      </w:r>
      <w:r w:rsidR="00FB3358" w:rsidRPr="00216226">
        <w:rPr>
          <w:rFonts w:eastAsia="MS Gothic"/>
          <w:lang w:val="es-ES_tradnl" w:eastAsia="en-US"/>
        </w:rPr>
        <w:t>).</w:t>
      </w:r>
      <w:r w:rsidR="00FD09A9" w:rsidRPr="00216226">
        <w:rPr>
          <w:lang w:val="es-ES_tradnl"/>
        </w:rPr>
        <w:t xml:space="preserve"> </w:t>
      </w:r>
    </w:p>
    <w:p w14:paraId="2731E7FC" w14:textId="3D1F6620" w:rsidR="00FB3358" w:rsidRPr="00216226" w:rsidRDefault="00BC77EA" w:rsidP="00FB3358">
      <w:pPr>
        <w:jc w:val="both"/>
        <w:rPr>
          <w:rFonts w:eastAsia="MS Gothic"/>
          <w:lang w:val="es-ES_tradnl" w:eastAsia="en-US"/>
        </w:rPr>
      </w:pPr>
      <w:r w:rsidRPr="00216226">
        <w:rPr>
          <w:rFonts w:eastAsia="MS Gothic"/>
          <w:lang w:val="es-ES_tradnl" w:eastAsia="en-US"/>
        </w:rPr>
        <w:t>Sin embargo, las deficiencias del sistema de información sobre el VIH no permiten la correlación de un mayor acceso con ninguno de los siguientes aspectos</w:t>
      </w:r>
      <w:r w:rsidR="00FB3358" w:rsidRPr="00216226">
        <w:rPr>
          <w:rFonts w:eastAsia="MS Gothic"/>
          <w:lang w:val="es-ES_tradnl" w:eastAsia="en-US"/>
        </w:rPr>
        <w:t>:</w:t>
      </w:r>
      <w:r w:rsidR="00FD09A9" w:rsidRPr="00216226">
        <w:rPr>
          <w:lang w:val="es-ES_tradnl"/>
        </w:rPr>
        <w:t xml:space="preserve"> </w:t>
      </w:r>
    </w:p>
    <w:p w14:paraId="409D6638" w14:textId="26E0908B" w:rsidR="00FB3358" w:rsidRPr="00216226" w:rsidRDefault="00FA4D00" w:rsidP="00FB3358">
      <w:pPr>
        <w:numPr>
          <w:ilvl w:val="0"/>
          <w:numId w:val="18"/>
        </w:numPr>
        <w:contextualSpacing/>
        <w:jc w:val="both"/>
        <w:rPr>
          <w:rFonts w:eastAsia="MS Gothic"/>
          <w:lang w:val="es-ES_tradnl" w:eastAsia="en-US"/>
        </w:rPr>
      </w:pPr>
      <w:r w:rsidRPr="00216226">
        <w:rPr>
          <w:rFonts w:eastAsia="MS Gothic"/>
          <w:lang w:val="es-ES_tradnl" w:eastAsia="en-US"/>
        </w:rPr>
        <w:t xml:space="preserve">Mejor acercamiento a las poblaciones más difíciles de alcanzar; los porcentajes de acercamiento frente a los </w:t>
      </w:r>
      <w:r w:rsidRPr="001C51BB">
        <w:rPr>
          <w:rFonts w:eastAsia="MS Gothic"/>
          <w:i/>
          <w:lang w:val="es-ES_tradnl" w:eastAsia="en-US"/>
        </w:rPr>
        <w:t>PSE</w:t>
      </w:r>
      <w:r w:rsidRPr="00216226">
        <w:rPr>
          <w:rFonts w:eastAsia="MS Gothic"/>
          <w:lang w:val="es-ES_tradnl" w:eastAsia="en-US"/>
        </w:rPr>
        <w:t xml:space="preserve"> aún son modestos, lo cual sugiere que las personas a las que se alcanza son más accesibles</w:t>
      </w:r>
      <w:r w:rsidR="000A1DD4">
        <w:rPr>
          <w:rFonts w:eastAsia="MS Gothic"/>
          <w:lang w:val="es-ES_tradnl" w:eastAsia="en-US"/>
        </w:rPr>
        <w:t>; y</w:t>
      </w:r>
    </w:p>
    <w:p w14:paraId="71674A9B" w14:textId="65609C23" w:rsidR="00FB3358" w:rsidRPr="00216226" w:rsidRDefault="00FA4D00" w:rsidP="00FB3358">
      <w:pPr>
        <w:numPr>
          <w:ilvl w:val="0"/>
          <w:numId w:val="18"/>
        </w:numPr>
        <w:contextualSpacing/>
        <w:jc w:val="both"/>
        <w:rPr>
          <w:rFonts w:eastAsia="MS Gothic"/>
          <w:lang w:val="es-ES_tradnl" w:eastAsia="en-US"/>
        </w:rPr>
      </w:pPr>
      <w:r w:rsidRPr="00216226">
        <w:rPr>
          <w:rFonts w:eastAsia="MS Gothic"/>
          <w:lang w:val="es-ES_tradnl" w:eastAsia="en-US"/>
        </w:rPr>
        <w:t>Disminución de las tasas de pérdida durante el seguimiento o aumento de la adherencia al tratamiento y la supresión viral a lo largo del tiempo; no hay datos sobre qué cantidad de PVVIH vinculadas a la atención o con carga viral suprimida p</w:t>
      </w:r>
      <w:r w:rsidR="000A1DD4">
        <w:rPr>
          <w:rFonts w:eastAsia="MS Gothic"/>
          <w:lang w:val="es-ES_tradnl" w:eastAsia="en-US"/>
        </w:rPr>
        <w:t>ertenecen a qué población clave.</w:t>
      </w:r>
    </w:p>
    <w:p w14:paraId="4E1783F7" w14:textId="77777777" w:rsidR="00FC1736" w:rsidRPr="00216226" w:rsidRDefault="00FC1736" w:rsidP="00FC1736">
      <w:pPr>
        <w:ind w:left="360"/>
        <w:contextualSpacing/>
        <w:jc w:val="both"/>
        <w:rPr>
          <w:rFonts w:eastAsia="MS Gothic"/>
          <w:lang w:val="es-ES_tradnl" w:eastAsia="en-US"/>
        </w:rPr>
      </w:pPr>
    </w:p>
    <w:p w14:paraId="17F2F772" w14:textId="42135B4A" w:rsidR="000A1DD4" w:rsidRPr="000A1DD4" w:rsidRDefault="005F63B6" w:rsidP="000A1DD4">
      <w:pPr>
        <w:jc w:val="center"/>
        <w:rPr>
          <w:i/>
          <w:lang w:val="es-ES_tradnl"/>
        </w:rPr>
      </w:pPr>
      <w:r w:rsidRPr="000A1DD4">
        <w:rPr>
          <w:i/>
          <w:lang w:val="es-ES_tradnl"/>
        </w:rPr>
        <w:t xml:space="preserve"> </w:t>
      </w:r>
      <w:r w:rsidR="000A1DD4" w:rsidRPr="000A1DD4">
        <w:rPr>
          <w:i/>
          <w:lang w:val="es-ES_tradnl"/>
        </w:rPr>
        <w:t xml:space="preserve">“El país tiene una enorme tarea por delante para implementar el SIIS en relación con el VIH. Es poco probable que existan las capacidades adecuadas para hacerlo, y el plazo establecido es claramente demasiado ambicioso, por no decir simplemente irreal.” – </w:t>
      </w:r>
      <w:r w:rsidR="000A1DD4">
        <w:rPr>
          <w:i/>
          <w:lang w:val="es-ES_tradnl"/>
        </w:rPr>
        <w:t>R</w:t>
      </w:r>
      <w:r w:rsidR="000A1DD4" w:rsidRPr="000A1DD4">
        <w:rPr>
          <w:i/>
          <w:lang w:val="es-ES_tradnl"/>
        </w:rPr>
        <w:t>epresentante de socio para el desarrollo</w:t>
      </w:r>
    </w:p>
    <w:p w14:paraId="36820EB6" w14:textId="063A08E5" w:rsidR="00FB3358" w:rsidRPr="00216226" w:rsidRDefault="00FB3358" w:rsidP="00FB3358">
      <w:pPr>
        <w:spacing w:before="240"/>
        <w:jc w:val="both"/>
        <w:rPr>
          <w:rFonts w:ascii="Calibri Light" w:eastAsia="MS Gothic" w:hAnsi="Calibri Light"/>
          <w:b/>
          <w:i/>
          <w:lang w:val="es-ES_tradnl" w:eastAsia="en-US"/>
        </w:rPr>
      </w:pPr>
    </w:p>
    <w:p w14:paraId="00F649AA" w14:textId="4E881C33" w:rsidR="002C2B32" w:rsidRPr="00216226" w:rsidRDefault="002C2B32" w:rsidP="00FC1736">
      <w:pPr>
        <w:rPr>
          <w:b/>
          <w:color w:val="4472C4"/>
          <w:sz w:val="26"/>
          <w:szCs w:val="26"/>
          <w:lang w:val="es-ES_tradnl"/>
        </w:rPr>
        <w:sectPr w:rsidR="002C2B32" w:rsidRPr="00216226" w:rsidSect="00E12234">
          <w:pgSz w:w="11906" w:h="16838"/>
          <w:pgMar w:top="1440" w:right="1440" w:bottom="1440" w:left="1440" w:header="706" w:footer="706" w:gutter="0"/>
          <w:cols w:space="720"/>
          <w:docGrid w:linePitch="299"/>
        </w:sectPr>
      </w:pPr>
    </w:p>
    <w:p w14:paraId="43E77643" w14:textId="0CFACFDB" w:rsidR="00F061A0" w:rsidRPr="00C033A0" w:rsidRDefault="00A61B0A">
      <w:pPr>
        <w:pStyle w:val="Heading2"/>
        <w:rPr>
          <w:lang w:val="es-US"/>
        </w:rPr>
      </w:pPr>
      <w:r w:rsidRPr="00216226">
        <w:rPr>
          <w:lang w:val="es-ES_tradnl"/>
        </w:rPr>
        <w:lastRenderedPageBreak/>
        <w:t>Tablero de mando de los Indicadores Clave</w:t>
      </w:r>
      <w:r w:rsidR="000C0F5B" w:rsidRPr="00216226">
        <w:rPr>
          <w:lang w:val="es-ES_tradnl"/>
        </w:rPr>
        <w:t xml:space="preserve">: </w:t>
      </w:r>
      <w:r w:rsidR="003E78F0" w:rsidRPr="00216226">
        <w:rPr>
          <w:lang w:val="es-ES_tradnl"/>
        </w:rPr>
        <w:t>Objetivo</w:t>
      </w:r>
      <w:r w:rsidR="000C0F5B" w:rsidRPr="00216226">
        <w:rPr>
          <w:lang w:val="es-ES_tradnl"/>
        </w:rPr>
        <w:t xml:space="preserve"> 3</w:t>
      </w:r>
      <w:r w:rsidR="00147761">
        <w:rPr>
          <w:rStyle w:val="FootnoteReference"/>
        </w:rPr>
        <w:footnoteReference w:id="10"/>
      </w:r>
    </w:p>
    <w:tbl>
      <w:tblPr>
        <w:tblStyle w:val="a3"/>
        <w:tblW w:w="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086"/>
      </w:tblGrid>
      <w:tr w:rsidR="002C2B32" w:rsidRPr="009A4A93" w14:paraId="4E6C2EB9" w14:textId="77777777" w:rsidTr="007927C3">
        <w:trPr>
          <w:trHeight w:val="60"/>
        </w:trPr>
        <w:tc>
          <w:tcPr>
            <w:tcW w:w="4891" w:type="dxa"/>
            <w:gridSpan w:val="2"/>
            <w:shd w:val="clear" w:color="auto" w:fill="F2F2F2"/>
            <w:vAlign w:val="center"/>
          </w:tcPr>
          <w:p w14:paraId="32A065BF" w14:textId="63FEBF4E" w:rsidR="002C2B32" w:rsidRPr="00216226" w:rsidRDefault="00A61B0A" w:rsidP="007927C3">
            <w:pPr>
              <w:spacing w:after="0" w:line="240" w:lineRule="auto"/>
              <w:rPr>
                <w:b/>
                <w:color w:val="808080"/>
                <w:sz w:val="20"/>
                <w:szCs w:val="20"/>
                <w:lang w:val="es-ES_tradnl"/>
              </w:rPr>
            </w:pPr>
            <w:r w:rsidRPr="00216226">
              <w:rPr>
                <w:b/>
                <w:sz w:val="20"/>
                <w:szCs w:val="20"/>
                <w:lang w:val="es-ES_tradnl"/>
              </w:rPr>
              <w:t>Claves del Tablero de mando</w:t>
            </w:r>
          </w:p>
        </w:tc>
      </w:tr>
      <w:tr w:rsidR="002C2B32" w:rsidRPr="00216226" w14:paraId="2AF82AE7" w14:textId="77777777" w:rsidTr="007927C3">
        <w:trPr>
          <w:trHeight w:val="280"/>
        </w:trPr>
        <w:tc>
          <w:tcPr>
            <w:tcW w:w="805" w:type="dxa"/>
            <w:shd w:val="clear" w:color="auto" w:fill="C00000"/>
          </w:tcPr>
          <w:p w14:paraId="27493CFC" w14:textId="77777777" w:rsidR="002C2B32" w:rsidRPr="00216226" w:rsidRDefault="002C2B32" w:rsidP="007927C3">
            <w:pPr>
              <w:spacing w:after="0" w:line="240" w:lineRule="auto"/>
              <w:rPr>
                <w:b/>
                <w:color w:val="000000" w:themeColor="text1"/>
                <w:sz w:val="20"/>
                <w:szCs w:val="20"/>
                <w:lang w:val="es-ES_tradnl"/>
              </w:rPr>
            </w:pPr>
            <w:r w:rsidRPr="00216226">
              <w:rPr>
                <w:b/>
                <w:color w:val="000000" w:themeColor="text1"/>
                <w:sz w:val="20"/>
                <w:szCs w:val="20"/>
                <w:lang w:val="es-ES_tradnl"/>
              </w:rPr>
              <w:t>1</w:t>
            </w:r>
          </w:p>
        </w:tc>
        <w:tc>
          <w:tcPr>
            <w:tcW w:w="4086" w:type="dxa"/>
          </w:tcPr>
          <w:p w14:paraId="3FB557DA" w14:textId="70A0FE6A" w:rsidR="002C2B32" w:rsidRPr="00216226" w:rsidRDefault="00A61B0A" w:rsidP="007927C3">
            <w:pPr>
              <w:spacing w:after="0" w:line="240" w:lineRule="auto"/>
              <w:rPr>
                <w:sz w:val="20"/>
                <w:szCs w:val="20"/>
                <w:lang w:val="es-ES_tradnl"/>
              </w:rPr>
            </w:pPr>
            <w:r w:rsidRPr="00216226">
              <w:rPr>
                <w:sz w:val="20"/>
                <w:szCs w:val="20"/>
                <w:lang w:val="es-ES_tradnl"/>
              </w:rPr>
              <w:t>Muy bajo</w:t>
            </w:r>
          </w:p>
        </w:tc>
      </w:tr>
      <w:tr w:rsidR="002C2B32" w:rsidRPr="00216226" w14:paraId="37B1512E" w14:textId="77777777" w:rsidTr="007927C3">
        <w:trPr>
          <w:trHeight w:val="60"/>
        </w:trPr>
        <w:tc>
          <w:tcPr>
            <w:tcW w:w="805" w:type="dxa"/>
            <w:shd w:val="clear" w:color="auto" w:fill="FF9300"/>
          </w:tcPr>
          <w:p w14:paraId="0D929831" w14:textId="77777777" w:rsidR="002C2B32" w:rsidRPr="00216226" w:rsidRDefault="002C2B32" w:rsidP="007927C3">
            <w:pPr>
              <w:spacing w:after="0" w:line="240" w:lineRule="auto"/>
              <w:rPr>
                <w:b/>
                <w:sz w:val="20"/>
                <w:szCs w:val="20"/>
                <w:lang w:val="es-ES_tradnl"/>
              </w:rPr>
            </w:pPr>
            <w:r w:rsidRPr="00216226">
              <w:rPr>
                <w:b/>
                <w:sz w:val="20"/>
                <w:szCs w:val="20"/>
                <w:lang w:val="es-ES_tradnl"/>
              </w:rPr>
              <w:t>2</w:t>
            </w:r>
          </w:p>
        </w:tc>
        <w:tc>
          <w:tcPr>
            <w:tcW w:w="4086" w:type="dxa"/>
          </w:tcPr>
          <w:p w14:paraId="4BE55316" w14:textId="0188B0EF" w:rsidR="002C2B32" w:rsidRPr="00216226" w:rsidRDefault="00A61B0A" w:rsidP="007927C3">
            <w:pPr>
              <w:spacing w:after="0" w:line="240" w:lineRule="auto"/>
              <w:rPr>
                <w:sz w:val="20"/>
                <w:szCs w:val="20"/>
                <w:lang w:val="es-ES_tradnl"/>
              </w:rPr>
            </w:pPr>
            <w:r w:rsidRPr="00216226">
              <w:rPr>
                <w:sz w:val="20"/>
                <w:szCs w:val="20"/>
                <w:lang w:val="es-ES_tradnl"/>
              </w:rPr>
              <w:t>Bajo</w:t>
            </w:r>
          </w:p>
        </w:tc>
      </w:tr>
      <w:tr w:rsidR="002C2B32" w:rsidRPr="00216226" w14:paraId="7F834F84" w14:textId="77777777" w:rsidTr="007927C3">
        <w:trPr>
          <w:trHeight w:val="60"/>
        </w:trPr>
        <w:tc>
          <w:tcPr>
            <w:tcW w:w="805" w:type="dxa"/>
            <w:shd w:val="clear" w:color="auto" w:fill="FFD965"/>
          </w:tcPr>
          <w:p w14:paraId="2884118D" w14:textId="77777777" w:rsidR="002C2B32" w:rsidRPr="00216226" w:rsidRDefault="002C2B32" w:rsidP="007927C3">
            <w:pPr>
              <w:spacing w:after="0" w:line="240" w:lineRule="auto"/>
              <w:rPr>
                <w:b/>
                <w:sz w:val="20"/>
                <w:szCs w:val="20"/>
                <w:lang w:val="es-ES_tradnl"/>
              </w:rPr>
            </w:pPr>
            <w:r w:rsidRPr="00216226">
              <w:rPr>
                <w:b/>
                <w:sz w:val="20"/>
                <w:szCs w:val="20"/>
                <w:lang w:val="es-ES_tradnl"/>
              </w:rPr>
              <w:t>3</w:t>
            </w:r>
          </w:p>
        </w:tc>
        <w:tc>
          <w:tcPr>
            <w:tcW w:w="4086" w:type="dxa"/>
          </w:tcPr>
          <w:p w14:paraId="6DA21EC5" w14:textId="105834C9" w:rsidR="002C2B32" w:rsidRPr="00216226" w:rsidRDefault="00A61B0A" w:rsidP="007927C3">
            <w:pPr>
              <w:spacing w:after="0" w:line="240" w:lineRule="auto"/>
              <w:rPr>
                <w:sz w:val="20"/>
                <w:szCs w:val="20"/>
                <w:lang w:val="es-ES_tradnl"/>
              </w:rPr>
            </w:pPr>
            <w:r w:rsidRPr="00216226">
              <w:rPr>
                <w:sz w:val="20"/>
                <w:szCs w:val="20"/>
                <w:lang w:val="es-ES_tradnl"/>
              </w:rPr>
              <w:t>Moderado</w:t>
            </w:r>
          </w:p>
        </w:tc>
      </w:tr>
      <w:tr w:rsidR="002C2B32" w:rsidRPr="00216226" w14:paraId="107CD5BC" w14:textId="77777777" w:rsidTr="007927C3">
        <w:trPr>
          <w:trHeight w:val="60"/>
        </w:trPr>
        <w:tc>
          <w:tcPr>
            <w:tcW w:w="805" w:type="dxa"/>
            <w:shd w:val="clear" w:color="auto" w:fill="A8D08D"/>
          </w:tcPr>
          <w:p w14:paraId="6B8E8724" w14:textId="77777777" w:rsidR="002C2B32" w:rsidRPr="00216226" w:rsidRDefault="002C2B32" w:rsidP="007927C3">
            <w:pPr>
              <w:spacing w:after="0" w:line="240" w:lineRule="auto"/>
              <w:rPr>
                <w:b/>
                <w:sz w:val="20"/>
                <w:szCs w:val="20"/>
                <w:lang w:val="es-ES_tradnl"/>
              </w:rPr>
            </w:pPr>
            <w:r w:rsidRPr="00216226">
              <w:rPr>
                <w:b/>
                <w:sz w:val="20"/>
                <w:szCs w:val="20"/>
                <w:lang w:val="es-ES_tradnl"/>
              </w:rPr>
              <w:t>4</w:t>
            </w:r>
          </w:p>
        </w:tc>
        <w:tc>
          <w:tcPr>
            <w:tcW w:w="4086" w:type="dxa"/>
          </w:tcPr>
          <w:p w14:paraId="55E36A96" w14:textId="6CD2622D" w:rsidR="002C2B32" w:rsidRPr="00216226" w:rsidRDefault="00A61B0A" w:rsidP="007927C3">
            <w:pPr>
              <w:spacing w:after="0" w:line="240" w:lineRule="auto"/>
              <w:rPr>
                <w:sz w:val="20"/>
                <w:szCs w:val="20"/>
                <w:lang w:val="es-ES_tradnl"/>
              </w:rPr>
            </w:pPr>
            <w:r w:rsidRPr="00216226">
              <w:rPr>
                <w:sz w:val="20"/>
                <w:szCs w:val="20"/>
                <w:lang w:val="es-ES_tradnl"/>
              </w:rPr>
              <w:t>Bueno</w:t>
            </w:r>
            <w:r w:rsidR="002C2B32" w:rsidRPr="00216226">
              <w:rPr>
                <w:sz w:val="20"/>
                <w:szCs w:val="20"/>
                <w:lang w:val="es-ES_tradnl"/>
              </w:rPr>
              <w:t xml:space="preserve"> </w:t>
            </w:r>
          </w:p>
        </w:tc>
      </w:tr>
    </w:tbl>
    <w:tbl>
      <w:tblPr>
        <w:tblStyle w:val="a8"/>
        <w:tblW w:w="14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9"/>
        <w:gridCol w:w="1799"/>
        <w:gridCol w:w="5400"/>
        <w:gridCol w:w="2880"/>
      </w:tblGrid>
      <w:tr w:rsidR="00882311" w:rsidRPr="00216226" w14:paraId="2DFBCD27" w14:textId="6CD1AFEC" w:rsidTr="00E12234">
        <w:tc>
          <w:tcPr>
            <w:tcW w:w="3979" w:type="dxa"/>
            <w:shd w:val="clear" w:color="auto" w:fill="F2F2F2"/>
          </w:tcPr>
          <w:p w14:paraId="21B0B8D1" w14:textId="0B25FBB6" w:rsidR="00882311" w:rsidRPr="00216226" w:rsidRDefault="00882311">
            <w:pPr>
              <w:pBdr>
                <w:top w:val="nil"/>
                <w:left w:val="nil"/>
                <w:bottom w:val="nil"/>
                <w:right w:val="nil"/>
                <w:between w:val="nil"/>
              </w:pBdr>
              <w:spacing w:after="0" w:line="240" w:lineRule="auto"/>
              <w:rPr>
                <w:b/>
                <w:color w:val="000000"/>
                <w:sz w:val="20"/>
                <w:szCs w:val="20"/>
                <w:lang w:val="es-ES_tradnl"/>
              </w:rPr>
            </w:pPr>
            <w:bookmarkStart w:id="37" w:name="_tyjcwt" w:colFirst="0" w:colLast="0"/>
            <w:bookmarkEnd w:id="37"/>
            <w:r w:rsidRPr="00216226">
              <w:rPr>
                <w:b/>
                <w:color w:val="000000"/>
                <w:sz w:val="20"/>
                <w:szCs w:val="20"/>
                <w:lang w:val="es-ES_tradnl"/>
              </w:rPr>
              <w:t>Indica</w:t>
            </w:r>
            <w:r w:rsidR="00693433" w:rsidRPr="00216226">
              <w:rPr>
                <w:b/>
                <w:color w:val="000000"/>
                <w:sz w:val="20"/>
                <w:szCs w:val="20"/>
                <w:lang w:val="es-ES_tradnl"/>
              </w:rPr>
              <w:t>d</w:t>
            </w:r>
            <w:r w:rsidRPr="00216226">
              <w:rPr>
                <w:b/>
                <w:color w:val="000000"/>
                <w:sz w:val="20"/>
                <w:szCs w:val="20"/>
                <w:lang w:val="es-ES_tradnl"/>
              </w:rPr>
              <w:t>or</w:t>
            </w:r>
          </w:p>
        </w:tc>
        <w:tc>
          <w:tcPr>
            <w:tcW w:w="1799" w:type="dxa"/>
            <w:shd w:val="clear" w:color="auto" w:fill="F2F2F2"/>
          </w:tcPr>
          <w:p w14:paraId="13AEE08D" w14:textId="3868282B" w:rsidR="00882311" w:rsidRPr="00216226" w:rsidRDefault="00AA352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Puntuación</w:t>
            </w:r>
          </w:p>
        </w:tc>
        <w:tc>
          <w:tcPr>
            <w:tcW w:w="5400" w:type="dxa"/>
            <w:shd w:val="clear" w:color="auto" w:fill="F2F2F2"/>
          </w:tcPr>
          <w:p w14:paraId="36E944A9" w14:textId="64C742F3" w:rsidR="00882311"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Justificación</w:t>
            </w:r>
          </w:p>
        </w:tc>
        <w:tc>
          <w:tcPr>
            <w:tcW w:w="2880" w:type="dxa"/>
            <w:shd w:val="clear" w:color="auto" w:fill="F2F2F2"/>
          </w:tcPr>
          <w:p w14:paraId="4356EDDD" w14:textId="078B78FC" w:rsidR="00882311" w:rsidRPr="00216226" w:rsidRDefault="00A61B0A">
            <w:pPr>
              <w:pBdr>
                <w:top w:val="nil"/>
                <w:left w:val="nil"/>
                <w:bottom w:val="nil"/>
                <w:right w:val="nil"/>
                <w:between w:val="nil"/>
              </w:pBdr>
              <w:spacing w:after="0" w:line="240" w:lineRule="auto"/>
              <w:rPr>
                <w:b/>
                <w:color w:val="000000"/>
                <w:sz w:val="20"/>
                <w:szCs w:val="20"/>
                <w:lang w:val="es-ES_tradnl"/>
              </w:rPr>
            </w:pPr>
            <w:r w:rsidRPr="00216226">
              <w:rPr>
                <w:b/>
                <w:color w:val="000000"/>
                <w:sz w:val="20"/>
                <w:szCs w:val="20"/>
                <w:lang w:val="es-ES_tradnl"/>
              </w:rPr>
              <w:t>Fuente de los Datos</w:t>
            </w:r>
          </w:p>
        </w:tc>
      </w:tr>
      <w:tr w:rsidR="006744E2" w:rsidRPr="006744E2" w14:paraId="77B4DDCA" w14:textId="78F01E4F" w:rsidTr="00E12234">
        <w:tc>
          <w:tcPr>
            <w:tcW w:w="3979" w:type="dxa"/>
          </w:tcPr>
          <w:p w14:paraId="2FFA2F21" w14:textId="3C402DA8" w:rsidR="006744E2" w:rsidRPr="00216226" w:rsidRDefault="006744E2" w:rsidP="005F63B6">
            <w:pPr>
              <w:rPr>
                <w:sz w:val="20"/>
                <w:szCs w:val="20"/>
                <w:lang w:val="es-ES_tradnl"/>
              </w:rPr>
            </w:pPr>
            <w:r w:rsidRPr="00216226">
              <w:rPr>
                <w:b/>
                <w:sz w:val="20"/>
                <w:szCs w:val="20"/>
                <w:lang w:val="es-ES_tradnl"/>
              </w:rPr>
              <w:t xml:space="preserve">Disponibilidad de datos: </w:t>
            </w:r>
            <w:r w:rsidRPr="00216226">
              <w:rPr>
                <w:sz w:val="20"/>
                <w:szCs w:val="20"/>
                <w:lang w:val="es-ES_tradnl"/>
              </w:rPr>
              <w:t xml:space="preserve">Utilización del </w:t>
            </w:r>
            <w:r w:rsidR="005F63B6">
              <w:rPr>
                <w:sz w:val="20"/>
                <w:szCs w:val="20"/>
                <w:lang w:val="es-ES_tradnl"/>
              </w:rPr>
              <w:t>SIIS</w:t>
            </w:r>
            <w:r w:rsidRPr="00216226">
              <w:rPr>
                <w:sz w:val="20"/>
                <w:szCs w:val="20"/>
                <w:lang w:val="es-ES_tradnl"/>
              </w:rPr>
              <w:t xml:space="preserve"> </w:t>
            </w:r>
          </w:p>
        </w:tc>
        <w:tc>
          <w:tcPr>
            <w:tcW w:w="1799" w:type="dxa"/>
            <w:shd w:val="clear" w:color="auto" w:fill="D9D9D9" w:themeFill="background1" w:themeFillShade="D9"/>
          </w:tcPr>
          <w:p w14:paraId="2BEED649" w14:textId="70650E80" w:rsidR="006744E2" w:rsidRPr="00216226" w:rsidRDefault="006744E2" w:rsidP="006744E2">
            <w:pPr>
              <w:pBdr>
                <w:top w:val="nil"/>
                <w:left w:val="nil"/>
                <w:bottom w:val="nil"/>
                <w:right w:val="nil"/>
                <w:between w:val="nil"/>
              </w:pBdr>
              <w:spacing w:after="0" w:line="240" w:lineRule="auto"/>
              <w:jc w:val="center"/>
              <w:rPr>
                <w:b/>
                <w:sz w:val="20"/>
                <w:szCs w:val="20"/>
                <w:lang w:val="es-ES_tradnl"/>
              </w:rPr>
            </w:pPr>
            <w:r w:rsidRPr="00216226">
              <w:rPr>
                <w:b/>
                <w:sz w:val="20"/>
                <w:szCs w:val="20"/>
                <w:lang w:val="es-ES_tradnl"/>
              </w:rPr>
              <w:t>0</w:t>
            </w:r>
          </w:p>
        </w:tc>
        <w:tc>
          <w:tcPr>
            <w:tcW w:w="5400" w:type="dxa"/>
          </w:tcPr>
          <w:p w14:paraId="049F8B6F" w14:textId="3006EEDF" w:rsidR="006744E2" w:rsidRPr="00216226" w:rsidRDefault="006744E2" w:rsidP="003F39AD">
            <w:pPr>
              <w:pBdr>
                <w:top w:val="nil"/>
                <w:left w:val="nil"/>
                <w:bottom w:val="nil"/>
                <w:right w:val="nil"/>
                <w:between w:val="nil"/>
              </w:pBdr>
              <w:spacing w:line="240" w:lineRule="auto"/>
              <w:rPr>
                <w:sz w:val="20"/>
                <w:szCs w:val="20"/>
                <w:lang w:val="es-ES_tradnl"/>
              </w:rPr>
            </w:pPr>
            <w:r w:rsidRPr="00216226">
              <w:rPr>
                <w:sz w:val="20"/>
                <w:szCs w:val="20"/>
                <w:lang w:val="es-ES_tradnl"/>
              </w:rPr>
              <w:t>Formalmente, todos los centros de salud pública present</w:t>
            </w:r>
            <w:r w:rsidR="003F39AD">
              <w:rPr>
                <w:sz w:val="20"/>
                <w:szCs w:val="20"/>
                <w:lang w:val="es-ES_tradnl"/>
              </w:rPr>
              <w:t xml:space="preserve">an los informes de sus datos a la SESAL </w:t>
            </w:r>
            <w:r w:rsidRPr="00216226">
              <w:rPr>
                <w:sz w:val="20"/>
                <w:szCs w:val="20"/>
                <w:lang w:val="es-ES_tradnl"/>
              </w:rPr>
              <w:t>mensualmente. Sin embargo, se informa que la calidad de los datos es deficiente. Cada uno de los demás actores (beneficiarios de subvenciones, el sector privado) utiliza su propio sistema de recopilación de datos. Hay planes para construir un sistema nacional integrado, pero persisten las dudas sobre la capacidad del país para completar el trabajo.</w:t>
            </w:r>
          </w:p>
        </w:tc>
        <w:tc>
          <w:tcPr>
            <w:tcW w:w="2880" w:type="dxa"/>
          </w:tcPr>
          <w:p w14:paraId="2EC7B389" w14:textId="5E42772B" w:rsidR="006744E2" w:rsidRPr="00216226" w:rsidRDefault="00F434EB" w:rsidP="006744E2">
            <w:pPr>
              <w:pBdr>
                <w:top w:val="nil"/>
                <w:left w:val="nil"/>
                <w:bottom w:val="nil"/>
                <w:right w:val="nil"/>
                <w:between w:val="nil"/>
              </w:pBdr>
              <w:spacing w:after="0" w:line="240" w:lineRule="auto"/>
              <w:rPr>
                <w:color w:val="000000"/>
                <w:sz w:val="20"/>
                <w:szCs w:val="20"/>
                <w:highlight w:val="yellow"/>
                <w:lang w:val="es-ES_tradnl"/>
              </w:rPr>
            </w:pPr>
            <w:r>
              <w:rPr>
                <w:sz w:val="20"/>
                <w:szCs w:val="20"/>
                <w:lang w:val="en-US"/>
              </w:rPr>
              <w:t>Visita de campo</w:t>
            </w:r>
          </w:p>
        </w:tc>
      </w:tr>
      <w:tr w:rsidR="006744E2" w:rsidRPr="006744E2" w14:paraId="4CA92CFE" w14:textId="3E3F6BE8" w:rsidTr="00E12234">
        <w:tc>
          <w:tcPr>
            <w:tcW w:w="3979" w:type="dxa"/>
          </w:tcPr>
          <w:p w14:paraId="70AD7E9F" w14:textId="4CF1EF98" w:rsidR="006744E2" w:rsidRPr="00216226" w:rsidRDefault="006744E2" w:rsidP="005F63B6">
            <w:pPr>
              <w:rPr>
                <w:sz w:val="20"/>
                <w:szCs w:val="20"/>
                <w:lang w:val="es-ES_tradnl"/>
              </w:rPr>
            </w:pPr>
            <w:r w:rsidRPr="00216226">
              <w:rPr>
                <w:b/>
                <w:sz w:val="20"/>
                <w:szCs w:val="20"/>
                <w:lang w:val="es-ES_tradnl"/>
              </w:rPr>
              <w:t xml:space="preserve">Disponibilidad de datos: </w:t>
            </w:r>
            <w:r w:rsidRPr="00216226">
              <w:rPr>
                <w:sz w:val="20"/>
                <w:szCs w:val="20"/>
                <w:lang w:val="es-ES_tradnl"/>
              </w:rPr>
              <w:t xml:space="preserve">disponibilidad de informes de enfermedades en el </w:t>
            </w:r>
            <w:r w:rsidR="005F63B6">
              <w:rPr>
                <w:sz w:val="20"/>
                <w:szCs w:val="20"/>
                <w:lang w:val="es-ES_tradnl"/>
              </w:rPr>
              <w:t>SIIS</w:t>
            </w:r>
            <w:r w:rsidRPr="00216226">
              <w:rPr>
                <w:sz w:val="20"/>
                <w:szCs w:val="20"/>
                <w:lang w:val="es-ES_tradnl"/>
              </w:rPr>
              <w:t xml:space="preserve"> nacional </w:t>
            </w:r>
          </w:p>
        </w:tc>
        <w:tc>
          <w:tcPr>
            <w:tcW w:w="1799" w:type="dxa"/>
            <w:shd w:val="clear" w:color="auto" w:fill="D9D9D9" w:themeFill="background1" w:themeFillShade="D9"/>
          </w:tcPr>
          <w:p w14:paraId="4ADF9DDC" w14:textId="6FEA3E42" w:rsidR="006744E2" w:rsidRPr="00216226" w:rsidRDefault="006744E2" w:rsidP="006744E2">
            <w:pPr>
              <w:pBdr>
                <w:top w:val="nil"/>
                <w:left w:val="nil"/>
                <w:bottom w:val="nil"/>
                <w:right w:val="nil"/>
                <w:between w:val="nil"/>
              </w:pBdr>
              <w:spacing w:after="0" w:line="240" w:lineRule="auto"/>
              <w:jc w:val="center"/>
              <w:rPr>
                <w:b/>
                <w:sz w:val="20"/>
                <w:szCs w:val="20"/>
                <w:lang w:val="es-ES_tradnl"/>
              </w:rPr>
            </w:pPr>
            <w:r w:rsidRPr="00216226">
              <w:rPr>
                <w:b/>
                <w:sz w:val="20"/>
                <w:szCs w:val="20"/>
                <w:lang w:val="es-ES_tradnl"/>
              </w:rPr>
              <w:t>0</w:t>
            </w:r>
          </w:p>
        </w:tc>
        <w:tc>
          <w:tcPr>
            <w:tcW w:w="5400" w:type="dxa"/>
          </w:tcPr>
          <w:p w14:paraId="7FB7E3C0" w14:textId="44AFE496" w:rsidR="006744E2" w:rsidRPr="00216226" w:rsidRDefault="006744E2" w:rsidP="006744E2">
            <w:pPr>
              <w:pBdr>
                <w:top w:val="nil"/>
                <w:left w:val="nil"/>
                <w:bottom w:val="nil"/>
                <w:right w:val="nil"/>
                <w:between w:val="nil"/>
              </w:pBdr>
              <w:spacing w:after="0" w:line="240" w:lineRule="auto"/>
              <w:rPr>
                <w:i/>
                <w:color w:val="808080"/>
                <w:sz w:val="20"/>
                <w:szCs w:val="20"/>
                <w:lang w:val="es-ES_tradnl"/>
              </w:rPr>
            </w:pPr>
            <w:r w:rsidRPr="00216226">
              <w:rPr>
                <w:sz w:val="20"/>
                <w:szCs w:val="20"/>
                <w:lang w:val="es-ES_tradnl"/>
              </w:rPr>
              <w:t>Los datos agregados están disponibles para algunos indicadores estándar específicos de la OMS (cobertura), pero no para todos (impacto).</w:t>
            </w:r>
          </w:p>
        </w:tc>
        <w:tc>
          <w:tcPr>
            <w:tcW w:w="2880" w:type="dxa"/>
          </w:tcPr>
          <w:p w14:paraId="221B74A8" w14:textId="16BA5F6D" w:rsidR="006744E2" w:rsidRPr="00216226" w:rsidRDefault="00F434EB" w:rsidP="006744E2">
            <w:pPr>
              <w:pBdr>
                <w:top w:val="nil"/>
                <w:left w:val="nil"/>
                <w:bottom w:val="nil"/>
                <w:right w:val="nil"/>
                <w:between w:val="nil"/>
              </w:pBdr>
              <w:spacing w:after="0" w:line="240" w:lineRule="auto"/>
              <w:rPr>
                <w:i/>
                <w:color w:val="808080"/>
                <w:sz w:val="20"/>
                <w:szCs w:val="20"/>
                <w:lang w:val="es-ES_tradnl"/>
              </w:rPr>
            </w:pPr>
            <w:r w:rsidRPr="000A1D9C">
              <w:rPr>
                <w:i/>
                <w:sz w:val="20"/>
                <w:szCs w:val="20"/>
                <w:lang w:val="en-US"/>
              </w:rPr>
              <w:t>PUDR</w:t>
            </w:r>
            <w:r>
              <w:rPr>
                <w:sz w:val="20"/>
                <w:szCs w:val="20"/>
                <w:lang w:val="en-US"/>
              </w:rPr>
              <w:t>, 2017</w:t>
            </w:r>
          </w:p>
        </w:tc>
      </w:tr>
      <w:tr w:rsidR="00F434EB" w:rsidRPr="006744E2" w14:paraId="494AACC9" w14:textId="12570E8D" w:rsidTr="00E12234">
        <w:tc>
          <w:tcPr>
            <w:tcW w:w="3979" w:type="dxa"/>
          </w:tcPr>
          <w:p w14:paraId="112FEA03" w14:textId="1FD1A3CF" w:rsidR="00F434EB" w:rsidRPr="00216226" w:rsidRDefault="00F434EB" w:rsidP="00F434EB">
            <w:pPr>
              <w:rPr>
                <w:sz w:val="20"/>
                <w:szCs w:val="20"/>
                <w:lang w:val="es-ES_tradnl"/>
              </w:rPr>
            </w:pPr>
            <w:r w:rsidRPr="00216226">
              <w:rPr>
                <w:b/>
                <w:sz w:val="20"/>
                <w:szCs w:val="20"/>
                <w:lang w:val="es-ES_tradnl"/>
              </w:rPr>
              <w:t xml:space="preserve">Calidad de datos: </w:t>
            </w:r>
            <w:r w:rsidRPr="00216226">
              <w:rPr>
                <w:sz w:val="20"/>
                <w:szCs w:val="20"/>
                <w:lang w:val="es-ES_tradnl"/>
              </w:rPr>
              <w:t>Integridad</w:t>
            </w:r>
          </w:p>
        </w:tc>
        <w:tc>
          <w:tcPr>
            <w:tcW w:w="1799" w:type="dxa"/>
            <w:shd w:val="clear" w:color="auto" w:fill="D9D9D9" w:themeFill="background1" w:themeFillShade="D9"/>
          </w:tcPr>
          <w:p w14:paraId="7631317B" w14:textId="08634A43" w:rsidR="00F434EB" w:rsidRPr="00216226" w:rsidRDefault="00F434EB" w:rsidP="00F434EB">
            <w:pPr>
              <w:pBdr>
                <w:top w:val="nil"/>
                <w:left w:val="nil"/>
                <w:bottom w:val="nil"/>
                <w:right w:val="nil"/>
                <w:between w:val="nil"/>
              </w:pBdr>
              <w:spacing w:after="0" w:line="240" w:lineRule="auto"/>
              <w:jc w:val="center"/>
              <w:rPr>
                <w:b/>
                <w:sz w:val="20"/>
                <w:szCs w:val="20"/>
                <w:lang w:val="es-ES_tradnl"/>
              </w:rPr>
            </w:pPr>
            <w:r w:rsidRPr="00216226">
              <w:rPr>
                <w:b/>
                <w:sz w:val="20"/>
                <w:szCs w:val="20"/>
                <w:lang w:val="es-ES_tradnl"/>
              </w:rPr>
              <w:t>0</w:t>
            </w:r>
          </w:p>
        </w:tc>
        <w:tc>
          <w:tcPr>
            <w:tcW w:w="5400" w:type="dxa"/>
          </w:tcPr>
          <w:p w14:paraId="584424F5" w14:textId="292FEA87" w:rsidR="00F434EB" w:rsidRPr="00216226" w:rsidRDefault="00F434EB" w:rsidP="00F434EB">
            <w:pPr>
              <w:pBdr>
                <w:top w:val="nil"/>
                <w:left w:val="nil"/>
                <w:bottom w:val="nil"/>
                <w:right w:val="nil"/>
                <w:between w:val="nil"/>
              </w:pBdr>
              <w:spacing w:after="0" w:line="240" w:lineRule="auto"/>
              <w:rPr>
                <w:i/>
                <w:color w:val="808080"/>
                <w:sz w:val="20"/>
                <w:szCs w:val="20"/>
                <w:lang w:val="es-ES_tradnl"/>
              </w:rPr>
            </w:pPr>
            <w:r w:rsidRPr="00216226">
              <w:rPr>
                <w:sz w:val="20"/>
                <w:szCs w:val="20"/>
                <w:lang w:val="es-ES_tradnl"/>
              </w:rPr>
              <w:t>El 75% de las regiones verifican que presentan los informes de los datos. Sin embargo, la calidad y la integridad de los datos no son sistemáticamente auditados.</w:t>
            </w:r>
          </w:p>
        </w:tc>
        <w:tc>
          <w:tcPr>
            <w:tcW w:w="2880" w:type="dxa"/>
          </w:tcPr>
          <w:p w14:paraId="30D5EF92" w14:textId="7790370E" w:rsidR="00F434EB" w:rsidRPr="00216226" w:rsidRDefault="00F434EB" w:rsidP="00F434EB">
            <w:pPr>
              <w:pBdr>
                <w:top w:val="nil"/>
                <w:left w:val="nil"/>
                <w:bottom w:val="nil"/>
                <w:right w:val="nil"/>
                <w:between w:val="nil"/>
              </w:pBdr>
              <w:spacing w:after="0" w:line="240" w:lineRule="auto"/>
              <w:rPr>
                <w:i/>
                <w:color w:val="808080"/>
                <w:sz w:val="20"/>
                <w:szCs w:val="20"/>
                <w:lang w:val="es-ES_tradnl"/>
              </w:rPr>
            </w:pPr>
            <w:r w:rsidRPr="00167408">
              <w:rPr>
                <w:sz w:val="20"/>
                <w:szCs w:val="20"/>
                <w:lang w:val="en-US"/>
              </w:rPr>
              <w:t>Visita de campo</w:t>
            </w:r>
          </w:p>
        </w:tc>
      </w:tr>
      <w:tr w:rsidR="00F434EB" w:rsidRPr="006744E2" w14:paraId="0430F829" w14:textId="1A547E4C" w:rsidTr="00E12234">
        <w:tc>
          <w:tcPr>
            <w:tcW w:w="3979" w:type="dxa"/>
          </w:tcPr>
          <w:p w14:paraId="50D3766E" w14:textId="02BD09EE" w:rsidR="00F434EB" w:rsidRPr="00216226" w:rsidRDefault="00F434EB" w:rsidP="00F434EB">
            <w:pPr>
              <w:rPr>
                <w:sz w:val="20"/>
                <w:szCs w:val="20"/>
                <w:lang w:val="es-ES_tradnl"/>
              </w:rPr>
            </w:pPr>
            <w:r w:rsidRPr="00216226">
              <w:rPr>
                <w:b/>
                <w:sz w:val="20"/>
                <w:szCs w:val="20"/>
                <w:lang w:val="es-ES_tradnl"/>
              </w:rPr>
              <w:t xml:space="preserve">Calidad de datos: </w:t>
            </w:r>
            <w:r w:rsidRPr="00216226">
              <w:rPr>
                <w:sz w:val="20"/>
                <w:szCs w:val="20"/>
                <w:lang w:val="es-ES_tradnl"/>
              </w:rPr>
              <w:t>Puntualidad</w:t>
            </w:r>
          </w:p>
        </w:tc>
        <w:tc>
          <w:tcPr>
            <w:tcW w:w="1799" w:type="dxa"/>
            <w:shd w:val="clear" w:color="auto" w:fill="D9D9D9" w:themeFill="background1" w:themeFillShade="D9"/>
          </w:tcPr>
          <w:p w14:paraId="5B734AE0" w14:textId="6424AF8C" w:rsidR="00F434EB" w:rsidRPr="00216226" w:rsidRDefault="00F434EB" w:rsidP="00F434EB">
            <w:pPr>
              <w:pBdr>
                <w:top w:val="nil"/>
                <w:left w:val="nil"/>
                <w:bottom w:val="nil"/>
                <w:right w:val="nil"/>
                <w:between w:val="nil"/>
              </w:pBdr>
              <w:spacing w:after="0" w:line="240" w:lineRule="auto"/>
              <w:jc w:val="center"/>
              <w:rPr>
                <w:b/>
                <w:sz w:val="20"/>
                <w:szCs w:val="20"/>
                <w:lang w:val="es-ES_tradnl"/>
              </w:rPr>
            </w:pPr>
            <w:r w:rsidRPr="00216226">
              <w:rPr>
                <w:b/>
                <w:sz w:val="20"/>
                <w:szCs w:val="20"/>
                <w:lang w:val="es-ES_tradnl"/>
              </w:rPr>
              <w:t>0</w:t>
            </w:r>
          </w:p>
        </w:tc>
        <w:tc>
          <w:tcPr>
            <w:tcW w:w="5400" w:type="dxa"/>
          </w:tcPr>
          <w:p w14:paraId="710C694F" w14:textId="2E44FB76" w:rsidR="00F434EB" w:rsidRPr="00216226" w:rsidRDefault="00F434EB" w:rsidP="00F434EB">
            <w:pPr>
              <w:pBdr>
                <w:top w:val="nil"/>
                <w:left w:val="nil"/>
                <w:bottom w:val="nil"/>
                <w:right w:val="nil"/>
                <w:between w:val="nil"/>
              </w:pBdr>
              <w:spacing w:line="240" w:lineRule="auto"/>
              <w:rPr>
                <w:i/>
                <w:color w:val="808080"/>
                <w:sz w:val="20"/>
                <w:szCs w:val="20"/>
                <w:lang w:val="es-ES_tradnl"/>
              </w:rPr>
            </w:pPr>
            <w:r w:rsidRPr="00216226">
              <w:rPr>
                <w:sz w:val="20"/>
                <w:szCs w:val="20"/>
                <w:lang w:val="es-ES_tradnl"/>
              </w:rPr>
              <w:t xml:space="preserve">Sólo el 33% de las unidades presenta sus informes dentro de los primeros cinco días hábiles, que es el plazo de presentación según los reglamentos nacionales. </w:t>
            </w:r>
          </w:p>
        </w:tc>
        <w:tc>
          <w:tcPr>
            <w:tcW w:w="2880" w:type="dxa"/>
          </w:tcPr>
          <w:p w14:paraId="367DDD50" w14:textId="0BDE9223" w:rsidR="00F434EB" w:rsidRPr="00216226" w:rsidRDefault="00F434EB" w:rsidP="00F434EB">
            <w:pPr>
              <w:pBdr>
                <w:top w:val="nil"/>
                <w:left w:val="nil"/>
                <w:bottom w:val="nil"/>
                <w:right w:val="nil"/>
                <w:between w:val="nil"/>
              </w:pBdr>
              <w:spacing w:after="0" w:line="240" w:lineRule="auto"/>
              <w:rPr>
                <w:i/>
                <w:color w:val="808080"/>
                <w:sz w:val="20"/>
                <w:szCs w:val="20"/>
                <w:lang w:val="es-ES_tradnl"/>
              </w:rPr>
            </w:pPr>
            <w:r w:rsidRPr="00167408">
              <w:rPr>
                <w:sz w:val="20"/>
                <w:szCs w:val="20"/>
                <w:lang w:val="en-US"/>
              </w:rPr>
              <w:t>Visita de campo</w:t>
            </w:r>
          </w:p>
        </w:tc>
      </w:tr>
      <w:tr w:rsidR="00882311" w:rsidRPr="00216226" w14:paraId="11EE270B" w14:textId="15A00647" w:rsidTr="00E84DA1">
        <w:tc>
          <w:tcPr>
            <w:tcW w:w="3979" w:type="dxa"/>
            <w:shd w:val="clear" w:color="auto" w:fill="D9D9D9"/>
            <w:vAlign w:val="center"/>
          </w:tcPr>
          <w:p w14:paraId="65ACE521" w14:textId="54FDEDF6" w:rsidR="00882311" w:rsidRPr="00216226" w:rsidRDefault="00503F3B">
            <w:pPr>
              <w:rPr>
                <w:b/>
                <w:sz w:val="20"/>
                <w:szCs w:val="20"/>
                <w:lang w:val="es-ES_tradnl"/>
              </w:rPr>
            </w:pPr>
            <w:r w:rsidRPr="00216226">
              <w:rPr>
                <w:b/>
                <w:color w:val="000000"/>
                <w:sz w:val="20"/>
                <w:szCs w:val="20"/>
                <w:lang w:val="es-ES_tradnl"/>
              </w:rPr>
              <w:t>Puntuación compuesta</w:t>
            </w:r>
            <w:r w:rsidRPr="00216226">
              <w:rPr>
                <w:rStyle w:val="FootnoteReference"/>
                <w:b/>
                <w:color w:val="000000"/>
                <w:sz w:val="20"/>
                <w:szCs w:val="20"/>
                <w:lang w:val="es-ES_tradnl"/>
              </w:rPr>
              <w:footnoteReference w:id="11"/>
            </w:r>
            <w:r w:rsidRPr="00216226">
              <w:rPr>
                <w:b/>
                <w:color w:val="000000"/>
                <w:sz w:val="20"/>
                <w:szCs w:val="20"/>
                <w:lang w:val="es-ES_tradnl"/>
              </w:rPr>
              <w:t xml:space="preserve"> a través de todos los componentes relevantes </w:t>
            </w:r>
            <w:r w:rsidR="00882311" w:rsidRPr="00216226">
              <w:rPr>
                <w:b/>
                <w:color w:val="000000"/>
                <w:sz w:val="20"/>
                <w:szCs w:val="20"/>
                <w:lang w:val="es-ES_tradnl"/>
              </w:rPr>
              <w:t xml:space="preserve">(4) </w:t>
            </w:r>
          </w:p>
        </w:tc>
        <w:tc>
          <w:tcPr>
            <w:tcW w:w="1799" w:type="dxa"/>
            <w:shd w:val="clear" w:color="auto" w:fill="C00000"/>
          </w:tcPr>
          <w:p w14:paraId="34DF1195" w14:textId="4093533C" w:rsidR="00882311" w:rsidRPr="00216226" w:rsidRDefault="00E84DA1" w:rsidP="00E84DA1">
            <w:pPr>
              <w:pBdr>
                <w:top w:val="nil"/>
                <w:left w:val="nil"/>
                <w:bottom w:val="nil"/>
                <w:right w:val="nil"/>
                <w:between w:val="nil"/>
              </w:pBdr>
              <w:spacing w:after="0" w:line="240" w:lineRule="auto"/>
              <w:jc w:val="center"/>
              <w:rPr>
                <w:b/>
                <w:iCs/>
                <w:sz w:val="20"/>
                <w:szCs w:val="20"/>
                <w:lang w:val="es-ES_tradnl"/>
              </w:rPr>
            </w:pPr>
            <w:r w:rsidRPr="00216226">
              <w:rPr>
                <w:b/>
                <w:color w:val="000000" w:themeColor="text1"/>
                <w:sz w:val="20"/>
                <w:szCs w:val="20"/>
                <w:lang w:val="es-ES_tradnl"/>
              </w:rPr>
              <w:t>0</w:t>
            </w:r>
          </w:p>
        </w:tc>
        <w:tc>
          <w:tcPr>
            <w:tcW w:w="5400" w:type="dxa"/>
          </w:tcPr>
          <w:p w14:paraId="6CB25EDD" w14:textId="41352BF0" w:rsidR="00882311" w:rsidRPr="00216226" w:rsidRDefault="00882311">
            <w:pPr>
              <w:pBdr>
                <w:top w:val="nil"/>
                <w:left w:val="nil"/>
                <w:bottom w:val="nil"/>
                <w:right w:val="nil"/>
                <w:between w:val="nil"/>
              </w:pBdr>
              <w:spacing w:after="0" w:line="240" w:lineRule="auto"/>
              <w:rPr>
                <w:i/>
                <w:color w:val="808080"/>
                <w:sz w:val="20"/>
                <w:szCs w:val="20"/>
                <w:lang w:val="es-ES_tradnl"/>
              </w:rPr>
            </w:pPr>
          </w:p>
        </w:tc>
        <w:tc>
          <w:tcPr>
            <w:tcW w:w="2880" w:type="dxa"/>
          </w:tcPr>
          <w:p w14:paraId="371D9ED2" w14:textId="77777777" w:rsidR="00882311" w:rsidRPr="00216226" w:rsidRDefault="00882311">
            <w:pPr>
              <w:pBdr>
                <w:top w:val="nil"/>
                <w:left w:val="nil"/>
                <w:bottom w:val="nil"/>
                <w:right w:val="nil"/>
                <w:between w:val="nil"/>
              </w:pBdr>
              <w:spacing w:after="0" w:line="240" w:lineRule="auto"/>
              <w:rPr>
                <w:i/>
                <w:color w:val="808080"/>
                <w:sz w:val="20"/>
                <w:szCs w:val="20"/>
                <w:lang w:val="es-ES_tradnl"/>
              </w:rPr>
            </w:pPr>
          </w:p>
        </w:tc>
      </w:tr>
    </w:tbl>
    <w:p w14:paraId="7AD9715C" w14:textId="77777777" w:rsidR="005D3854" w:rsidRPr="00216226" w:rsidRDefault="005D3854" w:rsidP="005D3854">
      <w:pPr>
        <w:pStyle w:val="Heading1"/>
        <w:rPr>
          <w:lang w:val="es-ES_tradnl"/>
        </w:rPr>
        <w:sectPr w:rsidR="005D3854" w:rsidRPr="00216226" w:rsidSect="002C2B32">
          <w:pgSz w:w="16838" w:h="11906" w:orient="landscape"/>
          <w:pgMar w:top="1440" w:right="1440" w:bottom="1440" w:left="1440" w:header="706" w:footer="706" w:gutter="0"/>
          <w:cols w:space="720"/>
          <w:docGrid w:linePitch="299"/>
        </w:sectPr>
      </w:pPr>
    </w:p>
    <w:p w14:paraId="4EC1845B" w14:textId="363D024E" w:rsidR="005D3854" w:rsidRPr="006F4FD3" w:rsidRDefault="006953CB" w:rsidP="006F4FD3">
      <w:pPr>
        <w:pStyle w:val="Heading1"/>
        <w:rPr>
          <w:lang w:val="es-ES_tradnl"/>
        </w:rPr>
      </w:pPr>
      <w:r w:rsidRPr="006F4FD3">
        <w:rPr>
          <w:lang w:val="es-ES_tradnl"/>
        </w:rPr>
        <w:lastRenderedPageBreak/>
        <w:t>Análisis</w:t>
      </w:r>
    </w:p>
    <w:p w14:paraId="0054E887" w14:textId="7BE0A7ED" w:rsidR="00FB3358" w:rsidRPr="006F4FD3" w:rsidRDefault="00FB3358" w:rsidP="006F4FD3">
      <w:pPr>
        <w:spacing w:before="240"/>
        <w:rPr>
          <w:rFonts w:ascii="Calibri Light" w:eastAsia="MS Gothic" w:hAnsi="Calibri Light" w:cs="Times New Roman"/>
          <w:b/>
          <w:lang w:val="es-ES_tradnl" w:eastAsia="en-US"/>
        </w:rPr>
      </w:pPr>
      <w:r w:rsidRPr="006F4FD3">
        <w:rPr>
          <w:rFonts w:ascii="Calibri Light" w:eastAsia="MS Gothic" w:hAnsi="Calibri Light" w:cs="Times New Roman"/>
          <w:b/>
          <w:lang w:val="es-ES_tradnl" w:eastAsia="en-US"/>
        </w:rPr>
        <w:t>Impact</w:t>
      </w:r>
      <w:r w:rsidR="009521F9" w:rsidRPr="006F4FD3">
        <w:rPr>
          <w:rFonts w:ascii="Calibri Light" w:eastAsia="MS Gothic" w:hAnsi="Calibri Light" w:cs="Times New Roman"/>
          <w:b/>
          <w:lang w:val="es-ES_tradnl" w:eastAsia="en-US"/>
        </w:rPr>
        <w:t>o</w:t>
      </w:r>
      <w:r w:rsidRPr="006F4FD3">
        <w:rPr>
          <w:rFonts w:ascii="Calibri Light" w:eastAsia="MS Gothic" w:hAnsi="Calibri Light" w:cs="Times New Roman"/>
          <w:b/>
          <w:lang w:val="es-ES_tradnl" w:eastAsia="en-US"/>
        </w:rPr>
        <w:t xml:space="preserve"> </w:t>
      </w:r>
    </w:p>
    <w:p w14:paraId="6E098DE4" w14:textId="6998DBA7" w:rsidR="00882C55" w:rsidRPr="00882C55" w:rsidRDefault="00882C55" w:rsidP="00882C55">
      <w:pPr>
        <w:keepNext/>
        <w:keepLines/>
        <w:spacing w:before="200" w:after="0"/>
        <w:jc w:val="both"/>
        <w:outlineLvl w:val="2"/>
        <w:rPr>
          <w:rFonts w:asciiTheme="majorHAnsi" w:eastAsia="MS Gothic" w:hAnsiTheme="majorHAnsi" w:cstheme="majorHAnsi"/>
          <w:bCs/>
          <w:lang w:val="es-US" w:eastAsia="en-US"/>
        </w:rPr>
      </w:pPr>
      <w:bookmarkStart w:id="38" w:name="_Toc1149171"/>
      <w:r w:rsidRPr="00882C55">
        <w:rPr>
          <w:rFonts w:asciiTheme="majorHAnsi" w:eastAsia="MS Gothic" w:hAnsiTheme="majorHAnsi" w:cstheme="majorHAnsi"/>
          <w:bCs/>
          <w:lang w:val="es-US" w:eastAsia="en-US"/>
        </w:rPr>
        <w:t xml:space="preserve">Según ONUSIDA (estimaciones 2018), en Honduras el número de </w:t>
      </w:r>
      <w:r w:rsidR="00232C05">
        <w:rPr>
          <w:rFonts w:asciiTheme="majorHAnsi" w:eastAsia="MS Gothic" w:hAnsiTheme="majorHAnsi" w:cstheme="majorHAnsi"/>
          <w:bCs/>
          <w:lang w:val="es-US" w:eastAsia="en-US"/>
        </w:rPr>
        <w:t>PVVIH</w:t>
      </w:r>
      <w:r w:rsidRPr="00882C55">
        <w:rPr>
          <w:rFonts w:asciiTheme="majorHAnsi" w:eastAsia="MS Gothic" w:hAnsiTheme="majorHAnsi" w:cstheme="majorHAnsi"/>
          <w:bCs/>
          <w:lang w:val="es-US" w:eastAsia="en-US"/>
        </w:rPr>
        <w:t xml:space="preserve"> alcanzó su punto máximo en </w:t>
      </w:r>
      <w:r w:rsidR="00232C05">
        <w:rPr>
          <w:rFonts w:asciiTheme="majorHAnsi" w:eastAsia="MS Gothic" w:hAnsiTheme="majorHAnsi" w:cstheme="majorHAnsi"/>
          <w:bCs/>
          <w:lang w:val="es-US" w:eastAsia="en-US"/>
        </w:rPr>
        <w:t xml:space="preserve">el </w:t>
      </w:r>
      <w:r w:rsidRPr="00882C55">
        <w:rPr>
          <w:rFonts w:asciiTheme="majorHAnsi" w:eastAsia="MS Gothic" w:hAnsiTheme="majorHAnsi" w:cstheme="majorHAnsi"/>
          <w:bCs/>
          <w:lang w:val="es-US" w:eastAsia="en-US"/>
        </w:rPr>
        <w:t>1999 con 39,000,</w:t>
      </w:r>
      <w:r w:rsidR="00232C05">
        <w:rPr>
          <w:rFonts w:asciiTheme="majorHAnsi" w:eastAsia="MS Gothic" w:hAnsiTheme="majorHAnsi" w:cstheme="majorHAnsi"/>
          <w:bCs/>
          <w:lang w:val="es-US" w:eastAsia="en-US"/>
        </w:rPr>
        <w:t xml:space="preserve"> comenzando con un</w:t>
      </w:r>
      <w:r w:rsidRPr="00882C55">
        <w:rPr>
          <w:rFonts w:asciiTheme="majorHAnsi" w:eastAsia="MS Gothic" w:hAnsiTheme="majorHAnsi" w:cstheme="majorHAnsi"/>
          <w:bCs/>
          <w:lang w:val="es-US" w:eastAsia="en-US"/>
        </w:rPr>
        <w:t xml:space="preserve"> declive progresivo que ha continuado hasta </w:t>
      </w:r>
      <w:r w:rsidR="00232C05">
        <w:rPr>
          <w:rFonts w:asciiTheme="majorHAnsi" w:eastAsia="MS Gothic" w:hAnsiTheme="majorHAnsi" w:cstheme="majorHAnsi"/>
          <w:bCs/>
          <w:lang w:val="es-US" w:eastAsia="en-US"/>
        </w:rPr>
        <w:t xml:space="preserve">el </w:t>
      </w:r>
      <w:r w:rsidRPr="00882C55">
        <w:rPr>
          <w:rFonts w:asciiTheme="majorHAnsi" w:eastAsia="MS Gothic" w:hAnsiTheme="majorHAnsi" w:cstheme="majorHAnsi"/>
          <w:bCs/>
          <w:lang w:val="es-US" w:eastAsia="en-US"/>
        </w:rPr>
        <w:t xml:space="preserve">2017 (en 2017 había 22,000 </w:t>
      </w:r>
      <w:r w:rsidR="00232C05">
        <w:rPr>
          <w:rFonts w:asciiTheme="majorHAnsi" w:eastAsia="MS Gothic" w:hAnsiTheme="majorHAnsi" w:cstheme="majorHAnsi"/>
          <w:bCs/>
          <w:lang w:val="es-US" w:eastAsia="en-US"/>
        </w:rPr>
        <w:t>PVVIH</w:t>
      </w:r>
      <w:r w:rsidRPr="00882C55">
        <w:rPr>
          <w:rFonts w:asciiTheme="majorHAnsi" w:eastAsia="MS Gothic" w:hAnsiTheme="majorHAnsi" w:cstheme="majorHAnsi"/>
          <w:bCs/>
          <w:lang w:val="es-US" w:eastAsia="en-US"/>
        </w:rPr>
        <w:t xml:space="preserve">). El número de casos nuevos de VIH llegó al máximo seis años antes, en </w:t>
      </w:r>
      <w:r w:rsidR="00232C05">
        <w:rPr>
          <w:rFonts w:asciiTheme="majorHAnsi" w:eastAsia="MS Gothic" w:hAnsiTheme="majorHAnsi" w:cstheme="majorHAnsi"/>
          <w:bCs/>
          <w:lang w:val="es-US" w:eastAsia="en-US"/>
        </w:rPr>
        <w:t xml:space="preserve">el </w:t>
      </w:r>
      <w:r w:rsidRPr="00882C55">
        <w:rPr>
          <w:rFonts w:asciiTheme="majorHAnsi" w:eastAsia="MS Gothic" w:hAnsiTheme="majorHAnsi" w:cstheme="majorHAnsi"/>
          <w:bCs/>
          <w:lang w:val="es-US" w:eastAsia="en-US"/>
        </w:rPr>
        <w:t xml:space="preserve">1993 (4,900 casos nuevos de VIH), disminuyendo desde entonces hasta el período 2006-2008, cuando se estancó en menos de 1,000 casos. Esto significa que tanto la prevalencia como la incidencia del VIH comenzaron a disminuir antes de la primera subvención del Fondo Mundial, sin embargo, es razonable afirmar que las inversiones del Fondo Mundial durante los últimos 15 años han contribuido a controlar y eventualmente reducir el alcance de la epidemia a través de </w:t>
      </w:r>
      <w:r w:rsidR="00232C05">
        <w:rPr>
          <w:rFonts w:asciiTheme="majorHAnsi" w:eastAsia="MS Gothic" w:hAnsiTheme="majorHAnsi" w:cstheme="majorHAnsi"/>
          <w:bCs/>
          <w:lang w:val="es-US" w:eastAsia="en-US"/>
        </w:rPr>
        <w:t>programas i</w:t>
      </w:r>
      <w:r w:rsidRPr="00882C55">
        <w:rPr>
          <w:rFonts w:asciiTheme="majorHAnsi" w:eastAsia="MS Gothic" w:hAnsiTheme="majorHAnsi" w:cstheme="majorHAnsi"/>
          <w:bCs/>
          <w:lang w:val="es-US" w:eastAsia="en-US"/>
        </w:rPr>
        <w:t xml:space="preserve">nformados y </w:t>
      </w:r>
      <w:r w:rsidR="00232C05">
        <w:rPr>
          <w:rFonts w:asciiTheme="majorHAnsi" w:eastAsia="MS Gothic" w:hAnsiTheme="majorHAnsi" w:cstheme="majorHAnsi"/>
          <w:bCs/>
          <w:lang w:val="es-US" w:eastAsia="en-US"/>
        </w:rPr>
        <w:t>mejorados basados en datos.</w:t>
      </w:r>
    </w:p>
    <w:p w14:paraId="673C8F89" w14:textId="36325B14" w:rsidR="006F4FD3" w:rsidRPr="00882C55" w:rsidRDefault="00882C55" w:rsidP="00882C55">
      <w:pPr>
        <w:keepNext/>
        <w:keepLines/>
        <w:spacing w:before="200" w:after="0"/>
        <w:jc w:val="both"/>
        <w:outlineLvl w:val="2"/>
        <w:rPr>
          <w:rFonts w:asciiTheme="majorHAnsi" w:eastAsia="MS Gothic" w:hAnsiTheme="majorHAnsi" w:cstheme="majorHAnsi"/>
          <w:bCs/>
          <w:lang w:val="es-US" w:eastAsia="en-US"/>
        </w:rPr>
      </w:pPr>
      <w:r w:rsidRPr="00882C55">
        <w:rPr>
          <w:rFonts w:asciiTheme="majorHAnsi" w:eastAsia="MS Gothic" w:hAnsiTheme="majorHAnsi" w:cstheme="majorHAnsi"/>
          <w:bCs/>
          <w:lang w:val="es-US" w:eastAsia="en-US"/>
        </w:rPr>
        <w:t xml:space="preserve">En general, se puede decir </w:t>
      </w:r>
      <w:r w:rsidR="00232C05" w:rsidRPr="00882C55">
        <w:rPr>
          <w:rFonts w:asciiTheme="majorHAnsi" w:eastAsia="MS Gothic" w:hAnsiTheme="majorHAnsi" w:cstheme="majorHAnsi"/>
          <w:bCs/>
          <w:lang w:val="es-US" w:eastAsia="en-US"/>
        </w:rPr>
        <w:t>que,</w:t>
      </w:r>
      <w:r w:rsidRPr="00882C55">
        <w:rPr>
          <w:rFonts w:asciiTheme="majorHAnsi" w:eastAsia="MS Gothic" w:hAnsiTheme="majorHAnsi" w:cstheme="majorHAnsi"/>
          <w:bCs/>
          <w:lang w:val="es-US" w:eastAsia="en-US"/>
        </w:rPr>
        <w:t xml:space="preserve"> debido</w:t>
      </w:r>
      <w:r w:rsidR="00232C05">
        <w:rPr>
          <w:rFonts w:asciiTheme="majorHAnsi" w:eastAsia="MS Gothic" w:hAnsiTheme="majorHAnsi" w:cstheme="majorHAnsi"/>
          <w:bCs/>
          <w:lang w:val="es-US" w:eastAsia="en-US"/>
        </w:rPr>
        <w:t xml:space="preserve"> al apoyo del Fondo Mundial, hay </w:t>
      </w:r>
      <w:r w:rsidRPr="00882C55">
        <w:rPr>
          <w:rFonts w:asciiTheme="majorHAnsi" w:eastAsia="MS Gothic" w:hAnsiTheme="majorHAnsi" w:cstheme="majorHAnsi"/>
          <w:bCs/>
          <w:lang w:val="es-US" w:eastAsia="en-US"/>
        </w:rPr>
        <w:t xml:space="preserve">una mejor planificación de la cobertura del tratamiento, que reduce la transmisión del VIH y contribuye a disminuir la prevalencia del VIH y las tasas de incidencia. Sin embargo, los datos disponibles (ECVC 2012, estudios de </w:t>
      </w:r>
      <w:r w:rsidR="00232C05" w:rsidRPr="00882C55">
        <w:rPr>
          <w:rFonts w:asciiTheme="majorHAnsi" w:eastAsia="MS Gothic" w:hAnsiTheme="majorHAnsi" w:cstheme="majorHAnsi"/>
          <w:bCs/>
          <w:lang w:val="es-US" w:eastAsia="en-US"/>
        </w:rPr>
        <w:t>Garífuna</w:t>
      </w:r>
      <w:r w:rsidRPr="00882C55">
        <w:rPr>
          <w:rFonts w:asciiTheme="majorHAnsi" w:eastAsia="MS Gothic" w:hAnsiTheme="majorHAnsi" w:cstheme="majorHAnsi"/>
          <w:bCs/>
          <w:lang w:val="es-US" w:eastAsia="en-US"/>
        </w:rPr>
        <w:t xml:space="preserve"> en 2017, </w:t>
      </w:r>
      <w:r w:rsidRPr="00232C05">
        <w:rPr>
          <w:rFonts w:asciiTheme="majorHAnsi" w:eastAsia="MS Gothic" w:hAnsiTheme="majorHAnsi" w:cstheme="majorHAnsi"/>
          <w:bCs/>
          <w:i/>
          <w:lang w:val="es-US" w:eastAsia="en-US"/>
        </w:rPr>
        <w:t>IBBS</w:t>
      </w:r>
      <w:r w:rsidRPr="00882C55">
        <w:rPr>
          <w:rFonts w:asciiTheme="majorHAnsi" w:eastAsia="MS Gothic" w:hAnsiTheme="majorHAnsi" w:cstheme="majorHAnsi"/>
          <w:bCs/>
          <w:lang w:val="es-US" w:eastAsia="en-US"/>
        </w:rPr>
        <w:t xml:space="preserve"> en </w:t>
      </w:r>
      <w:r w:rsidR="00232C05">
        <w:rPr>
          <w:rFonts w:asciiTheme="majorHAnsi" w:eastAsia="MS Gothic" w:hAnsiTheme="majorHAnsi" w:cstheme="majorHAnsi"/>
          <w:bCs/>
          <w:lang w:val="es-US" w:eastAsia="en-US"/>
        </w:rPr>
        <w:t>PPL</w:t>
      </w:r>
      <w:r w:rsidRPr="00882C55">
        <w:rPr>
          <w:rFonts w:asciiTheme="majorHAnsi" w:eastAsia="MS Gothic" w:hAnsiTheme="majorHAnsi" w:cstheme="majorHAnsi"/>
          <w:bCs/>
          <w:lang w:val="es-US" w:eastAsia="en-US"/>
        </w:rPr>
        <w:t xml:space="preserve"> en 2015, y la base de datos de vigilancia de VICITS 2015-2017) para rastrear las tendencias históricas de la prevalencia del VIH en KP (MSM, FSW, TWG, </w:t>
      </w:r>
      <w:r w:rsidR="00232C05" w:rsidRPr="00882C55">
        <w:rPr>
          <w:rFonts w:asciiTheme="majorHAnsi" w:eastAsia="MS Gothic" w:hAnsiTheme="majorHAnsi" w:cstheme="majorHAnsi"/>
          <w:bCs/>
          <w:lang w:val="es-US" w:eastAsia="en-US"/>
        </w:rPr>
        <w:t>Garífuna</w:t>
      </w:r>
      <w:r w:rsidRPr="00882C55">
        <w:rPr>
          <w:rFonts w:asciiTheme="majorHAnsi" w:eastAsia="MS Gothic" w:hAnsiTheme="majorHAnsi" w:cstheme="majorHAnsi"/>
          <w:bCs/>
          <w:lang w:val="es-US" w:eastAsia="en-US"/>
        </w:rPr>
        <w:t xml:space="preserve"> y </w:t>
      </w:r>
      <w:r w:rsidR="00232C05">
        <w:rPr>
          <w:rFonts w:asciiTheme="majorHAnsi" w:eastAsia="MS Gothic" w:hAnsiTheme="majorHAnsi" w:cstheme="majorHAnsi"/>
          <w:bCs/>
          <w:lang w:val="es-US" w:eastAsia="en-US"/>
        </w:rPr>
        <w:t>PPL</w:t>
      </w:r>
      <w:r w:rsidRPr="00882C55">
        <w:rPr>
          <w:rFonts w:asciiTheme="majorHAnsi" w:eastAsia="MS Gothic" w:hAnsiTheme="majorHAnsi" w:cstheme="majorHAnsi"/>
          <w:bCs/>
          <w:lang w:val="es-US" w:eastAsia="en-US"/>
        </w:rPr>
        <w:t>) no permita comparaciones consistentes, ya que sus fuentes de recopilación de datos y su metodología, así como los ámbitos geográficos, son diferentes (consulte la Tabla 5). Por lo tanto, no está claro si y hasta qué punto las inversiones del Fondo Mundial han contribuido a una disminución de la prevalencia entre esos grupos.</w:t>
      </w:r>
    </w:p>
    <w:p w14:paraId="3D4A40DE" w14:textId="11683EC4" w:rsidR="000A1DD4" w:rsidRPr="006F4FD3" w:rsidRDefault="000A1DD4" w:rsidP="006F4FD3">
      <w:pPr>
        <w:keepNext/>
        <w:keepLines/>
        <w:spacing w:before="200" w:after="0"/>
        <w:outlineLvl w:val="2"/>
        <w:rPr>
          <w:rFonts w:ascii="Calibri Light" w:eastAsia="MS Gothic" w:hAnsi="Calibri Light" w:cs="Times New Roman"/>
          <w:b/>
          <w:bCs/>
          <w:sz w:val="20"/>
          <w:szCs w:val="20"/>
          <w:lang w:val="es-ES_tradnl" w:eastAsia="en-US"/>
        </w:rPr>
      </w:pPr>
      <w:r w:rsidRPr="006F4FD3">
        <w:rPr>
          <w:rFonts w:ascii="Calibri Light" w:eastAsia="MS Gothic" w:hAnsi="Calibri Light" w:cs="Times New Roman"/>
          <w:b/>
          <w:bCs/>
          <w:sz w:val="20"/>
          <w:szCs w:val="20"/>
          <w:lang w:val="es-ES_tradnl" w:eastAsia="en-US"/>
        </w:rPr>
        <w:t>Tabla 5: La prevalencia del VIH entre poblaciones clave, 2012-2017</w:t>
      </w:r>
      <w:bookmarkEnd w:id="38"/>
    </w:p>
    <w:tbl>
      <w:tblPr>
        <w:tblStyle w:val="TableGrid2"/>
        <w:tblW w:w="5000" w:type="pct"/>
        <w:tblLook w:val="04A0" w:firstRow="1" w:lastRow="0" w:firstColumn="1" w:lastColumn="0" w:noHBand="0" w:noVBand="1"/>
      </w:tblPr>
      <w:tblGrid>
        <w:gridCol w:w="1278"/>
        <w:gridCol w:w="2650"/>
        <w:gridCol w:w="1416"/>
        <w:gridCol w:w="1836"/>
        <w:gridCol w:w="1836"/>
      </w:tblGrid>
      <w:tr w:rsidR="000A1DD4" w:rsidRPr="006F4FD3" w14:paraId="2DAA97FE" w14:textId="77777777" w:rsidTr="005F63B6">
        <w:tc>
          <w:tcPr>
            <w:tcW w:w="709" w:type="pct"/>
            <w:shd w:val="clear" w:color="auto" w:fill="E7E6E6"/>
          </w:tcPr>
          <w:p w14:paraId="64A76BE6"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Poblaciones clave</w:t>
            </w:r>
          </w:p>
        </w:tc>
        <w:tc>
          <w:tcPr>
            <w:tcW w:w="1470" w:type="pct"/>
            <w:shd w:val="clear" w:color="auto" w:fill="E7E6E6"/>
          </w:tcPr>
          <w:p w14:paraId="05E33BF0"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ECVC 2012</w:t>
            </w:r>
          </w:p>
          <w:p w14:paraId="797F1072"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(HSH y mujeres transgénero combinado)</w:t>
            </w:r>
          </w:p>
        </w:tc>
        <w:tc>
          <w:tcPr>
            <w:tcW w:w="785" w:type="pct"/>
            <w:shd w:val="clear" w:color="auto" w:fill="E7E6E6"/>
          </w:tcPr>
          <w:p w14:paraId="1AA6D057"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VICITS 2015</w:t>
            </w:r>
          </w:p>
        </w:tc>
        <w:tc>
          <w:tcPr>
            <w:tcW w:w="1018" w:type="pct"/>
            <w:shd w:val="clear" w:color="auto" w:fill="E7E6E6"/>
          </w:tcPr>
          <w:p w14:paraId="0C9354E1"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VICITS 2016</w:t>
            </w:r>
          </w:p>
        </w:tc>
        <w:tc>
          <w:tcPr>
            <w:tcW w:w="1018" w:type="pct"/>
            <w:shd w:val="clear" w:color="auto" w:fill="E7E6E6"/>
          </w:tcPr>
          <w:p w14:paraId="0B2BE2DB" w14:textId="77777777" w:rsidR="000A1DD4" w:rsidRPr="006F4FD3" w:rsidRDefault="000A1DD4" w:rsidP="006F4FD3">
            <w:pPr>
              <w:jc w:val="center"/>
              <w:rPr>
                <w:rFonts w:ascii="Calibri Light" w:eastAsia="MS Gothic" w:hAnsi="Calibri Light" w:cs="Calibri Light"/>
                <w:b/>
                <w:sz w:val="20"/>
                <w:szCs w:val="20"/>
                <w:lang w:val="es-ES_tradnl"/>
              </w:rPr>
            </w:pPr>
            <w:r w:rsidRPr="006F4FD3">
              <w:rPr>
                <w:rFonts w:ascii="Calibri Light" w:eastAsia="MS Gothic" w:hAnsi="Calibri Light" w:cs="Calibri Light"/>
                <w:b/>
                <w:sz w:val="20"/>
                <w:szCs w:val="20"/>
                <w:lang w:val="es-ES_tradnl"/>
              </w:rPr>
              <w:t>VICITS 2017</w:t>
            </w:r>
          </w:p>
        </w:tc>
      </w:tr>
      <w:tr w:rsidR="000A1DD4" w:rsidRPr="006F4FD3" w14:paraId="18CEAED4" w14:textId="77777777" w:rsidTr="005F63B6">
        <w:tc>
          <w:tcPr>
            <w:tcW w:w="709" w:type="pct"/>
          </w:tcPr>
          <w:p w14:paraId="0495BA1A" w14:textId="77777777" w:rsidR="000A1DD4" w:rsidRPr="006F4FD3" w:rsidRDefault="000A1DD4" w:rsidP="006F4FD3">
            <w:pPr>
              <w:jc w:val="both"/>
              <w:rPr>
                <w:rFonts w:eastAsia="MS Gothic" w:cs="Calibri"/>
                <w:sz w:val="20"/>
                <w:szCs w:val="20"/>
                <w:lang w:val="es-ES_tradnl"/>
              </w:rPr>
            </w:pPr>
            <w:r w:rsidRPr="006F4FD3">
              <w:rPr>
                <w:rFonts w:eastAsia="MS Gothic" w:cs="Calibri"/>
                <w:sz w:val="20"/>
                <w:szCs w:val="20"/>
                <w:lang w:val="es-ES_tradnl"/>
              </w:rPr>
              <w:t>HSH</w:t>
            </w:r>
          </w:p>
        </w:tc>
        <w:tc>
          <w:tcPr>
            <w:tcW w:w="1470" w:type="pct"/>
            <w:vMerge w:val="restart"/>
          </w:tcPr>
          <w:p w14:paraId="7F112E37"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Tegucigalpa: 6.9%</w:t>
            </w:r>
          </w:p>
          <w:p w14:paraId="5126EBB7"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San Pedro Sula: 10.7%</w:t>
            </w:r>
          </w:p>
          <w:p w14:paraId="5D2DAF82"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La Ceiba: 11.7%</w:t>
            </w:r>
          </w:p>
        </w:tc>
        <w:tc>
          <w:tcPr>
            <w:tcW w:w="785" w:type="pct"/>
          </w:tcPr>
          <w:p w14:paraId="3CB2FAE0"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15.8%</w:t>
            </w:r>
          </w:p>
        </w:tc>
        <w:tc>
          <w:tcPr>
            <w:tcW w:w="1018" w:type="pct"/>
          </w:tcPr>
          <w:p w14:paraId="394F2563"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11.7%</w:t>
            </w:r>
          </w:p>
        </w:tc>
        <w:tc>
          <w:tcPr>
            <w:tcW w:w="1018" w:type="pct"/>
          </w:tcPr>
          <w:p w14:paraId="2C5A21C8"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12.4%</w:t>
            </w:r>
          </w:p>
        </w:tc>
      </w:tr>
      <w:tr w:rsidR="000A1DD4" w:rsidRPr="006F4FD3" w14:paraId="0240384F" w14:textId="77777777" w:rsidTr="005F63B6">
        <w:tc>
          <w:tcPr>
            <w:tcW w:w="709" w:type="pct"/>
          </w:tcPr>
          <w:p w14:paraId="4C15C532" w14:textId="77777777" w:rsidR="000A1DD4" w:rsidRPr="006F4FD3" w:rsidRDefault="000A1DD4" w:rsidP="006F4FD3">
            <w:pPr>
              <w:jc w:val="both"/>
              <w:rPr>
                <w:rFonts w:eastAsia="MS Gothic" w:cs="Calibri"/>
                <w:sz w:val="20"/>
                <w:szCs w:val="20"/>
                <w:lang w:val="es-ES_tradnl"/>
              </w:rPr>
            </w:pPr>
            <w:r w:rsidRPr="006F4FD3">
              <w:rPr>
                <w:rFonts w:eastAsia="MS Gothic" w:cs="Calibri"/>
                <w:sz w:val="20"/>
                <w:szCs w:val="20"/>
                <w:lang w:val="es-ES_tradnl"/>
              </w:rPr>
              <w:t>Mujeres transgénero</w:t>
            </w:r>
          </w:p>
        </w:tc>
        <w:tc>
          <w:tcPr>
            <w:tcW w:w="1470" w:type="pct"/>
            <w:vMerge/>
          </w:tcPr>
          <w:p w14:paraId="7A3AE242" w14:textId="77777777" w:rsidR="000A1DD4" w:rsidRPr="006F4FD3" w:rsidRDefault="000A1DD4" w:rsidP="006F4FD3">
            <w:pPr>
              <w:rPr>
                <w:rFonts w:eastAsia="MS Gothic" w:cs="Calibri"/>
                <w:sz w:val="20"/>
                <w:szCs w:val="20"/>
                <w:lang w:val="es-ES_tradnl"/>
              </w:rPr>
            </w:pPr>
          </w:p>
        </w:tc>
        <w:tc>
          <w:tcPr>
            <w:tcW w:w="785" w:type="pct"/>
          </w:tcPr>
          <w:p w14:paraId="4006E8AD"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5.7%</w:t>
            </w:r>
          </w:p>
        </w:tc>
        <w:tc>
          <w:tcPr>
            <w:tcW w:w="1018" w:type="pct"/>
          </w:tcPr>
          <w:p w14:paraId="6419017F"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11.9%</w:t>
            </w:r>
          </w:p>
        </w:tc>
        <w:tc>
          <w:tcPr>
            <w:tcW w:w="1018" w:type="pct"/>
          </w:tcPr>
          <w:p w14:paraId="2E5B5E5F"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9.7%</w:t>
            </w:r>
          </w:p>
        </w:tc>
      </w:tr>
      <w:tr w:rsidR="000A1DD4" w:rsidRPr="006F4FD3" w14:paraId="1BB62BF7" w14:textId="77777777" w:rsidTr="005F63B6">
        <w:tc>
          <w:tcPr>
            <w:tcW w:w="709" w:type="pct"/>
          </w:tcPr>
          <w:p w14:paraId="74BCE159" w14:textId="77777777" w:rsidR="000A1DD4" w:rsidRPr="006F4FD3" w:rsidRDefault="000A1DD4" w:rsidP="006F4FD3">
            <w:pPr>
              <w:jc w:val="both"/>
              <w:rPr>
                <w:rFonts w:eastAsia="MS Gothic" w:cs="Calibri"/>
                <w:sz w:val="20"/>
                <w:szCs w:val="20"/>
                <w:lang w:val="es-ES_tradnl"/>
              </w:rPr>
            </w:pPr>
            <w:r w:rsidRPr="006F4FD3">
              <w:rPr>
                <w:rFonts w:eastAsia="MS Gothic" w:cs="Calibri"/>
                <w:sz w:val="20"/>
                <w:szCs w:val="20"/>
                <w:lang w:val="es-ES_tradnl"/>
              </w:rPr>
              <w:t>Trabajadoras sexuales</w:t>
            </w:r>
          </w:p>
        </w:tc>
        <w:tc>
          <w:tcPr>
            <w:tcW w:w="1470" w:type="pct"/>
          </w:tcPr>
          <w:p w14:paraId="0D1E0B73"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Tegucigalpa: 3.3%</w:t>
            </w:r>
          </w:p>
          <w:p w14:paraId="54A9E569"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San Pedro Sula: 6.7%</w:t>
            </w:r>
          </w:p>
          <w:p w14:paraId="14D2D48C"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La Ceiba: 15.3%</w:t>
            </w:r>
          </w:p>
        </w:tc>
        <w:tc>
          <w:tcPr>
            <w:tcW w:w="785" w:type="pct"/>
          </w:tcPr>
          <w:p w14:paraId="7730CBCF"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0.3%</w:t>
            </w:r>
          </w:p>
        </w:tc>
        <w:tc>
          <w:tcPr>
            <w:tcW w:w="1018" w:type="pct"/>
          </w:tcPr>
          <w:p w14:paraId="2607B2F2"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3.4%</w:t>
            </w:r>
          </w:p>
        </w:tc>
        <w:tc>
          <w:tcPr>
            <w:tcW w:w="1018" w:type="pct"/>
          </w:tcPr>
          <w:p w14:paraId="1068B360"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2.0%</w:t>
            </w:r>
          </w:p>
        </w:tc>
      </w:tr>
      <w:tr w:rsidR="000A1DD4" w:rsidRPr="006F4FD3" w14:paraId="5A958821" w14:textId="77777777" w:rsidTr="005F63B6">
        <w:tc>
          <w:tcPr>
            <w:tcW w:w="709" w:type="pct"/>
            <w:vMerge w:val="restart"/>
          </w:tcPr>
          <w:p w14:paraId="36C15E26" w14:textId="51F8CA38" w:rsidR="000A1DD4" w:rsidRPr="006F4FD3" w:rsidRDefault="003C6851" w:rsidP="006F4FD3">
            <w:pPr>
              <w:jc w:val="both"/>
              <w:rPr>
                <w:rFonts w:eastAsia="MS Gothic" w:cs="Calibri"/>
                <w:sz w:val="20"/>
                <w:szCs w:val="20"/>
                <w:lang w:val="es-ES_tradnl"/>
              </w:rPr>
            </w:pPr>
            <w:r w:rsidRPr="006F4FD3">
              <w:rPr>
                <w:rFonts w:eastAsia="MS Gothic" w:cs="Calibri"/>
                <w:sz w:val="20"/>
                <w:szCs w:val="20"/>
                <w:lang w:val="es-ES_tradnl"/>
              </w:rPr>
              <w:t>Garífuna</w:t>
            </w:r>
            <w:r w:rsidR="000A1DD4" w:rsidRPr="006F4FD3">
              <w:rPr>
                <w:rFonts w:eastAsia="MS Gothic" w:cs="Calibri"/>
                <w:sz w:val="20"/>
                <w:szCs w:val="20"/>
                <w:lang w:val="es-ES_tradnl"/>
              </w:rPr>
              <w:t xml:space="preserve">  </w:t>
            </w:r>
          </w:p>
        </w:tc>
        <w:tc>
          <w:tcPr>
            <w:tcW w:w="1470" w:type="pct"/>
            <w:vMerge w:val="restart"/>
          </w:tcPr>
          <w:p w14:paraId="3345B338" w14:textId="77777777" w:rsidR="000A1DD4" w:rsidRPr="006F4FD3" w:rsidRDefault="000A1DD4" w:rsidP="006F4FD3">
            <w:pPr>
              <w:rPr>
                <w:rFonts w:eastAsia="MS Gothic" w:cs="Calibri"/>
                <w:sz w:val="20"/>
                <w:szCs w:val="20"/>
                <w:lang w:val="es-ES_tradnl"/>
              </w:rPr>
            </w:pPr>
            <w:r w:rsidRPr="006F4FD3">
              <w:rPr>
                <w:rFonts w:eastAsia="MS Gothic" w:cs="Calibri"/>
                <w:sz w:val="20"/>
                <w:szCs w:val="20"/>
                <w:lang w:val="es-ES_tradnl"/>
              </w:rPr>
              <w:t>3.6%</w:t>
            </w:r>
          </w:p>
        </w:tc>
        <w:tc>
          <w:tcPr>
            <w:tcW w:w="2822" w:type="pct"/>
            <w:gridSpan w:val="3"/>
          </w:tcPr>
          <w:p w14:paraId="13F935E7"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 xml:space="preserve">Álvarez-Rodríguez, et al., 2017 </w:t>
            </w:r>
          </w:p>
        </w:tc>
      </w:tr>
      <w:tr w:rsidR="000A1DD4" w:rsidRPr="006F4FD3" w14:paraId="2D64349B" w14:textId="77777777" w:rsidTr="005F63B6">
        <w:tc>
          <w:tcPr>
            <w:tcW w:w="709" w:type="pct"/>
            <w:vMerge/>
          </w:tcPr>
          <w:p w14:paraId="35943015" w14:textId="77777777" w:rsidR="000A1DD4" w:rsidRPr="006F4FD3" w:rsidRDefault="000A1DD4" w:rsidP="006F4FD3">
            <w:pPr>
              <w:jc w:val="both"/>
              <w:rPr>
                <w:rFonts w:eastAsia="MS Gothic" w:cs="Calibri"/>
                <w:sz w:val="20"/>
                <w:szCs w:val="20"/>
                <w:lang w:val="es-ES_tradnl"/>
              </w:rPr>
            </w:pPr>
          </w:p>
        </w:tc>
        <w:tc>
          <w:tcPr>
            <w:tcW w:w="1470" w:type="pct"/>
            <w:vMerge/>
          </w:tcPr>
          <w:p w14:paraId="11056428" w14:textId="77777777" w:rsidR="000A1DD4" w:rsidRPr="006F4FD3" w:rsidRDefault="000A1DD4" w:rsidP="006F4FD3">
            <w:pPr>
              <w:jc w:val="center"/>
              <w:rPr>
                <w:rFonts w:eastAsia="MS Gothic" w:cs="Calibri"/>
                <w:sz w:val="20"/>
                <w:szCs w:val="20"/>
                <w:lang w:val="es-ES_tradnl"/>
              </w:rPr>
            </w:pPr>
          </w:p>
        </w:tc>
        <w:tc>
          <w:tcPr>
            <w:tcW w:w="2822" w:type="pct"/>
            <w:gridSpan w:val="3"/>
          </w:tcPr>
          <w:p w14:paraId="16E013CC"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 xml:space="preserve">1.7% </w:t>
            </w:r>
          </w:p>
        </w:tc>
      </w:tr>
      <w:tr w:rsidR="000A1DD4" w:rsidRPr="006F4FD3" w14:paraId="247ED03A" w14:textId="77777777" w:rsidTr="005F63B6">
        <w:tc>
          <w:tcPr>
            <w:tcW w:w="709" w:type="pct"/>
            <w:vMerge w:val="restart"/>
          </w:tcPr>
          <w:p w14:paraId="7842DA53" w14:textId="77777777" w:rsidR="000A1DD4" w:rsidRPr="006F4FD3" w:rsidRDefault="000A1DD4" w:rsidP="006F4FD3">
            <w:pPr>
              <w:jc w:val="both"/>
              <w:rPr>
                <w:rFonts w:eastAsia="MS Gothic" w:cs="Calibri"/>
                <w:sz w:val="20"/>
                <w:szCs w:val="20"/>
                <w:lang w:val="es-ES_tradnl"/>
              </w:rPr>
            </w:pPr>
            <w:r w:rsidRPr="006F4FD3">
              <w:rPr>
                <w:rFonts w:eastAsia="MS Gothic" w:cs="Calibri"/>
                <w:sz w:val="20"/>
                <w:szCs w:val="20"/>
                <w:lang w:val="es-ES_tradnl"/>
              </w:rPr>
              <w:t>PPL</w:t>
            </w:r>
          </w:p>
        </w:tc>
        <w:tc>
          <w:tcPr>
            <w:tcW w:w="4291" w:type="pct"/>
            <w:gridSpan w:val="4"/>
          </w:tcPr>
          <w:p w14:paraId="37BE8EF3"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SESAL PPL, 2015</w:t>
            </w:r>
          </w:p>
        </w:tc>
      </w:tr>
      <w:tr w:rsidR="000A1DD4" w:rsidRPr="006F4FD3" w14:paraId="1051A0CA" w14:textId="77777777" w:rsidTr="005F63B6">
        <w:tc>
          <w:tcPr>
            <w:tcW w:w="709" w:type="pct"/>
            <w:vMerge/>
          </w:tcPr>
          <w:p w14:paraId="300713A5" w14:textId="77777777" w:rsidR="000A1DD4" w:rsidRPr="006F4FD3" w:rsidRDefault="000A1DD4" w:rsidP="006F4FD3">
            <w:pPr>
              <w:jc w:val="both"/>
              <w:rPr>
                <w:rFonts w:eastAsia="MS Gothic" w:cs="Calibri"/>
                <w:sz w:val="20"/>
                <w:szCs w:val="20"/>
                <w:lang w:val="es-ES_tradnl"/>
              </w:rPr>
            </w:pPr>
          </w:p>
        </w:tc>
        <w:tc>
          <w:tcPr>
            <w:tcW w:w="4291" w:type="pct"/>
            <w:gridSpan w:val="4"/>
          </w:tcPr>
          <w:p w14:paraId="1A895ADD"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Tegucigalpa Hombres: 1%</w:t>
            </w:r>
          </w:p>
          <w:p w14:paraId="226F936C"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Tegucigalpa Mujeres: 0.8%</w:t>
            </w:r>
          </w:p>
          <w:p w14:paraId="2D77667C"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San Pedro Sula Hombres: 3.3%</w:t>
            </w:r>
          </w:p>
          <w:p w14:paraId="58A36B20" w14:textId="77777777" w:rsidR="000A1DD4" w:rsidRPr="006F4FD3" w:rsidRDefault="000A1DD4" w:rsidP="006F4FD3">
            <w:pPr>
              <w:jc w:val="center"/>
              <w:rPr>
                <w:rFonts w:eastAsia="MS Gothic" w:cs="Calibri"/>
                <w:sz w:val="20"/>
                <w:szCs w:val="20"/>
                <w:lang w:val="es-ES_tradnl"/>
              </w:rPr>
            </w:pPr>
            <w:r w:rsidRPr="006F4FD3">
              <w:rPr>
                <w:rFonts w:eastAsia="MS Gothic" w:cs="Calibri"/>
                <w:sz w:val="20"/>
                <w:szCs w:val="20"/>
                <w:lang w:val="es-ES_tradnl"/>
              </w:rPr>
              <w:t>San Pedro Sula Mujeres: 0%</w:t>
            </w:r>
          </w:p>
        </w:tc>
      </w:tr>
    </w:tbl>
    <w:p w14:paraId="2B7D2372" w14:textId="77777777" w:rsidR="00232C05" w:rsidRDefault="00232C05" w:rsidP="00232C05">
      <w:pPr>
        <w:jc w:val="both"/>
        <w:rPr>
          <w:lang w:val="es-US"/>
        </w:rPr>
      </w:pPr>
    </w:p>
    <w:p w14:paraId="6C5C8F4E" w14:textId="72A8D237" w:rsidR="00232C05" w:rsidRPr="00232C05" w:rsidRDefault="00232C05" w:rsidP="00232C05">
      <w:pPr>
        <w:jc w:val="both"/>
        <w:rPr>
          <w:lang w:val="es-US"/>
        </w:rPr>
      </w:pPr>
      <w:r w:rsidRPr="00232C05">
        <w:rPr>
          <w:lang w:val="es-US"/>
        </w:rPr>
        <w:t xml:space="preserve">No hay evidencia de que la incidencia haya disminuido debido a las reducciones de la transmisión como resultado de mayores números absolutos y relativos de </w:t>
      </w:r>
      <w:r>
        <w:rPr>
          <w:lang w:val="es-US"/>
        </w:rPr>
        <w:t>PVVIH</w:t>
      </w:r>
      <w:r w:rsidRPr="00232C05">
        <w:rPr>
          <w:lang w:val="es-US"/>
        </w:rPr>
        <w:t xml:space="preserve"> en el tratamiento. El país adoptó por completo un enfoque de </w:t>
      </w:r>
      <w:r w:rsidR="00300144">
        <w:rPr>
          <w:lang w:val="es-US"/>
        </w:rPr>
        <w:t xml:space="preserve">“Análisis y Tratamiento” </w:t>
      </w:r>
      <w:r w:rsidRPr="00232C05">
        <w:rPr>
          <w:lang w:val="es-US"/>
        </w:rPr>
        <w:t>en 2017, pero es demasiado pronto para ver una correlación entre el aumento de la</w:t>
      </w:r>
      <w:r w:rsidR="00300144">
        <w:rPr>
          <w:lang w:val="es-US"/>
        </w:rPr>
        <w:t xml:space="preserve"> vinculación y la retención y reducción de la morbilidad y</w:t>
      </w:r>
      <w:r w:rsidRPr="00232C05">
        <w:rPr>
          <w:lang w:val="es-US"/>
        </w:rPr>
        <w:t xml:space="preserve"> mortalidad.</w:t>
      </w:r>
    </w:p>
    <w:p w14:paraId="35F28DA9" w14:textId="53D7745D" w:rsidR="00232C05" w:rsidRPr="00232C05" w:rsidRDefault="00232C05" w:rsidP="00232C05">
      <w:pPr>
        <w:jc w:val="both"/>
        <w:rPr>
          <w:lang w:val="es-US"/>
        </w:rPr>
      </w:pPr>
      <w:r w:rsidRPr="00232C05">
        <w:rPr>
          <w:lang w:val="es-US"/>
        </w:rPr>
        <w:lastRenderedPageBreak/>
        <w:t xml:space="preserve">En general, la mortalidad relacionada con el SIDA comenzó a disminuir paralelamente al lanzamiento de </w:t>
      </w:r>
      <w:r w:rsidR="006B2A8D">
        <w:rPr>
          <w:lang w:val="es-US"/>
        </w:rPr>
        <w:t>TARV</w:t>
      </w:r>
      <w:r w:rsidRPr="00232C05">
        <w:rPr>
          <w:lang w:val="es-US"/>
        </w:rPr>
        <w:t xml:space="preserve"> en Honduras en </w:t>
      </w:r>
      <w:r w:rsidR="006B2A8D">
        <w:rPr>
          <w:lang w:val="es-US"/>
        </w:rPr>
        <w:t xml:space="preserve">el </w:t>
      </w:r>
      <w:r w:rsidRPr="00232C05">
        <w:rPr>
          <w:lang w:val="es-US"/>
        </w:rPr>
        <w:t xml:space="preserve">2003, con la primera subvención del Fondo Mundial (SESAL, 2018a). El número de </w:t>
      </w:r>
      <w:r w:rsidR="006B2A8D">
        <w:rPr>
          <w:lang w:val="es-US"/>
        </w:rPr>
        <w:t>PVVIH</w:t>
      </w:r>
      <w:r w:rsidRPr="00232C05">
        <w:rPr>
          <w:lang w:val="es-US"/>
        </w:rPr>
        <w:t xml:space="preserve"> en </w:t>
      </w:r>
      <w:r w:rsidR="006B2A8D">
        <w:rPr>
          <w:lang w:val="es-US"/>
        </w:rPr>
        <w:t>TARV</w:t>
      </w:r>
      <w:r w:rsidRPr="00232C05">
        <w:rPr>
          <w:lang w:val="es-US"/>
        </w:rPr>
        <w:t xml:space="preserve"> aumentó un 17% entre 2012 y 2017. </w:t>
      </w:r>
      <w:r w:rsidR="006B2A8D">
        <w:rPr>
          <w:lang w:val="es-US"/>
        </w:rPr>
        <w:t xml:space="preserve"> </w:t>
      </w:r>
      <w:r w:rsidRPr="00232C05">
        <w:rPr>
          <w:lang w:val="es-US"/>
        </w:rPr>
        <w:t>Desde 2010, la mortalidad relacionada con el SIDA (según los informes de los hospitales) ha fluctu</w:t>
      </w:r>
      <w:r w:rsidR="00F05747">
        <w:rPr>
          <w:lang w:val="es-US"/>
        </w:rPr>
        <w:t>ado, con un máximo en 2014 de 2.</w:t>
      </w:r>
      <w:r w:rsidRPr="00232C05">
        <w:rPr>
          <w:lang w:val="es-US"/>
        </w:rPr>
        <w:t>44</w:t>
      </w:r>
      <w:r w:rsidR="00F05747">
        <w:rPr>
          <w:lang w:val="es-US"/>
        </w:rPr>
        <w:t xml:space="preserve"> por cada 100,</w:t>
      </w:r>
      <w:r w:rsidRPr="00232C05">
        <w:rPr>
          <w:lang w:val="es-US"/>
        </w:rPr>
        <w:t xml:space="preserve">000 habitantes, lo que puede explicarse en parte por </w:t>
      </w:r>
      <w:r w:rsidR="00F05747">
        <w:rPr>
          <w:lang w:val="es-US"/>
        </w:rPr>
        <w:t>la al</w:t>
      </w:r>
      <w:r w:rsidRPr="00232C05">
        <w:rPr>
          <w:lang w:val="es-US"/>
        </w:rPr>
        <w:t>ta tasa de diagnóstico tardío (48%). En 2017, la tasa fue de 1.7 por 100,000 habitantes, alcanzando 154 muertes, en comparación con 147 en 2010 (CCM, 2018). El esfuerzo apoyado por el Fondo Mundial para probar y tratar puede haber contribuido a esta disminución en los últimos tres años.</w:t>
      </w:r>
    </w:p>
    <w:p w14:paraId="2DB39C9A" w14:textId="01F7EBEF" w:rsidR="00232C05" w:rsidRPr="00232C05" w:rsidRDefault="00232C05" w:rsidP="00232C05">
      <w:pPr>
        <w:jc w:val="both"/>
        <w:rPr>
          <w:lang w:val="es-US"/>
        </w:rPr>
      </w:pPr>
      <w:r w:rsidRPr="00232C05">
        <w:rPr>
          <w:lang w:val="es-US"/>
        </w:rPr>
        <w:t xml:space="preserve">Algunas fuentes advierten que la mortalidad relacionada con el SIDA puede no reportarse (los centros de salud no siempre incluyen al SIDA como causa de muerte, ya sea por mala gestión o por solicitud del paciente o su familia) y que algunos grupos vulnerables, como los garífunas, parecen </w:t>
      </w:r>
      <w:r w:rsidR="00F05747">
        <w:rPr>
          <w:lang w:val="es-US"/>
        </w:rPr>
        <w:t>mostrar</w:t>
      </w:r>
      <w:r w:rsidRPr="00232C05">
        <w:rPr>
          <w:lang w:val="es-US"/>
        </w:rPr>
        <w:t xml:space="preserve"> una tasa de mortalidad persistentemente alta (23.9%) (Álvarez-Rodríguez, et al., 2017). Los d</w:t>
      </w:r>
      <w:r w:rsidR="00F05747">
        <w:rPr>
          <w:lang w:val="es-US"/>
        </w:rPr>
        <w:t>atos recientes de la población G</w:t>
      </w:r>
      <w:r w:rsidR="00F05747" w:rsidRPr="00232C05">
        <w:rPr>
          <w:lang w:val="es-US"/>
        </w:rPr>
        <w:t>arífuna</w:t>
      </w:r>
      <w:r w:rsidRPr="00232C05">
        <w:rPr>
          <w:lang w:val="es-US"/>
        </w:rPr>
        <w:t xml:space="preserve"> muestran un alto nivel de mortalidad</w:t>
      </w:r>
      <w:r w:rsidR="00F05747">
        <w:rPr>
          <w:lang w:val="es-US"/>
        </w:rPr>
        <w:t xml:space="preserve"> relacionada con el SIDA (el 23.</w:t>
      </w:r>
      <w:r w:rsidRPr="00232C05">
        <w:rPr>
          <w:lang w:val="es-US"/>
        </w:rPr>
        <w:t xml:space="preserve">9% de la cohorte actual de todas </w:t>
      </w:r>
      <w:r w:rsidR="00F05747">
        <w:rPr>
          <w:lang w:val="es-US"/>
        </w:rPr>
        <w:t>los SAI,</w:t>
      </w:r>
      <w:r w:rsidRPr="00232C05">
        <w:rPr>
          <w:lang w:val="es-US"/>
        </w:rPr>
        <w:t xml:space="preserve"> que comprende 1,908 personas </w:t>
      </w:r>
      <w:r w:rsidR="00F05747" w:rsidRPr="00232C05">
        <w:rPr>
          <w:lang w:val="es-US"/>
        </w:rPr>
        <w:t>G</w:t>
      </w:r>
      <w:r w:rsidR="00F05747">
        <w:rPr>
          <w:lang w:val="es-US"/>
        </w:rPr>
        <w:t>a</w:t>
      </w:r>
      <w:r w:rsidR="00F05747" w:rsidRPr="00232C05">
        <w:rPr>
          <w:lang w:val="es-US"/>
        </w:rPr>
        <w:t>rífuna</w:t>
      </w:r>
      <w:r w:rsidRPr="00232C05">
        <w:rPr>
          <w:lang w:val="es-US"/>
        </w:rPr>
        <w:t>), lo que indica una brecha potencial importante para abordar las necesidades de estas poblaciones. Según los informantes clave (Álvarez-Rodríguez, et al., 2017), los problemas de aceptabilidad de las pruebas, la vinculación con la atención médica y la adherencia al tratamiento pueden ser las causas de este fenómeno.</w:t>
      </w:r>
    </w:p>
    <w:p w14:paraId="7F80BE42" w14:textId="1B5D2A17" w:rsidR="00FB3358" w:rsidRDefault="006953CB" w:rsidP="00FB3358">
      <w:pPr>
        <w:rPr>
          <w:rFonts w:ascii="Calibri Light" w:eastAsia="MS Gothic" w:hAnsi="Calibri Light" w:cs="Times New Roman"/>
          <w:b/>
          <w:lang w:val="es-ES_tradnl" w:eastAsia="en-US"/>
        </w:rPr>
      </w:pPr>
      <w:r w:rsidRPr="006F4FD3">
        <w:rPr>
          <w:rFonts w:ascii="Calibri Light" w:eastAsia="MS Gothic" w:hAnsi="Calibri Light" w:cs="Times New Roman"/>
          <w:b/>
          <w:lang w:val="es-ES_tradnl" w:eastAsia="en-US"/>
        </w:rPr>
        <w:t>Inversión estratégica efectiva</w:t>
      </w:r>
      <w:r w:rsidR="00FB3358" w:rsidRPr="00216226">
        <w:rPr>
          <w:rFonts w:ascii="Calibri Light" w:eastAsia="MS Gothic" w:hAnsi="Calibri Light" w:cs="Times New Roman"/>
          <w:b/>
          <w:lang w:val="es-ES_tradnl" w:eastAsia="en-US"/>
        </w:rPr>
        <w:t xml:space="preserve"> </w:t>
      </w:r>
    </w:p>
    <w:p w14:paraId="090FE636" w14:textId="094B0345" w:rsidR="00FB3358" w:rsidRPr="00216226" w:rsidRDefault="009820CB" w:rsidP="00FB3358">
      <w:pPr>
        <w:jc w:val="both"/>
        <w:rPr>
          <w:rFonts w:eastAsia="MS Gothic"/>
          <w:lang w:val="es-ES_tradnl" w:eastAsia="en-US"/>
        </w:rPr>
      </w:pPr>
      <w:bookmarkStart w:id="39" w:name="_Hlk8336867"/>
      <w:r w:rsidRPr="00216226">
        <w:rPr>
          <w:rFonts w:eastAsia="MS Gothic"/>
          <w:lang w:val="es-ES_tradnl" w:eastAsia="en-US"/>
        </w:rPr>
        <w:t>El Fondo Mundial ha estado invirtiendo estratégicamente en todos los aspectos relevantes de la Respuesta Nacional al VIH en Honduras. Con el tiempo, las inversiones prepararon el terreno para que el país asumiera la cobertura de TARV y otros aspectos de la respuesta</w:t>
      </w:r>
      <w:r w:rsidR="00FB3358" w:rsidRPr="00216226">
        <w:rPr>
          <w:rFonts w:eastAsia="MS Gothic"/>
          <w:lang w:val="es-ES_tradnl" w:eastAsia="en-US"/>
        </w:rPr>
        <w:t xml:space="preserve">. </w:t>
      </w:r>
      <w:r w:rsidRPr="00216226">
        <w:rPr>
          <w:rFonts w:eastAsia="MS Gothic"/>
          <w:lang w:val="es-ES_tradnl" w:eastAsia="en-US"/>
        </w:rPr>
        <w:t>Sin embargo, el Fondo Mundial sigue financiando áreas clave de atención sanitaria para las PVVIH (recuentos de CD4, mediciones de carga viral, compra de medicamentos de tercera línea</w:t>
      </w:r>
      <w:r w:rsidR="00FB3358" w:rsidRPr="00216226">
        <w:rPr>
          <w:rFonts w:eastAsia="MS Gothic"/>
          <w:lang w:val="es-ES_tradnl" w:eastAsia="en-US"/>
        </w:rPr>
        <w:t xml:space="preserve">), </w:t>
      </w:r>
      <w:bookmarkEnd w:id="39"/>
      <w:r w:rsidRPr="00216226">
        <w:rPr>
          <w:rFonts w:eastAsia="MS Gothic"/>
          <w:lang w:val="es-ES_tradnl" w:eastAsia="en-US"/>
        </w:rPr>
        <w:t xml:space="preserve">y también es actualmente el principal financiador del paquete de prevención para poblaciones clave, incluido </w:t>
      </w:r>
      <w:r w:rsidRPr="00943294">
        <w:rPr>
          <w:rFonts w:eastAsia="MS Gothic"/>
          <w:i/>
          <w:lang w:val="es-ES_tradnl" w:eastAsia="en-US"/>
        </w:rPr>
        <w:t>HTC</w:t>
      </w:r>
      <w:r w:rsidRPr="00216226">
        <w:rPr>
          <w:rFonts w:eastAsia="MS Gothic"/>
          <w:lang w:val="es-ES_tradnl" w:eastAsia="en-US"/>
        </w:rPr>
        <w:t xml:space="preserve">. También es el principal inversor que intenta reforzar el </w:t>
      </w:r>
      <w:r w:rsidR="005F63B6">
        <w:rPr>
          <w:rFonts w:eastAsia="MS Gothic"/>
          <w:lang w:val="es-ES_tradnl" w:eastAsia="en-US"/>
        </w:rPr>
        <w:t>SIIS</w:t>
      </w:r>
      <w:r w:rsidRPr="00216226">
        <w:rPr>
          <w:rFonts w:eastAsia="MS Gothic"/>
          <w:lang w:val="es-ES_tradnl" w:eastAsia="en-US"/>
        </w:rPr>
        <w:t xml:space="preserve"> y abordar el estigma, la discriminación y la violencia en relación con el VIH y las poblaciones clave</w:t>
      </w:r>
      <w:r w:rsidR="00FB3358" w:rsidRPr="00216226">
        <w:rPr>
          <w:rFonts w:eastAsia="MS Gothic"/>
          <w:lang w:val="es-ES_tradnl" w:eastAsia="en-US"/>
        </w:rPr>
        <w:t xml:space="preserve">. </w:t>
      </w:r>
    </w:p>
    <w:p w14:paraId="41FF5F63" w14:textId="05F86B88" w:rsidR="00FB3358" w:rsidRPr="00216226" w:rsidRDefault="009820CB" w:rsidP="00FB3358">
      <w:pPr>
        <w:jc w:val="both"/>
        <w:rPr>
          <w:rFonts w:eastAsia="MS Gothic"/>
          <w:lang w:val="es-ES_tradnl" w:eastAsia="en-US"/>
        </w:rPr>
      </w:pPr>
      <w:r w:rsidRPr="00216226">
        <w:rPr>
          <w:rFonts w:eastAsia="MS Gothic"/>
          <w:lang w:val="es-ES_tradnl" w:eastAsia="en-US"/>
        </w:rPr>
        <w:t>Gracias a estas inversiones, Honduras ha aumentado considerablemente la cobertura del tratamiento con TARV, con un número récord de PVVIH vinculadas al sistema de salud, según las cohortes hospitalarias</w:t>
      </w:r>
      <w:r w:rsidR="00FB3358" w:rsidRPr="00216226">
        <w:rPr>
          <w:rFonts w:eastAsia="MS Gothic"/>
          <w:lang w:val="es-ES_tradnl" w:eastAsia="en-US"/>
        </w:rPr>
        <w:t xml:space="preserve">. </w:t>
      </w:r>
      <w:r w:rsidRPr="00216226">
        <w:rPr>
          <w:rFonts w:eastAsia="MS Gothic"/>
          <w:lang w:val="es-ES_tradnl" w:eastAsia="en-US"/>
        </w:rPr>
        <w:t>Los estudios muestran que la supervivencia a los 12 meses después del inicio de la terapia es superior al 80%. Las inversiones para la vinculación y retención de los pacientes en la atención sanitaria parecen ser efectivas, incluso si dicha efectividad no es uniforme en todos los servicios o ubicaciones geográficas</w:t>
      </w:r>
      <w:r w:rsidR="00FB3358" w:rsidRPr="00216226">
        <w:rPr>
          <w:rFonts w:eastAsia="MS Gothic"/>
          <w:lang w:val="es-ES_tradnl" w:eastAsia="en-US"/>
        </w:rPr>
        <w:t xml:space="preserve">. </w:t>
      </w:r>
    </w:p>
    <w:p w14:paraId="7CFB3486" w14:textId="1FD60901" w:rsidR="00FB3358" w:rsidRPr="00216226" w:rsidRDefault="009820CB" w:rsidP="00FB3358">
      <w:pPr>
        <w:jc w:val="both"/>
        <w:rPr>
          <w:rFonts w:eastAsia="MS Gothic"/>
          <w:lang w:val="es-ES_tradnl" w:eastAsia="en-US"/>
        </w:rPr>
      </w:pPr>
      <w:r w:rsidRPr="00216226">
        <w:rPr>
          <w:rFonts w:eastAsia="MS Gothic"/>
          <w:lang w:val="es-ES_tradnl" w:eastAsia="en-US"/>
        </w:rPr>
        <w:t xml:space="preserve">A pesar de esas inversiones, el número de personas seropositivas que no están vinculadas al sistema de salud sigue siendo elevado y el número con carga viral suprimida es bajo. Los rendimientos de positividad de los modelos de divulgación en poblaciones clave apoyados por el Fondo Mundial son, con la excepción de mujeres </w:t>
      </w:r>
      <w:r w:rsidR="00453B71">
        <w:rPr>
          <w:rFonts w:eastAsia="MS Gothic"/>
          <w:lang w:val="es-ES_tradnl" w:eastAsia="en-US"/>
        </w:rPr>
        <w:t>transgénero</w:t>
      </w:r>
      <w:r w:rsidR="00FB3358" w:rsidRPr="00216226">
        <w:rPr>
          <w:rFonts w:eastAsia="MS Gothic"/>
          <w:lang w:val="es-ES_tradnl" w:eastAsia="en-US"/>
        </w:rPr>
        <w:t xml:space="preserve">, </w:t>
      </w:r>
      <w:r w:rsidRPr="00216226">
        <w:rPr>
          <w:rFonts w:eastAsia="MS Gothic"/>
          <w:lang w:val="es-ES_tradnl" w:eastAsia="en-US"/>
        </w:rPr>
        <w:t>muy bajos y, por lo tanto, poco contribuye a reducir la brecha de PVVIH no vinculada al sistema de salud. Además, los servicios de medición de carga viral financiados por el Fondo Mundial están infrautilizados, perdiéndose la oportunidad de tener una idea más clara de la proporción de PVVIH con carga viral suprimida</w:t>
      </w:r>
      <w:r w:rsidR="00FB3358" w:rsidRPr="00216226">
        <w:rPr>
          <w:rFonts w:eastAsia="MS Gothic"/>
          <w:lang w:val="es-ES_tradnl" w:eastAsia="en-US"/>
        </w:rPr>
        <w:t xml:space="preserve">. </w:t>
      </w:r>
      <w:r w:rsidR="009B2FCF" w:rsidRPr="00216226">
        <w:rPr>
          <w:rFonts w:eastAsia="MS Gothic"/>
          <w:lang w:val="es-ES_tradnl" w:eastAsia="en-US"/>
        </w:rPr>
        <w:t>Ambos aspectos son necesarios para reflejar la efectividad diferenciada de los modelos de servicios de VIH y las barreras sociales, económicas, culturales y de violación de los derechos humanos para acceder a ellos</w:t>
      </w:r>
      <w:r w:rsidR="00FB3358" w:rsidRPr="00216226">
        <w:rPr>
          <w:rFonts w:eastAsia="MS Gothic"/>
          <w:lang w:val="es-ES_tradnl" w:eastAsia="en-US"/>
        </w:rPr>
        <w:t>.</w:t>
      </w:r>
      <w:r w:rsidR="009521F9" w:rsidRPr="00216226">
        <w:rPr>
          <w:lang w:val="es-ES_tradnl"/>
        </w:rPr>
        <w:t xml:space="preserve"> </w:t>
      </w:r>
    </w:p>
    <w:p w14:paraId="316D8EC8" w14:textId="4C539816" w:rsidR="00FB3358" w:rsidRPr="00216226" w:rsidRDefault="00FB3358" w:rsidP="00FB3358">
      <w:pPr>
        <w:rPr>
          <w:rFonts w:ascii="Calibri Light" w:eastAsia="MS Gothic" w:hAnsi="Calibri Light" w:cs="Times New Roman"/>
          <w:b/>
          <w:lang w:val="es-ES_tradnl" w:eastAsia="en-US"/>
        </w:rPr>
      </w:pPr>
      <w:r w:rsidRPr="00216226">
        <w:rPr>
          <w:rFonts w:ascii="Calibri Light" w:eastAsia="MS Gothic" w:hAnsi="Calibri Light" w:cs="Times New Roman"/>
          <w:b/>
          <w:lang w:val="es-ES_tradnl" w:eastAsia="en-US"/>
        </w:rPr>
        <w:t>S</w:t>
      </w:r>
      <w:r w:rsidR="009B2FCF" w:rsidRPr="00216226">
        <w:rPr>
          <w:rFonts w:ascii="Calibri Light" w:eastAsia="MS Gothic" w:hAnsi="Calibri Light" w:cs="Times New Roman"/>
          <w:b/>
          <w:lang w:val="es-ES_tradnl" w:eastAsia="en-US"/>
        </w:rPr>
        <w:t>ostenibilidad</w:t>
      </w:r>
    </w:p>
    <w:p w14:paraId="530B4B1F" w14:textId="4B0268CA" w:rsidR="00FB3358" w:rsidRPr="00216226" w:rsidRDefault="009B2FCF" w:rsidP="00FB3358">
      <w:pPr>
        <w:jc w:val="both"/>
        <w:rPr>
          <w:rFonts w:eastAsia="MS Gothic"/>
          <w:lang w:val="es-ES_tradnl" w:eastAsia="en-US"/>
        </w:rPr>
      </w:pPr>
      <w:r w:rsidRPr="00216226">
        <w:rPr>
          <w:rFonts w:eastAsia="MS Gothic"/>
          <w:lang w:val="es-ES_tradnl" w:eastAsia="en-US"/>
        </w:rPr>
        <w:t>Las perspectivas para una respuesta sostenible al VIH en Honduras, más allá del apoyo del Fondo Mundial, son variadas</w:t>
      </w:r>
      <w:r w:rsidR="00FB3358" w:rsidRPr="00216226">
        <w:rPr>
          <w:rFonts w:eastAsia="MS Gothic"/>
          <w:lang w:val="es-ES_tradnl" w:eastAsia="en-US"/>
        </w:rPr>
        <w:t xml:space="preserve">. </w:t>
      </w:r>
      <w:r w:rsidRPr="00216226">
        <w:rPr>
          <w:rFonts w:eastAsia="MS Gothic"/>
          <w:lang w:val="es-ES_tradnl" w:eastAsia="en-US"/>
        </w:rPr>
        <w:t xml:space="preserve">Si bien el país parece estar relativamente bien posicionado para continuar </w:t>
      </w:r>
      <w:r w:rsidRPr="00216226">
        <w:rPr>
          <w:rFonts w:eastAsia="MS Gothic"/>
          <w:lang w:val="es-ES_tradnl" w:eastAsia="en-US"/>
        </w:rPr>
        <w:lastRenderedPageBreak/>
        <w:t>ofreciendo suficientes servicios de salud para las PVVIH (incluso si aún son necesarias mejoras en eficiencia y recursos nacionales adicionales</w:t>
      </w:r>
      <w:r w:rsidR="00FB3358" w:rsidRPr="00216226">
        <w:rPr>
          <w:rFonts w:eastAsia="MS Gothic"/>
          <w:lang w:val="es-ES_tradnl" w:eastAsia="en-US"/>
        </w:rPr>
        <w:t xml:space="preserve">), </w:t>
      </w:r>
      <w:r w:rsidRPr="00216226">
        <w:rPr>
          <w:rFonts w:eastAsia="MS Gothic"/>
          <w:lang w:val="es-ES_tradnl" w:eastAsia="en-US"/>
        </w:rPr>
        <w:t xml:space="preserve">otras áreas estratégicas de la respuesta nacional del VIH (prevención y </w:t>
      </w:r>
      <w:r w:rsidRPr="00943294">
        <w:rPr>
          <w:rFonts w:eastAsia="MS Gothic"/>
          <w:i/>
          <w:lang w:val="es-ES_tradnl" w:eastAsia="en-US"/>
        </w:rPr>
        <w:t>HTC</w:t>
      </w:r>
      <w:r w:rsidRPr="00216226">
        <w:rPr>
          <w:rFonts w:eastAsia="MS Gothic"/>
          <w:lang w:val="es-ES_tradnl" w:eastAsia="en-US"/>
        </w:rPr>
        <w:t xml:space="preserve"> para poblaciones clave, </w:t>
      </w:r>
      <w:r w:rsidR="005F63B6">
        <w:rPr>
          <w:rFonts w:eastAsia="MS Gothic"/>
          <w:lang w:val="es-ES_tradnl" w:eastAsia="en-US"/>
        </w:rPr>
        <w:t>SIIS</w:t>
      </w:r>
      <w:r w:rsidRPr="00216226">
        <w:rPr>
          <w:rFonts w:eastAsia="MS Gothic"/>
          <w:lang w:val="es-ES_tradnl" w:eastAsia="en-US"/>
        </w:rPr>
        <w:t xml:space="preserve"> y las barreras estructurales) siguen siendo altamente dependientes del apoyo de los donantes internacionales</w:t>
      </w:r>
      <w:r w:rsidR="00FB3358" w:rsidRPr="00216226">
        <w:rPr>
          <w:rFonts w:eastAsia="MS Gothic"/>
          <w:lang w:val="es-ES_tradnl" w:eastAsia="en-US"/>
        </w:rPr>
        <w:t>.</w:t>
      </w:r>
      <w:r w:rsidR="00680A78" w:rsidRPr="00216226">
        <w:rPr>
          <w:rFonts w:eastAsia="MS Gothic"/>
          <w:lang w:val="es-ES_tradnl" w:eastAsia="en-US"/>
        </w:rPr>
        <w:t xml:space="preserve"> </w:t>
      </w:r>
    </w:p>
    <w:p w14:paraId="734DD480" w14:textId="3DAE865E" w:rsidR="00FB3358" w:rsidRDefault="009B2FCF" w:rsidP="00FB3358">
      <w:pPr>
        <w:jc w:val="both"/>
        <w:rPr>
          <w:rFonts w:eastAsia="MS Gothic"/>
          <w:lang w:val="es-ES_tradnl" w:eastAsia="en-US"/>
        </w:rPr>
      </w:pPr>
      <w:r w:rsidRPr="00216226">
        <w:rPr>
          <w:rFonts w:eastAsia="MS Gothic"/>
          <w:lang w:val="es-ES_tradnl" w:eastAsia="en-US"/>
        </w:rPr>
        <w:t>El país no podrá abordar plenamente los objetivos estratégicos nacionales en relación con el VIH a menos que pueda desarrollar un liderazgo político fuerte y de alto nivel (responsables de la formulación de políticas, legisladores, líderes de opinión de alto nivel) y movilizar los fondos domésticos adicionales necesarios</w:t>
      </w:r>
      <w:r w:rsidR="00FB3358" w:rsidRPr="00216226">
        <w:rPr>
          <w:rFonts w:eastAsia="MS Gothic"/>
          <w:lang w:val="es-ES_tradnl" w:eastAsia="en-US"/>
        </w:rPr>
        <w:t xml:space="preserve">. </w:t>
      </w:r>
    </w:p>
    <w:p w14:paraId="201447DD" w14:textId="26644FF6" w:rsidR="005F63B6" w:rsidRPr="005F63B6" w:rsidRDefault="005F63B6" w:rsidP="005F63B6">
      <w:pPr>
        <w:jc w:val="center"/>
        <w:rPr>
          <w:i/>
          <w:color w:val="000000"/>
          <w:lang w:val="es-US"/>
        </w:rPr>
      </w:pPr>
      <w:r w:rsidRPr="005F63B6">
        <w:rPr>
          <w:i/>
          <w:color w:val="000000"/>
          <w:lang w:val="es-US"/>
        </w:rPr>
        <w:t>“</w:t>
      </w:r>
      <w:r w:rsidRPr="005F63B6">
        <w:rPr>
          <w:i/>
          <w:color w:val="000000"/>
          <w:lang w:val="es-ES_tradnl"/>
        </w:rPr>
        <w:t xml:space="preserve">El hecho de que el país sepa que tiene la responsabilidad de hacerse cargo de toda la respuesta nacional al VIH no significa que esté preparado para hacerlo, o incluso que quiera hacerlo.” – </w:t>
      </w:r>
      <w:r>
        <w:rPr>
          <w:i/>
          <w:color w:val="000000"/>
          <w:lang w:val="es-ES_tradnl"/>
        </w:rPr>
        <w:t>F</w:t>
      </w:r>
      <w:r w:rsidRPr="005F63B6">
        <w:rPr>
          <w:i/>
          <w:color w:val="000000"/>
          <w:lang w:val="es-ES_tradnl"/>
        </w:rPr>
        <w:t>uncionario público</w:t>
      </w:r>
    </w:p>
    <w:p w14:paraId="30A5ABDB" w14:textId="093E1ED1" w:rsidR="005D3854" w:rsidRDefault="005D3854" w:rsidP="005D3854">
      <w:pPr>
        <w:widowControl w:val="0"/>
        <w:pBdr>
          <w:top w:val="nil"/>
          <w:left w:val="nil"/>
          <w:bottom w:val="nil"/>
          <w:right w:val="nil"/>
          <w:between w:val="nil"/>
        </w:pBdr>
        <w:spacing w:after="0" w:line="276" w:lineRule="auto"/>
        <w:rPr>
          <w:color w:val="000000"/>
          <w:lang w:val="es-ES_tradnl"/>
        </w:rPr>
      </w:pPr>
    </w:p>
    <w:p w14:paraId="103AA101" w14:textId="0B22E89A" w:rsidR="00072F38" w:rsidRPr="00072F38" w:rsidRDefault="00072F38" w:rsidP="00072F38">
      <w:pPr>
        <w:jc w:val="center"/>
        <w:rPr>
          <w:i/>
          <w:color w:val="000000" w:themeColor="text1"/>
          <w:lang w:val="es-ES_tradnl"/>
        </w:rPr>
      </w:pPr>
      <w:r w:rsidRPr="00072F38">
        <w:rPr>
          <w:i/>
          <w:color w:val="000000" w:themeColor="text1"/>
          <w:lang w:val="es-US"/>
        </w:rPr>
        <w:t>“</w:t>
      </w:r>
      <w:r w:rsidRPr="00072F38">
        <w:rPr>
          <w:i/>
          <w:color w:val="000000" w:themeColor="text1"/>
          <w:lang w:val="es-ES_tradnl"/>
        </w:rPr>
        <w:t>Creo que todos sabemos lo que el país debe hacer para controlar la epidemia del VIH. Si eso ocurre o no, dependerá del compromiso de todos nosotros y del liderazgo de los políticos.” – Funcionario público, ex miembro del Programa Nacional de SIDA</w:t>
      </w:r>
    </w:p>
    <w:p w14:paraId="2F30EC01" w14:textId="6CD712BF" w:rsidR="00072F38" w:rsidRDefault="00072F38" w:rsidP="005D3854">
      <w:pPr>
        <w:widowControl w:val="0"/>
        <w:pBdr>
          <w:top w:val="nil"/>
          <w:left w:val="nil"/>
          <w:bottom w:val="nil"/>
          <w:right w:val="nil"/>
          <w:between w:val="nil"/>
        </w:pBdr>
        <w:spacing w:after="0" w:line="276" w:lineRule="auto"/>
        <w:rPr>
          <w:color w:val="000000"/>
          <w:lang w:val="es-ES_tradnl"/>
        </w:rPr>
      </w:pPr>
    </w:p>
    <w:p w14:paraId="46EB6059" w14:textId="67974C56" w:rsidR="009A4A93" w:rsidRPr="009A4A93" w:rsidRDefault="009A4A93" w:rsidP="009A4A93">
      <w:pPr>
        <w:spacing w:after="0" w:line="240" w:lineRule="auto"/>
        <w:rPr>
          <w:b/>
          <w:color w:val="000000" w:themeColor="text1"/>
          <w:lang w:val="es-US"/>
        </w:rPr>
      </w:pPr>
      <w:r w:rsidRPr="009A4A93">
        <w:rPr>
          <w:rFonts w:eastAsia="MS Gothic"/>
          <w:lang w:val="es-ES_tradnl" w:eastAsia="en-US"/>
        </w:rPr>
        <w:t>Análisis relativo al Plan del Fondo Mundial para el análisis de prioridades de cartera de país (v1.0):</w:t>
      </w:r>
      <w:bookmarkStart w:id="40" w:name="_GoBack"/>
      <w:bookmarkEnd w:id="40"/>
    </w:p>
    <w:p w14:paraId="2CB47822" w14:textId="1EDDA8C7" w:rsidR="009A4A93" w:rsidRPr="009A4A93" w:rsidRDefault="009A4A93" w:rsidP="009A4A93">
      <w:pPr>
        <w:spacing w:after="0" w:line="240" w:lineRule="auto"/>
        <w:rPr>
          <w:b/>
          <w:lang w:val="es-US"/>
        </w:rPr>
      </w:pPr>
      <w:r>
        <w:rPr>
          <w:b/>
          <w:color w:val="000000" w:themeColor="text1"/>
          <w:lang w:val="es-US"/>
        </w:rPr>
        <w:t>Tabla</w:t>
      </w:r>
      <w:r w:rsidRPr="009A4A93">
        <w:rPr>
          <w:b/>
          <w:color w:val="000000" w:themeColor="text1"/>
          <w:lang w:val="es-US"/>
        </w:rPr>
        <w:t xml:space="preserve"> 7. </w:t>
      </w:r>
      <w:r w:rsidRPr="009A4A93">
        <w:rPr>
          <w:b/>
          <w:lang w:val="es-US"/>
        </w:rPr>
        <w:t>Plan del Fondo Mundial para el análisis de prioridades de cartera de país</w:t>
      </w:r>
    </w:p>
    <w:p w14:paraId="10C2D5D0" w14:textId="77777777" w:rsidR="009A4A93" w:rsidRPr="009A4A93" w:rsidRDefault="009A4A93" w:rsidP="009A4A93">
      <w:pPr>
        <w:spacing w:after="0" w:line="240" w:lineRule="auto"/>
        <w:rPr>
          <w:b/>
          <w:color w:val="000000" w:themeColor="text1"/>
          <w:lang w:val="es-US"/>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501"/>
      </w:tblGrid>
      <w:tr w:rsidR="009A4A93" w:rsidRPr="00BC3841" w14:paraId="2EFCBC8E" w14:textId="77777777" w:rsidTr="00BC3841">
        <w:tc>
          <w:tcPr>
            <w:tcW w:w="2515"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1D913D6B" w14:textId="5F77E82C" w:rsidR="009A4A93" w:rsidRPr="00BC3841" w:rsidRDefault="009A4A93" w:rsidP="009A4A93">
            <w:pPr>
              <w:rPr>
                <w:b/>
                <w:bCs/>
                <w:lang w:val="es-HN"/>
              </w:rPr>
            </w:pPr>
            <w:r w:rsidRPr="00BC3841">
              <w:rPr>
                <w:b/>
                <w:bCs/>
                <w:lang w:val="es-HN"/>
              </w:rPr>
              <w:t>Dimensión</w:t>
            </w:r>
          </w:p>
        </w:tc>
        <w:tc>
          <w:tcPr>
            <w:tcW w:w="6501" w:type="dxa"/>
            <w:tcBorders>
              <w:top w:val="single" w:sz="4" w:space="0" w:color="000000"/>
              <w:left w:val="single" w:sz="4" w:space="0" w:color="000000"/>
              <w:bottom w:val="single" w:sz="4" w:space="0" w:color="000000"/>
              <w:right w:val="single" w:sz="4" w:space="0" w:color="000000"/>
            </w:tcBorders>
            <w:shd w:val="clear" w:color="auto" w:fill="EEECE1" w:themeFill="background2"/>
            <w:hideMark/>
          </w:tcPr>
          <w:p w14:paraId="67EDF5D4" w14:textId="36BBB706" w:rsidR="009A4A93" w:rsidRPr="00BC3841" w:rsidRDefault="009A4A93" w:rsidP="009A4A93">
            <w:pPr>
              <w:rPr>
                <w:b/>
                <w:bCs/>
                <w:lang w:val="es-HN"/>
              </w:rPr>
            </w:pPr>
            <w:r w:rsidRPr="00BC3841">
              <w:rPr>
                <w:b/>
                <w:bCs/>
                <w:lang w:val="es-HN"/>
              </w:rPr>
              <w:t>Actividades Críticas</w:t>
            </w:r>
          </w:p>
        </w:tc>
      </w:tr>
      <w:tr w:rsidR="009A4A93" w:rsidRPr="00BC3841" w14:paraId="3B750EC9" w14:textId="77777777" w:rsidTr="00BC3841">
        <w:tc>
          <w:tcPr>
            <w:tcW w:w="2515" w:type="dxa"/>
            <w:tcBorders>
              <w:top w:val="single" w:sz="4" w:space="0" w:color="000000"/>
              <w:left w:val="single" w:sz="4" w:space="0" w:color="000000"/>
              <w:bottom w:val="single" w:sz="4" w:space="0" w:color="000000"/>
              <w:right w:val="single" w:sz="4" w:space="0" w:color="000000"/>
            </w:tcBorders>
            <w:hideMark/>
          </w:tcPr>
          <w:p w14:paraId="30DA54B3" w14:textId="5B01AA3D" w:rsidR="009A4A93" w:rsidRPr="00BC3841" w:rsidRDefault="009A4A93" w:rsidP="009A4A93">
            <w:pPr>
              <w:rPr>
                <w:b/>
                <w:bCs/>
                <w:lang w:val="es-HN"/>
              </w:rPr>
            </w:pPr>
            <w:r w:rsidRPr="00BC3841">
              <w:rPr>
                <w:b/>
                <w:bCs/>
                <w:lang w:val="es-HN"/>
              </w:rPr>
              <w:t>Encontrar y tratar más casos efectivamente</w:t>
            </w:r>
          </w:p>
        </w:tc>
        <w:tc>
          <w:tcPr>
            <w:tcW w:w="6501" w:type="dxa"/>
            <w:tcBorders>
              <w:top w:val="single" w:sz="4" w:space="0" w:color="000000"/>
              <w:left w:val="single" w:sz="4" w:space="0" w:color="000000"/>
              <w:bottom w:val="single" w:sz="4" w:space="0" w:color="000000"/>
              <w:right w:val="single" w:sz="4" w:space="0" w:color="000000"/>
            </w:tcBorders>
            <w:hideMark/>
          </w:tcPr>
          <w:p w14:paraId="52A4EF99" w14:textId="76697E33" w:rsidR="009A4A93" w:rsidRPr="00BC3841" w:rsidRDefault="009A4A93" w:rsidP="009A4A93">
            <w:pPr>
              <w:numPr>
                <w:ilvl w:val="0"/>
                <w:numId w:val="2"/>
              </w:numPr>
              <w:spacing w:after="0" w:line="276" w:lineRule="auto"/>
              <w:rPr>
                <w:color w:val="000000"/>
                <w:lang w:val="es-HN"/>
              </w:rPr>
            </w:pPr>
            <w:r w:rsidRPr="00BC3841">
              <w:rPr>
                <w:color w:val="000000"/>
                <w:lang w:val="es-HN"/>
              </w:rPr>
              <w:t>Resultados diferenciados sobre cobertura de pruebas de VIH por poblaciones clave entre 2015 y 2017 (de 33% a 39% entre HSH; de 12% a 20% entre mujeres TG; de 46% a 25% entre trabajadoras sociales; de 58% a 30% entre Garífuna; del 47% al 40% entre PPL)</w:t>
            </w:r>
          </w:p>
          <w:p w14:paraId="71A373E9" w14:textId="43CF0215" w:rsidR="009A4A93" w:rsidRPr="00BC3841" w:rsidRDefault="009A4A93" w:rsidP="009A4A93">
            <w:pPr>
              <w:numPr>
                <w:ilvl w:val="0"/>
                <w:numId w:val="2"/>
              </w:numPr>
              <w:spacing w:after="0" w:line="276" w:lineRule="auto"/>
              <w:rPr>
                <w:color w:val="000000"/>
                <w:lang w:val="es-HN"/>
              </w:rPr>
            </w:pPr>
            <w:r w:rsidRPr="00BC3841">
              <w:rPr>
                <w:color w:val="000000"/>
                <w:lang w:val="es-HN"/>
              </w:rPr>
              <w:t>No hay datos disponibles sobre el % de PVVIH (total o poblaciones clave desagregadas) que conocen su estatus de VIH</w:t>
            </w:r>
          </w:p>
          <w:p w14:paraId="6F2580AB" w14:textId="1F3FCB52" w:rsidR="009A4A93" w:rsidRPr="00BC3841" w:rsidRDefault="009A4A93" w:rsidP="009A4A93">
            <w:pPr>
              <w:numPr>
                <w:ilvl w:val="0"/>
                <w:numId w:val="2"/>
              </w:numPr>
              <w:spacing w:after="0" w:line="276" w:lineRule="auto"/>
              <w:rPr>
                <w:color w:val="000000"/>
                <w:lang w:val="es-HN"/>
              </w:rPr>
            </w:pPr>
            <w:r w:rsidRPr="00BC3841">
              <w:rPr>
                <w:color w:val="000000"/>
                <w:lang w:val="es-HN"/>
              </w:rPr>
              <w:t>El 52% de las PVVIH estimadas están en TARV.</w:t>
            </w:r>
          </w:p>
          <w:p w14:paraId="0D074AAF" w14:textId="34F6A523" w:rsidR="009A4A93" w:rsidRPr="00BC3841" w:rsidRDefault="009A4A93" w:rsidP="009A4A93">
            <w:pPr>
              <w:numPr>
                <w:ilvl w:val="0"/>
                <w:numId w:val="2"/>
              </w:numPr>
              <w:spacing w:after="0" w:line="276" w:lineRule="auto"/>
              <w:rPr>
                <w:color w:val="000000"/>
                <w:lang w:val="es-HN"/>
              </w:rPr>
            </w:pPr>
            <w:r w:rsidRPr="00BC3841">
              <w:rPr>
                <w:color w:val="000000"/>
                <w:lang w:val="es-HN"/>
              </w:rPr>
              <w:t>La oferta de pruebas de VIH ahora está disponible de manera más amplia: promotores comunitarios, redes sociales, horarios de atención ampliados para clínicas, en las clínicas de TB</w:t>
            </w:r>
          </w:p>
          <w:p w14:paraId="1B342B7D" w14:textId="19FC1FD4" w:rsidR="009A4A93" w:rsidRPr="00BC3841" w:rsidRDefault="009A4A93" w:rsidP="009A4A93">
            <w:pPr>
              <w:numPr>
                <w:ilvl w:val="0"/>
                <w:numId w:val="2"/>
              </w:numPr>
              <w:spacing w:after="0" w:line="276" w:lineRule="auto"/>
              <w:rPr>
                <w:color w:val="000000"/>
                <w:lang w:val="es-HN"/>
              </w:rPr>
            </w:pPr>
            <w:r w:rsidRPr="00BC3841">
              <w:rPr>
                <w:color w:val="000000"/>
                <w:lang w:val="es-HN"/>
              </w:rPr>
              <w:t xml:space="preserve">Se estima que solo el 33% de PVVIH en la población Garífuna conocen su estado. </w:t>
            </w:r>
          </w:p>
        </w:tc>
      </w:tr>
      <w:tr w:rsidR="009A4A93" w:rsidRPr="00BC3841" w14:paraId="2B0F791B" w14:textId="77777777" w:rsidTr="00BC3841">
        <w:tc>
          <w:tcPr>
            <w:tcW w:w="2515" w:type="dxa"/>
            <w:tcBorders>
              <w:top w:val="single" w:sz="4" w:space="0" w:color="000000"/>
              <w:left w:val="single" w:sz="4" w:space="0" w:color="000000"/>
              <w:bottom w:val="single" w:sz="4" w:space="0" w:color="000000"/>
              <w:right w:val="single" w:sz="4" w:space="0" w:color="000000"/>
            </w:tcBorders>
            <w:hideMark/>
          </w:tcPr>
          <w:p w14:paraId="14C50D96" w14:textId="673AE38B" w:rsidR="009A4A93" w:rsidRPr="00BC3841" w:rsidRDefault="00BC3841" w:rsidP="00BC3841">
            <w:pPr>
              <w:rPr>
                <w:b/>
                <w:bCs/>
                <w:lang w:val="es-HN"/>
              </w:rPr>
            </w:pPr>
            <w:r w:rsidRPr="00BC3841">
              <w:rPr>
                <w:b/>
                <w:bCs/>
                <w:lang w:val="es-HN"/>
              </w:rPr>
              <w:t>Prevención de nuevos</w:t>
            </w:r>
            <w:r>
              <w:rPr>
                <w:b/>
                <w:bCs/>
                <w:lang w:val="es-HN"/>
              </w:rPr>
              <w:t xml:space="preserve"> caso</w:t>
            </w:r>
            <w:r w:rsidRPr="00BC3841">
              <w:rPr>
                <w:b/>
                <w:bCs/>
                <w:lang w:val="es-HN"/>
              </w:rPr>
              <w:t>s</w:t>
            </w:r>
          </w:p>
        </w:tc>
        <w:tc>
          <w:tcPr>
            <w:tcW w:w="6501" w:type="dxa"/>
            <w:tcBorders>
              <w:top w:val="single" w:sz="4" w:space="0" w:color="000000"/>
              <w:left w:val="single" w:sz="4" w:space="0" w:color="000000"/>
              <w:bottom w:val="single" w:sz="4" w:space="0" w:color="000000"/>
              <w:right w:val="single" w:sz="4" w:space="0" w:color="000000"/>
            </w:tcBorders>
            <w:hideMark/>
          </w:tcPr>
          <w:p w14:paraId="2FFE2E34" w14:textId="33D5E165" w:rsidR="009A4A93" w:rsidRPr="00BC3841" w:rsidRDefault="00BC3841" w:rsidP="009A4A93">
            <w:pPr>
              <w:pStyle w:val="NoSpacing"/>
              <w:numPr>
                <w:ilvl w:val="0"/>
                <w:numId w:val="2"/>
              </w:numPr>
              <w:spacing w:line="276" w:lineRule="auto"/>
              <w:rPr>
                <w:lang w:val="es-HN"/>
              </w:rPr>
            </w:pPr>
            <w:r w:rsidRPr="00BC3841">
              <w:rPr>
                <w:lang w:val="es-HN"/>
              </w:rPr>
              <w:t>R</w:t>
            </w:r>
            <w:r w:rsidR="009A4A93" w:rsidRPr="00BC3841">
              <w:rPr>
                <w:lang w:val="es-HN"/>
              </w:rPr>
              <w:t xml:space="preserve">esultados </w:t>
            </w:r>
            <w:r w:rsidRPr="00BC3841">
              <w:rPr>
                <w:lang w:val="es-HN"/>
              </w:rPr>
              <w:t xml:space="preserve">diferenciados sobre </w:t>
            </w:r>
            <w:r w:rsidR="009A4A93" w:rsidRPr="00BC3841">
              <w:rPr>
                <w:lang w:val="es-HN"/>
              </w:rPr>
              <w:t>la cobe</w:t>
            </w:r>
            <w:r w:rsidRPr="00BC3841">
              <w:rPr>
                <w:lang w:val="es-HN"/>
              </w:rPr>
              <w:t>rtura del “</w:t>
            </w:r>
            <w:r w:rsidR="009A4A93" w:rsidRPr="00BC3841">
              <w:rPr>
                <w:lang w:val="es-HN"/>
              </w:rPr>
              <w:t>paquete definido de servicios de prevención</w:t>
            </w:r>
            <w:r w:rsidRPr="00BC3841">
              <w:rPr>
                <w:lang w:val="es-HN"/>
              </w:rPr>
              <w:t>”</w:t>
            </w:r>
            <w:r w:rsidR="009A4A93" w:rsidRPr="00BC3841">
              <w:rPr>
                <w:lang w:val="es-HN"/>
              </w:rPr>
              <w:t xml:space="preserve"> entre </w:t>
            </w:r>
            <w:r w:rsidRPr="00BC3841">
              <w:rPr>
                <w:lang w:val="es-HN"/>
              </w:rPr>
              <w:t>poblaciones clave</w:t>
            </w:r>
            <w:r w:rsidR="009A4A93" w:rsidRPr="00BC3841">
              <w:rPr>
                <w:lang w:val="es-HN"/>
              </w:rPr>
              <w:t xml:space="preserve"> entre 2015 y 2017 (de 43% a 50% entre HSH; de 10% a 31% entre mujeres TG; de 37% a 28% entre FSW; de 40% a 27% entre los G</w:t>
            </w:r>
            <w:r w:rsidRPr="00BC3841">
              <w:rPr>
                <w:lang w:val="es-HN"/>
              </w:rPr>
              <w:t>arífunas; de 21% a 64% entre PPL</w:t>
            </w:r>
            <w:r w:rsidR="009A4A93" w:rsidRPr="00BC3841">
              <w:rPr>
                <w:lang w:val="es-HN"/>
              </w:rPr>
              <w:t>)</w:t>
            </w:r>
          </w:p>
          <w:p w14:paraId="2F349BEF" w14:textId="10BBB13C" w:rsidR="00BC3841" w:rsidRPr="00BC3841" w:rsidRDefault="00BC3841" w:rsidP="009A4A93">
            <w:pPr>
              <w:pStyle w:val="NoSpacing"/>
              <w:numPr>
                <w:ilvl w:val="0"/>
                <w:numId w:val="2"/>
              </w:numPr>
              <w:spacing w:line="276" w:lineRule="auto"/>
              <w:rPr>
                <w:lang w:val="es-HN"/>
              </w:rPr>
            </w:pPr>
            <w:r w:rsidRPr="00BC3841">
              <w:rPr>
                <w:lang w:val="es-HN"/>
              </w:rPr>
              <w:t xml:space="preserve">Problemas con </w:t>
            </w:r>
            <w:r w:rsidRPr="00BC3841">
              <w:rPr>
                <w:lang w:val="es-HN"/>
              </w:rPr>
              <w:t>acceso al condón: disponibles en los centros de VIH e ITS pero no ampliamente disponibles en el sistema de salud más allá de la planificación familiar</w:t>
            </w:r>
          </w:p>
          <w:p w14:paraId="7571D544" w14:textId="5057F168" w:rsidR="009A4A93" w:rsidRPr="00BC3841" w:rsidRDefault="009A4A93" w:rsidP="00BC3841">
            <w:pPr>
              <w:pStyle w:val="NoSpacing"/>
              <w:numPr>
                <w:ilvl w:val="0"/>
                <w:numId w:val="2"/>
              </w:numPr>
              <w:spacing w:line="276" w:lineRule="auto"/>
              <w:rPr>
                <w:lang w:val="es-HN"/>
              </w:rPr>
            </w:pPr>
            <w:r w:rsidRPr="00BC3841">
              <w:rPr>
                <w:lang w:val="es-HN"/>
              </w:rPr>
              <w:lastRenderedPageBreak/>
              <w:t xml:space="preserve">Se ha realizado un esfuerzo considerable para identificar las barreras a los servicios relacionados con los derechos humanos para las </w:t>
            </w:r>
            <w:r w:rsidR="00BC3841" w:rsidRPr="00BC3841">
              <w:rPr>
                <w:lang w:val="es-HN"/>
              </w:rPr>
              <w:t>PVVIH y poblaciones clave</w:t>
            </w:r>
            <w:r w:rsidRPr="00BC3841">
              <w:rPr>
                <w:lang w:val="es-HN"/>
              </w:rPr>
              <w:t>.</w:t>
            </w:r>
          </w:p>
        </w:tc>
      </w:tr>
      <w:tr w:rsidR="009A4A93" w:rsidRPr="00BC3841" w14:paraId="7EDEBEAA" w14:textId="77777777" w:rsidTr="00BC3841">
        <w:tc>
          <w:tcPr>
            <w:tcW w:w="2515" w:type="dxa"/>
            <w:tcBorders>
              <w:top w:val="single" w:sz="4" w:space="0" w:color="000000"/>
              <w:left w:val="single" w:sz="4" w:space="0" w:color="000000"/>
              <w:bottom w:val="single" w:sz="4" w:space="0" w:color="000000"/>
              <w:right w:val="single" w:sz="4" w:space="0" w:color="000000"/>
            </w:tcBorders>
            <w:hideMark/>
          </w:tcPr>
          <w:p w14:paraId="0BA5CDC3" w14:textId="1C37FD5C" w:rsidR="009A4A93" w:rsidRPr="00BC3841" w:rsidRDefault="00BC3841" w:rsidP="009A4A93">
            <w:pPr>
              <w:rPr>
                <w:b/>
                <w:bCs/>
                <w:lang w:val="es-US"/>
              </w:rPr>
            </w:pPr>
            <w:r w:rsidRPr="00BC3841">
              <w:rPr>
                <w:b/>
                <w:bCs/>
                <w:lang w:val="es-HN"/>
              </w:rPr>
              <w:lastRenderedPageBreak/>
              <w:t>Aumentar los fondos disponibles para el VIH</w:t>
            </w:r>
          </w:p>
        </w:tc>
        <w:tc>
          <w:tcPr>
            <w:tcW w:w="6501" w:type="dxa"/>
            <w:tcBorders>
              <w:top w:val="single" w:sz="4" w:space="0" w:color="000000"/>
              <w:left w:val="single" w:sz="4" w:space="0" w:color="000000"/>
              <w:bottom w:val="single" w:sz="4" w:space="0" w:color="000000"/>
              <w:right w:val="single" w:sz="4" w:space="0" w:color="000000"/>
            </w:tcBorders>
            <w:hideMark/>
          </w:tcPr>
          <w:p w14:paraId="6FDE25AC" w14:textId="77777777" w:rsidR="00BC3841" w:rsidRPr="00BC3841" w:rsidRDefault="00BC3841" w:rsidP="00BC3841">
            <w:pPr>
              <w:numPr>
                <w:ilvl w:val="0"/>
                <w:numId w:val="2"/>
              </w:numPr>
              <w:spacing w:after="0"/>
              <w:rPr>
                <w:color w:val="000000"/>
                <w:lang w:val="es-US"/>
              </w:rPr>
            </w:pPr>
            <w:r w:rsidRPr="00BC3841">
              <w:rPr>
                <w:color w:val="000000"/>
                <w:lang w:val="es-US"/>
              </w:rPr>
              <w:t>El gobierno ahora financia &lt;95% de los costos de</w:t>
            </w:r>
            <w:r w:rsidRPr="00BC3841">
              <w:rPr>
                <w:color w:val="000000"/>
                <w:lang w:val="es-US"/>
              </w:rPr>
              <w:t xml:space="preserve"> TARV</w:t>
            </w:r>
          </w:p>
          <w:p w14:paraId="521876DC" w14:textId="77777777" w:rsidR="00BC3841" w:rsidRPr="00BC3841" w:rsidRDefault="00BC3841" w:rsidP="00C555A6">
            <w:pPr>
              <w:numPr>
                <w:ilvl w:val="0"/>
                <w:numId w:val="2"/>
              </w:numPr>
              <w:spacing w:after="0"/>
              <w:rPr>
                <w:color w:val="000000"/>
                <w:lang w:val="es-US"/>
              </w:rPr>
            </w:pPr>
            <w:r w:rsidRPr="00BC3841">
              <w:rPr>
                <w:color w:val="000000"/>
                <w:lang w:val="es-US"/>
              </w:rPr>
              <w:t xml:space="preserve">El 42% de las clínicas gubernamentales </w:t>
            </w:r>
            <w:r w:rsidRPr="00BC3841">
              <w:rPr>
                <w:color w:val="000000"/>
                <w:lang w:val="es-US"/>
              </w:rPr>
              <w:t xml:space="preserve">ahora </w:t>
            </w:r>
            <w:r w:rsidRPr="00BC3841">
              <w:rPr>
                <w:color w:val="000000"/>
                <w:lang w:val="es-US"/>
              </w:rPr>
              <w:t xml:space="preserve">ofrecen </w:t>
            </w:r>
            <w:r>
              <w:rPr>
                <w:color w:val="000000"/>
                <w:lang w:val="es-US"/>
              </w:rPr>
              <w:t>HCT</w:t>
            </w:r>
          </w:p>
          <w:p w14:paraId="7F051203" w14:textId="2DF1A286" w:rsidR="00BC3841" w:rsidRDefault="00BC3841" w:rsidP="00C555A6">
            <w:pPr>
              <w:numPr>
                <w:ilvl w:val="0"/>
                <w:numId w:val="2"/>
              </w:numPr>
              <w:spacing w:after="0"/>
              <w:rPr>
                <w:color w:val="000000"/>
                <w:lang w:val="es-US"/>
              </w:rPr>
            </w:pPr>
            <w:r w:rsidRPr="00BC3841">
              <w:rPr>
                <w:color w:val="000000"/>
                <w:lang w:val="es-US"/>
              </w:rPr>
              <w:t>Poco uso de las OSC como proveedores de servicios más allá de alg</w:t>
            </w:r>
            <w:r>
              <w:rPr>
                <w:color w:val="000000"/>
                <w:lang w:val="es-US"/>
              </w:rPr>
              <w:t>unas actividades educativas destinadas a poblaciones clave</w:t>
            </w:r>
          </w:p>
          <w:p w14:paraId="2166C6A0" w14:textId="6F9E64DA" w:rsidR="00BC3841" w:rsidRPr="00BC3841" w:rsidRDefault="00BC3841" w:rsidP="00BC3841">
            <w:pPr>
              <w:numPr>
                <w:ilvl w:val="0"/>
                <w:numId w:val="2"/>
              </w:numPr>
              <w:spacing w:after="0"/>
              <w:rPr>
                <w:color w:val="000000"/>
                <w:lang w:val="es-HN"/>
              </w:rPr>
            </w:pPr>
            <w:r w:rsidRPr="00BC3841">
              <w:rPr>
                <w:color w:val="000000"/>
                <w:lang w:val="es-US"/>
              </w:rPr>
              <w:t xml:space="preserve">No hay evidencia de movilización de recursos más allá de </w:t>
            </w:r>
            <w:r>
              <w:rPr>
                <w:color w:val="000000"/>
                <w:lang w:val="es-US"/>
              </w:rPr>
              <w:t xml:space="preserve">Fondo Mundial </w:t>
            </w:r>
            <w:r w:rsidRPr="00BC3841">
              <w:rPr>
                <w:color w:val="000000"/>
                <w:lang w:val="es-US"/>
              </w:rPr>
              <w:t>y el gobierno</w:t>
            </w:r>
          </w:p>
        </w:tc>
      </w:tr>
      <w:tr w:rsidR="009A4A93" w:rsidRPr="00BC3841" w14:paraId="398CF43F" w14:textId="77777777" w:rsidTr="00BC3841">
        <w:tc>
          <w:tcPr>
            <w:tcW w:w="2515" w:type="dxa"/>
            <w:tcBorders>
              <w:top w:val="single" w:sz="4" w:space="0" w:color="000000"/>
              <w:left w:val="single" w:sz="4" w:space="0" w:color="000000"/>
              <w:bottom w:val="single" w:sz="4" w:space="0" w:color="000000"/>
              <w:right w:val="single" w:sz="4" w:space="0" w:color="000000"/>
            </w:tcBorders>
            <w:hideMark/>
          </w:tcPr>
          <w:p w14:paraId="42457818" w14:textId="290476C3" w:rsidR="009A4A93" w:rsidRPr="00BC3841" w:rsidRDefault="00BC3841" w:rsidP="009A4A93">
            <w:pPr>
              <w:rPr>
                <w:b/>
                <w:bCs/>
                <w:lang w:val="es-US"/>
              </w:rPr>
            </w:pPr>
            <w:r w:rsidRPr="00BC3841">
              <w:rPr>
                <w:b/>
                <w:bCs/>
                <w:lang w:val="es-HN"/>
              </w:rPr>
              <w:t>Reducir el costo de combatir el VIH</w:t>
            </w:r>
          </w:p>
        </w:tc>
        <w:tc>
          <w:tcPr>
            <w:tcW w:w="6501" w:type="dxa"/>
            <w:tcBorders>
              <w:top w:val="single" w:sz="4" w:space="0" w:color="000000"/>
              <w:left w:val="single" w:sz="4" w:space="0" w:color="000000"/>
              <w:bottom w:val="single" w:sz="4" w:space="0" w:color="000000"/>
              <w:right w:val="single" w:sz="4" w:space="0" w:color="000000"/>
            </w:tcBorders>
            <w:hideMark/>
          </w:tcPr>
          <w:p w14:paraId="7E1CFFC4" w14:textId="0C877E48" w:rsidR="00BC3841" w:rsidRPr="00BC3841" w:rsidRDefault="00BC3841" w:rsidP="00BC3841">
            <w:pPr>
              <w:pStyle w:val="ListParagraph"/>
              <w:numPr>
                <w:ilvl w:val="0"/>
                <w:numId w:val="2"/>
              </w:numPr>
              <w:rPr>
                <w:lang w:val="es-HN"/>
              </w:rPr>
            </w:pPr>
            <w:r w:rsidRPr="00BC3841">
              <w:rPr>
                <w:lang w:val="es-HN"/>
              </w:rPr>
              <w:t>Algunos problemas de aumento de costos asociados con la descentralización de la compra de reactivos para algunas pruebas</w:t>
            </w:r>
          </w:p>
        </w:tc>
      </w:tr>
    </w:tbl>
    <w:p w14:paraId="3F5FE4C1" w14:textId="3F0F8242" w:rsidR="006F4FD3" w:rsidRPr="00BC3841" w:rsidRDefault="006F4FD3" w:rsidP="009A4A93">
      <w:pPr>
        <w:spacing w:after="0" w:line="240" w:lineRule="auto"/>
        <w:rPr>
          <w:b/>
          <w:i/>
          <w:color w:val="0391BE"/>
          <w:lang w:val="es-US"/>
        </w:rPr>
        <w:sectPr w:rsidR="006F4FD3" w:rsidRPr="00BC3841" w:rsidSect="005D3854">
          <w:pgSz w:w="11906" w:h="16838"/>
          <w:pgMar w:top="1440" w:right="1440" w:bottom="1440" w:left="1440" w:header="706" w:footer="706" w:gutter="0"/>
          <w:cols w:space="720"/>
        </w:sectPr>
      </w:pPr>
    </w:p>
    <w:p w14:paraId="58BDB8D8" w14:textId="0052CE12" w:rsidR="005D3854" w:rsidRPr="00216226" w:rsidRDefault="005D3854" w:rsidP="005D3854">
      <w:pPr>
        <w:pStyle w:val="Heading1"/>
        <w:rPr>
          <w:lang w:val="es-ES_tradnl"/>
        </w:rPr>
      </w:pPr>
      <w:r w:rsidRPr="00216226">
        <w:rPr>
          <w:lang w:val="es-ES_tradnl"/>
        </w:rPr>
        <w:lastRenderedPageBreak/>
        <w:t>Recomenda</w:t>
      </w:r>
      <w:r w:rsidR="00096259" w:rsidRPr="00216226">
        <w:rPr>
          <w:lang w:val="es-ES_tradnl"/>
        </w:rPr>
        <w:t>c</w:t>
      </w:r>
      <w:r w:rsidRPr="00216226">
        <w:rPr>
          <w:lang w:val="es-ES_tradnl"/>
        </w:rPr>
        <w:t>ion</w:t>
      </w:r>
      <w:r w:rsidR="00096259" w:rsidRPr="00216226">
        <w:rPr>
          <w:lang w:val="es-ES_tradnl"/>
        </w:rPr>
        <w:t>e</w:t>
      </w:r>
      <w:r w:rsidRPr="00216226">
        <w:rPr>
          <w:lang w:val="es-ES_tradnl"/>
        </w:rPr>
        <w:t>s</w:t>
      </w:r>
    </w:p>
    <w:p w14:paraId="01692DAF" w14:textId="77777777" w:rsidR="005D3854" w:rsidRPr="00216226" w:rsidRDefault="005D3854" w:rsidP="005D3854">
      <w:pPr>
        <w:spacing w:after="0" w:line="240" w:lineRule="auto"/>
        <w:rPr>
          <w:b/>
          <w:i/>
          <w:color w:val="0391BE"/>
          <w:lang w:val="es-ES_tradnl"/>
        </w:rPr>
      </w:pPr>
    </w:p>
    <w:tbl>
      <w:tblPr>
        <w:tblStyle w:val="a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
        <w:gridCol w:w="4092"/>
        <w:gridCol w:w="1061"/>
        <w:gridCol w:w="3922"/>
        <w:gridCol w:w="1155"/>
        <w:gridCol w:w="3393"/>
      </w:tblGrid>
      <w:tr w:rsidR="00E11DD2" w:rsidRPr="009A4A93" w14:paraId="46B58B8B" w14:textId="77777777" w:rsidTr="00FC1736">
        <w:tc>
          <w:tcPr>
            <w:tcW w:w="0" w:type="auto"/>
            <w:shd w:val="clear" w:color="auto" w:fill="EEECE1" w:themeFill="background2"/>
          </w:tcPr>
          <w:p w14:paraId="5907F459" w14:textId="05EF51E3" w:rsidR="00E11DD2" w:rsidRPr="00216226" w:rsidRDefault="00E11DD2" w:rsidP="00E11DD2">
            <w:pPr>
              <w:rPr>
                <w:b/>
                <w:color w:val="000000"/>
                <w:sz w:val="20"/>
                <w:szCs w:val="20"/>
                <w:lang w:val="es-ES_tradnl"/>
              </w:rPr>
            </w:pPr>
            <w:r w:rsidRPr="00216226">
              <w:rPr>
                <w:b/>
                <w:color w:val="000000"/>
                <w:sz w:val="20"/>
                <w:szCs w:val="20"/>
                <w:lang w:val="es-ES_tradnl"/>
              </w:rPr>
              <w:t>#</w:t>
            </w:r>
          </w:p>
        </w:tc>
        <w:tc>
          <w:tcPr>
            <w:tcW w:w="0" w:type="auto"/>
            <w:shd w:val="clear" w:color="auto" w:fill="EEECE1" w:themeFill="background2"/>
          </w:tcPr>
          <w:p w14:paraId="23F02018" w14:textId="20476225" w:rsidR="00E11DD2" w:rsidRPr="00216226" w:rsidRDefault="00E11DD2" w:rsidP="00E11DD2">
            <w:pPr>
              <w:rPr>
                <w:b/>
                <w:color w:val="000000"/>
                <w:sz w:val="20"/>
                <w:szCs w:val="20"/>
                <w:lang w:val="es-ES_tradnl"/>
              </w:rPr>
            </w:pPr>
            <w:r w:rsidRPr="00216226">
              <w:rPr>
                <w:b/>
                <w:color w:val="000000"/>
                <w:sz w:val="20"/>
                <w:szCs w:val="20"/>
                <w:lang w:val="es-ES_tradnl"/>
              </w:rPr>
              <w:t>Recomendaciones principales</w:t>
            </w:r>
          </w:p>
        </w:tc>
        <w:tc>
          <w:tcPr>
            <w:tcW w:w="0" w:type="auto"/>
            <w:shd w:val="clear" w:color="auto" w:fill="EEECE1" w:themeFill="background2"/>
          </w:tcPr>
          <w:p w14:paraId="4E0BFD0E" w14:textId="0C5C729C" w:rsidR="00E11DD2" w:rsidRPr="00216226" w:rsidRDefault="00E11DD2" w:rsidP="00E11DD2">
            <w:pPr>
              <w:rPr>
                <w:b/>
                <w:color w:val="000000"/>
                <w:sz w:val="20"/>
                <w:szCs w:val="20"/>
                <w:lang w:val="es-ES_tradnl"/>
              </w:rPr>
            </w:pPr>
            <w:r w:rsidRPr="00216226">
              <w:rPr>
                <w:b/>
                <w:lang w:val="es-ES_tradnl"/>
              </w:rPr>
              <w:t>Prioridad</w:t>
            </w:r>
          </w:p>
        </w:tc>
        <w:tc>
          <w:tcPr>
            <w:tcW w:w="0" w:type="auto"/>
            <w:shd w:val="clear" w:color="auto" w:fill="EEECE1" w:themeFill="background2"/>
          </w:tcPr>
          <w:p w14:paraId="3CF7CEBD" w14:textId="55CB3F21" w:rsidR="00E11DD2" w:rsidRPr="00216226" w:rsidRDefault="00E11DD2" w:rsidP="00E11DD2">
            <w:pPr>
              <w:jc w:val="center"/>
              <w:rPr>
                <w:b/>
                <w:color w:val="000000"/>
                <w:sz w:val="20"/>
                <w:szCs w:val="20"/>
                <w:lang w:val="es-ES_tradnl"/>
              </w:rPr>
            </w:pPr>
            <w:r w:rsidRPr="00216226">
              <w:rPr>
                <w:b/>
                <w:lang w:val="es-ES_tradnl"/>
              </w:rPr>
              <w:t>¿Quién lo implementa?</w:t>
            </w:r>
          </w:p>
        </w:tc>
        <w:tc>
          <w:tcPr>
            <w:tcW w:w="0" w:type="auto"/>
            <w:shd w:val="clear" w:color="auto" w:fill="EEECE1" w:themeFill="background2"/>
          </w:tcPr>
          <w:p w14:paraId="09C2FB89" w14:textId="02217291" w:rsidR="00E11DD2" w:rsidRPr="00216226" w:rsidRDefault="00E11DD2" w:rsidP="00E11DD2">
            <w:pPr>
              <w:jc w:val="center"/>
              <w:rPr>
                <w:b/>
                <w:color w:val="000000"/>
                <w:sz w:val="20"/>
                <w:szCs w:val="20"/>
                <w:lang w:val="es-ES_tradnl"/>
              </w:rPr>
            </w:pPr>
            <w:r w:rsidRPr="00216226">
              <w:rPr>
                <w:b/>
                <w:lang w:val="es-ES_tradnl"/>
              </w:rPr>
              <w:t>¿Para cuándo?</w:t>
            </w:r>
          </w:p>
        </w:tc>
        <w:tc>
          <w:tcPr>
            <w:tcW w:w="0" w:type="auto"/>
            <w:shd w:val="clear" w:color="auto" w:fill="EEECE1" w:themeFill="background2"/>
          </w:tcPr>
          <w:p w14:paraId="18386634" w14:textId="3FFF92D3" w:rsidR="00E11DD2" w:rsidRPr="00216226" w:rsidRDefault="00E11DD2" w:rsidP="00E11DD2">
            <w:pPr>
              <w:rPr>
                <w:b/>
                <w:color w:val="000000"/>
                <w:sz w:val="20"/>
                <w:szCs w:val="20"/>
                <w:lang w:val="es-ES_tradnl"/>
              </w:rPr>
            </w:pPr>
            <w:r w:rsidRPr="00216226">
              <w:rPr>
                <w:b/>
                <w:color w:val="000000"/>
                <w:sz w:val="20"/>
                <w:szCs w:val="20"/>
                <w:lang w:val="es-ES_tradnl"/>
              </w:rPr>
              <w:t>Implicaciones para el financiamiento del Fondo Mundial</w:t>
            </w:r>
          </w:p>
        </w:tc>
      </w:tr>
      <w:tr w:rsidR="00296C0E" w:rsidRPr="009A4A93" w14:paraId="208BF2BB" w14:textId="77777777" w:rsidTr="00FC1736">
        <w:tc>
          <w:tcPr>
            <w:tcW w:w="0" w:type="auto"/>
          </w:tcPr>
          <w:p w14:paraId="2D9739ED" w14:textId="73BB987E" w:rsidR="00296C0E" w:rsidRPr="00216226" w:rsidRDefault="00296C0E"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1</w:t>
            </w:r>
          </w:p>
        </w:tc>
        <w:tc>
          <w:tcPr>
            <w:tcW w:w="0" w:type="auto"/>
            <w:shd w:val="clear" w:color="auto" w:fill="auto"/>
          </w:tcPr>
          <w:p w14:paraId="6229E60F" w14:textId="220ED63E" w:rsidR="008932C6" w:rsidRPr="00216226" w:rsidRDefault="00E11DD2" w:rsidP="00184970">
            <w:pPr>
              <w:pStyle w:val="Header"/>
              <w:spacing w:after="240"/>
              <w:rPr>
                <w:b/>
                <w:color w:val="000000" w:themeColor="text1"/>
                <w:sz w:val="20"/>
                <w:szCs w:val="20"/>
                <w:lang w:val="es-ES_tradnl"/>
              </w:rPr>
            </w:pPr>
            <w:r w:rsidRPr="00216226">
              <w:rPr>
                <w:b/>
                <w:color w:val="000000" w:themeColor="text1"/>
                <w:sz w:val="20"/>
                <w:szCs w:val="20"/>
                <w:lang w:val="es-ES_tradnl"/>
              </w:rPr>
              <w:t>Revitalizar el CONASIDA como organismo de coordinación de múltiples partes interesadas</w:t>
            </w:r>
            <w:r w:rsidR="008932C6" w:rsidRPr="00216226">
              <w:rPr>
                <w:b/>
                <w:color w:val="000000" w:themeColor="text1"/>
                <w:sz w:val="20"/>
                <w:szCs w:val="20"/>
                <w:lang w:val="es-ES_tradnl"/>
              </w:rPr>
              <w:t>.</w:t>
            </w:r>
          </w:p>
          <w:p w14:paraId="3DB7253E" w14:textId="67413821" w:rsidR="00296C0E" w:rsidRPr="00216226" w:rsidRDefault="00E11DD2" w:rsidP="00184970">
            <w:pPr>
              <w:pStyle w:val="Header"/>
              <w:rPr>
                <w:b/>
                <w:color w:val="000000"/>
                <w:sz w:val="20"/>
                <w:szCs w:val="20"/>
                <w:lang w:val="es-ES_tradnl"/>
              </w:rPr>
            </w:pPr>
            <w:r w:rsidRPr="00216226">
              <w:rPr>
                <w:color w:val="000000" w:themeColor="text1"/>
                <w:sz w:val="20"/>
                <w:szCs w:val="20"/>
                <w:lang w:val="es-ES_tradnl"/>
              </w:rPr>
              <w:t>La respuesta nacional al VIH en Honduras requiere un foro donde todas las partes interesadas estén representadas, se comparta la información, se analicen los datos epidemiológicos y del programa, y se establezcan las prioridades compartidas en función de estas aportaciones</w:t>
            </w:r>
            <w:r w:rsidR="00B032C2" w:rsidRPr="00216226">
              <w:rPr>
                <w:color w:val="000000" w:themeColor="text1"/>
                <w:sz w:val="20"/>
                <w:szCs w:val="20"/>
                <w:lang w:val="es-ES_tradnl"/>
              </w:rPr>
              <w:t>.</w:t>
            </w:r>
          </w:p>
        </w:tc>
        <w:tc>
          <w:tcPr>
            <w:tcW w:w="0" w:type="auto"/>
            <w:shd w:val="clear" w:color="auto" w:fill="auto"/>
          </w:tcPr>
          <w:p w14:paraId="361C9BE2" w14:textId="194BDFE9" w:rsidR="00296C0E" w:rsidRPr="00216226" w:rsidRDefault="00E11DD2" w:rsidP="007927C3">
            <w:pPr>
              <w:rPr>
                <w:color w:val="000000"/>
                <w:sz w:val="20"/>
                <w:szCs w:val="20"/>
                <w:lang w:val="es-ES_tradnl"/>
              </w:rPr>
            </w:pPr>
            <w:r w:rsidRPr="00216226">
              <w:rPr>
                <w:color w:val="000000"/>
                <w:sz w:val="20"/>
                <w:szCs w:val="20"/>
                <w:lang w:val="es-ES_tradnl"/>
              </w:rPr>
              <w:t>Alta</w:t>
            </w:r>
          </w:p>
        </w:tc>
        <w:tc>
          <w:tcPr>
            <w:tcW w:w="0" w:type="auto"/>
            <w:shd w:val="clear" w:color="auto" w:fill="auto"/>
          </w:tcPr>
          <w:p w14:paraId="0294F736" w14:textId="56FCD74B" w:rsidR="00296C0E" w:rsidRPr="00216226" w:rsidRDefault="00E11DD2" w:rsidP="007927C3">
            <w:pPr>
              <w:rPr>
                <w:color w:val="000000"/>
                <w:sz w:val="20"/>
                <w:szCs w:val="20"/>
                <w:lang w:val="es-ES_tradnl"/>
              </w:rPr>
            </w:pPr>
            <w:r w:rsidRPr="00216226">
              <w:rPr>
                <w:sz w:val="20"/>
                <w:szCs w:val="20"/>
                <w:lang w:val="es-ES_tradnl"/>
              </w:rPr>
              <w:t>La revitalización de CONASIDA es responsabilidad del Gobierno de Honduras. Los interesados deben comprometerse a participar activamente, compartir información, discutir prioridades y cumplir con estos compromisos</w:t>
            </w:r>
            <w:r w:rsidR="008932C6" w:rsidRPr="00216226">
              <w:rPr>
                <w:sz w:val="20"/>
                <w:szCs w:val="20"/>
                <w:lang w:val="es-ES_tradnl"/>
              </w:rPr>
              <w:t>.</w:t>
            </w:r>
          </w:p>
        </w:tc>
        <w:tc>
          <w:tcPr>
            <w:tcW w:w="0" w:type="auto"/>
            <w:shd w:val="clear" w:color="auto" w:fill="auto"/>
          </w:tcPr>
          <w:p w14:paraId="27DC7862" w14:textId="7793A760" w:rsidR="00296C0E" w:rsidRPr="00216226" w:rsidRDefault="008932C6" w:rsidP="007927C3">
            <w:pPr>
              <w:rPr>
                <w:color w:val="000000"/>
                <w:sz w:val="20"/>
                <w:szCs w:val="20"/>
                <w:lang w:val="es-ES_tradnl"/>
              </w:rPr>
            </w:pPr>
            <w:r w:rsidRPr="00216226">
              <w:rPr>
                <w:color w:val="000000"/>
                <w:sz w:val="20"/>
                <w:szCs w:val="20"/>
                <w:lang w:val="es-ES_tradnl"/>
              </w:rPr>
              <w:t>Mar</w:t>
            </w:r>
            <w:r w:rsidR="00E11DD2" w:rsidRPr="00216226">
              <w:rPr>
                <w:color w:val="000000"/>
                <w:sz w:val="20"/>
                <w:szCs w:val="20"/>
                <w:lang w:val="es-ES_tradnl"/>
              </w:rPr>
              <w:t>zo</w:t>
            </w:r>
            <w:r w:rsidRPr="00216226">
              <w:rPr>
                <w:color w:val="000000"/>
                <w:sz w:val="20"/>
                <w:szCs w:val="20"/>
                <w:lang w:val="es-ES_tradnl"/>
              </w:rPr>
              <w:t xml:space="preserve"> 2019</w:t>
            </w:r>
          </w:p>
        </w:tc>
        <w:tc>
          <w:tcPr>
            <w:tcW w:w="0" w:type="auto"/>
            <w:shd w:val="clear" w:color="auto" w:fill="auto"/>
          </w:tcPr>
          <w:p w14:paraId="5003100F" w14:textId="38E09DBE" w:rsidR="00296C0E" w:rsidRPr="00216226" w:rsidRDefault="00E11DD2" w:rsidP="007927C3">
            <w:pPr>
              <w:rPr>
                <w:color w:val="222222"/>
                <w:sz w:val="20"/>
                <w:szCs w:val="20"/>
                <w:highlight w:val="white"/>
                <w:lang w:val="es-ES_tradnl"/>
              </w:rPr>
            </w:pPr>
            <w:r w:rsidRPr="00216226">
              <w:rPr>
                <w:sz w:val="20"/>
                <w:szCs w:val="20"/>
                <w:lang w:val="es-ES_tradnl"/>
              </w:rPr>
              <w:t>El Fondo Mundial puede condicionar sus contribuciones a la existencia de un CONASIDA plenamente funcional y reconocido</w:t>
            </w:r>
            <w:r w:rsidR="008932C6" w:rsidRPr="00216226">
              <w:rPr>
                <w:sz w:val="20"/>
                <w:szCs w:val="20"/>
                <w:lang w:val="es-ES_tradnl"/>
              </w:rPr>
              <w:t>.</w:t>
            </w:r>
          </w:p>
        </w:tc>
      </w:tr>
      <w:tr w:rsidR="00296C0E" w:rsidRPr="009A4A93" w14:paraId="233E57DE" w14:textId="77777777" w:rsidTr="00FC1736">
        <w:tc>
          <w:tcPr>
            <w:tcW w:w="0" w:type="auto"/>
          </w:tcPr>
          <w:p w14:paraId="217E1191" w14:textId="2426C1B0" w:rsidR="00296C0E" w:rsidRPr="00216226" w:rsidRDefault="00296C0E"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2</w:t>
            </w:r>
          </w:p>
        </w:tc>
        <w:tc>
          <w:tcPr>
            <w:tcW w:w="0" w:type="auto"/>
            <w:shd w:val="clear" w:color="auto" w:fill="auto"/>
          </w:tcPr>
          <w:p w14:paraId="33EBBD43" w14:textId="31B8123C" w:rsidR="00296C0E" w:rsidRPr="00216226" w:rsidRDefault="00E11DD2" w:rsidP="00184970">
            <w:pPr>
              <w:numPr>
                <w:ilvl w:val="0"/>
                <w:numId w:val="1"/>
              </w:numPr>
              <w:pBdr>
                <w:top w:val="nil"/>
                <w:left w:val="nil"/>
                <w:bottom w:val="nil"/>
                <w:right w:val="nil"/>
                <w:between w:val="nil"/>
              </w:pBdr>
              <w:ind w:left="0"/>
              <w:rPr>
                <w:b/>
                <w:color w:val="000000"/>
                <w:sz w:val="20"/>
                <w:szCs w:val="20"/>
                <w:lang w:val="es-ES_tradnl"/>
              </w:rPr>
            </w:pPr>
            <w:r w:rsidRPr="00216226">
              <w:rPr>
                <w:b/>
                <w:color w:val="000000" w:themeColor="text1"/>
                <w:sz w:val="20"/>
                <w:szCs w:val="20"/>
                <w:lang w:val="es-ES_tradnl"/>
              </w:rPr>
              <w:t xml:space="preserve">Utilizar las tasas de positividad para dar prioridad a las actividades de </w:t>
            </w:r>
            <w:r w:rsidRPr="00943294">
              <w:rPr>
                <w:b/>
                <w:i/>
                <w:color w:val="000000" w:themeColor="text1"/>
                <w:sz w:val="20"/>
                <w:szCs w:val="20"/>
                <w:lang w:val="es-ES_tradnl"/>
              </w:rPr>
              <w:t>HTC</w:t>
            </w:r>
            <w:r w:rsidRPr="00216226">
              <w:rPr>
                <w:b/>
                <w:color w:val="000000" w:themeColor="text1"/>
                <w:sz w:val="20"/>
                <w:szCs w:val="20"/>
                <w:lang w:val="es-ES_tradnl"/>
              </w:rPr>
              <w:t xml:space="preserve"> que son más efectivas</w:t>
            </w:r>
            <w:r w:rsidR="008932C6" w:rsidRPr="00216226">
              <w:rPr>
                <w:b/>
                <w:color w:val="000000" w:themeColor="text1"/>
                <w:sz w:val="20"/>
                <w:szCs w:val="20"/>
                <w:lang w:val="es-ES_tradnl"/>
              </w:rPr>
              <w:t>.</w:t>
            </w:r>
          </w:p>
        </w:tc>
        <w:tc>
          <w:tcPr>
            <w:tcW w:w="0" w:type="auto"/>
            <w:shd w:val="clear" w:color="auto" w:fill="auto"/>
          </w:tcPr>
          <w:p w14:paraId="75C87832" w14:textId="4DCD7685" w:rsidR="00296C0E" w:rsidRPr="00216226" w:rsidRDefault="00E11DD2" w:rsidP="007927C3">
            <w:pPr>
              <w:rPr>
                <w:color w:val="000000"/>
                <w:sz w:val="20"/>
                <w:szCs w:val="20"/>
                <w:lang w:val="es-ES_tradnl"/>
              </w:rPr>
            </w:pPr>
            <w:r w:rsidRPr="00216226">
              <w:rPr>
                <w:color w:val="000000"/>
                <w:sz w:val="20"/>
                <w:szCs w:val="20"/>
                <w:lang w:val="es-ES_tradnl"/>
              </w:rPr>
              <w:t>Alta</w:t>
            </w:r>
          </w:p>
        </w:tc>
        <w:tc>
          <w:tcPr>
            <w:tcW w:w="0" w:type="auto"/>
            <w:shd w:val="clear" w:color="auto" w:fill="auto"/>
          </w:tcPr>
          <w:p w14:paraId="26B81399" w14:textId="02038336" w:rsidR="00296C0E" w:rsidRPr="00216226" w:rsidRDefault="00E11DD2" w:rsidP="007927C3">
            <w:pPr>
              <w:rPr>
                <w:color w:val="000000"/>
                <w:sz w:val="20"/>
                <w:szCs w:val="20"/>
                <w:lang w:val="es-ES_tradnl"/>
              </w:rPr>
            </w:pPr>
            <w:r w:rsidRPr="00216226">
              <w:rPr>
                <w:sz w:val="20"/>
                <w:szCs w:val="20"/>
                <w:lang w:val="es-ES_tradnl"/>
              </w:rPr>
              <w:t>La discusión y la toma de decisiones deben ser dirigidas por el país, en colaboración con los socios para el desarrollo y la participación de los ejecutores del programa y las OSC</w:t>
            </w:r>
            <w:r w:rsidR="008932C6" w:rsidRPr="00216226">
              <w:rPr>
                <w:sz w:val="20"/>
                <w:szCs w:val="20"/>
                <w:lang w:val="es-ES_tradnl"/>
              </w:rPr>
              <w:t>.</w:t>
            </w:r>
          </w:p>
        </w:tc>
        <w:tc>
          <w:tcPr>
            <w:tcW w:w="0" w:type="auto"/>
            <w:shd w:val="clear" w:color="auto" w:fill="auto"/>
          </w:tcPr>
          <w:p w14:paraId="0A692D10" w14:textId="342EE70D" w:rsidR="008932C6" w:rsidRPr="00216226" w:rsidRDefault="00E11DD2" w:rsidP="008932C6">
            <w:pPr>
              <w:pStyle w:val="Header"/>
              <w:jc w:val="both"/>
              <w:rPr>
                <w:sz w:val="20"/>
                <w:szCs w:val="20"/>
                <w:lang w:val="es-ES_tradnl"/>
              </w:rPr>
            </w:pPr>
            <w:r w:rsidRPr="00216226">
              <w:rPr>
                <w:sz w:val="20"/>
                <w:szCs w:val="20"/>
                <w:lang w:val="es-ES_tradnl"/>
              </w:rPr>
              <w:t>Al final del 1er trimestre</w:t>
            </w:r>
            <w:r w:rsidR="008932C6" w:rsidRPr="00216226">
              <w:rPr>
                <w:sz w:val="20"/>
                <w:szCs w:val="20"/>
                <w:lang w:val="es-ES_tradnl"/>
              </w:rPr>
              <w:t>, 2019</w:t>
            </w:r>
          </w:p>
          <w:p w14:paraId="7ED48AC0" w14:textId="77777777" w:rsidR="00296C0E" w:rsidRPr="00216226" w:rsidRDefault="00296C0E" w:rsidP="007927C3">
            <w:pPr>
              <w:rPr>
                <w:color w:val="000000"/>
                <w:sz w:val="20"/>
                <w:szCs w:val="20"/>
                <w:lang w:val="es-ES_tradnl"/>
              </w:rPr>
            </w:pPr>
          </w:p>
        </w:tc>
        <w:tc>
          <w:tcPr>
            <w:tcW w:w="0" w:type="auto"/>
            <w:shd w:val="clear" w:color="auto" w:fill="auto"/>
          </w:tcPr>
          <w:p w14:paraId="3ADBF477" w14:textId="6058418B" w:rsidR="00296C0E" w:rsidRPr="00216226" w:rsidRDefault="00E11DD2" w:rsidP="007927C3">
            <w:pPr>
              <w:rPr>
                <w:color w:val="222222"/>
                <w:sz w:val="20"/>
                <w:szCs w:val="20"/>
                <w:highlight w:val="white"/>
                <w:lang w:val="es-ES_tradnl"/>
              </w:rPr>
            </w:pPr>
            <w:r w:rsidRPr="00216226">
              <w:rPr>
                <w:sz w:val="20"/>
                <w:szCs w:val="20"/>
                <w:lang w:val="es-ES_tradnl"/>
              </w:rPr>
              <w:t>El Fondo Mundial, como socio para el desarrollo, debe usar la evidencia proveniente de la implementación del programa para acordar con el PR para priorizar los modelos que mejor se ajustan a su propósito</w:t>
            </w:r>
            <w:r w:rsidR="008932C6" w:rsidRPr="00216226">
              <w:rPr>
                <w:sz w:val="20"/>
                <w:szCs w:val="20"/>
                <w:lang w:val="es-ES_tradnl"/>
              </w:rPr>
              <w:t>.</w:t>
            </w:r>
          </w:p>
        </w:tc>
      </w:tr>
      <w:tr w:rsidR="00296C0E" w:rsidRPr="00216226" w14:paraId="05F1CEE4" w14:textId="77777777" w:rsidTr="00FC1736">
        <w:tc>
          <w:tcPr>
            <w:tcW w:w="0" w:type="auto"/>
          </w:tcPr>
          <w:p w14:paraId="25B23C51" w14:textId="766D4EDC" w:rsidR="00296C0E" w:rsidRPr="00216226" w:rsidRDefault="00296C0E"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3</w:t>
            </w:r>
          </w:p>
        </w:tc>
        <w:tc>
          <w:tcPr>
            <w:tcW w:w="0" w:type="auto"/>
            <w:shd w:val="clear" w:color="auto" w:fill="auto"/>
          </w:tcPr>
          <w:p w14:paraId="4F0EBD47" w14:textId="39A62E12" w:rsidR="008932C6" w:rsidRPr="00216226" w:rsidRDefault="00E11DD2" w:rsidP="00184970">
            <w:pPr>
              <w:pStyle w:val="Header"/>
              <w:spacing w:after="240"/>
              <w:rPr>
                <w:b/>
                <w:color w:val="000000" w:themeColor="text1"/>
                <w:sz w:val="20"/>
                <w:szCs w:val="20"/>
                <w:lang w:val="es-ES_tradnl"/>
              </w:rPr>
            </w:pPr>
            <w:r w:rsidRPr="00216226">
              <w:rPr>
                <w:b/>
                <w:color w:val="000000" w:themeColor="text1"/>
                <w:sz w:val="20"/>
                <w:szCs w:val="20"/>
                <w:lang w:val="es-ES_tradnl"/>
              </w:rPr>
              <w:t>Reforzar los servicios en toda la continuidad de la atención del VIH</w:t>
            </w:r>
            <w:r w:rsidR="008932C6" w:rsidRPr="00216226">
              <w:rPr>
                <w:b/>
                <w:color w:val="000000" w:themeColor="text1"/>
                <w:sz w:val="20"/>
                <w:szCs w:val="20"/>
                <w:lang w:val="es-ES_tradnl"/>
              </w:rPr>
              <w:t>.</w:t>
            </w:r>
          </w:p>
          <w:p w14:paraId="29BDA2F0" w14:textId="3904B0E4" w:rsidR="00296C0E" w:rsidRPr="00216226" w:rsidRDefault="007D18BC" w:rsidP="00184970">
            <w:pPr>
              <w:pStyle w:val="Header"/>
              <w:rPr>
                <w:b/>
                <w:color w:val="000000"/>
                <w:sz w:val="20"/>
                <w:szCs w:val="20"/>
                <w:lang w:val="es-ES_tradnl"/>
              </w:rPr>
            </w:pPr>
            <w:r w:rsidRPr="00216226">
              <w:rPr>
                <w:color w:val="000000" w:themeColor="text1"/>
                <w:sz w:val="20"/>
                <w:szCs w:val="20"/>
                <w:lang w:val="es-ES_tradnl"/>
              </w:rPr>
              <w:t xml:space="preserve">Un continuo de atención óptimo debería incluir: hacer que las pruebas de VIH y sífilis estén continuamente disponibles en todos los centros de salud de la red nacional, adaptar las directrices del TARV para abordar con éxito la resistencia primaria, garantizando que todos los pacientes que reciben tratamiento antirretroviral se sometan al menos a una </w:t>
            </w:r>
            <w:r w:rsidRPr="00216226">
              <w:rPr>
                <w:color w:val="000000" w:themeColor="text1"/>
                <w:sz w:val="20"/>
                <w:szCs w:val="20"/>
                <w:lang w:val="es-ES_tradnl"/>
              </w:rPr>
              <w:lastRenderedPageBreak/>
              <w:t>medición de carga viral por año</w:t>
            </w:r>
            <w:r w:rsidR="008932C6" w:rsidRPr="00216226">
              <w:rPr>
                <w:color w:val="000000" w:themeColor="text1"/>
                <w:sz w:val="20"/>
                <w:szCs w:val="20"/>
                <w:lang w:val="es-ES_tradnl"/>
              </w:rPr>
              <w:t xml:space="preserve">, </w:t>
            </w:r>
            <w:r w:rsidRPr="00216226">
              <w:rPr>
                <w:color w:val="000000" w:themeColor="text1"/>
                <w:sz w:val="20"/>
                <w:szCs w:val="20"/>
                <w:lang w:val="es-ES_tradnl"/>
              </w:rPr>
              <w:t>y abordar la falta de adherencia a la terapia antirretroviral que da por resultado una carga viral no suprimida La mayoría de estas actividades ya están reguladas en las directrices nacionales, pero no se implementan</w:t>
            </w:r>
            <w:r w:rsidR="008932C6" w:rsidRPr="00216226">
              <w:rPr>
                <w:color w:val="000000" w:themeColor="text1"/>
                <w:sz w:val="20"/>
                <w:szCs w:val="20"/>
                <w:lang w:val="es-ES_tradnl"/>
              </w:rPr>
              <w:t xml:space="preserve">. </w:t>
            </w:r>
          </w:p>
        </w:tc>
        <w:tc>
          <w:tcPr>
            <w:tcW w:w="0" w:type="auto"/>
            <w:shd w:val="clear" w:color="auto" w:fill="auto"/>
          </w:tcPr>
          <w:p w14:paraId="6B208902" w14:textId="24E45527" w:rsidR="00296C0E" w:rsidRPr="00216226" w:rsidRDefault="00E11DD2" w:rsidP="007927C3">
            <w:pPr>
              <w:rPr>
                <w:color w:val="000000"/>
                <w:sz w:val="20"/>
                <w:szCs w:val="20"/>
                <w:lang w:val="es-ES_tradnl"/>
              </w:rPr>
            </w:pPr>
            <w:r w:rsidRPr="00216226">
              <w:rPr>
                <w:color w:val="000000"/>
                <w:sz w:val="20"/>
                <w:szCs w:val="20"/>
                <w:lang w:val="es-ES_tradnl"/>
              </w:rPr>
              <w:lastRenderedPageBreak/>
              <w:t>Alta</w:t>
            </w:r>
          </w:p>
        </w:tc>
        <w:tc>
          <w:tcPr>
            <w:tcW w:w="0" w:type="auto"/>
            <w:shd w:val="clear" w:color="auto" w:fill="auto"/>
          </w:tcPr>
          <w:p w14:paraId="5A34F7ED" w14:textId="02C5D4A6" w:rsidR="00296C0E" w:rsidRPr="00216226" w:rsidRDefault="007D18BC" w:rsidP="007927C3">
            <w:pPr>
              <w:rPr>
                <w:color w:val="000000"/>
                <w:sz w:val="20"/>
                <w:szCs w:val="20"/>
                <w:lang w:val="es-ES_tradnl"/>
              </w:rPr>
            </w:pPr>
            <w:r w:rsidRPr="00216226">
              <w:rPr>
                <w:color w:val="000000" w:themeColor="text1"/>
                <w:sz w:val="20"/>
                <w:szCs w:val="20"/>
                <w:lang w:val="es-ES_tradnl"/>
              </w:rPr>
              <w:t>SESAL tiene la responsabilidad de coordinar a las partes interesadas relevantes, asignar los fondos de implementación necesarios y asegurar que se sigan las directrices</w:t>
            </w:r>
            <w:r w:rsidR="00FC1736" w:rsidRPr="00216226">
              <w:rPr>
                <w:color w:val="000000" w:themeColor="text1"/>
                <w:sz w:val="20"/>
                <w:szCs w:val="20"/>
                <w:lang w:val="es-ES_tradnl"/>
              </w:rPr>
              <w:t>.</w:t>
            </w:r>
          </w:p>
        </w:tc>
        <w:tc>
          <w:tcPr>
            <w:tcW w:w="0" w:type="auto"/>
            <w:shd w:val="clear" w:color="auto" w:fill="auto"/>
          </w:tcPr>
          <w:p w14:paraId="3D183602" w14:textId="0E8D6C83" w:rsidR="00296C0E" w:rsidRPr="00216226" w:rsidRDefault="00E11DD2" w:rsidP="007927C3">
            <w:pPr>
              <w:rPr>
                <w:color w:val="000000"/>
                <w:sz w:val="20"/>
                <w:szCs w:val="20"/>
                <w:lang w:val="es-ES_tradnl"/>
              </w:rPr>
            </w:pPr>
            <w:r w:rsidRPr="00216226">
              <w:rPr>
                <w:color w:val="000000" w:themeColor="text1"/>
                <w:sz w:val="20"/>
                <w:szCs w:val="20"/>
                <w:lang w:val="es-ES_tradnl"/>
              </w:rPr>
              <w:t xml:space="preserve">Al final de </w:t>
            </w:r>
            <w:r w:rsidR="008932C6" w:rsidRPr="00216226">
              <w:rPr>
                <w:color w:val="000000" w:themeColor="text1"/>
                <w:sz w:val="20"/>
                <w:szCs w:val="20"/>
                <w:lang w:val="es-ES_tradnl"/>
              </w:rPr>
              <w:t>2019</w:t>
            </w:r>
          </w:p>
        </w:tc>
        <w:tc>
          <w:tcPr>
            <w:tcW w:w="0" w:type="auto"/>
            <w:shd w:val="clear" w:color="auto" w:fill="auto"/>
          </w:tcPr>
          <w:p w14:paraId="64DCCEAE" w14:textId="77777777" w:rsidR="00296C0E" w:rsidRPr="00216226" w:rsidRDefault="00296C0E" w:rsidP="007927C3">
            <w:pPr>
              <w:rPr>
                <w:color w:val="222222"/>
                <w:sz w:val="20"/>
                <w:szCs w:val="20"/>
                <w:highlight w:val="white"/>
                <w:lang w:val="es-ES_tradnl"/>
              </w:rPr>
            </w:pPr>
          </w:p>
        </w:tc>
      </w:tr>
      <w:tr w:rsidR="008932C6" w:rsidRPr="009A4A93" w14:paraId="1C9BA0DC" w14:textId="77777777" w:rsidTr="00FC1736">
        <w:tc>
          <w:tcPr>
            <w:tcW w:w="0" w:type="auto"/>
          </w:tcPr>
          <w:p w14:paraId="2247AAD6" w14:textId="328EE076" w:rsidR="008932C6" w:rsidRPr="00216226" w:rsidRDefault="00167493"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4</w:t>
            </w:r>
          </w:p>
        </w:tc>
        <w:tc>
          <w:tcPr>
            <w:tcW w:w="0" w:type="auto"/>
            <w:shd w:val="clear" w:color="auto" w:fill="auto"/>
          </w:tcPr>
          <w:p w14:paraId="2FF2A77E" w14:textId="14082258" w:rsidR="00B04430" w:rsidRPr="00216226" w:rsidRDefault="007D18BC" w:rsidP="00184970">
            <w:pPr>
              <w:pStyle w:val="Header"/>
              <w:spacing w:after="240"/>
              <w:rPr>
                <w:b/>
                <w:color w:val="000000" w:themeColor="text1"/>
                <w:sz w:val="20"/>
                <w:szCs w:val="20"/>
                <w:lang w:val="es-ES_tradnl"/>
              </w:rPr>
            </w:pPr>
            <w:r w:rsidRPr="00216226">
              <w:rPr>
                <w:b/>
                <w:color w:val="000000" w:themeColor="text1"/>
                <w:sz w:val="20"/>
                <w:szCs w:val="20"/>
                <w:lang w:val="es-ES_tradnl"/>
              </w:rPr>
              <w:t>Asignar los recursos domésticos adicionales necesarios para sostener la respuesta nacional al VIH</w:t>
            </w:r>
            <w:r w:rsidR="00B04430" w:rsidRPr="00216226">
              <w:rPr>
                <w:b/>
                <w:color w:val="000000" w:themeColor="text1"/>
                <w:sz w:val="20"/>
                <w:szCs w:val="20"/>
                <w:lang w:val="es-ES_tradnl"/>
              </w:rPr>
              <w:t>.</w:t>
            </w:r>
          </w:p>
          <w:p w14:paraId="3271899E" w14:textId="1B8C1FF4" w:rsidR="008932C6" w:rsidRPr="00216226" w:rsidRDefault="007D18BC" w:rsidP="005F63B6">
            <w:pPr>
              <w:pStyle w:val="Header"/>
              <w:rPr>
                <w:b/>
                <w:color w:val="000000"/>
                <w:sz w:val="20"/>
                <w:szCs w:val="20"/>
                <w:lang w:val="es-ES_tradnl"/>
              </w:rPr>
            </w:pPr>
            <w:r w:rsidRPr="00216226">
              <w:rPr>
                <w:color w:val="000000" w:themeColor="text1"/>
                <w:sz w:val="20"/>
                <w:szCs w:val="20"/>
                <w:lang w:val="es-ES_tradnl"/>
              </w:rPr>
              <w:t>Honduras recibirá progresivamente cantidades menores de ayuda financiera por parte de los socios para el desarrollo para sostener su respuesta nacional al VIH, y en particular del Fondo Mundial</w:t>
            </w:r>
            <w:r w:rsidR="00B04430" w:rsidRPr="00216226">
              <w:rPr>
                <w:color w:val="000000" w:themeColor="text1"/>
                <w:sz w:val="20"/>
                <w:szCs w:val="20"/>
                <w:lang w:val="es-ES_tradnl"/>
              </w:rPr>
              <w:t xml:space="preserve">. </w:t>
            </w:r>
            <w:r w:rsidRPr="00216226">
              <w:rPr>
                <w:color w:val="000000" w:themeColor="text1"/>
                <w:sz w:val="20"/>
                <w:szCs w:val="20"/>
                <w:lang w:val="es-ES_tradnl"/>
              </w:rPr>
              <w:t xml:space="preserve">Algunas áreas estratégicas, como prevención y </w:t>
            </w:r>
            <w:r w:rsidRPr="00943294">
              <w:rPr>
                <w:i/>
                <w:color w:val="000000" w:themeColor="text1"/>
                <w:sz w:val="20"/>
                <w:szCs w:val="20"/>
                <w:lang w:val="es-ES_tradnl"/>
              </w:rPr>
              <w:t>HTC</w:t>
            </w:r>
            <w:r w:rsidRPr="00216226">
              <w:rPr>
                <w:color w:val="000000" w:themeColor="text1"/>
                <w:sz w:val="20"/>
                <w:szCs w:val="20"/>
                <w:lang w:val="es-ES_tradnl"/>
              </w:rPr>
              <w:t xml:space="preserve">, las herramientas de diagnóstico para PVVIH bajo tratamiento, la vinculación con la atención médica y las actividades de retención, un </w:t>
            </w:r>
            <w:r w:rsidR="005F63B6">
              <w:rPr>
                <w:color w:val="000000" w:themeColor="text1"/>
                <w:sz w:val="20"/>
                <w:szCs w:val="20"/>
                <w:lang w:val="es-ES_tradnl"/>
              </w:rPr>
              <w:t>SIIS</w:t>
            </w:r>
            <w:r w:rsidRPr="00216226">
              <w:rPr>
                <w:color w:val="000000" w:themeColor="text1"/>
                <w:sz w:val="20"/>
                <w:szCs w:val="20"/>
                <w:lang w:val="es-ES_tradnl"/>
              </w:rPr>
              <w:t xml:space="preserve"> completamente funcional y acciones hacia un entorno propicio para grupos vulnerables se pondrán en peligro si el país no asume su responsabilidad</w:t>
            </w:r>
            <w:r w:rsidR="00B04430" w:rsidRPr="00216226">
              <w:rPr>
                <w:color w:val="000000" w:themeColor="text1"/>
                <w:sz w:val="20"/>
                <w:szCs w:val="20"/>
                <w:lang w:val="es-ES_tradnl"/>
              </w:rPr>
              <w:t xml:space="preserve">. </w:t>
            </w:r>
            <w:r w:rsidRPr="00216226">
              <w:rPr>
                <w:color w:val="000000" w:themeColor="text1"/>
                <w:sz w:val="20"/>
                <w:szCs w:val="20"/>
                <w:lang w:val="es-ES_tradnl"/>
              </w:rPr>
              <w:t>Este no es sólo un problema de capacidad financiera sino también, y principalmente, de voluntad política y liderazgo</w:t>
            </w:r>
            <w:r w:rsidR="00B04430" w:rsidRPr="00216226">
              <w:rPr>
                <w:color w:val="000000" w:themeColor="text1"/>
                <w:sz w:val="20"/>
                <w:szCs w:val="20"/>
                <w:lang w:val="es-ES_tradnl"/>
              </w:rPr>
              <w:t xml:space="preserve">.  </w:t>
            </w:r>
          </w:p>
        </w:tc>
        <w:tc>
          <w:tcPr>
            <w:tcW w:w="0" w:type="auto"/>
            <w:shd w:val="clear" w:color="auto" w:fill="auto"/>
          </w:tcPr>
          <w:p w14:paraId="48B93CE1" w14:textId="293DA894" w:rsidR="008932C6" w:rsidRPr="00216226" w:rsidRDefault="00E11DD2" w:rsidP="007927C3">
            <w:pPr>
              <w:rPr>
                <w:color w:val="000000"/>
                <w:sz w:val="20"/>
                <w:szCs w:val="20"/>
                <w:lang w:val="es-ES_tradnl"/>
              </w:rPr>
            </w:pPr>
            <w:r w:rsidRPr="00216226">
              <w:rPr>
                <w:color w:val="000000"/>
                <w:sz w:val="20"/>
                <w:szCs w:val="20"/>
                <w:lang w:val="es-ES_tradnl"/>
              </w:rPr>
              <w:t>Alta</w:t>
            </w:r>
          </w:p>
        </w:tc>
        <w:tc>
          <w:tcPr>
            <w:tcW w:w="0" w:type="auto"/>
            <w:shd w:val="clear" w:color="auto" w:fill="auto"/>
          </w:tcPr>
          <w:p w14:paraId="05614C59" w14:textId="40AA9781" w:rsidR="008932C6" w:rsidRPr="00216226" w:rsidRDefault="007D18BC" w:rsidP="003F39AD">
            <w:pPr>
              <w:rPr>
                <w:b/>
                <w:color w:val="000000"/>
                <w:sz w:val="20"/>
                <w:szCs w:val="20"/>
                <w:lang w:val="es-ES_tradnl"/>
              </w:rPr>
            </w:pPr>
            <w:r w:rsidRPr="00216226">
              <w:rPr>
                <w:sz w:val="20"/>
                <w:szCs w:val="20"/>
                <w:lang w:val="es-ES_tradnl"/>
              </w:rPr>
              <w:t>Todos los actores públicos involucrados en el diseño y la implementación del presupuesto nacional de salud desempeñan un papel para garantizar un aumento proporcional en el presupuesto de VIH</w:t>
            </w:r>
            <w:r w:rsidR="00B04430" w:rsidRPr="00216226">
              <w:rPr>
                <w:sz w:val="20"/>
                <w:szCs w:val="20"/>
                <w:lang w:val="es-ES_tradnl"/>
              </w:rPr>
              <w:t xml:space="preserve">: </w:t>
            </w:r>
            <w:r w:rsidR="003F39AD">
              <w:rPr>
                <w:sz w:val="20"/>
                <w:szCs w:val="20"/>
                <w:lang w:val="es-ES_tradnl"/>
              </w:rPr>
              <w:t>La SESAL, la Secretaría de Finanzas</w:t>
            </w:r>
            <w:r w:rsidR="00AF6084" w:rsidRPr="00216226">
              <w:rPr>
                <w:sz w:val="20"/>
                <w:szCs w:val="20"/>
                <w:lang w:val="es-ES_tradnl"/>
              </w:rPr>
              <w:t>, la coordinación gubernamental, el gabinete del Presidente y el Parlamento. Las organizaciones de la sociedad civil deben hacer incidencia para lograr mayores recursos domésticos</w:t>
            </w:r>
            <w:r w:rsidR="00B04430" w:rsidRPr="00216226">
              <w:rPr>
                <w:sz w:val="20"/>
                <w:szCs w:val="20"/>
                <w:lang w:val="es-ES_tradnl"/>
              </w:rPr>
              <w:t>.</w:t>
            </w:r>
          </w:p>
        </w:tc>
        <w:tc>
          <w:tcPr>
            <w:tcW w:w="0" w:type="auto"/>
            <w:shd w:val="clear" w:color="auto" w:fill="auto"/>
          </w:tcPr>
          <w:p w14:paraId="04289070" w14:textId="0ED52022" w:rsidR="00B04430" w:rsidRPr="00216226" w:rsidRDefault="00E11DD2" w:rsidP="00B04430">
            <w:pPr>
              <w:pStyle w:val="Header"/>
              <w:rPr>
                <w:sz w:val="20"/>
                <w:szCs w:val="20"/>
                <w:lang w:val="es-ES_tradnl"/>
              </w:rPr>
            </w:pPr>
            <w:r w:rsidRPr="00216226">
              <w:rPr>
                <w:sz w:val="20"/>
                <w:szCs w:val="20"/>
                <w:lang w:val="es-ES_tradnl"/>
              </w:rPr>
              <w:t xml:space="preserve">De </w:t>
            </w:r>
            <w:r w:rsidR="00B04430" w:rsidRPr="00216226">
              <w:rPr>
                <w:sz w:val="20"/>
                <w:szCs w:val="20"/>
                <w:lang w:val="es-ES_tradnl"/>
              </w:rPr>
              <w:t xml:space="preserve">2019 </w:t>
            </w:r>
            <w:r w:rsidRPr="00216226">
              <w:rPr>
                <w:sz w:val="20"/>
                <w:szCs w:val="20"/>
                <w:lang w:val="es-ES_tradnl"/>
              </w:rPr>
              <w:t>a</w:t>
            </w:r>
            <w:r w:rsidR="00B04430" w:rsidRPr="00216226">
              <w:rPr>
                <w:sz w:val="20"/>
                <w:szCs w:val="20"/>
                <w:lang w:val="es-ES_tradnl"/>
              </w:rPr>
              <w:t xml:space="preserve"> 2022 </w:t>
            </w:r>
          </w:p>
          <w:p w14:paraId="00BAA630" w14:textId="77777777" w:rsidR="008932C6" w:rsidRPr="00216226" w:rsidRDefault="008932C6" w:rsidP="007927C3">
            <w:pPr>
              <w:rPr>
                <w:b/>
                <w:color w:val="000000"/>
                <w:sz w:val="20"/>
                <w:szCs w:val="20"/>
                <w:lang w:val="es-ES_tradnl"/>
              </w:rPr>
            </w:pPr>
          </w:p>
        </w:tc>
        <w:tc>
          <w:tcPr>
            <w:tcW w:w="0" w:type="auto"/>
            <w:shd w:val="clear" w:color="auto" w:fill="auto"/>
          </w:tcPr>
          <w:p w14:paraId="04E3E6A2" w14:textId="5A3B7CDC" w:rsidR="00B04430" w:rsidRPr="00216226" w:rsidRDefault="00AF6084" w:rsidP="00B04430">
            <w:pPr>
              <w:pStyle w:val="Header"/>
              <w:jc w:val="both"/>
              <w:rPr>
                <w:sz w:val="20"/>
                <w:szCs w:val="20"/>
                <w:lang w:val="es-ES_tradnl"/>
              </w:rPr>
            </w:pPr>
            <w:r w:rsidRPr="00216226">
              <w:rPr>
                <w:sz w:val="20"/>
                <w:szCs w:val="20"/>
                <w:lang w:val="es-ES_tradnl"/>
              </w:rPr>
              <w:t>El Fondo Mundial y otros donantes deben apoyar a las OSC en la incidencia para mayores recursos domésticos para el VIH</w:t>
            </w:r>
            <w:r w:rsidR="00B04430" w:rsidRPr="00216226">
              <w:rPr>
                <w:sz w:val="20"/>
                <w:szCs w:val="20"/>
                <w:lang w:val="es-ES_tradnl"/>
              </w:rPr>
              <w:t xml:space="preserve">. </w:t>
            </w:r>
            <w:r w:rsidRPr="00216226">
              <w:rPr>
                <w:sz w:val="20"/>
                <w:szCs w:val="20"/>
                <w:lang w:val="es-ES_tradnl"/>
              </w:rPr>
              <w:t>Los socios para el desarrollo, incluido el Fondo Mundial, deben iniciar diálogos con el gobierno, ayudando a mostrar el costo-beneficio de las inversiones domésticas para el VIH</w:t>
            </w:r>
            <w:r w:rsidR="00B04430" w:rsidRPr="00216226">
              <w:rPr>
                <w:sz w:val="20"/>
                <w:szCs w:val="20"/>
                <w:lang w:val="es-ES_tradnl"/>
              </w:rPr>
              <w:t xml:space="preserve">. </w:t>
            </w:r>
          </w:p>
          <w:p w14:paraId="1386273A" w14:textId="77777777" w:rsidR="008932C6" w:rsidRPr="00216226" w:rsidRDefault="008932C6" w:rsidP="007927C3">
            <w:pPr>
              <w:rPr>
                <w:b/>
                <w:color w:val="000000"/>
                <w:sz w:val="20"/>
                <w:szCs w:val="20"/>
                <w:lang w:val="es-ES_tradnl"/>
              </w:rPr>
            </w:pPr>
          </w:p>
        </w:tc>
      </w:tr>
      <w:tr w:rsidR="008932C6" w:rsidRPr="009A4A93" w14:paraId="43E43A63" w14:textId="77777777" w:rsidTr="00FC1736">
        <w:tc>
          <w:tcPr>
            <w:tcW w:w="0" w:type="auto"/>
          </w:tcPr>
          <w:p w14:paraId="6ADCF540" w14:textId="17939798" w:rsidR="008932C6" w:rsidRPr="00216226" w:rsidRDefault="00167493"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5</w:t>
            </w:r>
          </w:p>
        </w:tc>
        <w:tc>
          <w:tcPr>
            <w:tcW w:w="0" w:type="auto"/>
            <w:shd w:val="clear" w:color="auto" w:fill="auto"/>
          </w:tcPr>
          <w:p w14:paraId="21B03108" w14:textId="25227452" w:rsidR="00B04430" w:rsidRPr="00216226" w:rsidRDefault="00A463AD" w:rsidP="00184970">
            <w:pPr>
              <w:pStyle w:val="Header"/>
              <w:spacing w:after="240"/>
              <w:rPr>
                <w:b/>
                <w:color w:val="000000" w:themeColor="text1"/>
                <w:sz w:val="20"/>
                <w:szCs w:val="20"/>
                <w:lang w:val="es-ES_tradnl"/>
              </w:rPr>
            </w:pPr>
            <w:r w:rsidRPr="00216226">
              <w:rPr>
                <w:b/>
                <w:color w:val="000000" w:themeColor="text1"/>
                <w:sz w:val="20"/>
                <w:szCs w:val="20"/>
                <w:lang w:val="es-ES_tradnl"/>
              </w:rPr>
              <w:t>Implementar un SIIS integral y totalmente funcional</w:t>
            </w:r>
            <w:r w:rsidR="00B04430" w:rsidRPr="00216226">
              <w:rPr>
                <w:b/>
                <w:color w:val="000000" w:themeColor="text1"/>
                <w:sz w:val="20"/>
                <w:szCs w:val="20"/>
                <w:lang w:val="es-ES_tradnl"/>
              </w:rPr>
              <w:t>.</w:t>
            </w:r>
          </w:p>
          <w:p w14:paraId="39B9893E" w14:textId="05C1C01E" w:rsidR="008932C6" w:rsidRPr="00216226" w:rsidRDefault="00A463AD" w:rsidP="005F63B6">
            <w:pPr>
              <w:pStyle w:val="Header"/>
              <w:rPr>
                <w:color w:val="000000" w:themeColor="text1"/>
                <w:sz w:val="20"/>
                <w:szCs w:val="20"/>
                <w:lang w:val="es-ES_tradnl"/>
              </w:rPr>
            </w:pPr>
            <w:r w:rsidRPr="00216226">
              <w:rPr>
                <w:color w:val="000000" w:themeColor="text1"/>
                <w:sz w:val="20"/>
                <w:szCs w:val="20"/>
                <w:lang w:val="es-ES_tradnl"/>
              </w:rPr>
              <w:t xml:space="preserve">La falta de un </w:t>
            </w:r>
            <w:r w:rsidR="005F63B6">
              <w:rPr>
                <w:color w:val="000000" w:themeColor="text1"/>
                <w:sz w:val="20"/>
                <w:szCs w:val="20"/>
                <w:lang w:val="es-ES_tradnl"/>
              </w:rPr>
              <w:t>SIIS</w:t>
            </w:r>
            <w:r w:rsidRPr="00216226">
              <w:rPr>
                <w:color w:val="000000" w:themeColor="text1"/>
                <w:sz w:val="20"/>
                <w:szCs w:val="20"/>
                <w:lang w:val="es-ES_tradnl"/>
              </w:rPr>
              <w:t xml:space="preserve"> adecuado en Honduras significa perder oportunidades para comprender mejor las tendencias del VIH (incluida la distribución geográfica y de género) y cómo afecta a los grupos vulnerables</w:t>
            </w:r>
            <w:r w:rsidR="00B04430" w:rsidRPr="00216226">
              <w:rPr>
                <w:color w:val="000000" w:themeColor="text1"/>
                <w:sz w:val="20"/>
                <w:szCs w:val="20"/>
                <w:lang w:val="es-ES_tradnl"/>
              </w:rPr>
              <w:t xml:space="preserve">. </w:t>
            </w:r>
            <w:r w:rsidRPr="00216226">
              <w:rPr>
                <w:color w:val="000000" w:themeColor="text1"/>
                <w:sz w:val="20"/>
                <w:szCs w:val="20"/>
                <w:lang w:val="es-ES_tradnl"/>
              </w:rPr>
              <w:t xml:space="preserve">La falta de datos confiables dificulta la adaptación de los servicios y la priorización de las políticas. En </w:t>
            </w:r>
            <w:r w:rsidRPr="00216226">
              <w:rPr>
                <w:color w:val="000000" w:themeColor="text1"/>
                <w:sz w:val="20"/>
                <w:szCs w:val="20"/>
                <w:lang w:val="es-ES_tradnl"/>
              </w:rPr>
              <w:lastRenderedPageBreak/>
              <w:t xml:space="preserve">ese sentido, la implementación de un sistema digital en línea basado en el </w:t>
            </w:r>
            <w:r w:rsidRPr="00C033A0">
              <w:rPr>
                <w:i/>
                <w:color w:val="000000" w:themeColor="text1"/>
                <w:sz w:val="20"/>
                <w:szCs w:val="20"/>
                <w:lang w:val="es-ES_tradnl"/>
              </w:rPr>
              <w:t>UIC</w:t>
            </w:r>
            <w:r w:rsidRPr="00216226">
              <w:rPr>
                <w:color w:val="000000" w:themeColor="text1"/>
                <w:sz w:val="20"/>
                <w:szCs w:val="20"/>
                <w:lang w:val="es-ES_tradnl"/>
              </w:rPr>
              <w:t xml:space="preserve"> que comparten todas las partes interesadas y sus diferentes servicios ayudará enormemente, si se interpreta adecuadamente, a aumentar la eficacia del sistema de salud</w:t>
            </w:r>
            <w:r w:rsidR="00B04430" w:rsidRPr="00216226">
              <w:rPr>
                <w:color w:val="000000" w:themeColor="text1"/>
                <w:sz w:val="20"/>
                <w:szCs w:val="20"/>
                <w:lang w:val="es-ES_tradnl"/>
              </w:rPr>
              <w:t xml:space="preserve">. </w:t>
            </w:r>
            <w:r w:rsidRPr="00216226">
              <w:rPr>
                <w:color w:val="000000" w:themeColor="text1"/>
                <w:sz w:val="20"/>
                <w:szCs w:val="20"/>
                <w:lang w:val="es-ES_tradnl"/>
              </w:rPr>
              <w:t>A largo plazo, la creación e implementación de una historia clínica digital y una prescripción electrónica de medicamentos simplificarán enor</w:t>
            </w:r>
            <w:r w:rsidR="005F63B6">
              <w:rPr>
                <w:color w:val="000000" w:themeColor="text1"/>
                <w:sz w:val="20"/>
                <w:szCs w:val="20"/>
                <w:lang w:val="es-ES_tradnl"/>
              </w:rPr>
              <w:t>memente los procedimientos en lo</w:t>
            </w:r>
            <w:r w:rsidRPr="00216226">
              <w:rPr>
                <w:color w:val="000000" w:themeColor="text1"/>
                <w:sz w:val="20"/>
                <w:szCs w:val="20"/>
                <w:lang w:val="es-ES_tradnl"/>
              </w:rPr>
              <w:t>s SAI, reducirán la carga de trabajo de los profesionales de la salud y aumentarán la calidad de vida de los pacientes</w:t>
            </w:r>
            <w:r w:rsidR="00B032C2" w:rsidRPr="00216226">
              <w:rPr>
                <w:color w:val="000000" w:themeColor="text1"/>
                <w:sz w:val="20"/>
                <w:szCs w:val="20"/>
                <w:lang w:val="es-ES_tradnl"/>
              </w:rPr>
              <w:t>.</w:t>
            </w:r>
          </w:p>
        </w:tc>
        <w:tc>
          <w:tcPr>
            <w:tcW w:w="0" w:type="auto"/>
            <w:shd w:val="clear" w:color="auto" w:fill="auto"/>
          </w:tcPr>
          <w:p w14:paraId="1DD2E611" w14:textId="63C9737C" w:rsidR="008932C6" w:rsidRPr="00216226" w:rsidRDefault="00E11DD2" w:rsidP="007927C3">
            <w:pPr>
              <w:rPr>
                <w:color w:val="000000"/>
                <w:sz w:val="20"/>
                <w:szCs w:val="20"/>
                <w:lang w:val="es-ES_tradnl"/>
              </w:rPr>
            </w:pPr>
            <w:r w:rsidRPr="00216226">
              <w:rPr>
                <w:color w:val="000000"/>
                <w:sz w:val="20"/>
                <w:szCs w:val="20"/>
                <w:lang w:val="es-ES_tradnl"/>
              </w:rPr>
              <w:lastRenderedPageBreak/>
              <w:t>Alta</w:t>
            </w:r>
          </w:p>
        </w:tc>
        <w:tc>
          <w:tcPr>
            <w:tcW w:w="0" w:type="auto"/>
            <w:shd w:val="clear" w:color="auto" w:fill="auto"/>
          </w:tcPr>
          <w:p w14:paraId="3ED0EC26" w14:textId="4959DFAF" w:rsidR="008932C6" w:rsidRPr="00216226" w:rsidRDefault="00A463AD" w:rsidP="007927C3">
            <w:pPr>
              <w:rPr>
                <w:b/>
                <w:color w:val="000000"/>
                <w:sz w:val="20"/>
                <w:szCs w:val="20"/>
                <w:lang w:val="es-ES_tradnl"/>
              </w:rPr>
            </w:pPr>
            <w:r w:rsidRPr="00216226">
              <w:rPr>
                <w:sz w:val="20"/>
                <w:szCs w:val="20"/>
                <w:lang w:val="es-ES_tradnl"/>
              </w:rPr>
              <w:t>SESAL tiene la responsabilidad de hacer que el SIIS se convierta en una realidad mediante el establecimiento de las capacidades técnicas adecuadas y una alta prioridad política</w:t>
            </w:r>
            <w:r w:rsidR="00B04430" w:rsidRPr="00216226">
              <w:rPr>
                <w:sz w:val="20"/>
                <w:szCs w:val="20"/>
                <w:lang w:val="es-ES_tradnl"/>
              </w:rPr>
              <w:t>.</w:t>
            </w:r>
          </w:p>
        </w:tc>
        <w:tc>
          <w:tcPr>
            <w:tcW w:w="0" w:type="auto"/>
            <w:shd w:val="clear" w:color="auto" w:fill="auto"/>
          </w:tcPr>
          <w:p w14:paraId="70003CB4" w14:textId="768165C4" w:rsidR="008932C6" w:rsidRPr="00216226" w:rsidRDefault="00A463AD" w:rsidP="007927C3">
            <w:pPr>
              <w:rPr>
                <w:b/>
                <w:color w:val="000000"/>
                <w:sz w:val="20"/>
                <w:szCs w:val="20"/>
                <w:lang w:val="es-ES_tradnl"/>
              </w:rPr>
            </w:pPr>
            <w:r w:rsidRPr="00216226">
              <w:rPr>
                <w:sz w:val="20"/>
                <w:szCs w:val="20"/>
                <w:lang w:val="es-ES_tradnl"/>
              </w:rPr>
              <w:t>A finales de 2020</w:t>
            </w:r>
          </w:p>
        </w:tc>
        <w:tc>
          <w:tcPr>
            <w:tcW w:w="0" w:type="auto"/>
            <w:shd w:val="clear" w:color="auto" w:fill="auto"/>
          </w:tcPr>
          <w:p w14:paraId="5425A97E" w14:textId="2E23D4FF" w:rsidR="008932C6" w:rsidRPr="00216226" w:rsidRDefault="00A463AD" w:rsidP="007927C3">
            <w:pPr>
              <w:rPr>
                <w:b/>
                <w:color w:val="000000"/>
                <w:sz w:val="20"/>
                <w:szCs w:val="20"/>
                <w:lang w:val="es-ES_tradnl"/>
              </w:rPr>
            </w:pPr>
            <w:r w:rsidRPr="00216226">
              <w:rPr>
                <w:sz w:val="20"/>
                <w:szCs w:val="20"/>
                <w:lang w:val="es-ES_tradnl"/>
              </w:rPr>
              <w:t>El Fondo Mundial puede continuar apoyando al país con fondos y asistencia técnica, pero debe ser estricto con el retorno de la inversión</w:t>
            </w:r>
            <w:r w:rsidR="00B04430" w:rsidRPr="00216226">
              <w:rPr>
                <w:sz w:val="20"/>
                <w:szCs w:val="20"/>
                <w:lang w:val="es-ES_tradnl"/>
              </w:rPr>
              <w:t xml:space="preserve">. </w:t>
            </w:r>
            <w:r w:rsidRPr="00216226">
              <w:rPr>
                <w:sz w:val="20"/>
                <w:szCs w:val="20"/>
                <w:lang w:val="es-ES_tradnl"/>
              </w:rPr>
              <w:t>Otros socios para el desarrollo también pueden contribuir con su experiencia</w:t>
            </w:r>
            <w:r w:rsidR="00B04430" w:rsidRPr="00216226">
              <w:rPr>
                <w:sz w:val="20"/>
                <w:szCs w:val="20"/>
                <w:lang w:val="es-ES_tradnl"/>
              </w:rPr>
              <w:t>.</w:t>
            </w:r>
          </w:p>
        </w:tc>
      </w:tr>
      <w:tr w:rsidR="00296C0E" w:rsidRPr="009A4A93" w14:paraId="157CF255" w14:textId="77777777" w:rsidTr="00FC1736">
        <w:tc>
          <w:tcPr>
            <w:tcW w:w="0" w:type="auto"/>
          </w:tcPr>
          <w:p w14:paraId="1864EBD8" w14:textId="0C60CD92" w:rsidR="00296C0E" w:rsidRPr="00216226" w:rsidRDefault="00167493" w:rsidP="007927C3">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6</w:t>
            </w:r>
          </w:p>
        </w:tc>
        <w:tc>
          <w:tcPr>
            <w:tcW w:w="0" w:type="auto"/>
            <w:shd w:val="clear" w:color="auto" w:fill="auto"/>
          </w:tcPr>
          <w:p w14:paraId="2F8C6E8B" w14:textId="4B2DE7BB" w:rsidR="00B04430" w:rsidRPr="00216226" w:rsidRDefault="000D71C4" w:rsidP="00184970">
            <w:pPr>
              <w:pStyle w:val="Header"/>
              <w:spacing w:after="240"/>
              <w:rPr>
                <w:b/>
                <w:color w:val="000000" w:themeColor="text1"/>
                <w:sz w:val="20"/>
                <w:szCs w:val="20"/>
                <w:lang w:val="es-ES_tradnl"/>
              </w:rPr>
            </w:pPr>
            <w:r w:rsidRPr="00216226">
              <w:rPr>
                <w:b/>
                <w:color w:val="000000" w:themeColor="text1"/>
                <w:sz w:val="20"/>
                <w:szCs w:val="20"/>
                <w:lang w:val="es-ES_tradnl"/>
              </w:rPr>
              <w:t>Monitorear de cerca el impacto real de los Fondos Catalíticos</w:t>
            </w:r>
            <w:r w:rsidR="00B04430" w:rsidRPr="00216226">
              <w:rPr>
                <w:b/>
                <w:color w:val="000000" w:themeColor="text1"/>
                <w:sz w:val="20"/>
                <w:szCs w:val="20"/>
                <w:lang w:val="es-ES_tradnl"/>
              </w:rPr>
              <w:t>.</w:t>
            </w:r>
          </w:p>
          <w:p w14:paraId="72B885B2" w14:textId="6029FDB3" w:rsidR="00296C0E" w:rsidRPr="00216226" w:rsidRDefault="000D71C4" w:rsidP="00184970">
            <w:pPr>
              <w:pStyle w:val="Header"/>
              <w:rPr>
                <w:color w:val="000000" w:themeColor="text1"/>
                <w:sz w:val="20"/>
                <w:szCs w:val="20"/>
                <w:lang w:val="es-ES_tradnl"/>
              </w:rPr>
            </w:pPr>
            <w:r w:rsidRPr="00216226">
              <w:rPr>
                <w:color w:val="000000" w:themeColor="text1"/>
                <w:sz w:val="20"/>
                <w:szCs w:val="20"/>
                <w:lang w:val="es-ES_tradnl"/>
              </w:rPr>
              <w:t xml:space="preserve">Muy recientemente, Honduras ha obtenido </w:t>
            </w:r>
            <w:r w:rsidR="00652E09">
              <w:rPr>
                <w:color w:val="000000" w:themeColor="text1"/>
                <w:sz w:val="20"/>
                <w:szCs w:val="20"/>
                <w:lang w:val="es-ES_tradnl"/>
              </w:rPr>
              <w:t xml:space="preserve">US$ </w:t>
            </w:r>
            <w:r w:rsidR="00B04430" w:rsidRPr="00216226">
              <w:rPr>
                <w:color w:val="000000" w:themeColor="text1"/>
                <w:sz w:val="20"/>
                <w:szCs w:val="20"/>
                <w:lang w:val="es-ES_tradnl"/>
              </w:rPr>
              <w:t xml:space="preserve">1,899,999 </w:t>
            </w:r>
            <w:r w:rsidR="00A04FE2" w:rsidRPr="00216226">
              <w:rPr>
                <w:color w:val="000000" w:themeColor="text1"/>
                <w:sz w:val="20"/>
                <w:szCs w:val="20"/>
                <w:lang w:val="es-ES_tradnl"/>
              </w:rPr>
              <w:t>d</w:t>
            </w:r>
            <w:r w:rsidRPr="00216226">
              <w:rPr>
                <w:color w:val="000000" w:themeColor="text1"/>
                <w:sz w:val="20"/>
                <w:szCs w:val="20"/>
                <w:lang w:val="es-ES_tradnl"/>
              </w:rPr>
              <w:t>el Fondo Mundial con el fin de abordar las barreras para que las poblaciones clave accedan a la atención sanitaria</w:t>
            </w:r>
            <w:r w:rsidR="00B04430" w:rsidRPr="00216226">
              <w:rPr>
                <w:color w:val="000000" w:themeColor="text1"/>
                <w:sz w:val="20"/>
                <w:szCs w:val="20"/>
                <w:lang w:val="es-ES_tradnl"/>
              </w:rPr>
              <w:t xml:space="preserve">. </w:t>
            </w:r>
            <w:r w:rsidR="00A04FE2" w:rsidRPr="00216226">
              <w:rPr>
                <w:color w:val="000000" w:themeColor="text1"/>
                <w:sz w:val="20"/>
                <w:szCs w:val="20"/>
                <w:lang w:val="es-ES_tradnl"/>
              </w:rPr>
              <w:t>Esta es una excelente oportunidad para abordar muchas de las barreras estructurales que enfrentan las poblaciones clave para acceder a los servicios de salud, reducir el estigma y la discriminación, y para abordar las violaciones de los derechos humanos, incluida la violencia</w:t>
            </w:r>
            <w:r w:rsidR="00B04430" w:rsidRPr="00216226">
              <w:rPr>
                <w:color w:val="000000" w:themeColor="text1"/>
                <w:sz w:val="20"/>
                <w:szCs w:val="20"/>
                <w:lang w:val="es-ES_tradnl"/>
              </w:rPr>
              <w:t xml:space="preserve">. </w:t>
            </w:r>
            <w:r w:rsidR="00A04FE2" w:rsidRPr="00216226">
              <w:rPr>
                <w:color w:val="000000" w:themeColor="text1"/>
                <w:sz w:val="20"/>
                <w:szCs w:val="20"/>
                <w:lang w:val="es-ES_tradnl"/>
              </w:rPr>
              <w:t>Pero también es una oportunidad para que el país asuma la plena responsabilidad de los problemas y desarrolle e implemente su propia estrategia sólida e integral</w:t>
            </w:r>
            <w:r w:rsidR="00B032C2" w:rsidRPr="00216226">
              <w:rPr>
                <w:color w:val="000000" w:themeColor="text1"/>
                <w:sz w:val="20"/>
                <w:szCs w:val="20"/>
                <w:lang w:val="es-ES_tradnl"/>
              </w:rPr>
              <w:t xml:space="preserve">. </w:t>
            </w:r>
          </w:p>
        </w:tc>
        <w:tc>
          <w:tcPr>
            <w:tcW w:w="0" w:type="auto"/>
            <w:shd w:val="clear" w:color="auto" w:fill="auto"/>
          </w:tcPr>
          <w:p w14:paraId="2BEE01C4" w14:textId="03756F4F" w:rsidR="00296C0E" w:rsidRPr="00216226" w:rsidRDefault="00E11DD2" w:rsidP="007927C3">
            <w:pPr>
              <w:rPr>
                <w:color w:val="000000"/>
                <w:sz w:val="20"/>
                <w:szCs w:val="20"/>
                <w:lang w:val="es-ES_tradnl"/>
              </w:rPr>
            </w:pPr>
            <w:r w:rsidRPr="00216226">
              <w:rPr>
                <w:color w:val="000000"/>
                <w:sz w:val="20"/>
                <w:szCs w:val="20"/>
                <w:lang w:val="es-ES_tradnl"/>
              </w:rPr>
              <w:t>Alta</w:t>
            </w:r>
          </w:p>
        </w:tc>
        <w:tc>
          <w:tcPr>
            <w:tcW w:w="0" w:type="auto"/>
            <w:shd w:val="clear" w:color="auto" w:fill="auto"/>
          </w:tcPr>
          <w:p w14:paraId="64C678AB" w14:textId="0ECAD7B7" w:rsidR="00296C0E" w:rsidRPr="00216226" w:rsidRDefault="00A04FE2" w:rsidP="007927C3">
            <w:pPr>
              <w:rPr>
                <w:b/>
                <w:color w:val="000000"/>
                <w:sz w:val="20"/>
                <w:szCs w:val="20"/>
                <w:lang w:val="es-ES_tradnl"/>
              </w:rPr>
            </w:pPr>
            <w:r w:rsidRPr="00216226">
              <w:rPr>
                <w:sz w:val="20"/>
                <w:szCs w:val="20"/>
                <w:lang w:val="es-ES_tradnl"/>
              </w:rPr>
              <w:t>El Fondo Mundial y los receptores de las subvenciones. Los receptores de las subvenciones deben utilizar este apoyo para hacer que las autoridades nacionales rindan cuentas de sus políticas y hacer incidencia por los cambios necesarios para garantizar los derechos humanos de las poblaciones clave y las PVVIH</w:t>
            </w:r>
            <w:r w:rsidR="00B04430" w:rsidRPr="00216226">
              <w:rPr>
                <w:sz w:val="20"/>
                <w:szCs w:val="20"/>
                <w:lang w:val="es-ES_tradnl"/>
              </w:rPr>
              <w:t>.</w:t>
            </w:r>
          </w:p>
        </w:tc>
        <w:tc>
          <w:tcPr>
            <w:tcW w:w="0" w:type="auto"/>
            <w:shd w:val="clear" w:color="auto" w:fill="auto"/>
          </w:tcPr>
          <w:p w14:paraId="2D10285D" w14:textId="5A95B2B3" w:rsidR="00296C0E" w:rsidRPr="00216226" w:rsidRDefault="00A04FE2" w:rsidP="007927C3">
            <w:pPr>
              <w:rPr>
                <w:b/>
                <w:color w:val="000000"/>
                <w:sz w:val="20"/>
                <w:szCs w:val="20"/>
                <w:lang w:val="es-ES_tradnl"/>
              </w:rPr>
            </w:pPr>
            <w:r w:rsidRPr="00216226">
              <w:rPr>
                <w:sz w:val="20"/>
                <w:szCs w:val="20"/>
                <w:lang w:val="es-ES_tradnl"/>
              </w:rPr>
              <w:t>De</w:t>
            </w:r>
            <w:r w:rsidR="00B04430" w:rsidRPr="00216226">
              <w:rPr>
                <w:sz w:val="20"/>
                <w:szCs w:val="20"/>
                <w:lang w:val="es-ES_tradnl"/>
              </w:rPr>
              <w:t xml:space="preserve"> 2019 </w:t>
            </w:r>
            <w:r w:rsidRPr="00216226">
              <w:rPr>
                <w:sz w:val="20"/>
                <w:szCs w:val="20"/>
                <w:lang w:val="es-ES_tradnl"/>
              </w:rPr>
              <w:t>a</w:t>
            </w:r>
            <w:r w:rsidR="00B04430" w:rsidRPr="00216226">
              <w:rPr>
                <w:sz w:val="20"/>
                <w:szCs w:val="20"/>
                <w:lang w:val="es-ES_tradnl"/>
              </w:rPr>
              <w:t xml:space="preserve"> 2021</w:t>
            </w:r>
          </w:p>
        </w:tc>
        <w:tc>
          <w:tcPr>
            <w:tcW w:w="0" w:type="auto"/>
            <w:shd w:val="clear" w:color="auto" w:fill="auto"/>
          </w:tcPr>
          <w:p w14:paraId="5FE9555E" w14:textId="03E66850" w:rsidR="00296C0E" w:rsidRPr="00216226" w:rsidRDefault="00A04FE2" w:rsidP="007927C3">
            <w:pPr>
              <w:rPr>
                <w:b/>
                <w:color w:val="000000"/>
                <w:sz w:val="20"/>
                <w:szCs w:val="20"/>
                <w:lang w:val="es-ES_tradnl"/>
              </w:rPr>
            </w:pPr>
            <w:r w:rsidRPr="00216226">
              <w:rPr>
                <w:sz w:val="20"/>
                <w:szCs w:val="20"/>
                <w:lang w:val="es-ES_tradnl"/>
              </w:rPr>
              <w:t>El Fondo Mundial debe monitorear de cerca el impacto real de las actividades que se están implementando bajo la Subvención de Fondos Catalíticos</w:t>
            </w:r>
            <w:r w:rsidR="00B04430" w:rsidRPr="00216226">
              <w:rPr>
                <w:sz w:val="20"/>
                <w:szCs w:val="20"/>
                <w:lang w:val="es-ES_tradnl"/>
              </w:rPr>
              <w:t>.</w:t>
            </w:r>
          </w:p>
        </w:tc>
      </w:tr>
      <w:tr w:rsidR="00A04FE2" w:rsidRPr="009A4A93" w14:paraId="3C186788" w14:textId="77777777" w:rsidTr="00FC1736">
        <w:tc>
          <w:tcPr>
            <w:tcW w:w="0" w:type="auto"/>
            <w:shd w:val="clear" w:color="auto" w:fill="EEECE1" w:themeFill="background2"/>
          </w:tcPr>
          <w:p w14:paraId="744D2CBA" w14:textId="10EEF65F" w:rsidR="00A04FE2" w:rsidRPr="00216226" w:rsidRDefault="00A04FE2" w:rsidP="00A04FE2">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w:t>
            </w:r>
          </w:p>
        </w:tc>
        <w:tc>
          <w:tcPr>
            <w:tcW w:w="0" w:type="auto"/>
            <w:shd w:val="clear" w:color="auto" w:fill="EEECE1" w:themeFill="background2"/>
          </w:tcPr>
          <w:p w14:paraId="6122EA65" w14:textId="07E88C54" w:rsidR="00A04FE2" w:rsidRPr="00216226" w:rsidRDefault="00A04FE2" w:rsidP="00A04FE2">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Recomendaciones menores</w:t>
            </w:r>
          </w:p>
        </w:tc>
        <w:tc>
          <w:tcPr>
            <w:tcW w:w="0" w:type="auto"/>
            <w:shd w:val="clear" w:color="auto" w:fill="EEECE1" w:themeFill="background2"/>
          </w:tcPr>
          <w:p w14:paraId="13871B88" w14:textId="1F1341AA" w:rsidR="00A04FE2" w:rsidRPr="00216226" w:rsidRDefault="00A04FE2" w:rsidP="00A04FE2">
            <w:pPr>
              <w:rPr>
                <w:b/>
                <w:color w:val="000000"/>
                <w:sz w:val="20"/>
                <w:szCs w:val="20"/>
                <w:lang w:val="es-ES_tradnl"/>
              </w:rPr>
            </w:pPr>
            <w:r w:rsidRPr="00216226">
              <w:rPr>
                <w:b/>
                <w:lang w:val="es-ES_tradnl"/>
              </w:rPr>
              <w:t>Prioridad</w:t>
            </w:r>
          </w:p>
        </w:tc>
        <w:tc>
          <w:tcPr>
            <w:tcW w:w="0" w:type="auto"/>
            <w:shd w:val="clear" w:color="auto" w:fill="EEECE1" w:themeFill="background2"/>
          </w:tcPr>
          <w:p w14:paraId="4137E707" w14:textId="407D9D4B" w:rsidR="00A04FE2" w:rsidRPr="00216226" w:rsidRDefault="00A04FE2" w:rsidP="00A04FE2">
            <w:pPr>
              <w:rPr>
                <w:b/>
                <w:color w:val="000000"/>
                <w:sz w:val="20"/>
                <w:szCs w:val="20"/>
                <w:lang w:val="es-ES_tradnl"/>
              </w:rPr>
            </w:pPr>
            <w:r w:rsidRPr="00216226">
              <w:rPr>
                <w:b/>
                <w:lang w:val="es-ES_tradnl"/>
              </w:rPr>
              <w:t>¿Quién lo implementa?</w:t>
            </w:r>
          </w:p>
        </w:tc>
        <w:tc>
          <w:tcPr>
            <w:tcW w:w="0" w:type="auto"/>
            <w:shd w:val="clear" w:color="auto" w:fill="EEECE1" w:themeFill="background2"/>
          </w:tcPr>
          <w:p w14:paraId="18A6E158" w14:textId="0A16EE68" w:rsidR="00A04FE2" w:rsidRPr="00216226" w:rsidRDefault="00A04FE2" w:rsidP="00A04FE2">
            <w:pPr>
              <w:rPr>
                <w:b/>
                <w:color w:val="000000"/>
                <w:sz w:val="20"/>
                <w:szCs w:val="20"/>
                <w:lang w:val="es-ES_tradnl"/>
              </w:rPr>
            </w:pPr>
            <w:r w:rsidRPr="00216226">
              <w:rPr>
                <w:b/>
                <w:lang w:val="es-ES_tradnl"/>
              </w:rPr>
              <w:t>¿Para cuándo?</w:t>
            </w:r>
          </w:p>
        </w:tc>
        <w:tc>
          <w:tcPr>
            <w:tcW w:w="0" w:type="auto"/>
            <w:shd w:val="clear" w:color="auto" w:fill="EEECE1" w:themeFill="background2"/>
          </w:tcPr>
          <w:p w14:paraId="551FB2BA" w14:textId="15243516" w:rsidR="00A04FE2" w:rsidRPr="00216226" w:rsidRDefault="00A04FE2" w:rsidP="00A04FE2">
            <w:pPr>
              <w:rPr>
                <w:color w:val="222222"/>
                <w:sz w:val="20"/>
                <w:szCs w:val="20"/>
                <w:highlight w:val="white"/>
                <w:lang w:val="es-ES_tradnl"/>
              </w:rPr>
            </w:pPr>
            <w:r w:rsidRPr="00216226">
              <w:rPr>
                <w:b/>
                <w:color w:val="000000"/>
                <w:sz w:val="20"/>
                <w:szCs w:val="20"/>
                <w:lang w:val="es-ES_tradnl"/>
              </w:rPr>
              <w:t>Implicaciones para el financiamiento del Fondo Mundial</w:t>
            </w:r>
          </w:p>
        </w:tc>
      </w:tr>
      <w:tr w:rsidR="00243E31" w:rsidRPr="009A4A93" w14:paraId="3D627247" w14:textId="77777777" w:rsidTr="00CB5827">
        <w:tc>
          <w:tcPr>
            <w:tcW w:w="0" w:type="auto"/>
          </w:tcPr>
          <w:p w14:paraId="7137D930" w14:textId="19026172" w:rsidR="00243E31" w:rsidRPr="00216226" w:rsidRDefault="00167493" w:rsidP="00CB5827">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7</w:t>
            </w:r>
          </w:p>
        </w:tc>
        <w:tc>
          <w:tcPr>
            <w:tcW w:w="0" w:type="auto"/>
            <w:shd w:val="clear" w:color="auto" w:fill="auto"/>
          </w:tcPr>
          <w:p w14:paraId="06940871" w14:textId="4E34E337" w:rsidR="00243E31" w:rsidRPr="00216226" w:rsidRDefault="00A04FE2" w:rsidP="00184970">
            <w:pPr>
              <w:pStyle w:val="Header"/>
              <w:spacing w:after="240"/>
              <w:rPr>
                <w:b/>
                <w:color w:val="000000" w:themeColor="text1"/>
                <w:sz w:val="20"/>
                <w:szCs w:val="20"/>
                <w:lang w:val="es-ES_tradnl"/>
              </w:rPr>
            </w:pPr>
            <w:r w:rsidRPr="00216226">
              <w:rPr>
                <w:b/>
                <w:color w:val="000000" w:themeColor="text1"/>
                <w:sz w:val="20"/>
                <w:szCs w:val="20"/>
                <w:lang w:val="es-ES_tradnl"/>
              </w:rPr>
              <w:t xml:space="preserve">Aumentar las eficiencias reformulando los reglamentos de sanidad relacionados con el </w:t>
            </w:r>
            <w:r w:rsidRPr="00216226">
              <w:rPr>
                <w:b/>
                <w:color w:val="000000" w:themeColor="text1"/>
                <w:sz w:val="20"/>
                <w:szCs w:val="20"/>
                <w:lang w:val="es-ES_tradnl"/>
              </w:rPr>
              <w:lastRenderedPageBreak/>
              <w:t>VIH, siguiendo el estudio piloto en San Pedro Sula</w:t>
            </w:r>
            <w:r w:rsidR="00243E31" w:rsidRPr="00216226">
              <w:rPr>
                <w:b/>
                <w:color w:val="000000" w:themeColor="text1"/>
                <w:sz w:val="20"/>
                <w:szCs w:val="20"/>
                <w:lang w:val="es-ES_tradnl"/>
              </w:rPr>
              <w:t>.</w:t>
            </w:r>
          </w:p>
          <w:p w14:paraId="78149038" w14:textId="0037030C" w:rsidR="00243E31" w:rsidRPr="00216226" w:rsidRDefault="00A04FE2" w:rsidP="00072F38">
            <w:pPr>
              <w:pStyle w:val="Header"/>
              <w:rPr>
                <w:b/>
                <w:color w:val="000000"/>
                <w:sz w:val="20"/>
                <w:szCs w:val="20"/>
                <w:lang w:val="es-ES_tradnl"/>
              </w:rPr>
            </w:pPr>
            <w:r w:rsidRPr="00216226">
              <w:rPr>
                <w:color w:val="000000" w:themeColor="text1"/>
                <w:sz w:val="20"/>
                <w:szCs w:val="20"/>
                <w:lang w:val="es-ES_tradnl"/>
              </w:rPr>
              <w:t>El modelo de atención médica actual para las PVVIH requiere visitas a l</w:t>
            </w:r>
            <w:r w:rsidR="00072F38">
              <w:rPr>
                <w:color w:val="000000" w:themeColor="text1"/>
                <w:sz w:val="20"/>
                <w:szCs w:val="20"/>
                <w:lang w:val="es-ES_tradnl"/>
              </w:rPr>
              <w:t>o</w:t>
            </w:r>
            <w:r w:rsidRPr="00216226">
              <w:rPr>
                <w:color w:val="000000" w:themeColor="text1"/>
                <w:sz w:val="20"/>
                <w:szCs w:val="20"/>
                <w:lang w:val="es-ES_tradnl"/>
              </w:rPr>
              <w:t>s SAI con una periodicidad muy frecuente (una vez al mes o cada dos meses) para todos los pacientes, un reglamento que se justifica</w:t>
            </w:r>
            <w:r w:rsidR="00243E31" w:rsidRPr="00216226">
              <w:rPr>
                <w:color w:val="000000" w:themeColor="text1"/>
                <w:sz w:val="20"/>
                <w:szCs w:val="20"/>
                <w:lang w:val="es-ES_tradnl"/>
              </w:rPr>
              <w:t xml:space="preserve">. </w:t>
            </w:r>
            <w:r w:rsidR="00714D1F" w:rsidRPr="00216226">
              <w:rPr>
                <w:color w:val="000000" w:themeColor="text1"/>
                <w:sz w:val="20"/>
                <w:szCs w:val="20"/>
                <w:lang w:val="es-ES_tradnl"/>
              </w:rPr>
              <w:t>Los pacientes adherentes con una carga viral suprimida durante un período de tiempo razonable no necesitan exámenes médicos más de dos veces al año, y pueden recoger su receta de medicamentos trimestralmente</w:t>
            </w:r>
            <w:r w:rsidR="00243E31" w:rsidRPr="00216226">
              <w:rPr>
                <w:color w:val="000000" w:themeColor="text1"/>
                <w:sz w:val="20"/>
                <w:szCs w:val="20"/>
                <w:lang w:val="es-ES_tradnl"/>
              </w:rPr>
              <w:t xml:space="preserve">. </w:t>
            </w:r>
            <w:r w:rsidR="00714D1F" w:rsidRPr="00216226">
              <w:rPr>
                <w:color w:val="000000" w:themeColor="text1"/>
                <w:sz w:val="20"/>
                <w:szCs w:val="20"/>
                <w:lang w:val="es-ES_tradnl"/>
              </w:rPr>
              <w:t>Esto mejorará la calidad de vida y reducirá los costos para esos pacientes. También reducirá la carga de trabajo de los profesionales sanitarios, quienes podrán concentrarse en los pacientes que comienzan la terapia y en aquellos que retoman la vinculación, los que no logran suprimir la carga viral o los que están en riesgo de perderse</w:t>
            </w:r>
            <w:r w:rsidR="00243E31" w:rsidRPr="00216226">
              <w:rPr>
                <w:color w:val="000000" w:themeColor="text1"/>
                <w:sz w:val="20"/>
                <w:szCs w:val="20"/>
                <w:lang w:val="es-ES_tradnl"/>
              </w:rPr>
              <w:t xml:space="preserve">. </w:t>
            </w:r>
            <w:r w:rsidR="00714D1F" w:rsidRPr="00216226">
              <w:rPr>
                <w:color w:val="000000" w:themeColor="text1"/>
                <w:sz w:val="20"/>
                <w:szCs w:val="20"/>
                <w:lang w:val="es-ES_tradnl"/>
              </w:rPr>
              <w:t>Este modelo se está probando en San Pedro Sula y se recomienda ampliarlo a nivel nacional</w:t>
            </w:r>
            <w:r w:rsidR="00243E31" w:rsidRPr="00216226">
              <w:rPr>
                <w:color w:val="000000" w:themeColor="text1"/>
                <w:sz w:val="20"/>
                <w:szCs w:val="20"/>
                <w:lang w:val="es-ES_tradnl"/>
              </w:rPr>
              <w:t xml:space="preserve">. </w:t>
            </w:r>
          </w:p>
        </w:tc>
        <w:tc>
          <w:tcPr>
            <w:tcW w:w="0" w:type="auto"/>
            <w:shd w:val="clear" w:color="auto" w:fill="auto"/>
          </w:tcPr>
          <w:p w14:paraId="47EDA4E3" w14:textId="4114203D" w:rsidR="00243E31" w:rsidRPr="00216226" w:rsidRDefault="00243E31" w:rsidP="00CB5827">
            <w:pPr>
              <w:rPr>
                <w:b/>
                <w:color w:val="000000"/>
                <w:sz w:val="20"/>
                <w:szCs w:val="20"/>
                <w:lang w:val="es-ES_tradnl"/>
              </w:rPr>
            </w:pPr>
            <w:r w:rsidRPr="00216226">
              <w:rPr>
                <w:b/>
                <w:color w:val="000000"/>
                <w:sz w:val="20"/>
                <w:szCs w:val="20"/>
                <w:lang w:val="es-ES_tradnl"/>
              </w:rPr>
              <w:lastRenderedPageBreak/>
              <w:t>Medi</w:t>
            </w:r>
            <w:r w:rsidR="00714D1F" w:rsidRPr="00216226">
              <w:rPr>
                <w:b/>
                <w:color w:val="000000"/>
                <w:sz w:val="20"/>
                <w:szCs w:val="20"/>
                <w:lang w:val="es-ES_tradnl"/>
              </w:rPr>
              <w:t>a</w:t>
            </w:r>
          </w:p>
        </w:tc>
        <w:tc>
          <w:tcPr>
            <w:tcW w:w="0" w:type="auto"/>
            <w:shd w:val="clear" w:color="auto" w:fill="auto"/>
          </w:tcPr>
          <w:p w14:paraId="02DB6BB7" w14:textId="638AE5E4" w:rsidR="00243E31" w:rsidRPr="00216226" w:rsidRDefault="00714D1F" w:rsidP="00CB5827">
            <w:pPr>
              <w:rPr>
                <w:b/>
                <w:color w:val="000000"/>
                <w:sz w:val="20"/>
                <w:szCs w:val="20"/>
                <w:lang w:val="es-ES_tradnl"/>
              </w:rPr>
            </w:pPr>
            <w:r w:rsidRPr="00216226">
              <w:rPr>
                <w:sz w:val="20"/>
                <w:szCs w:val="20"/>
                <w:lang w:val="es-ES_tradnl"/>
              </w:rPr>
              <w:t>Los reglamentos de la práctica sanitaria son responsabilidad de SESAL</w:t>
            </w:r>
            <w:r w:rsidR="00243E31" w:rsidRPr="00216226">
              <w:rPr>
                <w:sz w:val="20"/>
                <w:szCs w:val="20"/>
                <w:lang w:val="es-ES_tradnl"/>
              </w:rPr>
              <w:t>.</w:t>
            </w:r>
          </w:p>
        </w:tc>
        <w:tc>
          <w:tcPr>
            <w:tcW w:w="0" w:type="auto"/>
            <w:shd w:val="clear" w:color="auto" w:fill="auto"/>
          </w:tcPr>
          <w:p w14:paraId="36BFF764" w14:textId="5F36E1DF" w:rsidR="00243E31" w:rsidRPr="00216226" w:rsidRDefault="00714D1F" w:rsidP="00CB5827">
            <w:pPr>
              <w:rPr>
                <w:b/>
                <w:color w:val="000000"/>
                <w:sz w:val="20"/>
                <w:szCs w:val="20"/>
                <w:lang w:val="es-ES_tradnl"/>
              </w:rPr>
            </w:pPr>
            <w:r w:rsidRPr="00216226">
              <w:rPr>
                <w:sz w:val="20"/>
                <w:szCs w:val="20"/>
                <w:lang w:val="es-ES_tradnl"/>
              </w:rPr>
              <w:t xml:space="preserve">Al final del 1er </w:t>
            </w:r>
            <w:r w:rsidRPr="00216226">
              <w:rPr>
                <w:sz w:val="20"/>
                <w:szCs w:val="20"/>
                <w:lang w:val="es-ES_tradnl"/>
              </w:rPr>
              <w:lastRenderedPageBreak/>
              <w:t>semestre</w:t>
            </w:r>
            <w:r w:rsidR="00243E31" w:rsidRPr="00216226">
              <w:rPr>
                <w:sz w:val="20"/>
                <w:szCs w:val="20"/>
                <w:lang w:val="es-ES_tradnl"/>
              </w:rPr>
              <w:t>, 2019</w:t>
            </w:r>
          </w:p>
        </w:tc>
        <w:tc>
          <w:tcPr>
            <w:tcW w:w="0" w:type="auto"/>
            <w:shd w:val="clear" w:color="auto" w:fill="auto"/>
          </w:tcPr>
          <w:p w14:paraId="7D827BBD" w14:textId="4EC7E9C6" w:rsidR="00243E31" w:rsidRPr="00216226" w:rsidRDefault="00714D1F" w:rsidP="00CB5827">
            <w:pPr>
              <w:pStyle w:val="Header"/>
              <w:jc w:val="both"/>
              <w:rPr>
                <w:i/>
                <w:sz w:val="20"/>
                <w:szCs w:val="20"/>
                <w:lang w:val="es-ES_tradnl"/>
              </w:rPr>
            </w:pPr>
            <w:r w:rsidRPr="00216226">
              <w:rPr>
                <w:sz w:val="20"/>
                <w:szCs w:val="20"/>
                <w:lang w:val="es-ES_tradnl"/>
              </w:rPr>
              <w:lastRenderedPageBreak/>
              <w:t xml:space="preserve">El Fondo Mundial puede contribuir a esta mejora proporcionando asistencia técnica para la implementación de la nueva frecuencia de visitas médicas y </w:t>
            </w:r>
            <w:r w:rsidRPr="00216226">
              <w:rPr>
                <w:sz w:val="20"/>
                <w:szCs w:val="20"/>
                <w:lang w:val="es-ES_tradnl"/>
              </w:rPr>
              <w:lastRenderedPageBreak/>
              <w:t>apoyando financieramente las reformas necesarias para asignar más y mejores salas de almacenamiento de medicamentos en l</w:t>
            </w:r>
            <w:r w:rsidR="00072F38">
              <w:rPr>
                <w:sz w:val="20"/>
                <w:szCs w:val="20"/>
                <w:lang w:val="es-ES_tradnl"/>
              </w:rPr>
              <w:t>o</w:t>
            </w:r>
            <w:r w:rsidRPr="00216226">
              <w:rPr>
                <w:sz w:val="20"/>
                <w:szCs w:val="20"/>
                <w:lang w:val="es-ES_tradnl"/>
              </w:rPr>
              <w:t xml:space="preserve">s </w:t>
            </w:r>
            <w:r w:rsidR="00243E31" w:rsidRPr="00216226">
              <w:rPr>
                <w:sz w:val="20"/>
                <w:szCs w:val="20"/>
                <w:lang w:val="es-ES_tradnl"/>
              </w:rPr>
              <w:t xml:space="preserve">SAI. </w:t>
            </w:r>
          </w:p>
          <w:p w14:paraId="11D1EC49" w14:textId="77777777" w:rsidR="00243E31" w:rsidRPr="00216226" w:rsidRDefault="00243E31" w:rsidP="00CB5827">
            <w:pPr>
              <w:rPr>
                <w:b/>
                <w:color w:val="000000"/>
                <w:sz w:val="20"/>
                <w:szCs w:val="20"/>
                <w:lang w:val="es-ES_tradnl"/>
              </w:rPr>
            </w:pPr>
          </w:p>
        </w:tc>
      </w:tr>
      <w:tr w:rsidR="00243E31" w:rsidRPr="009A4A93" w14:paraId="0D5D1DCC" w14:textId="77777777" w:rsidTr="00CB5827">
        <w:tc>
          <w:tcPr>
            <w:tcW w:w="0" w:type="auto"/>
          </w:tcPr>
          <w:p w14:paraId="62EBEE48" w14:textId="43DE51F0" w:rsidR="00243E31" w:rsidRPr="00216226" w:rsidRDefault="00167493" w:rsidP="00CB5827">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lastRenderedPageBreak/>
              <w:t>8</w:t>
            </w:r>
          </w:p>
        </w:tc>
        <w:tc>
          <w:tcPr>
            <w:tcW w:w="0" w:type="auto"/>
            <w:shd w:val="clear" w:color="auto" w:fill="auto"/>
          </w:tcPr>
          <w:p w14:paraId="10213D5D" w14:textId="4F68FE31" w:rsidR="00243E31" w:rsidRPr="00216226" w:rsidRDefault="00714D1F" w:rsidP="00184970">
            <w:pPr>
              <w:pStyle w:val="Header"/>
              <w:spacing w:after="240"/>
              <w:rPr>
                <w:b/>
                <w:color w:val="000000" w:themeColor="text1"/>
                <w:sz w:val="20"/>
                <w:szCs w:val="20"/>
                <w:lang w:val="es-ES_tradnl"/>
              </w:rPr>
            </w:pPr>
            <w:r w:rsidRPr="00216226">
              <w:rPr>
                <w:b/>
                <w:color w:val="000000" w:themeColor="text1"/>
                <w:sz w:val="20"/>
                <w:szCs w:val="20"/>
                <w:lang w:val="es-ES_tradnl"/>
              </w:rPr>
              <w:t xml:space="preserve">Desarrollar e implementar un programa específico para comprender las causas y reducir la mayor mortalidad relacionada con el VIH en la población </w:t>
            </w:r>
            <w:r w:rsidR="003C6851">
              <w:rPr>
                <w:b/>
                <w:color w:val="000000" w:themeColor="text1"/>
                <w:sz w:val="20"/>
                <w:szCs w:val="20"/>
                <w:lang w:val="es-ES_tradnl"/>
              </w:rPr>
              <w:t>Garífuna</w:t>
            </w:r>
            <w:r w:rsidR="00243E31" w:rsidRPr="00216226">
              <w:rPr>
                <w:b/>
                <w:color w:val="000000" w:themeColor="text1"/>
                <w:sz w:val="20"/>
                <w:szCs w:val="20"/>
                <w:lang w:val="es-ES_tradnl"/>
              </w:rPr>
              <w:t>.</w:t>
            </w:r>
          </w:p>
          <w:p w14:paraId="663BE044" w14:textId="4DD0D61B" w:rsidR="00243E31" w:rsidRPr="00216226" w:rsidRDefault="00261AAF" w:rsidP="00184970">
            <w:pPr>
              <w:pStyle w:val="Header"/>
              <w:rPr>
                <w:b/>
                <w:color w:val="000000"/>
                <w:sz w:val="20"/>
                <w:szCs w:val="20"/>
                <w:lang w:val="es-ES_tradnl"/>
              </w:rPr>
            </w:pPr>
            <w:r w:rsidRPr="00216226">
              <w:rPr>
                <w:color w:val="000000" w:themeColor="text1"/>
                <w:sz w:val="20"/>
                <w:szCs w:val="20"/>
                <w:lang w:val="es-ES_tradnl"/>
              </w:rPr>
              <w:t xml:space="preserve">Estudios recientes han demostrado que la población </w:t>
            </w:r>
            <w:r w:rsidR="003C6851">
              <w:rPr>
                <w:color w:val="000000" w:themeColor="text1"/>
                <w:sz w:val="20"/>
                <w:szCs w:val="20"/>
                <w:lang w:val="es-ES_tradnl"/>
              </w:rPr>
              <w:t>Garífuna</w:t>
            </w:r>
            <w:r w:rsidRPr="00216226">
              <w:rPr>
                <w:color w:val="000000" w:themeColor="text1"/>
                <w:sz w:val="20"/>
                <w:szCs w:val="20"/>
                <w:lang w:val="es-ES_tradnl"/>
              </w:rPr>
              <w:t xml:space="preserve"> experimenta una mortalidad relacionada con el VIH de </w:t>
            </w:r>
            <w:r w:rsidR="00243E31" w:rsidRPr="00216226">
              <w:rPr>
                <w:color w:val="000000" w:themeColor="text1"/>
                <w:sz w:val="20"/>
                <w:szCs w:val="20"/>
                <w:lang w:val="es-ES_tradnl"/>
              </w:rPr>
              <w:t xml:space="preserve">23.9%. </w:t>
            </w:r>
            <w:r w:rsidRPr="00216226">
              <w:rPr>
                <w:color w:val="000000" w:themeColor="text1"/>
                <w:sz w:val="20"/>
                <w:szCs w:val="20"/>
                <w:lang w:val="es-ES_tradnl"/>
              </w:rPr>
              <w:t>Es importante comprender mejor las causas de una tasa tan elevada para diseñar y poner en práctica intervenciones para reducirla</w:t>
            </w:r>
            <w:r w:rsidR="00243E31" w:rsidRPr="00216226">
              <w:rPr>
                <w:color w:val="000000" w:themeColor="text1"/>
                <w:sz w:val="20"/>
                <w:szCs w:val="20"/>
                <w:lang w:val="es-ES_tradnl"/>
              </w:rPr>
              <w:t xml:space="preserve">. </w:t>
            </w:r>
            <w:r w:rsidR="00D37ABC" w:rsidRPr="00216226">
              <w:rPr>
                <w:color w:val="000000" w:themeColor="text1"/>
                <w:sz w:val="20"/>
                <w:szCs w:val="20"/>
                <w:lang w:val="es-ES_tradnl"/>
              </w:rPr>
              <w:t xml:space="preserve">Incluso si el número absoluto de personas afectadas no es alto, la desproporción en comparación con </w:t>
            </w:r>
            <w:r w:rsidR="00D37ABC" w:rsidRPr="00216226">
              <w:rPr>
                <w:color w:val="000000" w:themeColor="text1"/>
                <w:sz w:val="20"/>
                <w:szCs w:val="20"/>
                <w:lang w:val="es-ES_tradnl"/>
              </w:rPr>
              <w:lastRenderedPageBreak/>
              <w:t>la población general pone en destaque un problema de equidad</w:t>
            </w:r>
            <w:r w:rsidR="00243E31" w:rsidRPr="00216226">
              <w:rPr>
                <w:color w:val="000000" w:themeColor="text1"/>
                <w:sz w:val="20"/>
                <w:szCs w:val="20"/>
                <w:lang w:val="es-ES_tradnl"/>
              </w:rPr>
              <w:t xml:space="preserve">. </w:t>
            </w:r>
          </w:p>
        </w:tc>
        <w:tc>
          <w:tcPr>
            <w:tcW w:w="0" w:type="auto"/>
            <w:shd w:val="clear" w:color="auto" w:fill="auto"/>
          </w:tcPr>
          <w:p w14:paraId="2217757C" w14:textId="1589AA00" w:rsidR="00243E31" w:rsidRPr="00216226" w:rsidRDefault="00243E31" w:rsidP="00CB5827">
            <w:pPr>
              <w:rPr>
                <w:color w:val="000000"/>
                <w:sz w:val="20"/>
                <w:szCs w:val="20"/>
                <w:lang w:val="es-ES_tradnl"/>
              </w:rPr>
            </w:pPr>
            <w:r w:rsidRPr="00216226">
              <w:rPr>
                <w:color w:val="000000"/>
                <w:sz w:val="20"/>
                <w:szCs w:val="20"/>
                <w:lang w:val="es-ES_tradnl"/>
              </w:rPr>
              <w:lastRenderedPageBreak/>
              <w:t>Medi</w:t>
            </w:r>
            <w:r w:rsidR="00D37ABC" w:rsidRPr="00216226">
              <w:rPr>
                <w:color w:val="000000"/>
                <w:sz w:val="20"/>
                <w:szCs w:val="20"/>
                <w:lang w:val="es-ES_tradnl"/>
              </w:rPr>
              <w:t>a</w:t>
            </w:r>
          </w:p>
        </w:tc>
        <w:tc>
          <w:tcPr>
            <w:tcW w:w="0" w:type="auto"/>
            <w:shd w:val="clear" w:color="auto" w:fill="auto"/>
          </w:tcPr>
          <w:p w14:paraId="7902D548" w14:textId="16874080" w:rsidR="00243E31" w:rsidRPr="00216226" w:rsidRDefault="00D37ABC" w:rsidP="003F39AD">
            <w:pPr>
              <w:rPr>
                <w:b/>
                <w:color w:val="000000"/>
                <w:sz w:val="20"/>
                <w:szCs w:val="20"/>
                <w:lang w:val="es-ES_tradnl"/>
              </w:rPr>
            </w:pPr>
            <w:r w:rsidRPr="00216226">
              <w:rPr>
                <w:sz w:val="20"/>
                <w:szCs w:val="20"/>
                <w:lang w:val="es-ES_tradnl"/>
              </w:rPr>
              <w:t xml:space="preserve">El Fondo Mundial, </w:t>
            </w:r>
            <w:r w:rsidR="003F39AD">
              <w:rPr>
                <w:sz w:val="20"/>
                <w:szCs w:val="20"/>
                <w:lang w:val="es-ES_tradnl"/>
              </w:rPr>
              <w:t>la SESAL</w:t>
            </w:r>
            <w:r w:rsidRPr="00216226">
              <w:rPr>
                <w:sz w:val="20"/>
                <w:szCs w:val="20"/>
                <w:lang w:val="es-ES_tradnl"/>
              </w:rPr>
              <w:t xml:space="preserve"> y el RP deben reunirse para explorar cómo utilizar los recursos disponibles para el mayor beneficio de esta población desatendida</w:t>
            </w:r>
            <w:r w:rsidR="00243E31" w:rsidRPr="00216226">
              <w:rPr>
                <w:sz w:val="20"/>
                <w:szCs w:val="20"/>
                <w:lang w:val="es-ES_tradnl"/>
              </w:rPr>
              <w:t>.</w:t>
            </w:r>
          </w:p>
        </w:tc>
        <w:tc>
          <w:tcPr>
            <w:tcW w:w="0" w:type="auto"/>
            <w:shd w:val="clear" w:color="auto" w:fill="auto"/>
          </w:tcPr>
          <w:p w14:paraId="7CBD370B" w14:textId="1280D412" w:rsidR="00243E31" w:rsidRPr="00216226" w:rsidRDefault="00D37ABC" w:rsidP="00CB5827">
            <w:pPr>
              <w:pStyle w:val="Header"/>
              <w:jc w:val="both"/>
              <w:rPr>
                <w:sz w:val="20"/>
                <w:szCs w:val="20"/>
                <w:lang w:val="es-ES_tradnl"/>
              </w:rPr>
            </w:pPr>
            <w:r w:rsidRPr="00216226">
              <w:rPr>
                <w:sz w:val="20"/>
                <w:szCs w:val="20"/>
                <w:lang w:val="es-ES_tradnl"/>
              </w:rPr>
              <w:t>Al final del 1er semestre</w:t>
            </w:r>
            <w:r w:rsidR="00243E31" w:rsidRPr="00216226">
              <w:rPr>
                <w:sz w:val="20"/>
                <w:szCs w:val="20"/>
                <w:lang w:val="es-ES_tradnl"/>
              </w:rPr>
              <w:t>, 2019</w:t>
            </w:r>
          </w:p>
          <w:p w14:paraId="01F5A5FF" w14:textId="77777777" w:rsidR="00243E31" w:rsidRPr="00216226" w:rsidRDefault="00243E31" w:rsidP="00CB5827">
            <w:pPr>
              <w:rPr>
                <w:b/>
                <w:color w:val="000000"/>
                <w:sz w:val="20"/>
                <w:szCs w:val="20"/>
                <w:lang w:val="es-ES_tradnl"/>
              </w:rPr>
            </w:pPr>
          </w:p>
        </w:tc>
        <w:tc>
          <w:tcPr>
            <w:tcW w:w="0" w:type="auto"/>
            <w:shd w:val="clear" w:color="auto" w:fill="auto"/>
          </w:tcPr>
          <w:p w14:paraId="47EDEAFF" w14:textId="640EBF89" w:rsidR="00243E31" w:rsidRPr="00216226" w:rsidRDefault="00D37ABC" w:rsidP="00CB5827">
            <w:pPr>
              <w:rPr>
                <w:b/>
                <w:color w:val="000000"/>
                <w:sz w:val="20"/>
                <w:szCs w:val="20"/>
                <w:lang w:val="es-ES_tradnl"/>
              </w:rPr>
            </w:pPr>
            <w:r w:rsidRPr="00216226">
              <w:rPr>
                <w:sz w:val="20"/>
                <w:szCs w:val="20"/>
                <w:lang w:val="es-ES_tradnl"/>
              </w:rPr>
              <w:t xml:space="preserve">La población </w:t>
            </w:r>
            <w:r w:rsidR="003C6851">
              <w:rPr>
                <w:sz w:val="20"/>
                <w:szCs w:val="20"/>
                <w:lang w:val="es-ES_tradnl"/>
              </w:rPr>
              <w:t>Garífuna</w:t>
            </w:r>
            <w:r w:rsidRPr="00216226">
              <w:rPr>
                <w:sz w:val="20"/>
                <w:szCs w:val="20"/>
                <w:lang w:val="es-ES_tradnl"/>
              </w:rPr>
              <w:t xml:space="preserve"> es uno de los grupos seleccionados en la subvención actual para el VIH del Fondo Mundial en Honduras</w:t>
            </w:r>
            <w:r w:rsidR="00243E31" w:rsidRPr="00216226">
              <w:rPr>
                <w:sz w:val="20"/>
                <w:szCs w:val="20"/>
                <w:lang w:val="es-ES_tradnl"/>
              </w:rPr>
              <w:t>.</w:t>
            </w:r>
          </w:p>
        </w:tc>
      </w:tr>
      <w:tr w:rsidR="00243E31" w:rsidRPr="009A4A93" w14:paraId="1CE10F2B" w14:textId="77777777" w:rsidTr="00CB5827">
        <w:tc>
          <w:tcPr>
            <w:tcW w:w="0" w:type="auto"/>
          </w:tcPr>
          <w:p w14:paraId="652C45D1" w14:textId="6F849607" w:rsidR="00243E31" w:rsidRPr="00216226" w:rsidRDefault="00167493" w:rsidP="00CB5827">
            <w:pPr>
              <w:numPr>
                <w:ilvl w:val="0"/>
                <w:numId w:val="1"/>
              </w:numPr>
              <w:pBdr>
                <w:top w:val="nil"/>
                <w:left w:val="nil"/>
                <w:bottom w:val="nil"/>
                <w:right w:val="nil"/>
                <w:between w:val="nil"/>
              </w:pBdr>
              <w:ind w:left="0"/>
              <w:rPr>
                <w:b/>
                <w:color w:val="000000"/>
                <w:sz w:val="20"/>
                <w:szCs w:val="20"/>
                <w:lang w:val="es-ES_tradnl"/>
              </w:rPr>
            </w:pPr>
            <w:r w:rsidRPr="00216226">
              <w:rPr>
                <w:b/>
                <w:color w:val="000000"/>
                <w:sz w:val="20"/>
                <w:szCs w:val="20"/>
                <w:lang w:val="es-ES_tradnl"/>
              </w:rPr>
              <w:t>9</w:t>
            </w:r>
          </w:p>
        </w:tc>
        <w:tc>
          <w:tcPr>
            <w:tcW w:w="0" w:type="auto"/>
            <w:shd w:val="clear" w:color="auto" w:fill="auto"/>
          </w:tcPr>
          <w:p w14:paraId="6E7F5C02" w14:textId="27FE7574" w:rsidR="00243E31" w:rsidRPr="00216226" w:rsidRDefault="00D37ABC" w:rsidP="00184970">
            <w:pPr>
              <w:pStyle w:val="Header"/>
              <w:spacing w:after="240"/>
              <w:rPr>
                <w:b/>
                <w:color w:val="000000" w:themeColor="text1"/>
                <w:sz w:val="20"/>
                <w:szCs w:val="20"/>
                <w:lang w:val="es-ES_tradnl"/>
              </w:rPr>
            </w:pPr>
            <w:r w:rsidRPr="00216226">
              <w:rPr>
                <w:b/>
                <w:color w:val="000000" w:themeColor="text1"/>
                <w:sz w:val="20"/>
                <w:szCs w:val="20"/>
                <w:lang w:val="es-ES_tradnl"/>
              </w:rPr>
              <w:t xml:space="preserve">Realizar un nuevo </w:t>
            </w:r>
            <w:r w:rsidRPr="00D93C5D">
              <w:rPr>
                <w:b/>
                <w:i/>
                <w:color w:val="000000" w:themeColor="text1"/>
                <w:sz w:val="20"/>
                <w:szCs w:val="20"/>
                <w:lang w:val="es-ES_tradnl"/>
              </w:rPr>
              <w:t>IBBS</w:t>
            </w:r>
            <w:r w:rsidRPr="00216226">
              <w:rPr>
                <w:b/>
                <w:color w:val="000000" w:themeColor="text1"/>
                <w:sz w:val="20"/>
                <w:szCs w:val="20"/>
                <w:lang w:val="es-ES_tradnl"/>
              </w:rPr>
              <w:t xml:space="preserve"> centra</w:t>
            </w:r>
            <w:r w:rsidR="00453B71">
              <w:rPr>
                <w:b/>
                <w:color w:val="000000" w:themeColor="text1"/>
                <w:sz w:val="20"/>
                <w:szCs w:val="20"/>
                <w:lang w:val="es-ES_tradnl"/>
              </w:rPr>
              <w:t xml:space="preserve">do en HSH, mujeres transgénero </w:t>
            </w:r>
            <w:r w:rsidRPr="00216226">
              <w:rPr>
                <w:b/>
                <w:color w:val="000000" w:themeColor="text1"/>
                <w:sz w:val="20"/>
                <w:szCs w:val="20"/>
                <w:lang w:val="es-ES_tradnl"/>
              </w:rPr>
              <w:t>y trabajadoras sexuales</w:t>
            </w:r>
            <w:r w:rsidR="00243E31" w:rsidRPr="00216226">
              <w:rPr>
                <w:b/>
                <w:color w:val="000000" w:themeColor="text1"/>
                <w:sz w:val="20"/>
                <w:szCs w:val="20"/>
                <w:lang w:val="es-ES_tradnl"/>
              </w:rPr>
              <w:t>.</w:t>
            </w:r>
          </w:p>
          <w:p w14:paraId="26F9A6F3" w14:textId="5F18FCA5" w:rsidR="00243E31" w:rsidRPr="00216226" w:rsidRDefault="00D37ABC" w:rsidP="00453B71">
            <w:pPr>
              <w:numPr>
                <w:ilvl w:val="0"/>
                <w:numId w:val="1"/>
              </w:numPr>
              <w:pBdr>
                <w:top w:val="nil"/>
                <w:left w:val="nil"/>
                <w:bottom w:val="nil"/>
                <w:right w:val="nil"/>
                <w:between w:val="nil"/>
              </w:pBdr>
              <w:ind w:left="0"/>
              <w:rPr>
                <w:b/>
                <w:color w:val="000000"/>
                <w:sz w:val="20"/>
                <w:szCs w:val="20"/>
                <w:lang w:val="es-ES_tradnl"/>
              </w:rPr>
            </w:pPr>
            <w:r w:rsidRPr="00216226">
              <w:rPr>
                <w:color w:val="000000" w:themeColor="text1"/>
                <w:sz w:val="20"/>
                <w:szCs w:val="20"/>
                <w:lang w:val="es-ES_tradnl"/>
              </w:rPr>
              <w:t xml:space="preserve">Recientemente se obtuvieron datos de encuestas epidemiológicas de la población </w:t>
            </w:r>
            <w:r w:rsidR="003C6851">
              <w:rPr>
                <w:color w:val="000000" w:themeColor="text1"/>
                <w:sz w:val="20"/>
                <w:szCs w:val="20"/>
                <w:lang w:val="es-ES_tradnl"/>
              </w:rPr>
              <w:t>Garífuna</w:t>
            </w:r>
            <w:r w:rsidRPr="00216226">
              <w:rPr>
                <w:color w:val="000000" w:themeColor="text1"/>
                <w:sz w:val="20"/>
                <w:szCs w:val="20"/>
                <w:lang w:val="es-ES_tradnl"/>
              </w:rPr>
              <w:t xml:space="preserve"> </w:t>
            </w:r>
            <w:r w:rsidR="00243E31" w:rsidRPr="00216226">
              <w:rPr>
                <w:color w:val="000000" w:themeColor="text1"/>
                <w:sz w:val="20"/>
                <w:szCs w:val="20"/>
                <w:lang w:val="es-ES_tradnl"/>
              </w:rPr>
              <w:t xml:space="preserve">(2017) </w:t>
            </w:r>
            <w:r w:rsidRPr="00216226">
              <w:rPr>
                <w:color w:val="000000" w:themeColor="text1"/>
                <w:sz w:val="20"/>
                <w:szCs w:val="20"/>
                <w:lang w:val="es-ES_tradnl"/>
              </w:rPr>
              <w:t>y</w:t>
            </w:r>
            <w:r w:rsidR="00243E31" w:rsidRPr="00216226">
              <w:rPr>
                <w:color w:val="000000" w:themeColor="text1"/>
                <w:sz w:val="20"/>
                <w:szCs w:val="20"/>
                <w:lang w:val="es-ES_tradnl"/>
              </w:rPr>
              <w:t xml:space="preserve"> </w:t>
            </w:r>
            <w:r w:rsidR="00CB285B">
              <w:rPr>
                <w:color w:val="000000" w:themeColor="text1"/>
                <w:sz w:val="20"/>
                <w:szCs w:val="20"/>
                <w:lang w:val="es-ES_tradnl"/>
              </w:rPr>
              <w:t>PPL</w:t>
            </w:r>
            <w:r w:rsidR="00243E31" w:rsidRPr="00216226">
              <w:rPr>
                <w:color w:val="000000" w:themeColor="text1"/>
                <w:sz w:val="20"/>
                <w:szCs w:val="20"/>
                <w:lang w:val="es-ES_tradnl"/>
              </w:rPr>
              <w:t xml:space="preserve"> (2015), </w:t>
            </w:r>
            <w:r w:rsidRPr="00216226">
              <w:rPr>
                <w:color w:val="000000" w:themeColor="text1"/>
                <w:sz w:val="20"/>
                <w:szCs w:val="20"/>
                <w:lang w:val="es-ES_tradnl"/>
              </w:rPr>
              <w:t xml:space="preserve">con el apoyo del Fondo Mundial y </w:t>
            </w:r>
            <w:r w:rsidRPr="000A1D9C">
              <w:rPr>
                <w:i/>
                <w:color w:val="000000" w:themeColor="text1"/>
                <w:sz w:val="20"/>
                <w:szCs w:val="20"/>
                <w:lang w:val="es-ES_tradnl"/>
              </w:rPr>
              <w:t>USAID</w:t>
            </w:r>
            <w:r w:rsidRPr="00216226">
              <w:rPr>
                <w:color w:val="000000" w:themeColor="text1"/>
                <w:sz w:val="20"/>
                <w:szCs w:val="20"/>
                <w:lang w:val="es-ES_tradnl"/>
              </w:rPr>
              <w:t>. Sin embargo, las cifras disponible</w:t>
            </w:r>
            <w:r w:rsidR="00453B71">
              <w:rPr>
                <w:color w:val="000000" w:themeColor="text1"/>
                <w:sz w:val="20"/>
                <w:szCs w:val="20"/>
                <w:lang w:val="es-ES_tradnl"/>
              </w:rPr>
              <w:t>s para HSH, mujeres transgénero</w:t>
            </w:r>
            <w:r w:rsidRPr="00216226">
              <w:rPr>
                <w:color w:val="000000" w:themeColor="text1"/>
                <w:sz w:val="20"/>
                <w:szCs w:val="20"/>
                <w:lang w:val="es-ES_tradnl"/>
              </w:rPr>
              <w:t xml:space="preserve"> y trabajadoras sexuales provienen del ECVC realizado en 2012</w:t>
            </w:r>
            <w:r w:rsidR="00243E31" w:rsidRPr="00216226">
              <w:rPr>
                <w:color w:val="000000" w:themeColor="text1"/>
                <w:sz w:val="20"/>
                <w:szCs w:val="20"/>
                <w:lang w:val="es-ES_tradnl"/>
              </w:rPr>
              <w:t xml:space="preserve">. </w:t>
            </w:r>
            <w:r w:rsidRPr="00216226">
              <w:rPr>
                <w:color w:val="000000" w:themeColor="text1"/>
                <w:sz w:val="20"/>
                <w:szCs w:val="20"/>
                <w:lang w:val="es-ES_tradnl"/>
              </w:rPr>
              <w:t xml:space="preserve">Una nueva encuesta en estas poblaciones facilitará el análisis de cómo garantizar que las tasas de positividad actuales de los servicios de </w:t>
            </w:r>
            <w:r w:rsidRPr="00943294">
              <w:rPr>
                <w:i/>
                <w:color w:val="000000" w:themeColor="text1"/>
                <w:sz w:val="20"/>
                <w:szCs w:val="20"/>
                <w:lang w:val="es-ES_tradnl"/>
              </w:rPr>
              <w:t>HTC</w:t>
            </w:r>
            <w:r w:rsidRPr="00216226">
              <w:rPr>
                <w:color w:val="000000" w:themeColor="text1"/>
                <w:sz w:val="20"/>
                <w:szCs w:val="20"/>
                <w:lang w:val="es-ES_tradnl"/>
              </w:rPr>
              <w:t xml:space="preserve"> estén alineadas con las tendencias epidemiológicas en la comunidad, contribuyendo a las intervenciones priorizadas</w:t>
            </w:r>
            <w:r w:rsidR="00243E31" w:rsidRPr="00216226">
              <w:rPr>
                <w:color w:val="000000" w:themeColor="text1"/>
                <w:sz w:val="20"/>
                <w:szCs w:val="20"/>
                <w:lang w:val="es-ES_tradnl"/>
              </w:rPr>
              <w:t xml:space="preserve">.  </w:t>
            </w:r>
            <w:r w:rsidRPr="00216226">
              <w:rPr>
                <w:color w:val="000000" w:themeColor="text1"/>
                <w:sz w:val="20"/>
                <w:szCs w:val="20"/>
                <w:lang w:val="es-ES_tradnl"/>
              </w:rPr>
              <w:t>El gobierno de Honduras debe realizar esfuerzos para hacer incidencia y movilizar fondos (recursos propios o con la ayuda de otros socios) para llevar a cabo estos estudios</w:t>
            </w:r>
            <w:r w:rsidR="00243E31" w:rsidRPr="00216226">
              <w:rPr>
                <w:color w:val="000000" w:themeColor="text1"/>
                <w:sz w:val="20"/>
                <w:szCs w:val="20"/>
                <w:lang w:val="es-ES_tradnl"/>
              </w:rPr>
              <w:t>.</w:t>
            </w:r>
          </w:p>
        </w:tc>
        <w:tc>
          <w:tcPr>
            <w:tcW w:w="0" w:type="auto"/>
            <w:shd w:val="clear" w:color="auto" w:fill="auto"/>
          </w:tcPr>
          <w:p w14:paraId="5286733F" w14:textId="77777777" w:rsidR="00243E31" w:rsidRPr="00216226" w:rsidRDefault="00243E31" w:rsidP="00CB5827">
            <w:pPr>
              <w:rPr>
                <w:color w:val="000000"/>
                <w:sz w:val="20"/>
                <w:szCs w:val="20"/>
                <w:lang w:val="es-ES_tradnl"/>
              </w:rPr>
            </w:pPr>
            <w:r w:rsidRPr="00216226">
              <w:rPr>
                <w:color w:val="000000"/>
                <w:sz w:val="20"/>
                <w:szCs w:val="20"/>
                <w:lang w:val="es-ES_tradnl"/>
              </w:rPr>
              <w:t>Medium</w:t>
            </w:r>
          </w:p>
        </w:tc>
        <w:tc>
          <w:tcPr>
            <w:tcW w:w="0" w:type="auto"/>
            <w:shd w:val="clear" w:color="auto" w:fill="auto"/>
          </w:tcPr>
          <w:p w14:paraId="0B000FDB" w14:textId="0449E56F" w:rsidR="00243E31" w:rsidRPr="00216226" w:rsidRDefault="00D37ABC" w:rsidP="003F39AD">
            <w:pPr>
              <w:rPr>
                <w:b/>
                <w:color w:val="000000"/>
                <w:sz w:val="20"/>
                <w:szCs w:val="20"/>
                <w:lang w:val="es-ES_tradnl"/>
              </w:rPr>
            </w:pPr>
            <w:r w:rsidRPr="00216226">
              <w:rPr>
                <w:sz w:val="20"/>
                <w:szCs w:val="20"/>
                <w:lang w:val="es-ES_tradnl"/>
              </w:rPr>
              <w:t xml:space="preserve">Los socios para el desarrollo y </w:t>
            </w:r>
            <w:r w:rsidR="003F39AD">
              <w:rPr>
                <w:sz w:val="20"/>
                <w:szCs w:val="20"/>
                <w:lang w:val="es-ES_tradnl"/>
              </w:rPr>
              <w:t>la SESAL</w:t>
            </w:r>
            <w:r w:rsidRPr="00216226">
              <w:rPr>
                <w:sz w:val="20"/>
                <w:szCs w:val="20"/>
                <w:lang w:val="es-ES_tradnl"/>
              </w:rPr>
              <w:t xml:space="preserve"> podrán necesitar explorar maneras de compartir el costo de la encuesta</w:t>
            </w:r>
            <w:r w:rsidR="00243E31" w:rsidRPr="00216226">
              <w:rPr>
                <w:sz w:val="20"/>
                <w:szCs w:val="20"/>
                <w:lang w:val="es-ES_tradnl"/>
              </w:rPr>
              <w:t>.</w:t>
            </w:r>
          </w:p>
        </w:tc>
        <w:tc>
          <w:tcPr>
            <w:tcW w:w="0" w:type="auto"/>
            <w:shd w:val="clear" w:color="auto" w:fill="auto"/>
          </w:tcPr>
          <w:p w14:paraId="1C6D017A" w14:textId="384115D1" w:rsidR="00243E31" w:rsidRPr="00216226" w:rsidRDefault="00D37ABC" w:rsidP="00CB5827">
            <w:pPr>
              <w:rPr>
                <w:b/>
                <w:color w:val="000000"/>
                <w:sz w:val="20"/>
                <w:szCs w:val="20"/>
                <w:lang w:val="es-ES_tradnl"/>
              </w:rPr>
            </w:pPr>
            <w:r w:rsidRPr="00216226">
              <w:rPr>
                <w:sz w:val="20"/>
                <w:szCs w:val="20"/>
                <w:lang w:val="es-ES_tradnl"/>
              </w:rPr>
              <w:t>A finales de 2020</w:t>
            </w:r>
          </w:p>
        </w:tc>
        <w:tc>
          <w:tcPr>
            <w:tcW w:w="0" w:type="auto"/>
            <w:shd w:val="clear" w:color="auto" w:fill="auto"/>
          </w:tcPr>
          <w:p w14:paraId="1CDE72A6" w14:textId="641511BD" w:rsidR="00243E31" w:rsidRPr="00216226" w:rsidRDefault="00D37ABC" w:rsidP="003F39AD">
            <w:pPr>
              <w:rPr>
                <w:color w:val="000000"/>
                <w:sz w:val="20"/>
                <w:szCs w:val="20"/>
                <w:lang w:val="es-ES_tradnl"/>
              </w:rPr>
            </w:pPr>
            <w:r w:rsidRPr="00216226">
              <w:rPr>
                <w:color w:val="000000"/>
                <w:sz w:val="20"/>
                <w:szCs w:val="20"/>
                <w:lang w:val="es-ES_tradnl"/>
              </w:rPr>
              <w:t>El Fondo Mundial puede necesitar</w:t>
            </w:r>
            <w:r w:rsidR="003F39AD">
              <w:rPr>
                <w:color w:val="000000"/>
                <w:sz w:val="20"/>
                <w:szCs w:val="20"/>
                <w:lang w:val="es-ES_tradnl"/>
              </w:rPr>
              <w:t xml:space="preserve"> explorar financiamiento con la SESAL.</w:t>
            </w:r>
          </w:p>
        </w:tc>
      </w:tr>
    </w:tbl>
    <w:p w14:paraId="487F0AD0" w14:textId="04F3DFA4" w:rsidR="00B04430" w:rsidRPr="00216226" w:rsidRDefault="00B04430" w:rsidP="009D6FAD">
      <w:pPr>
        <w:tabs>
          <w:tab w:val="left" w:pos="3350"/>
        </w:tabs>
        <w:rPr>
          <w:sz w:val="32"/>
          <w:szCs w:val="32"/>
          <w:lang w:val="es-ES_tradnl"/>
        </w:rPr>
        <w:sectPr w:rsidR="00B04430" w:rsidRPr="00216226" w:rsidSect="002C2B32">
          <w:pgSz w:w="16838" w:h="11906" w:orient="landscape"/>
          <w:pgMar w:top="1440" w:right="1440" w:bottom="1440" w:left="1440" w:header="706" w:footer="706" w:gutter="0"/>
          <w:cols w:space="720"/>
          <w:docGrid w:linePitch="299"/>
        </w:sectPr>
      </w:pPr>
    </w:p>
    <w:p w14:paraId="142DA443" w14:textId="77777777" w:rsidR="002C2B32" w:rsidRPr="00652E09" w:rsidRDefault="002C2B32" w:rsidP="00FC1736">
      <w:pPr>
        <w:pStyle w:val="Heading1"/>
        <w:spacing w:before="240" w:after="240"/>
        <w:rPr>
          <w:b w:val="0"/>
          <w:bCs/>
          <w:color w:val="auto"/>
          <w:lang w:val="es-ES_tradnl"/>
        </w:rPr>
      </w:pPr>
      <w:r w:rsidRPr="00652E09">
        <w:rPr>
          <w:b w:val="0"/>
          <w:bCs/>
          <w:color w:val="auto"/>
          <w:lang w:val="es-ES_tradnl"/>
        </w:rPr>
        <w:lastRenderedPageBreak/>
        <w:t>References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9"/>
      </w:tblGrid>
      <w:tr w:rsidR="00B36025" w:rsidRPr="009A4A93" w14:paraId="52B966CF" w14:textId="77777777" w:rsidTr="00A96806">
        <w:tc>
          <w:tcPr>
            <w:tcW w:w="8879" w:type="dxa"/>
          </w:tcPr>
          <w:p w14:paraId="695B1076" w14:textId="56F6CE13"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Álvarez-Rodríguez, et al. (2017). Epidemia del VIH en Población </w:t>
            </w:r>
            <w:r w:rsidR="003C6851">
              <w:rPr>
                <w:rFonts w:eastAsia="MS Gothic" w:cs="Calibri"/>
                <w:sz w:val="22"/>
                <w:szCs w:val="22"/>
                <w:lang w:val="es-ES_tradnl"/>
              </w:rPr>
              <w:t>Garífuna</w:t>
            </w:r>
            <w:r w:rsidRPr="00652E09">
              <w:rPr>
                <w:rFonts w:eastAsia="MS Gothic" w:cs="Calibri"/>
                <w:sz w:val="22"/>
                <w:szCs w:val="22"/>
                <w:lang w:val="es-ES_tradnl"/>
              </w:rPr>
              <w:t xml:space="preserve"> de Honduras: Resúmenes Ejecutivos de Cuatro Subestudios.</w:t>
            </w:r>
          </w:p>
          <w:p w14:paraId="65937E8B" w14:textId="1DEC7ED9" w:rsidR="00B04430" w:rsidRPr="00652E09" w:rsidRDefault="000B0017" w:rsidP="006F7A29">
            <w:pPr>
              <w:spacing w:after="200"/>
              <w:ind w:left="720" w:hanging="720"/>
              <w:jc w:val="both"/>
              <w:rPr>
                <w:rFonts w:eastAsia="MS Gothic" w:cs="Calibri"/>
                <w:sz w:val="22"/>
                <w:szCs w:val="22"/>
                <w:lang w:val="es-ES_tradnl"/>
              </w:rPr>
            </w:pPr>
            <w:r>
              <w:rPr>
                <w:rFonts w:eastAsia="MS Gothic" w:cs="Calibri"/>
                <w:sz w:val="22"/>
                <w:szCs w:val="22"/>
                <w:lang w:val="es-ES_tradnl"/>
              </w:rPr>
              <w:t>Anónimo</w:t>
            </w:r>
            <w:r w:rsidR="00B04430" w:rsidRPr="00652E09">
              <w:rPr>
                <w:rFonts w:eastAsia="MS Gothic" w:cs="Calibri"/>
                <w:sz w:val="22"/>
                <w:szCs w:val="22"/>
                <w:lang w:val="es-ES_tradnl"/>
              </w:rPr>
              <w:t>. (2015). Estimación del tamaño de población clave con mayor riesgo de exposición al VIH en Honduras mediante la metodología de mapeo programático.</w:t>
            </w:r>
          </w:p>
          <w:p w14:paraId="666A881D" w14:textId="34A9C2C4" w:rsidR="00B04430" w:rsidRPr="00652E09" w:rsidRDefault="000B0017" w:rsidP="006F7A29">
            <w:pPr>
              <w:spacing w:after="200"/>
              <w:ind w:left="720" w:hanging="720"/>
              <w:jc w:val="both"/>
              <w:rPr>
                <w:rFonts w:eastAsia="MS Gothic" w:cs="Calibri"/>
                <w:sz w:val="22"/>
                <w:szCs w:val="22"/>
                <w:lang w:val="es-ES_tradnl"/>
              </w:rPr>
            </w:pPr>
            <w:r w:rsidRPr="000B0017">
              <w:rPr>
                <w:rFonts w:eastAsia="MS Gothic" w:cs="Calibri"/>
                <w:i/>
                <w:sz w:val="22"/>
                <w:szCs w:val="22"/>
              </w:rPr>
              <w:t>Centers for Disease Control and Prevention</w:t>
            </w:r>
            <w:r w:rsidR="00B04430" w:rsidRPr="000B0017">
              <w:rPr>
                <w:rFonts w:eastAsia="MS Gothic" w:cs="Calibri"/>
                <w:sz w:val="22"/>
                <w:szCs w:val="22"/>
              </w:rPr>
              <w:t xml:space="preserve">, et al. </w:t>
            </w:r>
            <w:r w:rsidR="00B04430" w:rsidRPr="00652E09">
              <w:rPr>
                <w:rFonts w:eastAsia="MS Gothic" w:cs="Calibri"/>
                <w:sz w:val="22"/>
                <w:szCs w:val="22"/>
                <w:lang w:val="es-ES_tradnl"/>
              </w:rPr>
              <w:t xml:space="preserve">(2012). Encuesta Centroamericana de vigilancia del comportamiento sexual y prevalencia del ITS y VIH </w:t>
            </w:r>
            <w:r>
              <w:rPr>
                <w:rFonts w:eastAsia="MS Gothic" w:cs="Calibri"/>
                <w:sz w:val="22"/>
                <w:szCs w:val="22"/>
                <w:lang w:val="es-ES_tradnl"/>
              </w:rPr>
              <w:t>en poblaciones clave</w:t>
            </w:r>
            <w:r w:rsidR="00B04430" w:rsidRPr="00652E09">
              <w:rPr>
                <w:rFonts w:eastAsia="MS Gothic" w:cs="Calibri"/>
                <w:sz w:val="22"/>
                <w:szCs w:val="22"/>
                <w:lang w:val="es-ES_tradnl"/>
              </w:rPr>
              <w:t xml:space="preserve">. </w:t>
            </w:r>
          </w:p>
          <w:p w14:paraId="1FF4B6C6"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CONASIDA y ONUSIDA. (2013a). Aproximaciones al tamaño de las poblaciones de mujeres trabajadoras sexuales y hombres que tienen sexo con hombres aplicables a Honduras y Centro América. </w:t>
            </w:r>
          </w:p>
          <w:p w14:paraId="0A149589"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CONASIDA y ONUSIDA. (2013b). Caso de inversión en VIH Honduras.  </w:t>
            </w:r>
          </w:p>
        </w:tc>
      </w:tr>
      <w:tr w:rsidR="00B36025" w:rsidRPr="009A4A93" w14:paraId="6D41CFEB" w14:textId="77777777" w:rsidTr="00A96806">
        <w:tc>
          <w:tcPr>
            <w:tcW w:w="8879" w:type="dxa"/>
          </w:tcPr>
          <w:p w14:paraId="2DA9FC53"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CONASIDA y ONUSIDA. (2015). Diagnóstico situacional del continuo de la atención integral en VIH en el marco del monitoreo de los componentes de la cascada de diagnóstico, tratamiento y calidad de atención en Honduras. </w:t>
            </w:r>
          </w:p>
        </w:tc>
      </w:tr>
      <w:tr w:rsidR="00B36025" w:rsidRPr="00652E09" w14:paraId="73BC963B" w14:textId="77777777" w:rsidTr="00A96806">
        <w:tc>
          <w:tcPr>
            <w:tcW w:w="8879" w:type="dxa"/>
          </w:tcPr>
          <w:p w14:paraId="10D26D6D" w14:textId="20229D94" w:rsidR="00B04430" w:rsidRPr="00652E09" w:rsidRDefault="000B0017" w:rsidP="000B0017">
            <w:pPr>
              <w:spacing w:after="200"/>
              <w:jc w:val="both"/>
              <w:rPr>
                <w:rFonts w:eastAsia="MS Gothic" w:cs="Calibri"/>
                <w:sz w:val="22"/>
                <w:szCs w:val="22"/>
                <w:lang w:val="es-ES_tradnl"/>
              </w:rPr>
            </w:pPr>
            <w:r w:rsidRPr="000B0017">
              <w:rPr>
                <w:rFonts w:eastAsia="MS Gothic" w:cs="Calibri"/>
                <w:sz w:val="22"/>
                <w:szCs w:val="22"/>
              </w:rPr>
              <w:t xml:space="preserve">Mecanismo Coordinador de País </w:t>
            </w:r>
            <w:r>
              <w:rPr>
                <w:rFonts w:eastAsia="MS Gothic" w:cs="Calibri"/>
                <w:sz w:val="22"/>
                <w:szCs w:val="22"/>
              </w:rPr>
              <w:t>de Honduras</w:t>
            </w:r>
            <w:r w:rsidR="00B04430" w:rsidRPr="00652E09">
              <w:rPr>
                <w:rFonts w:eastAsia="MS Gothic" w:cs="Calibri"/>
                <w:sz w:val="22"/>
                <w:szCs w:val="22"/>
              </w:rPr>
              <w:t xml:space="preserve">. </w:t>
            </w:r>
            <w:r w:rsidR="00B04430" w:rsidRPr="00652E09">
              <w:rPr>
                <w:rFonts w:eastAsia="MS Gothic" w:cs="Calibri"/>
                <w:sz w:val="22"/>
                <w:szCs w:val="22"/>
                <w:lang w:val="es-ES_tradnl"/>
              </w:rPr>
              <w:t xml:space="preserve">(2015). </w:t>
            </w:r>
            <w:r>
              <w:rPr>
                <w:rFonts w:eastAsia="MS Gothic" w:cs="Calibri"/>
                <w:sz w:val="22"/>
                <w:szCs w:val="22"/>
                <w:lang w:val="es-ES_tradnl"/>
              </w:rPr>
              <w:t>Nota conceptual</w:t>
            </w:r>
            <w:r w:rsidR="00B04430" w:rsidRPr="00652E09">
              <w:rPr>
                <w:rFonts w:eastAsia="MS Gothic" w:cs="Calibri"/>
                <w:sz w:val="22"/>
                <w:szCs w:val="22"/>
                <w:lang w:val="es-ES_tradnl"/>
              </w:rPr>
              <w:t xml:space="preserve"> 2016-2019. </w:t>
            </w:r>
          </w:p>
        </w:tc>
      </w:tr>
      <w:tr w:rsidR="00B36025" w:rsidRPr="000B0017" w14:paraId="344F7A11" w14:textId="77777777" w:rsidTr="00A96806">
        <w:tc>
          <w:tcPr>
            <w:tcW w:w="8879" w:type="dxa"/>
          </w:tcPr>
          <w:p w14:paraId="24DC5902" w14:textId="1E8D6002" w:rsidR="00B04430" w:rsidRPr="00652E09" w:rsidRDefault="000B0017" w:rsidP="000B0017">
            <w:pPr>
              <w:spacing w:after="200"/>
              <w:jc w:val="both"/>
              <w:rPr>
                <w:rFonts w:eastAsia="MS Gothic" w:cs="Calibri"/>
                <w:sz w:val="22"/>
                <w:szCs w:val="22"/>
                <w:lang w:val="es-ES_tradnl"/>
              </w:rPr>
            </w:pPr>
            <w:r w:rsidRPr="000B0017">
              <w:rPr>
                <w:rFonts w:eastAsia="MS Gothic" w:cs="Calibri"/>
                <w:sz w:val="22"/>
                <w:szCs w:val="22"/>
                <w:lang w:val="es-US"/>
              </w:rPr>
              <w:t>Mecanismo Coordinador de País de Hondruas.</w:t>
            </w:r>
            <w:r w:rsidR="00B04430" w:rsidRPr="000B0017">
              <w:rPr>
                <w:rFonts w:eastAsia="MS Gothic" w:cs="Calibri"/>
                <w:sz w:val="22"/>
                <w:szCs w:val="22"/>
                <w:lang w:val="es-US"/>
              </w:rPr>
              <w:t xml:space="preserve"> </w:t>
            </w:r>
            <w:r>
              <w:rPr>
                <w:rFonts w:eastAsia="MS Gothic" w:cs="Calibri"/>
                <w:sz w:val="22"/>
                <w:szCs w:val="22"/>
                <w:lang w:val="es-ES_tradnl"/>
              </w:rPr>
              <w:t>(2018). Nota conceptual</w:t>
            </w:r>
            <w:r w:rsidRPr="00652E09">
              <w:rPr>
                <w:rFonts w:eastAsia="MS Gothic" w:cs="Calibri"/>
                <w:sz w:val="22"/>
                <w:szCs w:val="22"/>
                <w:lang w:val="es-ES_tradnl"/>
              </w:rPr>
              <w:t xml:space="preserve"> </w:t>
            </w:r>
            <w:r>
              <w:rPr>
                <w:rFonts w:eastAsia="MS Gothic" w:cs="Calibri"/>
                <w:sz w:val="22"/>
                <w:szCs w:val="22"/>
                <w:lang w:val="es-ES_tradnl"/>
              </w:rPr>
              <w:t xml:space="preserve">de continuidad </w:t>
            </w:r>
            <w:r w:rsidR="00B04430" w:rsidRPr="00652E09">
              <w:rPr>
                <w:rFonts w:eastAsia="MS Gothic" w:cs="Calibri"/>
                <w:sz w:val="22"/>
                <w:szCs w:val="22"/>
                <w:lang w:val="es-ES_tradnl"/>
              </w:rPr>
              <w:t xml:space="preserve">2019-2022. </w:t>
            </w:r>
          </w:p>
        </w:tc>
      </w:tr>
      <w:tr w:rsidR="00B36025" w:rsidRPr="009A4A93" w14:paraId="4F409C1D" w14:textId="77777777" w:rsidTr="00A96806">
        <w:tc>
          <w:tcPr>
            <w:tcW w:w="8879" w:type="dxa"/>
          </w:tcPr>
          <w:p w14:paraId="680ABDEF"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Fundación Llaves y ONUSIDA. (2014). Índice de Estigma en Personas que Viven con VIH en Honduras. </w:t>
            </w:r>
          </w:p>
          <w:p w14:paraId="7F2558E8" w14:textId="4ED91426" w:rsidR="00B04430" w:rsidRDefault="000B0017" w:rsidP="000B0017">
            <w:pPr>
              <w:ind w:left="720" w:hanging="720"/>
              <w:jc w:val="both"/>
              <w:rPr>
                <w:rFonts w:eastAsia="MS Gothic" w:cs="Calibri"/>
                <w:sz w:val="22"/>
                <w:szCs w:val="22"/>
                <w:lang w:val="es-US"/>
              </w:rPr>
            </w:pPr>
            <w:r w:rsidRPr="000B0017">
              <w:rPr>
                <w:rFonts w:eastAsia="MS Gothic" w:cs="Calibri"/>
                <w:sz w:val="22"/>
                <w:szCs w:val="22"/>
                <w:lang w:val="es-US"/>
              </w:rPr>
              <w:t>Fondo mundial para la lucha contra el VIH/SIDA, la tuberculosis y la malaria</w:t>
            </w:r>
            <w:r w:rsidR="00B04430" w:rsidRPr="000B0017">
              <w:rPr>
                <w:rFonts w:eastAsia="MS Gothic" w:cs="Calibri"/>
                <w:sz w:val="22"/>
                <w:szCs w:val="22"/>
                <w:lang w:val="es-US"/>
              </w:rPr>
              <w:t xml:space="preserve">. (2018). </w:t>
            </w:r>
            <w:r w:rsidRPr="000B0017">
              <w:rPr>
                <w:rFonts w:eastAsia="MS Gothic" w:cs="Calibri"/>
                <w:sz w:val="22"/>
                <w:szCs w:val="22"/>
                <w:lang w:val="es-US"/>
              </w:rPr>
              <w:t>Ampliación de programas para reducir los obstáculos a los servicios relacionados con el VIH relacionados con los derechos humanos - Línea de base de los derechos human</w:t>
            </w:r>
            <w:r>
              <w:rPr>
                <w:rFonts w:eastAsia="MS Gothic" w:cs="Calibri"/>
                <w:sz w:val="22"/>
                <w:szCs w:val="22"/>
                <w:lang w:val="es-US"/>
              </w:rPr>
              <w:t>os (</w:t>
            </w:r>
            <w:r w:rsidR="00B04430" w:rsidRPr="000B0017">
              <w:rPr>
                <w:rFonts w:eastAsia="MS Gothic" w:cs="Calibri"/>
                <w:i/>
                <w:sz w:val="22"/>
                <w:szCs w:val="22"/>
                <w:lang w:val="es-US"/>
              </w:rPr>
              <w:t>Scaling up Programs to Reduce Human Rights-Related Barriers to HIV Services – Human Rights Baseline</w:t>
            </w:r>
            <w:r>
              <w:rPr>
                <w:rFonts w:eastAsia="MS Gothic" w:cs="Calibri"/>
                <w:sz w:val="22"/>
                <w:szCs w:val="22"/>
                <w:lang w:val="es-US"/>
              </w:rPr>
              <w:t>).</w:t>
            </w:r>
          </w:p>
          <w:p w14:paraId="49252AA0" w14:textId="77777777" w:rsidR="00C9648E" w:rsidRDefault="00C9648E" w:rsidP="000B0017">
            <w:pPr>
              <w:ind w:left="720" w:hanging="720"/>
              <w:jc w:val="both"/>
              <w:rPr>
                <w:rFonts w:eastAsia="MS Gothic" w:cs="Calibri"/>
                <w:sz w:val="22"/>
                <w:szCs w:val="22"/>
                <w:lang w:val="es-ES"/>
              </w:rPr>
            </w:pPr>
          </w:p>
          <w:p w14:paraId="78E6C321" w14:textId="56802119" w:rsidR="00C9648E" w:rsidRPr="00C9648E" w:rsidRDefault="00C9648E" w:rsidP="000B0017">
            <w:pPr>
              <w:ind w:left="720" w:hanging="720"/>
              <w:jc w:val="both"/>
              <w:rPr>
                <w:rFonts w:eastAsia="MS Gothic" w:cs="Calibri"/>
                <w:sz w:val="22"/>
                <w:szCs w:val="22"/>
                <w:lang w:val="es-ES"/>
              </w:rPr>
            </w:pPr>
            <w:r>
              <w:rPr>
                <w:rFonts w:eastAsia="MS Gothic" w:cs="Calibri"/>
                <w:sz w:val="22"/>
                <w:szCs w:val="22"/>
                <w:lang w:val="es-ES"/>
              </w:rPr>
              <w:t xml:space="preserve">Fondo Mundial </w:t>
            </w:r>
            <w:r w:rsidRPr="00C9648E">
              <w:rPr>
                <w:rFonts w:eastAsia="MS Gothic" w:cs="Calibri"/>
                <w:sz w:val="22"/>
                <w:szCs w:val="22"/>
                <w:lang w:val="es-ES"/>
              </w:rPr>
              <w:t>(2018). Carta de retroalimentación Periodo 1 enero – 31 diciembre, 2018.</w:t>
            </w:r>
          </w:p>
          <w:p w14:paraId="6B9D61DB" w14:textId="77777777" w:rsidR="000B0017" w:rsidRPr="000B0017" w:rsidRDefault="000B0017" w:rsidP="000B0017">
            <w:pPr>
              <w:ind w:left="720" w:hanging="720"/>
              <w:jc w:val="both"/>
              <w:rPr>
                <w:rFonts w:eastAsia="MS Gothic" w:cs="Calibri"/>
                <w:sz w:val="22"/>
                <w:szCs w:val="22"/>
                <w:lang w:val="es-US"/>
              </w:rPr>
            </w:pPr>
          </w:p>
          <w:p w14:paraId="56D0A960" w14:textId="75735622" w:rsidR="00B04430" w:rsidRPr="000B0017" w:rsidRDefault="000B0017" w:rsidP="006F7A29">
            <w:pPr>
              <w:spacing w:after="200"/>
              <w:ind w:left="720" w:hanging="720"/>
              <w:jc w:val="both"/>
              <w:rPr>
                <w:rFonts w:eastAsia="MS Gothic" w:cs="Calibri"/>
                <w:sz w:val="22"/>
                <w:szCs w:val="22"/>
                <w:lang w:val="es-US"/>
              </w:rPr>
            </w:pPr>
            <w:r w:rsidRPr="000B0017">
              <w:rPr>
                <w:rFonts w:eastAsia="MS Gothic" w:cs="Calibri"/>
                <w:sz w:val="22"/>
                <w:szCs w:val="22"/>
                <w:lang w:val="es-US"/>
              </w:rPr>
              <w:t>Fondo mundial para la lucha contra el VIH/SIDA, la tuberculosis y la malaria</w:t>
            </w:r>
            <w:r w:rsidR="00B04430" w:rsidRPr="000B0017">
              <w:rPr>
                <w:rFonts w:eastAsia="MS Gothic" w:cs="Calibri"/>
                <w:sz w:val="22"/>
                <w:szCs w:val="22"/>
                <w:lang w:val="es-US"/>
              </w:rPr>
              <w:t xml:space="preserve">. </w:t>
            </w:r>
            <w:r w:rsidR="00B04430" w:rsidRPr="00BD46CA">
              <w:rPr>
                <w:rFonts w:eastAsia="MS Gothic" w:cs="Calibri"/>
                <w:sz w:val="22"/>
                <w:szCs w:val="22"/>
                <w:lang w:val="es-US"/>
              </w:rPr>
              <w:t xml:space="preserve">(2019). </w:t>
            </w:r>
            <w:r w:rsidRPr="000B0017">
              <w:rPr>
                <w:rFonts w:eastAsia="MS Gothic" w:cs="Calibri"/>
                <w:sz w:val="22"/>
                <w:szCs w:val="22"/>
                <w:lang w:val="es-US"/>
              </w:rPr>
              <w:t xml:space="preserve">Visión general de Honduras. </w:t>
            </w:r>
            <w:r>
              <w:rPr>
                <w:rFonts w:eastAsia="MS Gothic" w:cs="Calibri"/>
                <w:sz w:val="22"/>
                <w:szCs w:val="22"/>
                <w:lang w:val="es-US"/>
              </w:rPr>
              <w:t>Bajado</w:t>
            </w:r>
            <w:r w:rsidRPr="000B0017">
              <w:rPr>
                <w:rFonts w:eastAsia="MS Gothic" w:cs="Calibri"/>
                <w:sz w:val="22"/>
                <w:szCs w:val="22"/>
                <w:lang w:val="es-US"/>
              </w:rPr>
              <w:t xml:space="preserve"> el 15 de febrero de 2019 de </w:t>
            </w:r>
            <w:hyperlink r:id="rId15" w:history="1">
              <w:r w:rsidR="00B04430" w:rsidRPr="000B0017">
                <w:rPr>
                  <w:rFonts w:eastAsia="MS Gothic" w:cs="Calibri"/>
                  <w:sz w:val="22"/>
                  <w:szCs w:val="22"/>
                  <w:u w:val="single"/>
                  <w:lang w:val="es-US"/>
                </w:rPr>
                <w:t>https://www.theglobalfund.org/en/portfolio/country/?k=38565614-b542-4558-96f5-6c0ab3e36f97&amp;loc=HND</w:t>
              </w:r>
            </w:hyperlink>
            <w:r w:rsidR="00B04430" w:rsidRPr="000B0017">
              <w:rPr>
                <w:rFonts w:eastAsia="MS Gothic" w:cs="Calibri"/>
                <w:sz w:val="22"/>
                <w:szCs w:val="22"/>
                <w:lang w:val="es-US"/>
              </w:rPr>
              <w:t xml:space="preserve">. </w:t>
            </w:r>
          </w:p>
          <w:p w14:paraId="1DFEB3B3"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Gobierno de la República de Honduras. (2015). Reforma a la Ley especial de VIH y Sida con enfoque de derechos Humanos. </w:t>
            </w:r>
          </w:p>
        </w:tc>
      </w:tr>
      <w:tr w:rsidR="00B36025" w:rsidRPr="00652E09" w14:paraId="4FDD8CD6" w14:textId="77777777" w:rsidTr="00A96806">
        <w:tc>
          <w:tcPr>
            <w:tcW w:w="8879" w:type="dxa"/>
          </w:tcPr>
          <w:p w14:paraId="7CB1E650"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ONUSIDA. (2013). Evaluación del Proceso y Resultados del PENSIDA III. Honduras. </w:t>
            </w:r>
          </w:p>
        </w:tc>
      </w:tr>
      <w:tr w:rsidR="00B36025" w:rsidRPr="00652E09" w14:paraId="621AC8F7" w14:textId="77777777" w:rsidTr="00A96806">
        <w:tc>
          <w:tcPr>
            <w:tcW w:w="8879" w:type="dxa"/>
          </w:tcPr>
          <w:p w14:paraId="6F6C3032" w14:textId="77777777" w:rsidR="00B04430" w:rsidRDefault="00B04430" w:rsidP="000B0017">
            <w:pPr>
              <w:ind w:left="720" w:hanging="720"/>
              <w:jc w:val="both"/>
              <w:rPr>
                <w:rFonts w:eastAsia="MS Gothic" w:cs="Calibri"/>
                <w:sz w:val="22"/>
                <w:szCs w:val="22"/>
                <w:lang w:val="es-ES_tradnl"/>
              </w:rPr>
            </w:pPr>
            <w:r w:rsidRPr="00652E09">
              <w:rPr>
                <w:rFonts w:eastAsia="MS Gothic" w:cs="Calibri"/>
                <w:sz w:val="22"/>
                <w:szCs w:val="22"/>
                <w:lang w:val="es-ES_tradnl"/>
              </w:rPr>
              <w:t>Organización Panamericana de la Salud. (2017). Misión técnica de Evaluación integral conjunta de la respuesta del sistema de salud a la infección por el VIH y las ITS y apoyo técnico hacia la innovación, la ampliación y la sostenibilidad. Informe Final [</w:t>
            </w:r>
            <w:r w:rsidR="000B0017" w:rsidRPr="000B0017">
              <w:rPr>
                <w:rFonts w:eastAsia="MS Gothic" w:cs="Calibri"/>
                <w:sz w:val="22"/>
                <w:szCs w:val="22"/>
                <w:lang w:val="es-ES_tradnl"/>
              </w:rPr>
              <w:t>Informe escri</w:t>
            </w:r>
            <w:r w:rsidR="000B0017">
              <w:rPr>
                <w:rFonts w:eastAsia="MS Gothic" w:cs="Calibri"/>
                <w:sz w:val="22"/>
                <w:szCs w:val="22"/>
                <w:lang w:val="es-ES_tradnl"/>
              </w:rPr>
              <w:t>to y diapositivas de PowerPoint].</w:t>
            </w:r>
          </w:p>
          <w:p w14:paraId="0170DEAA" w14:textId="7D423159" w:rsidR="000B0017" w:rsidRPr="00652E09" w:rsidRDefault="000B0017" w:rsidP="000B0017">
            <w:pPr>
              <w:ind w:left="720" w:hanging="720"/>
              <w:jc w:val="both"/>
              <w:rPr>
                <w:rFonts w:eastAsia="MS Gothic" w:cs="Calibri"/>
                <w:sz w:val="22"/>
                <w:szCs w:val="22"/>
                <w:lang w:val="es-ES_tradnl"/>
              </w:rPr>
            </w:pPr>
          </w:p>
        </w:tc>
      </w:tr>
      <w:tr w:rsidR="00B36025" w:rsidRPr="009A4A93" w14:paraId="6CED136D" w14:textId="77777777" w:rsidTr="00A96806">
        <w:tc>
          <w:tcPr>
            <w:tcW w:w="8879" w:type="dxa"/>
          </w:tcPr>
          <w:p w14:paraId="389CA830"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lastRenderedPageBreak/>
              <w:t xml:space="preserve">PEPFAR. (2013). Informe de la evaluación del sistema nacional de vigilancia epidemiológica de VIH en Honduras. </w:t>
            </w:r>
          </w:p>
        </w:tc>
      </w:tr>
      <w:tr w:rsidR="00B36025" w:rsidRPr="009A4A93" w14:paraId="70285AAF" w14:textId="77777777" w:rsidTr="00A96806">
        <w:tc>
          <w:tcPr>
            <w:tcW w:w="8879" w:type="dxa"/>
          </w:tcPr>
          <w:p w14:paraId="5E0F1C34"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(2011). Estrategia de Abordaje Integral a las ITS/VIH/Sida en el marco de la Reforma del Sector Salud. </w:t>
            </w:r>
          </w:p>
          <w:p w14:paraId="04B9EE68"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(2012a). Estudio de Medición del Gasto en SIDA. </w:t>
            </w:r>
          </w:p>
          <w:p w14:paraId="6BFBB464"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(2012b). Informe de la Evaluación del Flujo de Notificación de Casos De VIH/Sida a Vigilancia de la Salud y Cumplimiento del Algoritmo Diagnóstico en la Red de Servicios de la Secretaria de Salud de Honduras. </w:t>
            </w:r>
          </w:p>
          <w:p w14:paraId="32444B67"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(2014). Estudio de Medición del Gasto en SIDA. </w:t>
            </w:r>
          </w:p>
          <w:p w14:paraId="010D77A1"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Secretaría de Salud. (2015a). Informe Nacional de Progreso.</w:t>
            </w:r>
          </w:p>
          <w:p w14:paraId="7CB2FA5B"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(2015b). Paquete específico de prestaciones y servicios de promoción, prevención, atención y apoyo, para el abordaje de las ITS y el VIH en poblaciones clave en mayor riesgo. </w:t>
            </w:r>
          </w:p>
          <w:p w14:paraId="793B6EF7"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(2016a).  Estudio de Medición del Gasto en SIDA. </w:t>
            </w:r>
          </w:p>
          <w:p w14:paraId="781CF37C"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(2016b). Plan de monitoreo y evaluación de la respuesta nacional a la epidemia del VIH en Honduras 2016 – 2019. </w:t>
            </w:r>
          </w:p>
          <w:p w14:paraId="09B5E2B2"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Secretaría de la Salud. Gobierno de Honduras. (2016c). Plan Estratégico de Respuesta Nacional para la Prevención y Control de la Tuberculosis en Honduras 2016-2020.</w:t>
            </w:r>
            <w:r w:rsidRPr="00652E09" w:rsidDel="002C3959">
              <w:rPr>
                <w:rFonts w:eastAsia="MS Gothic" w:cs="Calibri"/>
                <w:sz w:val="22"/>
                <w:szCs w:val="22"/>
                <w:lang w:val="es-ES_tradnl"/>
              </w:rPr>
              <w:t xml:space="preserve"> </w:t>
            </w:r>
          </w:p>
          <w:p w14:paraId="21C689E0" w14:textId="511ED2EB" w:rsidR="00B04430" w:rsidRDefault="00B04430" w:rsidP="000B0017">
            <w:pPr>
              <w:jc w:val="both"/>
              <w:rPr>
                <w:rFonts w:eastAsia="MS Gothic" w:cs="Calibri"/>
                <w:sz w:val="22"/>
                <w:szCs w:val="22"/>
                <w:lang w:val="es-ES_tradnl"/>
              </w:rPr>
            </w:pPr>
            <w:r w:rsidRPr="00652E09">
              <w:rPr>
                <w:rFonts w:eastAsia="MS Gothic" w:cs="Calibri"/>
                <w:sz w:val="22"/>
                <w:szCs w:val="22"/>
                <w:lang w:val="es-ES_tradnl"/>
              </w:rPr>
              <w:t xml:space="preserve">Secretaría de Salud. (2017a). </w:t>
            </w:r>
            <w:r w:rsidR="000B0017" w:rsidRPr="000B0017">
              <w:rPr>
                <w:rFonts w:eastAsia="MS Gothic" w:cs="Calibri"/>
                <w:sz w:val="22"/>
                <w:szCs w:val="22"/>
                <w:lang w:val="es-ES_tradnl"/>
              </w:rPr>
              <w:t>Monitoreo Global del SIDA</w:t>
            </w:r>
            <w:r w:rsidRPr="00652E09">
              <w:rPr>
                <w:rFonts w:eastAsia="MS Gothic" w:cs="Calibri"/>
                <w:sz w:val="22"/>
                <w:szCs w:val="22"/>
                <w:lang w:val="es-ES_tradnl"/>
              </w:rPr>
              <w:t xml:space="preserve">. </w:t>
            </w:r>
          </w:p>
          <w:p w14:paraId="268E5990" w14:textId="77777777" w:rsidR="000B0017" w:rsidRPr="00652E09" w:rsidRDefault="000B0017" w:rsidP="000B0017">
            <w:pPr>
              <w:jc w:val="both"/>
              <w:rPr>
                <w:rFonts w:eastAsia="MS Gothic" w:cs="Calibri"/>
                <w:sz w:val="22"/>
                <w:szCs w:val="22"/>
                <w:lang w:val="es-ES_tradnl"/>
              </w:rPr>
            </w:pPr>
          </w:p>
          <w:p w14:paraId="58A42D97" w14:textId="0069A85F" w:rsidR="00B04430" w:rsidRPr="00652E09" w:rsidRDefault="00B04430" w:rsidP="006F7A29">
            <w:pPr>
              <w:spacing w:after="200"/>
              <w:ind w:left="720" w:hanging="720"/>
              <w:jc w:val="both"/>
              <w:rPr>
                <w:rFonts w:eastAsia="MS Gothic" w:cs="Calibri"/>
                <w:bCs/>
                <w:sz w:val="22"/>
                <w:szCs w:val="22"/>
                <w:lang w:val="es-ES_tradnl"/>
              </w:rPr>
            </w:pPr>
            <w:r w:rsidRPr="00652E09">
              <w:rPr>
                <w:rFonts w:eastAsia="MS Gothic" w:cs="Calibri"/>
                <w:sz w:val="22"/>
                <w:szCs w:val="22"/>
                <w:lang w:val="es-ES_tradnl"/>
              </w:rPr>
              <w:t xml:space="preserve">Secretaría de Salud. (2017b). </w:t>
            </w:r>
            <w:r w:rsidRPr="00652E09">
              <w:rPr>
                <w:rFonts w:eastAsia="MS Gothic" w:cs="Calibri"/>
                <w:bCs/>
                <w:sz w:val="22"/>
                <w:szCs w:val="22"/>
                <w:lang w:val="es-ES_tradnl"/>
              </w:rPr>
              <w:t xml:space="preserve">Informe </w:t>
            </w:r>
            <w:r w:rsidR="000B0017" w:rsidRPr="00652E09">
              <w:rPr>
                <w:rFonts w:eastAsia="MS Gothic" w:cs="Calibri"/>
                <w:bCs/>
                <w:sz w:val="22"/>
                <w:szCs w:val="22"/>
                <w:lang w:val="es-ES_tradnl"/>
              </w:rPr>
              <w:t>Estadístico</w:t>
            </w:r>
            <w:r w:rsidRPr="00652E09">
              <w:rPr>
                <w:rFonts w:eastAsia="MS Gothic" w:cs="Calibri"/>
                <w:bCs/>
                <w:sz w:val="22"/>
                <w:szCs w:val="22"/>
                <w:lang w:val="es-ES_tradnl"/>
              </w:rPr>
              <w:t xml:space="preserve"> de la Epidemia de VIH en Honduras período 1985 – Junio 2017. </w:t>
            </w:r>
          </w:p>
          <w:p w14:paraId="2D75E42E"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(2017c). Informe Estimaciones y Proyecciones VIH a través de </w:t>
            </w:r>
            <w:r w:rsidRPr="000B0017">
              <w:rPr>
                <w:rFonts w:eastAsia="MS Gothic" w:cs="Calibri"/>
                <w:i/>
                <w:sz w:val="22"/>
                <w:szCs w:val="22"/>
                <w:lang w:val="es-ES_tradnl"/>
              </w:rPr>
              <w:t>Spectrum</w:t>
            </w:r>
            <w:r w:rsidRPr="00652E09">
              <w:rPr>
                <w:rFonts w:eastAsia="MS Gothic" w:cs="Calibri"/>
                <w:sz w:val="22"/>
                <w:szCs w:val="22"/>
                <w:lang w:val="es-ES_tradnl"/>
              </w:rPr>
              <w:t xml:space="preserve"> v5.56. </w:t>
            </w:r>
          </w:p>
          <w:p w14:paraId="1EBF88E3"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(2017d). Plan Nacional de Supervisión para la Respuesta al VIH –TB. </w:t>
            </w:r>
          </w:p>
          <w:p w14:paraId="34F32D94"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(2018a). Análisis de la Situación Epidemiológica de las ITS y el VIH en Honduras 2013-2017. </w:t>
            </w:r>
          </w:p>
        </w:tc>
      </w:tr>
      <w:tr w:rsidR="00B36025" w:rsidRPr="009A4A93" w14:paraId="09C6E32C" w14:textId="77777777" w:rsidTr="00A96806">
        <w:tc>
          <w:tcPr>
            <w:tcW w:w="8879" w:type="dxa"/>
          </w:tcPr>
          <w:p w14:paraId="572BD632"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(2018b). Guía de Consejería en VIH basada en Riesgo. </w:t>
            </w:r>
          </w:p>
          <w:p w14:paraId="47C52849"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(2018c). Informe de Indicadores de Impacto y Resultados. </w:t>
            </w:r>
          </w:p>
          <w:p w14:paraId="71A7567A" w14:textId="089A3BB5" w:rsidR="00B04430" w:rsidRPr="00652E09" w:rsidRDefault="00B04430" w:rsidP="006F7A29">
            <w:pPr>
              <w:spacing w:after="200"/>
              <w:ind w:left="720" w:hanging="720"/>
              <w:jc w:val="both"/>
              <w:rPr>
                <w:rFonts w:eastAsia="MS Gothic" w:cs="Calibri"/>
                <w:bCs/>
                <w:sz w:val="22"/>
                <w:szCs w:val="22"/>
                <w:lang w:val="es-ES_tradnl"/>
              </w:rPr>
            </w:pPr>
            <w:r w:rsidRPr="00652E09">
              <w:rPr>
                <w:rFonts w:eastAsia="MS Gothic" w:cs="Calibri"/>
                <w:sz w:val="22"/>
                <w:szCs w:val="22"/>
                <w:lang w:val="es-ES_tradnl"/>
              </w:rPr>
              <w:t xml:space="preserve">Secretaría de Salud. (2018d). </w:t>
            </w:r>
            <w:r w:rsidRPr="00652E09">
              <w:rPr>
                <w:rFonts w:eastAsia="MS Gothic" w:cs="Calibri"/>
                <w:bCs/>
                <w:sz w:val="22"/>
                <w:szCs w:val="22"/>
                <w:lang w:val="es-ES_tradnl"/>
              </w:rPr>
              <w:t xml:space="preserve">Informe </w:t>
            </w:r>
            <w:r w:rsidR="000B0017" w:rsidRPr="00652E09">
              <w:rPr>
                <w:rFonts w:eastAsia="MS Gothic" w:cs="Calibri"/>
                <w:bCs/>
                <w:sz w:val="22"/>
                <w:szCs w:val="22"/>
                <w:lang w:val="es-ES_tradnl"/>
              </w:rPr>
              <w:t>Estadístico</w:t>
            </w:r>
            <w:r w:rsidRPr="00652E09">
              <w:rPr>
                <w:rFonts w:eastAsia="MS Gothic" w:cs="Calibri"/>
                <w:bCs/>
                <w:sz w:val="22"/>
                <w:szCs w:val="22"/>
                <w:lang w:val="es-ES_tradnl"/>
              </w:rPr>
              <w:t xml:space="preserve"> de la Epidemia de VIH en Honduras período 1985 – </w:t>
            </w:r>
            <w:r w:rsidR="000B0017" w:rsidRPr="00652E09">
              <w:rPr>
                <w:rFonts w:eastAsia="MS Gothic" w:cs="Calibri"/>
                <w:bCs/>
                <w:sz w:val="22"/>
                <w:szCs w:val="22"/>
                <w:lang w:val="es-ES_tradnl"/>
              </w:rPr>
              <w:t>octubre</w:t>
            </w:r>
            <w:r w:rsidRPr="00652E09">
              <w:rPr>
                <w:rFonts w:eastAsia="MS Gothic" w:cs="Calibri"/>
                <w:bCs/>
                <w:sz w:val="22"/>
                <w:szCs w:val="22"/>
                <w:lang w:val="es-ES_tradnl"/>
              </w:rPr>
              <w:t xml:space="preserve"> 2018. </w:t>
            </w:r>
          </w:p>
          <w:p w14:paraId="3BAD7DFB" w14:textId="36B24C25"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(Sin Fecha). Guía para Monitoreo y </w:t>
            </w:r>
            <w:r w:rsidR="000B0017" w:rsidRPr="00652E09">
              <w:rPr>
                <w:rFonts w:eastAsia="MS Gothic" w:cs="Calibri"/>
                <w:sz w:val="22"/>
                <w:szCs w:val="22"/>
                <w:lang w:val="es-ES_tradnl"/>
              </w:rPr>
              <w:t>Evaluación</w:t>
            </w:r>
            <w:r w:rsidRPr="00652E09">
              <w:rPr>
                <w:rFonts w:eastAsia="MS Gothic" w:cs="Calibri"/>
                <w:sz w:val="22"/>
                <w:szCs w:val="22"/>
                <w:lang w:val="es-ES_tradnl"/>
              </w:rPr>
              <w:t xml:space="preserve"> de la </w:t>
            </w:r>
            <w:r w:rsidR="000B0017" w:rsidRPr="00652E09">
              <w:rPr>
                <w:rFonts w:eastAsia="MS Gothic" w:cs="Calibri"/>
                <w:sz w:val="22"/>
                <w:szCs w:val="22"/>
                <w:lang w:val="es-ES_tradnl"/>
              </w:rPr>
              <w:t>Gestión</w:t>
            </w:r>
            <w:r w:rsidRPr="00652E09">
              <w:rPr>
                <w:rFonts w:eastAsia="MS Gothic" w:cs="Calibri"/>
                <w:sz w:val="22"/>
                <w:szCs w:val="22"/>
                <w:lang w:val="es-ES_tradnl"/>
              </w:rPr>
              <w:t xml:space="preserve"> de Existencias y Verificación de la Calidad del Dato Logístico. </w:t>
            </w:r>
          </w:p>
        </w:tc>
      </w:tr>
      <w:tr w:rsidR="00B36025" w:rsidRPr="009A4A93" w14:paraId="5D8B743B" w14:textId="77777777" w:rsidTr="00A96806">
        <w:tc>
          <w:tcPr>
            <w:tcW w:w="8879" w:type="dxa"/>
          </w:tcPr>
          <w:p w14:paraId="2E05D26C"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(Sin fecha). Resumen del Plan de Sostenibilidad de la Subvenciones [documento Excel]. </w:t>
            </w:r>
          </w:p>
          <w:p w14:paraId="30663EFE"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Secretaría de Salud. Plan Estratégico Nacional del VIH/SIDA (PENSIDA IV).</w:t>
            </w:r>
          </w:p>
        </w:tc>
      </w:tr>
      <w:tr w:rsidR="00B36025" w:rsidRPr="009A4A93" w14:paraId="21D8BCA2" w14:textId="77777777" w:rsidTr="00A96806">
        <w:tc>
          <w:tcPr>
            <w:tcW w:w="8879" w:type="dxa"/>
          </w:tcPr>
          <w:p w14:paraId="49F6F318"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t xml:space="preserve">Secretaría de Salud. Plan Estratégico Nacional del VIH/SIDA II (PENSIDA II). </w:t>
            </w:r>
          </w:p>
        </w:tc>
      </w:tr>
      <w:tr w:rsidR="00B36025" w:rsidRPr="009A4A93" w14:paraId="225F1D8C" w14:textId="77777777" w:rsidTr="00A96806">
        <w:tc>
          <w:tcPr>
            <w:tcW w:w="8879" w:type="dxa"/>
          </w:tcPr>
          <w:p w14:paraId="12C94F52" w14:textId="77777777" w:rsidR="00B04430" w:rsidRPr="00652E09" w:rsidRDefault="00B04430" w:rsidP="006F7A29">
            <w:pPr>
              <w:spacing w:after="200"/>
              <w:jc w:val="both"/>
              <w:rPr>
                <w:rFonts w:eastAsia="MS Gothic" w:cs="Calibri"/>
                <w:sz w:val="22"/>
                <w:szCs w:val="22"/>
                <w:lang w:val="es-ES_tradnl"/>
              </w:rPr>
            </w:pPr>
            <w:r w:rsidRPr="00652E09">
              <w:rPr>
                <w:rFonts w:eastAsia="MS Gothic" w:cs="Calibri"/>
                <w:sz w:val="22"/>
                <w:szCs w:val="22"/>
                <w:lang w:val="es-ES_tradnl"/>
              </w:rPr>
              <w:lastRenderedPageBreak/>
              <w:t>Secretaría de Salud. Plan Estratégico Nacional del VIH/SIDA III (PENSIDA III).</w:t>
            </w:r>
          </w:p>
          <w:p w14:paraId="4FF4C6AB"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Fondo Mundial, y ONUSIDA. (2015a). Estudio sobre conocimientos, actitudes, prácticas sexuales y sero-prevalencia de VIH y sífilis en población privada de libertad de Honduras en Tegucigalpa y San Pedro Sula. </w:t>
            </w:r>
          </w:p>
          <w:p w14:paraId="7C766BB4" w14:textId="77777777" w:rsidR="00B04430" w:rsidRPr="00652E09" w:rsidRDefault="00B04430" w:rsidP="006F7A29">
            <w:pPr>
              <w:spacing w:after="200"/>
              <w:ind w:left="720" w:hanging="720"/>
              <w:jc w:val="both"/>
              <w:rPr>
                <w:rFonts w:eastAsia="MS Gothic" w:cs="Calibri"/>
                <w:sz w:val="22"/>
                <w:szCs w:val="22"/>
                <w:lang w:val="es-ES_tradnl"/>
              </w:rPr>
            </w:pPr>
            <w:r w:rsidRPr="00652E09">
              <w:rPr>
                <w:rFonts w:eastAsia="MS Gothic" w:cs="Calibri"/>
                <w:sz w:val="22"/>
                <w:szCs w:val="22"/>
                <w:lang w:val="es-ES_tradnl"/>
              </w:rPr>
              <w:t>Secretaría de Salud, ONU Mujeres, y ONUSIDA. (2013). Sistematización del Diagnóstico de Género en la Respuesta al VIH en Honduras.</w:t>
            </w:r>
          </w:p>
          <w:p w14:paraId="660ED392" w14:textId="765A1958" w:rsidR="00B04430" w:rsidRPr="00652E09" w:rsidRDefault="00B04430" w:rsidP="008A3DD2">
            <w:pPr>
              <w:spacing w:after="200"/>
              <w:ind w:left="720" w:hanging="720"/>
              <w:jc w:val="both"/>
              <w:rPr>
                <w:rFonts w:eastAsia="MS Gothic" w:cs="Calibri"/>
                <w:sz w:val="22"/>
                <w:szCs w:val="22"/>
                <w:lang w:val="es-ES_tradnl"/>
              </w:rPr>
            </w:pPr>
            <w:r w:rsidRPr="00652E09">
              <w:rPr>
                <w:rFonts w:eastAsia="MS Gothic" w:cs="Calibri"/>
                <w:sz w:val="22"/>
                <w:szCs w:val="22"/>
                <w:lang w:val="es-ES_tradnl"/>
              </w:rPr>
              <w:t xml:space="preserve">Secretaría de Salud y PEPFAR. (2017). Epidemia del VIH en Población </w:t>
            </w:r>
            <w:r w:rsidR="003C6851">
              <w:rPr>
                <w:rFonts w:eastAsia="MS Gothic" w:cs="Calibri"/>
                <w:sz w:val="22"/>
                <w:szCs w:val="22"/>
                <w:lang w:val="es-ES_tradnl"/>
              </w:rPr>
              <w:t>Garífuna</w:t>
            </w:r>
            <w:r w:rsidRPr="00652E09">
              <w:rPr>
                <w:rFonts w:eastAsia="MS Gothic" w:cs="Calibri"/>
                <w:sz w:val="22"/>
                <w:szCs w:val="22"/>
                <w:lang w:val="es-ES_tradnl"/>
              </w:rPr>
              <w:t xml:space="preserve"> en Honduras.</w:t>
            </w:r>
          </w:p>
          <w:p w14:paraId="61D7798E" w14:textId="1323313C" w:rsidR="008A3DD2" w:rsidRPr="008A3DD2" w:rsidRDefault="008A3DD2" w:rsidP="008A3DD2">
            <w:pPr>
              <w:spacing w:after="200"/>
              <w:ind w:left="720" w:hanging="720"/>
              <w:jc w:val="both"/>
              <w:rPr>
                <w:rFonts w:eastAsia="MS Gothic" w:cs="Calibri"/>
                <w:sz w:val="22"/>
                <w:szCs w:val="22"/>
                <w:lang w:val="es-ES_tradnl"/>
              </w:rPr>
            </w:pPr>
            <w:r w:rsidRPr="008A3DD2">
              <w:rPr>
                <w:rFonts w:eastAsia="MS Gothic" w:cs="Calibri"/>
                <w:sz w:val="22"/>
                <w:szCs w:val="22"/>
                <w:lang w:val="es-ES_tradnl"/>
              </w:rPr>
              <w:t>Unidad de Gestión de la Calidad, Secretaría de Salud. (2017). Cinco Guías de Supervisión Capacitante: ITS, Pediátrica, Consejería, Adolescentes y Adultos, Pruebas VIH y Transmisión Vertical.</w:t>
            </w:r>
          </w:p>
        </w:tc>
      </w:tr>
      <w:tr w:rsidR="00C627C1" w:rsidRPr="009A4A93" w14:paraId="78A9178F" w14:textId="77777777" w:rsidTr="00A96806">
        <w:tc>
          <w:tcPr>
            <w:tcW w:w="8879" w:type="dxa"/>
          </w:tcPr>
          <w:p w14:paraId="4CE49807" w14:textId="5D5762A7" w:rsidR="00C627C1" w:rsidRPr="00C627C1" w:rsidRDefault="00C627C1" w:rsidP="00C627C1">
            <w:pPr>
              <w:spacing w:after="200"/>
              <w:ind w:left="720" w:hanging="720"/>
              <w:jc w:val="both"/>
              <w:rPr>
                <w:rFonts w:eastAsia="MS Gothic" w:cs="Calibri"/>
                <w:sz w:val="22"/>
                <w:szCs w:val="22"/>
                <w:lang w:val="es-US"/>
              </w:rPr>
            </w:pPr>
          </w:p>
        </w:tc>
      </w:tr>
    </w:tbl>
    <w:p w14:paraId="3202103E" w14:textId="42C64828" w:rsidR="002C2B32" w:rsidRPr="00C627C1" w:rsidRDefault="002C2B32" w:rsidP="00296C0E">
      <w:pPr>
        <w:rPr>
          <w:sz w:val="32"/>
          <w:szCs w:val="32"/>
          <w:lang w:val="es-US"/>
        </w:rPr>
      </w:pPr>
      <w:r w:rsidRPr="00C627C1">
        <w:rPr>
          <w:lang w:val="es-US"/>
        </w:rPr>
        <w:br w:type="page"/>
      </w:r>
    </w:p>
    <w:p w14:paraId="2B4FE2A1" w14:textId="151A4E5B" w:rsidR="007C0BEB" w:rsidRPr="00216226" w:rsidRDefault="00E0433B" w:rsidP="002C2B32">
      <w:pPr>
        <w:pStyle w:val="Heading1"/>
        <w:spacing w:before="240"/>
        <w:rPr>
          <w:b w:val="0"/>
          <w:bCs/>
          <w:color w:val="2F5496"/>
          <w:lang w:val="es-ES_tradnl"/>
        </w:rPr>
      </w:pPr>
      <w:r w:rsidRPr="00216226">
        <w:rPr>
          <w:b w:val="0"/>
          <w:bCs/>
          <w:color w:val="2F5496"/>
          <w:lang w:val="es-ES_tradnl"/>
        </w:rPr>
        <w:lastRenderedPageBreak/>
        <w:t>Información adicional</w:t>
      </w:r>
    </w:p>
    <w:p w14:paraId="22087304" w14:textId="77777777" w:rsidR="007C0BEB" w:rsidRPr="00216226" w:rsidRDefault="007C0BEB" w:rsidP="007C0BEB">
      <w:pPr>
        <w:rPr>
          <w:lang w:val="es-ES_tradnl"/>
        </w:rPr>
      </w:pPr>
    </w:p>
    <w:p w14:paraId="47F24817" w14:textId="0C4AE591" w:rsidR="007C0BEB" w:rsidRPr="00216226" w:rsidRDefault="00E0433B" w:rsidP="003B5ECD">
      <w:pPr>
        <w:jc w:val="both"/>
        <w:rPr>
          <w:lang w:val="es-ES_tradnl"/>
        </w:rPr>
      </w:pPr>
      <w:r w:rsidRPr="00216226">
        <w:rPr>
          <w:lang w:val="es-ES_tradnl"/>
        </w:rPr>
        <w:t xml:space="preserve">Por favor, consulte el </w:t>
      </w:r>
      <w:hyperlink r:id="rId16" w:history="1">
        <w:r w:rsidRPr="00216226">
          <w:rPr>
            <w:rStyle w:val="Hyperlink"/>
            <w:lang w:val="es-ES_tradnl"/>
          </w:rPr>
          <w:t>Documento de Información S</w:t>
        </w:r>
        <w:r w:rsidR="00B36025" w:rsidRPr="00216226">
          <w:rPr>
            <w:rStyle w:val="Hyperlink"/>
            <w:lang w:val="es-ES_tradnl"/>
          </w:rPr>
          <w:t>uplementa</w:t>
        </w:r>
        <w:r w:rsidRPr="00216226">
          <w:rPr>
            <w:rStyle w:val="Hyperlink"/>
            <w:lang w:val="es-ES_tradnl"/>
          </w:rPr>
          <w:t>ria</w:t>
        </w:r>
      </w:hyperlink>
      <w:r w:rsidR="007C0BEB" w:rsidRPr="00216226">
        <w:rPr>
          <w:lang w:val="es-ES_tradnl"/>
        </w:rPr>
        <w:t xml:space="preserve"> </w:t>
      </w:r>
      <w:r w:rsidRPr="00216226">
        <w:rPr>
          <w:lang w:val="es-ES_tradnl"/>
        </w:rPr>
        <w:t>para obtener información sobre los antecedentes adicionales del proyecto, la metodología específica y las limitaciones de esta evaluación</w:t>
      </w:r>
      <w:r w:rsidR="007C0BEB" w:rsidRPr="00216226">
        <w:rPr>
          <w:lang w:val="es-ES_tradnl"/>
        </w:rPr>
        <w:t xml:space="preserve">. </w:t>
      </w:r>
    </w:p>
    <w:p w14:paraId="43DE951C" w14:textId="7ECEF6EA" w:rsidR="00B61752" w:rsidRPr="00216226" w:rsidRDefault="002C2B32" w:rsidP="00B61752">
      <w:pPr>
        <w:pStyle w:val="Heading1"/>
        <w:spacing w:before="240"/>
        <w:rPr>
          <w:b w:val="0"/>
          <w:bCs/>
          <w:color w:val="2F5496"/>
          <w:lang w:val="es-ES_tradnl"/>
        </w:rPr>
      </w:pPr>
      <w:r w:rsidRPr="00216226">
        <w:rPr>
          <w:b w:val="0"/>
          <w:bCs/>
          <w:color w:val="2F5496"/>
          <w:lang w:val="es-ES_tradnl"/>
        </w:rPr>
        <w:t>Anex</w:t>
      </w:r>
      <w:r w:rsidR="00D93C2E" w:rsidRPr="00216226">
        <w:rPr>
          <w:b w:val="0"/>
          <w:bCs/>
          <w:color w:val="2F5496"/>
          <w:lang w:val="es-ES_tradnl"/>
        </w:rPr>
        <w:t>o</w:t>
      </w:r>
      <w:r w:rsidRPr="00216226">
        <w:rPr>
          <w:b w:val="0"/>
          <w:bCs/>
          <w:color w:val="2F5496"/>
          <w:lang w:val="es-ES_tradnl"/>
        </w:rPr>
        <w:t>s</w:t>
      </w:r>
    </w:p>
    <w:p w14:paraId="67F68147" w14:textId="4DCAC6BD" w:rsidR="00B61752" w:rsidRPr="00943294" w:rsidRDefault="00D93C2E" w:rsidP="00943294">
      <w:pPr>
        <w:pStyle w:val="Heading3"/>
        <w:jc w:val="both"/>
        <w:rPr>
          <w:b w:val="0"/>
          <w:bCs/>
          <w:lang w:val="es-ES_tradnl"/>
        </w:rPr>
      </w:pPr>
      <w:r w:rsidRPr="00943294">
        <w:rPr>
          <w:b w:val="0"/>
          <w:bCs/>
          <w:lang w:val="es-ES_tradnl"/>
        </w:rPr>
        <w:t>Anexo</w:t>
      </w:r>
      <w:r w:rsidR="00321290" w:rsidRPr="00943294">
        <w:rPr>
          <w:b w:val="0"/>
          <w:bCs/>
          <w:lang w:val="es-ES_tradnl"/>
        </w:rPr>
        <w:t xml:space="preserve"> </w:t>
      </w:r>
      <w:r w:rsidR="00943294" w:rsidRPr="00943294">
        <w:rPr>
          <w:b w:val="0"/>
          <w:bCs/>
          <w:lang w:val="es-ES_tradnl"/>
        </w:rPr>
        <w:t>1</w:t>
      </w:r>
      <w:r w:rsidR="00943294">
        <w:rPr>
          <w:b w:val="0"/>
          <w:bCs/>
          <w:lang w:val="es-ES_tradnl"/>
        </w:rPr>
        <w:t xml:space="preserve"> – </w:t>
      </w:r>
      <w:r w:rsidR="003E78F0" w:rsidRPr="00943294">
        <w:rPr>
          <w:bCs/>
          <w:lang w:val="es-ES_tradnl"/>
        </w:rPr>
        <w:t>Objetivo</w:t>
      </w:r>
      <w:r w:rsidR="00B61752" w:rsidRPr="00943294">
        <w:rPr>
          <w:bCs/>
          <w:lang w:val="es-ES_tradnl"/>
        </w:rPr>
        <w:t xml:space="preserve"> 1</w:t>
      </w:r>
      <w:r w:rsidR="00E0433B" w:rsidRPr="00943294">
        <w:rPr>
          <w:bCs/>
          <w:lang w:val="es-ES_tradnl"/>
        </w:rPr>
        <w:t>.</w:t>
      </w:r>
      <w:r w:rsidR="00B61752" w:rsidRPr="00943294">
        <w:rPr>
          <w:bCs/>
          <w:lang w:val="es-ES_tradnl"/>
        </w:rPr>
        <w:t xml:space="preserve"> </w:t>
      </w:r>
      <w:r w:rsidRPr="00943294">
        <w:rPr>
          <w:bCs/>
          <w:lang w:val="es-ES_tradnl"/>
        </w:rPr>
        <w:t>Análisis</w:t>
      </w:r>
    </w:p>
    <w:p w14:paraId="76CA7DD8" w14:textId="21A63A05" w:rsidR="00B61752" w:rsidRPr="00216226" w:rsidRDefault="0078725C" w:rsidP="00B61752">
      <w:pPr>
        <w:jc w:val="both"/>
        <w:rPr>
          <w:lang w:val="es-ES_tradnl"/>
        </w:rPr>
      </w:pPr>
      <w:r w:rsidRPr="00216226">
        <w:rPr>
          <w:lang w:val="es-ES_tradnl"/>
        </w:rPr>
        <w:t>El Fondo Mundial ha brindado apoyo en todos los dominios de este objetivo. Este apoyo se ha complementado en diferentes períodos y para diferentes componentes por otros donantes internacionales, particularmente la cooperación exterior de los Estados Unidos (</w:t>
      </w:r>
      <w:r w:rsidRPr="000A1D9C">
        <w:rPr>
          <w:i/>
          <w:lang w:val="es-ES_tradnl"/>
        </w:rPr>
        <w:t>USAID</w:t>
      </w:r>
      <w:r w:rsidRPr="00216226">
        <w:rPr>
          <w:lang w:val="es-ES_tradnl"/>
        </w:rPr>
        <w:t xml:space="preserve">, </w:t>
      </w:r>
      <w:r w:rsidRPr="000A1D9C">
        <w:rPr>
          <w:i/>
          <w:lang w:val="es-ES_tradnl"/>
        </w:rPr>
        <w:t>CDC</w:t>
      </w:r>
      <w:r w:rsidR="00B61752" w:rsidRPr="00216226">
        <w:rPr>
          <w:lang w:val="es-ES_tradnl"/>
        </w:rPr>
        <w:t xml:space="preserve">). </w:t>
      </w:r>
      <w:r w:rsidRPr="00216226">
        <w:rPr>
          <w:lang w:val="es-ES_tradnl"/>
        </w:rPr>
        <w:t>Uno de los efectos positivos más tangibles se muestra en la mejora de la planificación estratégica y el rango y la calidad de la información para dar a conocer esa planificación. Sin embargo, continúa habiendo brechas de información y datos</w:t>
      </w:r>
      <w:r w:rsidR="00E0433B" w:rsidRPr="00216226">
        <w:rPr>
          <w:lang w:val="es-ES_tradnl"/>
        </w:rPr>
        <w:t xml:space="preserve"> relevantes</w:t>
      </w:r>
      <w:r w:rsidRPr="00216226">
        <w:rPr>
          <w:lang w:val="es-ES_tradnl"/>
        </w:rPr>
        <w:t xml:space="preserve">, y es evidente que estas incluyen la falta de un sistema de información de salud integrado y la adopción de un </w:t>
      </w:r>
      <w:r w:rsidRPr="00C033A0">
        <w:rPr>
          <w:i/>
          <w:lang w:val="es-ES_tradnl"/>
        </w:rPr>
        <w:t>UIC</w:t>
      </w:r>
      <w:r w:rsidRPr="00216226">
        <w:rPr>
          <w:lang w:val="es-ES_tradnl"/>
        </w:rPr>
        <w:t xml:space="preserve"> universal correspondid</w:t>
      </w:r>
      <w:r w:rsidR="00E0433B" w:rsidRPr="00216226">
        <w:rPr>
          <w:lang w:val="es-ES_tradnl"/>
        </w:rPr>
        <w:t>o</w:t>
      </w:r>
      <w:r w:rsidRPr="00216226">
        <w:rPr>
          <w:lang w:val="es-ES_tradnl"/>
        </w:rPr>
        <w:t xml:space="preserve"> por todas las partes interesadas</w:t>
      </w:r>
      <w:r w:rsidR="00B61752" w:rsidRPr="00216226">
        <w:rPr>
          <w:lang w:val="es-ES_tradnl"/>
        </w:rPr>
        <w:t xml:space="preserve">. </w:t>
      </w:r>
      <w:r w:rsidRPr="00216226">
        <w:rPr>
          <w:lang w:val="es-ES_tradnl"/>
        </w:rPr>
        <w:t>La falta de datos más detallados, consistentes y de calidad dificulta la adaptación de los modelos y programas</w:t>
      </w:r>
      <w:r w:rsidR="00B61752" w:rsidRPr="00216226">
        <w:rPr>
          <w:lang w:val="es-ES_tradnl"/>
        </w:rPr>
        <w:t xml:space="preserve">. </w:t>
      </w:r>
    </w:p>
    <w:p w14:paraId="514ACDBD" w14:textId="3B37EB20" w:rsidR="00B61752" w:rsidRPr="00216226" w:rsidRDefault="0078725C" w:rsidP="00B61752">
      <w:pPr>
        <w:jc w:val="both"/>
        <w:rPr>
          <w:lang w:val="es-ES_tradnl"/>
        </w:rPr>
      </w:pPr>
      <w:r w:rsidRPr="00216226">
        <w:rPr>
          <w:lang w:val="es-ES_tradnl"/>
        </w:rPr>
        <w:t xml:space="preserve">También se han observado mejoras en el suministro de productos básicos, pero se continúa notificando desabastecimientos </w:t>
      </w:r>
      <w:r w:rsidR="00E0433B" w:rsidRPr="00216226">
        <w:rPr>
          <w:lang w:val="es-ES_tradnl"/>
        </w:rPr>
        <w:t>de</w:t>
      </w:r>
      <w:r w:rsidRPr="00216226">
        <w:rPr>
          <w:lang w:val="es-ES_tradnl"/>
        </w:rPr>
        <w:t xml:space="preserve"> varios productos clave (pruebas de VIH, condones masculinos). Las pruebas de VIH se usan en algunos hospitales para evaluar a todos los pacientes que requieren cirugía, lo cual ocasiona una escasez al iniciar el año fiscal</w:t>
      </w:r>
      <w:r w:rsidR="00B61752" w:rsidRPr="00216226">
        <w:rPr>
          <w:lang w:val="es-ES_tradnl"/>
        </w:rPr>
        <w:t xml:space="preserve">. </w:t>
      </w:r>
      <w:r w:rsidRPr="00216226">
        <w:rPr>
          <w:lang w:val="es-ES_tradnl"/>
        </w:rPr>
        <w:t xml:space="preserve">En otros centros, cuando la cantidad es limitada, se da prioridad </w:t>
      </w:r>
      <w:r w:rsidR="00E0433B" w:rsidRPr="00216226">
        <w:rPr>
          <w:lang w:val="es-ES_tradnl"/>
        </w:rPr>
        <w:t>de acceso a</w:t>
      </w:r>
      <w:r w:rsidRPr="00216226">
        <w:rPr>
          <w:lang w:val="es-ES_tradnl"/>
        </w:rPr>
        <w:t xml:space="preserve"> las pruebas </w:t>
      </w:r>
      <w:r w:rsidR="00E0433B" w:rsidRPr="00216226">
        <w:rPr>
          <w:lang w:val="es-ES_tradnl"/>
        </w:rPr>
        <w:t>únicamente</w:t>
      </w:r>
      <w:r w:rsidRPr="00216226">
        <w:rPr>
          <w:lang w:val="es-ES_tradnl"/>
        </w:rPr>
        <w:t xml:space="preserve"> </w:t>
      </w:r>
      <w:r w:rsidR="00E0433B" w:rsidRPr="00216226">
        <w:rPr>
          <w:lang w:val="es-ES_tradnl"/>
        </w:rPr>
        <w:t>a</w:t>
      </w:r>
      <w:r w:rsidRPr="00216226">
        <w:rPr>
          <w:lang w:val="es-ES_tradnl"/>
        </w:rPr>
        <w:t xml:space="preserve"> mujeres embarazadas. Los condones masculinos parecen estar ampliamente disponibles en la mayoría de los centros de salud, pero algunos limitan </w:t>
      </w:r>
      <w:r w:rsidR="00E0433B" w:rsidRPr="00216226">
        <w:rPr>
          <w:lang w:val="es-ES_tradnl"/>
        </w:rPr>
        <w:t>su</w:t>
      </w:r>
      <w:r w:rsidRPr="00216226">
        <w:rPr>
          <w:lang w:val="es-ES_tradnl"/>
        </w:rPr>
        <w:t xml:space="preserve"> acceso </w:t>
      </w:r>
      <w:r w:rsidR="00E0433B" w:rsidRPr="00216226">
        <w:rPr>
          <w:lang w:val="es-ES_tradnl"/>
        </w:rPr>
        <w:t xml:space="preserve">sólo </w:t>
      </w:r>
      <w:r w:rsidRPr="00216226">
        <w:rPr>
          <w:lang w:val="es-ES_tradnl"/>
        </w:rPr>
        <w:t xml:space="preserve">a los servicios de planificación familiar. </w:t>
      </w:r>
      <w:r w:rsidR="003147E3" w:rsidRPr="00216226">
        <w:rPr>
          <w:lang w:val="es-ES_tradnl"/>
        </w:rPr>
        <w:t xml:space="preserve">Sólo </w:t>
      </w:r>
      <w:r w:rsidRPr="00216226">
        <w:rPr>
          <w:lang w:val="es-ES_tradnl"/>
        </w:rPr>
        <w:t xml:space="preserve">los servicios dirigidos específicamente a poblaciones clave </w:t>
      </w:r>
      <w:r w:rsidR="0080562F" w:rsidRPr="00216226">
        <w:rPr>
          <w:lang w:val="es-ES_tradnl"/>
        </w:rPr>
        <w:t>suministran</w:t>
      </w:r>
      <w:r w:rsidRPr="00216226">
        <w:rPr>
          <w:lang w:val="es-ES_tradnl"/>
        </w:rPr>
        <w:t xml:space="preserve"> condones masculinos </w:t>
      </w:r>
      <w:r w:rsidR="0080562F" w:rsidRPr="00216226">
        <w:rPr>
          <w:lang w:val="es-ES_tradnl"/>
        </w:rPr>
        <w:t xml:space="preserve">de manera </w:t>
      </w:r>
      <w:r w:rsidRPr="00216226">
        <w:rPr>
          <w:lang w:val="es-ES_tradnl"/>
        </w:rPr>
        <w:t>continua a sus usuarios</w:t>
      </w:r>
      <w:r w:rsidR="00B61752" w:rsidRPr="00216226">
        <w:rPr>
          <w:lang w:val="es-ES_tradnl"/>
        </w:rPr>
        <w:t xml:space="preserve">. </w:t>
      </w:r>
    </w:p>
    <w:p w14:paraId="3DC3B8AE" w14:textId="2BE871DB" w:rsidR="00B61752" w:rsidRPr="00216226" w:rsidRDefault="0080562F" w:rsidP="00B61752">
      <w:pPr>
        <w:jc w:val="both"/>
        <w:rPr>
          <w:lang w:val="es-ES_tradnl"/>
        </w:rPr>
      </w:pPr>
      <w:r w:rsidRPr="00216226">
        <w:rPr>
          <w:lang w:val="es-ES_tradnl"/>
        </w:rPr>
        <w:t xml:space="preserve">Los lubricantes son extremadamente escasos y sólo se proporcionan a HSH y </w:t>
      </w:r>
      <w:r w:rsidR="003147E3" w:rsidRPr="00216226">
        <w:rPr>
          <w:lang w:val="es-ES_tradnl"/>
        </w:rPr>
        <w:t xml:space="preserve">mujeres </w:t>
      </w:r>
      <w:r w:rsidR="00453B71">
        <w:rPr>
          <w:lang w:val="es-ES_tradnl"/>
        </w:rPr>
        <w:t xml:space="preserve">transgénero </w:t>
      </w:r>
      <w:r w:rsidRPr="00216226">
        <w:rPr>
          <w:lang w:val="es-ES_tradnl"/>
        </w:rPr>
        <w:t>a través de intervenciones específicas, pero no están disponibles en los centros de salud para la recogida espontánea, ni siquiera en VICITS. Otros grupos de poblaciones clave (</w:t>
      </w:r>
      <w:r w:rsidR="003147E3" w:rsidRPr="00216226">
        <w:rPr>
          <w:lang w:val="es-ES_tradnl"/>
        </w:rPr>
        <w:t xml:space="preserve">trabajadoras </w:t>
      </w:r>
      <w:r w:rsidRPr="00216226">
        <w:rPr>
          <w:lang w:val="es-ES_tradnl"/>
        </w:rPr>
        <w:t xml:space="preserve">sexuales, </w:t>
      </w:r>
      <w:r w:rsidR="003C6851">
        <w:rPr>
          <w:lang w:val="es-ES_tradnl"/>
        </w:rPr>
        <w:t>Garífuna</w:t>
      </w:r>
      <w:r w:rsidR="003147E3" w:rsidRPr="00216226">
        <w:rPr>
          <w:lang w:val="es-ES_tradnl"/>
        </w:rPr>
        <w:t>s</w:t>
      </w:r>
      <w:r w:rsidRPr="00216226">
        <w:rPr>
          <w:lang w:val="es-ES_tradnl"/>
        </w:rPr>
        <w:t xml:space="preserve">, </w:t>
      </w:r>
      <w:r w:rsidR="00CB285B">
        <w:rPr>
          <w:lang w:val="es-ES_tradnl"/>
        </w:rPr>
        <w:t>PPL</w:t>
      </w:r>
      <w:r w:rsidRPr="00216226">
        <w:rPr>
          <w:lang w:val="es-ES_tradnl"/>
        </w:rPr>
        <w:t>) no tienen acceso a los lubricantes</w:t>
      </w:r>
      <w:r w:rsidR="00B61752" w:rsidRPr="00216226">
        <w:rPr>
          <w:lang w:val="es-ES_tradnl"/>
        </w:rPr>
        <w:t>.</w:t>
      </w:r>
      <w:r w:rsidR="009521F9" w:rsidRPr="00216226">
        <w:rPr>
          <w:lang w:val="es-ES_tradnl"/>
        </w:rPr>
        <w:t xml:space="preserve"> </w:t>
      </w:r>
    </w:p>
    <w:p w14:paraId="1890D011" w14:textId="0101728C" w:rsidR="00B61752" w:rsidRPr="00216226" w:rsidRDefault="0080562F" w:rsidP="00B61752">
      <w:pPr>
        <w:jc w:val="both"/>
        <w:rPr>
          <w:lang w:val="es-ES_tradnl"/>
        </w:rPr>
      </w:pPr>
      <w:r w:rsidRPr="00216226">
        <w:rPr>
          <w:lang w:val="es-ES_tradnl"/>
        </w:rPr>
        <w:t>La disponibilidad descentralizada de las pruebas de CD4 ha sido un importante paso positivo para que sea más accesible a todas las PVVIH que viven fuera de las grandes ciudades</w:t>
      </w:r>
      <w:r w:rsidR="00B61752" w:rsidRPr="00216226">
        <w:rPr>
          <w:lang w:val="es-ES_tradnl"/>
        </w:rPr>
        <w:t xml:space="preserve">. </w:t>
      </w:r>
      <w:r w:rsidR="003147E3" w:rsidRPr="00216226">
        <w:rPr>
          <w:lang w:val="es-ES_tradnl"/>
        </w:rPr>
        <w:t xml:space="preserve">Sin embargo, la descentralización de la compra de reactivos no ha demostrado ser eficiente, ocasionando el aumento de los precios. </w:t>
      </w:r>
      <w:r w:rsidR="003F39AD">
        <w:rPr>
          <w:lang w:val="es-ES_tradnl"/>
        </w:rPr>
        <w:t xml:space="preserve">La SESAL </w:t>
      </w:r>
      <w:r w:rsidR="003147E3" w:rsidRPr="00216226">
        <w:rPr>
          <w:lang w:val="es-ES_tradnl"/>
        </w:rPr>
        <w:t>es consciente de este problema y está tomando medidas para recalcular la compra de reactivos CD4</w:t>
      </w:r>
      <w:r w:rsidR="00B61752" w:rsidRPr="00216226">
        <w:rPr>
          <w:lang w:val="es-ES_tradnl"/>
        </w:rPr>
        <w:t xml:space="preserve">. </w:t>
      </w:r>
    </w:p>
    <w:p w14:paraId="068AE263" w14:textId="4BF0C9EF" w:rsidR="00B61752" w:rsidRPr="00216226" w:rsidRDefault="0080562F" w:rsidP="00B61752">
      <w:pPr>
        <w:jc w:val="both"/>
        <w:rPr>
          <w:lang w:val="es-ES_tradnl"/>
        </w:rPr>
      </w:pPr>
      <w:r w:rsidRPr="00216226">
        <w:rPr>
          <w:lang w:val="es-ES_tradnl"/>
        </w:rPr>
        <w:t xml:space="preserve">La medición de la carga viral está actualmente centralizada en el </w:t>
      </w:r>
      <w:r w:rsidR="006B3A8A" w:rsidRPr="006B3A8A">
        <w:rPr>
          <w:lang w:val="es-ES_tradnl"/>
        </w:rPr>
        <w:t>Laboratorio Nac</w:t>
      </w:r>
      <w:r w:rsidR="006B3A8A">
        <w:rPr>
          <w:lang w:val="es-ES_tradnl"/>
        </w:rPr>
        <w:t>ional de Vigilancia de la Salud.</w:t>
      </w:r>
      <w:r w:rsidRPr="00216226">
        <w:rPr>
          <w:lang w:val="es-ES_tradnl"/>
        </w:rPr>
        <w:t xml:space="preserve"> A pesar de eso, el sistema parece estar muy bien organizado, con un eficiente servicio de mensajería que </w:t>
      </w:r>
      <w:r w:rsidR="003147E3" w:rsidRPr="00216226">
        <w:rPr>
          <w:lang w:val="es-ES_tradnl"/>
        </w:rPr>
        <w:t>recoge</w:t>
      </w:r>
      <w:r w:rsidRPr="00216226">
        <w:rPr>
          <w:lang w:val="es-ES_tradnl"/>
        </w:rPr>
        <w:t xml:space="preserve"> muestras en la mayoría de </w:t>
      </w:r>
      <w:r w:rsidR="00072F38">
        <w:rPr>
          <w:lang w:val="es-ES_tradnl"/>
        </w:rPr>
        <w:t>los SAI</w:t>
      </w:r>
      <w:r w:rsidRPr="00216226">
        <w:rPr>
          <w:lang w:val="es-ES_tradnl"/>
        </w:rPr>
        <w:t xml:space="preserve"> y las transporta de manera segura a la capital, donde se realizan alrededor de 900 a 1000 mediciones de cargas virales al mes</w:t>
      </w:r>
      <w:r w:rsidR="00B61752" w:rsidRPr="00216226">
        <w:rPr>
          <w:lang w:val="es-ES_tradnl"/>
        </w:rPr>
        <w:t xml:space="preserve">, </w:t>
      </w:r>
      <w:r w:rsidR="003147E3" w:rsidRPr="00216226">
        <w:rPr>
          <w:lang w:val="es-ES_tradnl"/>
        </w:rPr>
        <w:t xml:space="preserve">a </w:t>
      </w:r>
      <w:r w:rsidRPr="00216226">
        <w:rPr>
          <w:lang w:val="es-ES_tradnl"/>
        </w:rPr>
        <w:t>sólo la mitad de la capacidad del equipo. Los resultados ahora se comunican en no más de siete días a los médicos a través de Internet. Está en marcha un plan para tener una segunda máquina de carga viral en San Pedro Sula, la segunda ciudad más grande del país</w:t>
      </w:r>
      <w:r w:rsidR="00B61752" w:rsidRPr="00216226">
        <w:rPr>
          <w:lang w:val="es-ES_tradnl"/>
        </w:rPr>
        <w:t xml:space="preserve">. </w:t>
      </w:r>
      <w:r w:rsidRPr="00216226">
        <w:rPr>
          <w:lang w:val="es-ES_tradnl"/>
        </w:rPr>
        <w:t xml:space="preserve">Esto ampliará aún más la capacidad del país para realizar mediciones de carga viral. Sin embargo, un modelo pesado de agendamiento de pacientes, combinado con el tiempo, la distancia y las restricciones relacionadas con la pobreza, dificultan la tasa de recolección de muestras de sangre (ver </w:t>
      </w:r>
      <w:r w:rsidR="003E78F0" w:rsidRPr="00216226">
        <w:rPr>
          <w:lang w:val="es-ES_tradnl"/>
        </w:rPr>
        <w:t>Objetivo</w:t>
      </w:r>
      <w:r w:rsidR="00B61752" w:rsidRPr="00216226">
        <w:rPr>
          <w:lang w:val="es-ES_tradnl"/>
        </w:rPr>
        <w:t xml:space="preserve"> 2 </w:t>
      </w:r>
      <w:r w:rsidRPr="00216226">
        <w:rPr>
          <w:lang w:val="es-ES_tradnl"/>
        </w:rPr>
        <w:t>para una explicación detallada</w:t>
      </w:r>
      <w:r w:rsidR="00B61752" w:rsidRPr="00216226">
        <w:rPr>
          <w:lang w:val="es-ES_tradnl"/>
        </w:rPr>
        <w:t xml:space="preserve">). </w:t>
      </w:r>
    </w:p>
    <w:p w14:paraId="191BAB03" w14:textId="42311783" w:rsidR="00B61752" w:rsidRPr="00216226" w:rsidRDefault="00E76FF7" w:rsidP="00B61752">
      <w:pPr>
        <w:jc w:val="both"/>
        <w:rPr>
          <w:lang w:val="es-ES_tradnl"/>
        </w:rPr>
      </w:pPr>
      <w:r w:rsidRPr="00216226">
        <w:rPr>
          <w:lang w:val="es-ES_tradnl"/>
        </w:rPr>
        <w:lastRenderedPageBreak/>
        <w:t xml:space="preserve">Los obstáculos descritos dificultan que se garantice un cuidado continuo para las poblaciones en riesgo o que viven con el VIH, pero no son insuperables. En la mayoría de los casos, no es una barrera financiera o de recursos, sino que está relacionada con la manera en que se administran los productos básicos de salud o se organizan los servicios </w:t>
      </w:r>
      <w:r w:rsidR="003147E3" w:rsidRPr="00216226">
        <w:rPr>
          <w:lang w:val="es-ES_tradnl"/>
        </w:rPr>
        <w:t>sanitarios</w:t>
      </w:r>
      <w:r w:rsidR="00B61752" w:rsidRPr="00216226">
        <w:rPr>
          <w:lang w:val="es-ES_tradnl"/>
        </w:rPr>
        <w:t xml:space="preserve">. </w:t>
      </w:r>
      <w:r w:rsidRPr="00216226">
        <w:rPr>
          <w:lang w:val="es-ES_tradnl"/>
        </w:rPr>
        <w:t xml:space="preserve">En ese sentido, la débil autoridad de gobernanza </w:t>
      </w:r>
      <w:r w:rsidR="003F39AD">
        <w:rPr>
          <w:lang w:val="es-ES_tradnl"/>
        </w:rPr>
        <w:t>la SESAL</w:t>
      </w:r>
      <w:r w:rsidRPr="00216226">
        <w:rPr>
          <w:lang w:val="es-ES_tradnl"/>
        </w:rPr>
        <w:t xml:space="preserve"> para regular, coordinar, supervisar y corregir es el principal obstáculo para mejorar la respuesta al VIH en el sistema de salud</w:t>
      </w:r>
      <w:r w:rsidR="00B61752" w:rsidRPr="00216226">
        <w:rPr>
          <w:lang w:val="es-ES_tradnl"/>
        </w:rPr>
        <w:t xml:space="preserve">. </w:t>
      </w:r>
    </w:p>
    <w:p w14:paraId="557C4AA9" w14:textId="5C296D7A" w:rsidR="00B61752" w:rsidRPr="00216226" w:rsidRDefault="00E76FF7" w:rsidP="00B61752">
      <w:pPr>
        <w:jc w:val="both"/>
        <w:rPr>
          <w:lang w:val="es-ES_tradnl"/>
        </w:rPr>
      </w:pPr>
      <w:r w:rsidRPr="00216226">
        <w:rPr>
          <w:lang w:val="es-ES_tradnl"/>
        </w:rPr>
        <w:t>Por otro lado, las inversiones del Fondo Mundial en un entorno propicio y sostenible han llevado a múltiples actividades que brindan apoyo psicológico y jurídico a nive</w:t>
      </w:r>
      <w:r w:rsidR="004A3412" w:rsidRPr="00216226">
        <w:rPr>
          <w:lang w:val="es-ES_tradnl"/>
        </w:rPr>
        <w:t>l</w:t>
      </w:r>
      <w:r w:rsidRPr="00216226">
        <w:rPr>
          <w:lang w:val="es-ES_tradnl"/>
        </w:rPr>
        <w:t xml:space="preserve"> individual, campañas de incidencia, programas de sensibilización y capacitación para actores clave, </w:t>
      </w:r>
      <w:r w:rsidR="004A3412" w:rsidRPr="00216226">
        <w:rPr>
          <w:lang w:val="es-ES_tradnl"/>
        </w:rPr>
        <w:t xml:space="preserve">tales </w:t>
      </w:r>
      <w:r w:rsidRPr="00216226">
        <w:rPr>
          <w:lang w:val="es-ES_tradnl"/>
        </w:rPr>
        <w:t xml:space="preserve">como trabajadores </w:t>
      </w:r>
      <w:r w:rsidR="004A3412" w:rsidRPr="00216226">
        <w:rPr>
          <w:lang w:val="es-ES_tradnl"/>
        </w:rPr>
        <w:t xml:space="preserve">sanitarios </w:t>
      </w:r>
      <w:r w:rsidRPr="00216226">
        <w:rPr>
          <w:lang w:val="es-ES_tradnl"/>
        </w:rPr>
        <w:t xml:space="preserve">y </w:t>
      </w:r>
      <w:r w:rsidR="003147E3" w:rsidRPr="00216226">
        <w:rPr>
          <w:lang w:val="es-ES_tradnl"/>
        </w:rPr>
        <w:t>agentes de la autoridad</w:t>
      </w:r>
      <w:r w:rsidRPr="00216226">
        <w:rPr>
          <w:lang w:val="es-ES_tradnl"/>
        </w:rPr>
        <w:t>, y sensibilización entre los legisladores</w:t>
      </w:r>
      <w:r w:rsidR="00B61752" w:rsidRPr="00216226">
        <w:rPr>
          <w:lang w:val="es-ES_tradnl"/>
        </w:rPr>
        <w:t xml:space="preserve">. </w:t>
      </w:r>
      <w:r w:rsidRPr="00216226">
        <w:rPr>
          <w:lang w:val="es-ES_tradnl"/>
        </w:rPr>
        <w:t xml:space="preserve">Si bien esto ha llevado a una Ley de SIDA reformada que aumenta la protección para las </w:t>
      </w:r>
      <w:r w:rsidR="00DB2E29" w:rsidRPr="00216226">
        <w:rPr>
          <w:lang w:val="es-ES_tradnl"/>
        </w:rPr>
        <w:t>PVVIH</w:t>
      </w:r>
      <w:r w:rsidRPr="00216226">
        <w:rPr>
          <w:lang w:val="es-ES_tradnl"/>
        </w:rPr>
        <w:t xml:space="preserve">, no hay pruebas concluyentes de que se hayan reducido los abusos contra las </w:t>
      </w:r>
      <w:r w:rsidR="00DB2E29" w:rsidRPr="00216226">
        <w:rPr>
          <w:lang w:val="es-ES_tradnl"/>
        </w:rPr>
        <w:t>PVVIH</w:t>
      </w:r>
      <w:r w:rsidRPr="00216226">
        <w:rPr>
          <w:lang w:val="es-ES_tradnl"/>
        </w:rPr>
        <w:t xml:space="preserve"> y las poblaciones clave, incluso en los servicios de salud</w:t>
      </w:r>
      <w:r w:rsidR="00B61752" w:rsidRPr="00216226">
        <w:rPr>
          <w:lang w:val="es-ES_tradnl"/>
        </w:rPr>
        <w:t xml:space="preserve">. </w:t>
      </w:r>
      <w:r w:rsidRPr="00216226">
        <w:rPr>
          <w:lang w:val="es-ES_tradnl"/>
        </w:rPr>
        <w:t xml:space="preserve">Si bien la observación directa de los servicios de VIH y las conversaciones con sus beneficiarios anónimos no apuntaron hacia problemas de estigma y discriminación, las paredes y los tablones de anuncios estaban llenos de mensajes religiosos, y los miembros de las OSC informaron constantemente </w:t>
      </w:r>
      <w:r w:rsidR="000D4966" w:rsidRPr="00216226">
        <w:rPr>
          <w:lang w:val="es-ES_tradnl"/>
        </w:rPr>
        <w:t xml:space="preserve">que </w:t>
      </w:r>
      <w:r w:rsidRPr="00216226">
        <w:rPr>
          <w:lang w:val="es-ES_tradnl"/>
        </w:rPr>
        <w:t>los pr</w:t>
      </w:r>
      <w:r w:rsidR="000D4966" w:rsidRPr="00216226">
        <w:rPr>
          <w:lang w:val="es-ES_tradnl"/>
        </w:rPr>
        <w:t>estadores</w:t>
      </w:r>
      <w:r w:rsidRPr="00216226">
        <w:rPr>
          <w:lang w:val="es-ES_tradnl"/>
        </w:rPr>
        <w:t xml:space="preserve"> de atención sanitaria</w:t>
      </w:r>
      <w:r w:rsidR="00B61752" w:rsidRPr="00216226">
        <w:rPr>
          <w:lang w:val="es-ES_tradnl"/>
        </w:rPr>
        <w:t xml:space="preserve">, </w:t>
      </w:r>
      <w:r w:rsidRPr="00216226">
        <w:rPr>
          <w:lang w:val="es-ES_tradnl"/>
        </w:rPr>
        <w:t>incluyendo consejeros de VIH, usa</w:t>
      </w:r>
      <w:r w:rsidR="000D4966" w:rsidRPr="00216226">
        <w:rPr>
          <w:lang w:val="es-ES_tradnl"/>
        </w:rPr>
        <w:t>ban</w:t>
      </w:r>
      <w:r w:rsidRPr="00216226">
        <w:rPr>
          <w:lang w:val="es-ES_tradnl"/>
        </w:rPr>
        <w:t xml:space="preserve"> su posición para hacer proselitismo religioso y estigmatizar el comportamiento de las poblaciones clave</w:t>
      </w:r>
      <w:r w:rsidR="00B61752" w:rsidRPr="00216226">
        <w:rPr>
          <w:lang w:val="es-ES_tradnl"/>
        </w:rPr>
        <w:t xml:space="preserve">. </w:t>
      </w:r>
    </w:p>
    <w:p w14:paraId="08F729D1" w14:textId="49EE61C7" w:rsidR="00B61752" w:rsidRPr="00216226" w:rsidRDefault="000D4966" w:rsidP="00B61752">
      <w:pPr>
        <w:jc w:val="both"/>
        <w:rPr>
          <w:lang w:val="es-ES_tradnl"/>
        </w:rPr>
      </w:pPr>
      <w:r w:rsidRPr="00216226">
        <w:rPr>
          <w:lang w:val="es-ES_tradnl"/>
        </w:rPr>
        <w:t>Se necesita una nueva legislación contra la discriminación que proteja a las poblaciones clave, un mayor apoyo del liderazgo político y mayores recursos para abordar el estigma y la discriminación y las violaciones de los derechos humanos</w:t>
      </w:r>
      <w:r w:rsidR="00B61752" w:rsidRPr="00216226">
        <w:rPr>
          <w:lang w:val="es-ES_tradnl"/>
        </w:rPr>
        <w:t>.</w:t>
      </w:r>
      <w:r w:rsidR="009521F9" w:rsidRPr="00216226">
        <w:rPr>
          <w:lang w:val="es-ES_tradnl"/>
        </w:rPr>
        <w:t xml:space="preserve"> </w:t>
      </w:r>
    </w:p>
    <w:p w14:paraId="5929FD5D" w14:textId="77777777" w:rsidR="004A3412" w:rsidRPr="00216226" w:rsidRDefault="004A3412" w:rsidP="00B61752">
      <w:pPr>
        <w:jc w:val="both"/>
        <w:rPr>
          <w:lang w:val="es-ES_tradnl"/>
        </w:rPr>
      </w:pPr>
    </w:p>
    <w:p w14:paraId="0AB63433" w14:textId="384F55F0" w:rsidR="006B3A8A" w:rsidRPr="00943294" w:rsidRDefault="006B3A8A" w:rsidP="00943294">
      <w:pPr>
        <w:pStyle w:val="Heading3"/>
        <w:jc w:val="both"/>
        <w:rPr>
          <w:b w:val="0"/>
          <w:bCs/>
          <w:lang w:val="es-ES_tradnl"/>
        </w:rPr>
      </w:pPr>
      <w:bookmarkStart w:id="41" w:name="_Toc1149173"/>
      <w:r w:rsidRPr="00943294">
        <w:rPr>
          <w:b w:val="0"/>
          <w:bCs/>
          <w:lang w:val="es-ES_tradnl"/>
        </w:rPr>
        <w:t xml:space="preserve">Anexo </w:t>
      </w:r>
      <w:r w:rsidR="00943294" w:rsidRPr="00943294">
        <w:rPr>
          <w:b w:val="0"/>
          <w:bCs/>
          <w:lang w:val="es-ES_tradnl"/>
        </w:rPr>
        <w:t>2</w:t>
      </w:r>
      <w:r w:rsidRPr="00943294">
        <w:rPr>
          <w:b w:val="0"/>
          <w:bCs/>
          <w:lang w:val="es-ES_tradnl"/>
        </w:rPr>
        <w:t xml:space="preserve"> – </w:t>
      </w:r>
      <w:r w:rsidRPr="00943294">
        <w:rPr>
          <w:bCs/>
          <w:lang w:val="es-ES_tradnl"/>
        </w:rPr>
        <w:t>Objetivo 2. Análisis</w:t>
      </w:r>
    </w:p>
    <w:p w14:paraId="380AD8F4" w14:textId="24902369" w:rsidR="009521F9" w:rsidRPr="00216226" w:rsidRDefault="000D4966" w:rsidP="00B61752">
      <w:pPr>
        <w:jc w:val="both"/>
        <w:rPr>
          <w:lang w:val="es-ES_tradnl"/>
        </w:rPr>
      </w:pPr>
      <w:bookmarkStart w:id="42" w:name="_Hlk8337125"/>
      <w:bookmarkEnd w:id="41"/>
      <w:r w:rsidRPr="00216226">
        <w:rPr>
          <w:lang w:val="es-ES_tradnl"/>
        </w:rPr>
        <w:t>Se han realizado importantes inversiones por parte del Fondo Mundial y otros donantes (</w:t>
      </w:r>
      <w:r w:rsidR="004A3412" w:rsidRPr="00216226">
        <w:rPr>
          <w:lang w:val="es-ES_tradnl"/>
        </w:rPr>
        <w:t xml:space="preserve">principalmente </w:t>
      </w:r>
      <w:r w:rsidRPr="00943294">
        <w:rPr>
          <w:i/>
          <w:lang w:val="es-ES_tradnl"/>
        </w:rPr>
        <w:t>PEPFAR</w:t>
      </w:r>
      <w:r w:rsidRPr="00216226">
        <w:rPr>
          <w:lang w:val="es-ES_tradnl"/>
        </w:rPr>
        <w:t>) para apoyar la respuesta al VIH en Honduras. En 2003, el apoyo exterior fue integral, incluyendo prevención, pruebas, atención, tratamiento y apoyo a las comunidades</w:t>
      </w:r>
      <w:r w:rsidR="00B61752" w:rsidRPr="00216226">
        <w:rPr>
          <w:lang w:val="es-ES_tradnl"/>
        </w:rPr>
        <w:t xml:space="preserve">. </w:t>
      </w:r>
      <w:r w:rsidRPr="00216226">
        <w:rPr>
          <w:lang w:val="es-ES_tradnl"/>
        </w:rPr>
        <w:t>A lo largo de los años, el país se ha hecho cargo de proporcionar el tratamiento, que actualmente está financiado entre 93% y 98% con recursos nacionales</w:t>
      </w:r>
      <w:r w:rsidR="00B61752" w:rsidRPr="00216226">
        <w:rPr>
          <w:lang w:val="es-ES_tradnl"/>
        </w:rPr>
        <w:t xml:space="preserve">. </w:t>
      </w:r>
      <w:r w:rsidRPr="00216226">
        <w:rPr>
          <w:lang w:val="es-ES_tradnl"/>
        </w:rPr>
        <w:t xml:space="preserve">Si bien el número de personas sometidas a pruebas de carga viral y con la carga viral suprimida sigue siendo insuficiente (los datos del último año indican un ligero descenso), es elevado en relación con el número de personas que reciben TARV, y podría llegar a ser más elevado si hubiera un mayor número de pacientes que acceden a mediciones de </w:t>
      </w:r>
      <w:r w:rsidR="004A3412" w:rsidRPr="00216226">
        <w:rPr>
          <w:lang w:val="es-ES_tradnl"/>
        </w:rPr>
        <w:t xml:space="preserve">la </w:t>
      </w:r>
      <w:r w:rsidRPr="00216226">
        <w:rPr>
          <w:lang w:val="es-ES_tradnl"/>
        </w:rPr>
        <w:t>carga viral</w:t>
      </w:r>
      <w:r w:rsidR="00B61752" w:rsidRPr="00216226">
        <w:rPr>
          <w:lang w:val="es-ES_tradnl"/>
        </w:rPr>
        <w:t xml:space="preserve">. </w:t>
      </w:r>
      <w:r w:rsidR="00593E0E" w:rsidRPr="00216226">
        <w:rPr>
          <w:lang w:val="es-ES_tradnl"/>
        </w:rPr>
        <w:t xml:space="preserve">No existen datos desglosados por género en ninguno de los dos </w:t>
      </w:r>
      <w:r w:rsidRPr="00216226">
        <w:rPr>
          <w:lang w:val="es-ES_tradnl"/>
        </w:rPr>
        <w:t xml:space="preserve">indicadores (número de pacientes que tienen una medida de carga viral y con carga viral suprimida). Lo mismo puede decirse sobre la cantidad de personas diagnosticadas con VIH </w:t>
      </w:r>
      <w:bookmarkStart w:id="43" w:name="_Hlk8343959"/>
      <w:r w:rsidRPr="00216226">
        <w:rPr>
          <w:lang w:val="es-ES_tradnl"/>
        </w:rPr>
        <w:t xml:space="preserve">que </w:t>
      </w:r>
      <w:bookmarkEnd w:id="43"/>
      <w:r w:rsidRPr="00216226">
        <w:rPr>
          <w:lang w:val="es-ES_tradnl"/>
        </w:rPr>
        <w:t xml:space="preserve">están vinculadas a la atención médica, </w:t>
      </w:r>
      <w:r w:rsidR="00593E0E" w:rsidRPr="00216226">
        <w:rPr>
          <w:lang w:val="es-ES_tradnl"/>
        </w:rPr>
        <w:t xml:space="preserve">que </w:t>
      </w:r>
      <w:r w:rsidRPr="00216226">
        <w:rPr>
          <w:lang w:val="es-ES_tradnl"/>
        </w:rPr>
        <w:t>comienzan el tratamiento y</w:t>
      </w:r>
      <w:r w:rsidR="00593E0E" w:rsidRPr="00216226">
        <w:rPr>
          <w:lang w:val="es-ES_tradnl"/>
        </w:rPr>
        <w:t xml:space="preserve"> que</w:t>
      </w:r>
      <w:r w:rsidRPr="00216226">
        <w:rPr>
          <w:lang w:val="es-ES_tradnl"/>
        </w:rPr>
        <w:t xml:space="preserve"> permanecen en </w:t>
      </w:r>
      <w:r w:rsidR="004A3412" w:rsidRPr="00216226">
        <w:rPr>
          <w:lang w:val="es-ES_tradnl"/>
        </w:rPr>
        <w:t>TARV</w:t>
      </w:r>
      <w:r w:rsidRPr="00216226">
        <w:rPr>
          <w:lang w:val="es-ES_tradnl"/>
        </w:rPr>
        <w:t xml:space="preserve"> durante 12 meses</w:t>
      </w:r>
      <w:r w:rsidR="004A3412" w:rsidRPr="00216226">
        <w:rPr>
          <w:lang w:val="es-ES_tradnl"/>
        </w:rPr>
        <w:t xml:space="preserve"> por lo menos</w:t>
      </w:r>
      <w:r w:rsidR="00B61752" w:rsidRPr="00216226">
        <w:rPr>
          <w:lang w:val="es-ES_tradnl"/>
        </w:rPr>
        <w:t xml:space="preserve">. </w:t>
      </w:r>
      <w:bookmarkEnd w:id="42"/>
      <w:r w:rsidR="00593E0E" w:rsidRPr="00216226">
        <w:rPr>
          <w:lang w:val="es-ES_tradnl"/>
        </w:rPr>
        <w:t xml:space="preserve">En ese sentido, se puede interpretar que las inversiones del Fondo Mundial han ayudado al país a implementar y desarrollar un servicio nacional para tratar a las PVVIH y reducir la mortalidad relacionada con el SIDA. Las excepciones a estas tendencias son dos poblaciones clave, las mujeres embarazadas y la población </w:t>
      </w:r>
      <w:r w:rsidR="003C6851">
        <w:rPr>
          <w:lang w:val="es-ES_tradnl"/>
        </w:rPr>
        <w:t>Garífuna</w:t>
      </w:r>
      <w:r w:rsidR="00593E0E" w:rsidRPr="00216226">
        <w:rPr>
          <w:lang w:val="es-ES_tradnl"/>
        </w:rPr>
        <w:t>, donde las tasas de personas con carga viral suprimida son aún más bajas</w:t>
      </w:r>
      <w:r w:rsidR="00B61752" w:rsidRPr="00216226">
        <w:rPr>
          <w:lang w:val="es-ES_tradnl"/>
        </w:rPr>
        <w:t xml:space="preserve">. </w:t>
      </w:r>
    </w:p>
    <w:p w14:paraId="72431886" w14:textId="53AD7508" w:rsidR="00B61752" w:rsidRPr="00216226" w:rsidRDefault="00593E0E" w:rsidP="00B61752">
      <w:pPr>
        <w:jc w:val="both"/>
        <w:rPr>
          <w:lang w:val="es-ES_tradnl"/>
        </w:rPr>
      </w:pPr>
      <w:r w:rsidRPr="00216226">
        <w:rPr>
          <w:lang w:val="es-ES_tradnl"/>
        </w:rPr>
        <w:t xml:space="preserve">Sin embargo, </w:t>
      </w:r>
      <w:r w:rsidR="00165B5E" w:rsidRPr="00216226">
        <w:rPr>
          <w:lang w:val="es-ES_tradnl"/>
        </w:rPr>
        <w:t>este análisis es más pormenorizado</w:t>
      </w:r>
      <w:r w:rsidRPr="00216226">
        <w:rPr>
          <w:lang w:val="es-ES_tradnl"/>
        </w:rPr>
        <w:t xml:space="preserve">, ya que los datos recientes de la UVG, respaldados por </w:t>
      </w:r>
      <w:r w:rsidRPr="000A1D9C">
        <w:rPr>
          <w:i/>
          <w:lang w:val="es-ES_tradnl"/>
        </w:rPr>
        <w:t>CDC</w:t>
      </w:r>
      <w:r w:rsidRPr="00216226">
        <w:rPr>
          <w:lang w:val="es-ES_tradnl"/>
        </w:rPr>
        <w:t>, muestran que la resistencia primaria a los inhibidores de la transcriptasa inversa no nucleósidos ha alcanzado el 27.30% (presentación en PowerPoint compartida por la UVG</w:t>
      </w:r>
      <w:r w:rsidR="00B61752" w:rsidRPr="00216226">
        <w:rPr>
          <w:lang w:val="es-ES_tradnl"/>
        </w:rPr>
        <w:t xml:space="preserve">, 2018). </w:t>
      </w:r>
      <w:r w:rsidRPr="00216226">
        <w:rPr>
          <w:lang w:val="es-ES_tradnl"/>
        </w:rPr>
        <w:t>Esto significa que el país necesita revisar sus directrices sobre las opciones de tratamiento de primera línea y de seguimiento, de lo contrario corre el riesgo de aumentar rápidamente la tasa de fracaso del tratamiento poco después de que pacientes no tratados previamente empiecen a tomar los medicamentos</w:t>
      </w:r>
      <w:r w:rsidR="00B61752" w:rsidRPr="00216226">
        <w:rPr>
          <w:lang w:val="es-ES_tradnl"/>
        </w:rPr>
        <w:t xml:space="preserve">. </w:t>
      </w:r>
    </w:p>
    <w:p w14:paraId="1310B475" w14:textId="036A6FC5" w:rsidR="00B61752" w:rsidRPr="00216226" w:rsidRDefault="005C1183" w:rsidP="00B61752">
      <w:pPr>
        <w:jc w:val="both"/>
        <w:rPr>
          <w:lang w:val="es-ES_tradnl"/>
        </w:rPr>
      </w:pPr>
      <w:bookmarkStart w:id="44" w:name="_Hlk8337165"/>
      <w:r w:rsidRPr="00216226">
        <w:rPr>
          <w:lang w:val="es-ES_tradnl"/>
        </w:rPr>
        <w:lastRenderedPageBreak/>
        <w:t xml:space="preserve">En cualquier caso, si los programas de </w:t>
      </w:r>
      <w:r w:rsidRPr="00943294">
        <w:rPr>
          <w:i/>
          <w:lang w:val="es-ES_tradnl"/>
        </w:rPr>
        <w:t>HTC</w:t>
      </w:r>
      <w:r w:rsidRPr="00216226">
        <w:rPr>
          <w:lang w:val="es-ES_tradnl"/>
        </w:rPr>
        <w:t xml:space="preserve"> siguen diagnosticando nuevos casos de VIH y el país sigue contribuyendo a aumentar la esperanza de vida de las PVVIH a través de una cobertura sostenida de TARV, la cohorte de personas en terapia crecerá de manera constante</w:t>
      </w:r>
      <w:r w:rsidR="00B61752" w:rsidRPr="00216226">
        <w:rPr>
          <w:lang w:val="es-ES_tradnl"/>
        </w:rPr>
        <w:t xml:space="preserve">. </w:t>
      </w:r>
      <w:r w:rsidRPr="00216226">
        <w:rPr>
          <w:lang w:val="es-ES_tradnl"/>
        </w:rPr>
        <w:t>Ese crecimiento sólo podría sostenerse si, junto con recursos adicionales, se identifican e implementan eficiencias en la prestación de servicios. El país puede comenzar reconociendo que no todos los pacientes son iguales y que diferentes personas pueden necesitar o beneficiarse de diferentes programas de servicios</w:t>
      </w:r>
      <w:r w:rsidR="00B61752" w:rsidRPr="00216226">
        <w:rPr>
          <w:lang w:val="es-ES_tradnl"/>
        </w:rPr>
        <w:t xml:space="preserve">. </w:t>
      </w:r>
      <w:r w:rsidRPr="00216226">
        <w:rPr>
          <w:lang w:val="es-ES_tradnl"/>
        </w:rPr>
        <w:t>Primero, es necesario desvincular la recogida de medicamentos de las visitas médicas</w:t>
      </w:r>
      <w:r w:rsidR="00B61752" w:rsidRPr="00216226">
        <w:rPr>
          <w:lang w:val="es-ES_tradnl"/>
        </w:rPr>
        <w:t xml:space="preserve">. </w:t>
      </w:r>
      <w:r w:rsidRPr="00216226">
        <w:rPr>
          <w:lang w:val="es-ES_tradnl"/>
        </w:rPr>
        <w:t>En segundo lugar, la periodicidad de la visita médica debe basarse en las necesidades y la situación del paciente. Las personas que se han adherido al tratamiento firmemente y que tienen una carga viral suprimida durante un período prolongado podrían extender sus visitas médicas a la norma internacional (cada seis meses), con la recogida de medicamentos cada tres meses, y no necesariamente vinculada a la visita médica</w:t>
      </w:r>
      <w:r w:rsidR="00B61752" w:rsidRPr="00216226">
        <w:rPr>
          <w:lang w:val="es-ES_tradnl"/>
        </w:rPr>
        <w:t xml:space="preserve">. </w:t>
      </w:r>
      <w:r w:rsidRPr="00216226">
        <w:rPr>
          <w:lang w:val="es-ES_tradnl"/>
        </w:rPr>
        <w:t xml:space="preserve">Esto requerirá aumentar y mejorar las condiciones para el almacenamiento de medicamentos en </w:t>
      </w:r>
      <w:r w:rsidR="00072F38">
        <w:rPr>
          <w:lang w:val="es-ES_tradnl"/>
        </w:rPr>
        <w:t>los SAI</w:t>
      </w:r>
      <w:r w:rsidRPr="00216226">
        <w:rPr>
          <w:lang w:val="es-ES_tradnl"/>
        </w:rPr>
        <w:t xml:space="preserve"> y modificar la cadena de suministro de medicamentos</w:t>
      </w:r>
      <w:r w:rsidR="00B61752" w:rsidRPr="00216226">
        <w:rPr>
          <w:lang w:val="es-ES_tradnl"/>
        </w:rPr>
        <w:t xml:space="preserve">. </w:t>
      </w:r>
      <w:r w:rsidRPr="00216226">
        <w:rPr>
          <w:lang w:val="es-ES_tradnl"/>
        </w:rPr>
        <w:t>A cambio, ofrecerá un gran beneficio a los pacientes en términos de reducción de gastos d</w:t>
      </w:r>
      <w:r w:rsidR="004B6E61" w:rsidRPr="00216226">
        <w:rPr>
          <w:lang w:val="es-ES_tradnl"/>
        </w:rPr>
        <w:t>irectos</w:t>
      </w:r>
      <w:r w:rsidRPr="00216226">
        <w:rPr>
          <w:lang w:val="es-ES_tradnl"/>
        </w:rPr>
        <w:t xml:space="preserve"> (pérdida de trabajo, transporte) y mejor calidad de vida, y reducirá significativamente la carga de trabajo de los profesionales de la salud</w:t>
      </w:r>
      <w:r w:rsidR="00B61752" w:rsidRPr="00216226">
        <w:rPr>
          <w:lang w:val="es-ES_tradnl"/>
        </w:rPr>
        <w:t xml:space="preserve">. </w:t>
      </w:r>
      <w:bookmarkEnd w:id="44"/>
      <w:r w:rsidRPr="00216226">
        <w:rPr>
          <w:lang w:val="es-ES_tradnl"/>
        </w:rPr>
        <w:t>Luego, los profesionales podrían concentrarse en apoyar a los pacientes que requieren un monitoreo más cercano, como aquellos que comienzan el tratamiento (hasta que puedan ser ubicados en el grupo de adherentes regulares) o aquellos que tienen dificultad en adherirse a la terapia debido a factores personales o sociales</w:t>
      </w:r>
      <w:r w:rsidR="00B61752" w:rsidRPr="00216226">
        <w:rPr>
          <w:lang w:val="es-ES_tradnl"/>
        </w:rPr>
        <w:t xml:space="preserve">. </w:t>
      </w:r>
    </w:p>
    <w:p w14:paraId="02E7B603" w14:textId="2C350296" w:rsidR="00B61752" w:rsidRPr="00216226" w:rsidRDefault="0011597F" w:rsidP="00B61752">
      <w:pPr>
        <w:jc w:val="both"/>
        <w:rPr>
          <w:lang w:val="es-ES_tradnl"/>
        </w:rPr>
      </w:pPr>
      <w:r w:rsidRPr="00216226">
        <w:rPr>
          <w:lang w:val="es-ES_tradnl"/>
        </w:rPr>
        <w:t xml:space="preserve">Los cambios en el modelo de servicio de atención médica deben implementarse al mismo tiempo que se mejoran las condiciones </w:t>
      </w:r>
      <w:r w:rsidR="007A768B" w:rsidRPr="00216226">
        <w:rPr>
          <w:lang w:val="es-ES_tradnl"/>
        </w:rPr>
        <w:t>laborales</w:t>
      </w:r>
      <w:r w:rsidRPr="00216226">
        <w:rPr>
          <w:lang w:val="es-ES_tradnl"/>
        </w:rPr>
        <w:t xml:space="preserve"> de los trabajadores sanitarios</w:t>
      </w:r>
      <w:r w:rsidR="00B61752" w:rsidRPr="00216226">
        <w:rPr>
          <w:lang w:val="es-ES_tradnl"/>
        </w:rPr>
        <w:t xml:space="preserve">. </w:t>
      </w:r>
      <w:r w:rsidRPr="00216226">
        <w:rPr>
          <w:lang w:val="es-ES_tradnl"/>
        </w:rPr>
        <w:t>Si bien el número de profesionales de la salud parece suficiente y si estuvieran organizados de manera diferente podrían ser más productivos, muchos de ellos (enfermeras, técnicos de laboratorio) experimentan una elevada rotación o los salarios (gerentes de programas) no se pagan regularmente</w:t>
      </w:r>
      <w:r w:rsidR="00B61752" w:rsidRPr="00216226">
        <w:rPr>
          <w:lang w:val="es-ES_tradnl"/>
        </w:rPr>
        <w:t xml:space="preserve">. </w:t>
      </w:r>
      <w:r w:rsidRPr="00216226">
        <w:rPr>
          <w:lang w:val="es-ES_tradnl"/>
        </w:rPr>
        <w:t xml:space="preserve">Esto se traduce en falta de motivación y pérdida de conocimientos adquiridos en los centros de salud </w:t>
      </w:r>
      <w:r w:rsidR="000A4808" w:rsidRPr="00216226">
        <w:rPr>
          <w:lang w:val="es-ES_tradnl"/>
        </w:rPr>
        <w:t>(Visita de campo)</w:t>
      </w:r>
      <w:r w:rsidR="00B61752" w:rsidRPr="00216226">
        <w:rPr>
          <w:lang w:val="es-ES_tradnl"/>
        </w:rPr>
        <w:t>.</w:t>
      </w:r>
      <w:r w:rsidR="00680A78" w:rsidRPr="00216226">
        <w:rPr>
          <w:lang w:val="es-ES_tradnl"/>
        </w:rPr>
        <w:t xml:space="preserve"> </w:t>
      </w:r>
    </w:p>
    <w:p w14:paraId="07B98128" w14:textId="77777777" w:rsidR="007A768B" w:rsidRPr="00216226" w:rsidRDefault="007A768B" w:rsidP="00B61752">
      <w:pPr>
        <w:jc w:val="both"/>
        <w:rPr>
          <w:lang w:val="es-ES_tradnl"/>
        </w:rPr>
      </w:pPr>
    </w:p>
    <w:p w14:paraId="0E3E4BD6" w14:textId="77777777" w:rsidR="00B61752" w:rsidRPr="00216226" w:rsidRDefault="00B61752" w:rsidP="00B61752">
      <w:pPr>
        <w:jc w:val="both"/>
        <w:rPr>
          <w:lang w:val="es-ES_tradnl"/>
        </w:rPr>
      </w:pPr>
      <w:r w:rsidRPr="00216226">
        <w:rPr>
          <w:noProof/>
          <w:lang w:val="en-US" w:eastAsia="en-US"/>
        </w:rPr>
        <w:drawing>
          <wp:anchor distT="0" distB="0" distL="114300" distR="114300" simplePos="0" relativeHeight="251659264" behindDoc="0" locked="0" layoutInCell="1" allowOverlap="1" wp14:anchorId="4ED24625" wp14:editId="73D9D992">
            <wp:simplePos x="0" y="0"/>
            <wp:positionH relativeFrom="column">
              <wp:posOffset>2888615</wp:posOffset>
            </wp:positionH>
            <wp:positionV relativeFrom="paragraph">
              <wp:posOffset>305435</wp:posOffset>
            </wp:positionV>
            <wp:extent cx="2375535" cy="1781810"/>
            <wp:effectExtent l="0" t="7937" r="0" b="0"/>
            <wp:wrapSquare wrapText="bothSides"/>
            <wp:docPr id="9" name="Imagen 9" descr="C:\Users\Usuario\Documents\Clientes\APMG\Focused Countries\Countries\Honduras\H1\Evaluation\Fotos\IMG_0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cuments\Clientes\APMG\Focused Countries\Countries\Honduras\H1\Evaluation\Fotos\IMG_051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5400000">
                      <a:off x="0" y="0"/>
                      <a:ext cx="2375535" cy="178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6226">
        <w:rPr>
          <w:noProof/>
          <w:lang w:val="en-US" w:eastAsia="en-US"/>
        </w:rPr>
        <w:drawing>
          <wp:anchor distT="0" distB="0" distL="114300" distR="114300" simplePos="0" relativeHeight="251660288" behindDoc="1" locked="0" layoutInCell="1" allowOverlap="1" wp14:anchorId="077CB7F8" wp14:editId="56AA575F">
            <wp:simplePos x="0" y="0"/>
            <wp:positionH relativeFrom="column">
              <wp:posOffset>458470</wp:posOffset>
            </wp:positionH>
            <wp:positionV relativeFrom="paragraph">
              <wp:posOffset>304800</wp:posOffset>
            </wp:positionV>
            <wp:extent cx="2390140" cy="1792605"/>
            <wp:effectExtent l="0" t="6033" r="4128" b="4127"/>
            <wp:wrapTight wrapText="bothSides">
              <wp:wrapPolygon edited="0">
                <wp:start x="-55" y="21527"/>
                <wp:lineTo x="21465" y="21527"/>
                <wp:lineTo x="21465" y="180"/>
                <wp:lineTo x="-55" y="180"/>
                <wp:lineTo x="-55" y="21527"/>
              </wp:wrapPolygon>
            </wp:wrapTight>
            <wp:docPr id="10" name="Imagen 10" descr="C:\Users\Usuario\Documents\Clientes\APMG\Focused Countries\Countries\Honduras\H1\Evaluation\Fotos\IMG_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cuments\Clientes\APMG\Focused Countries\Countries\Honduras\H1\Evaluation\Fotos\IMG_051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400000">
                      <a:off x="0" y="0"/>
                      <a:ext cx="2390140" cy="17926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013CF" w14:textId="77777777" w:rsidR="00B61752" w:rsidRPr="00216226" w:rsidRDefault="00B61752" w:rsidP="00B61752">
      <w:pPr>
        <w:jc w:val="both"/>
        <w:rPr>
          <w:lang w:val="es-ES_tradnl"/>
        </w:rPr>
      </w:pPr>
    </w:p>
    <w:p w14:paraId="4334A61E" w14:textId="77777777" w:rsidR="00B61752" w:rsidRPr="00216226" w:rsidRDefault="00B61752" w:rsidP="00B61752">
      <w:pPr>
        <w:jc w:val="both"/>
        <w:rPr>
          <w:lang w:val="es-ES_tradnl"/>
        </w:rPr>
      </w:pPr>
    </w:p>
    <w:p w14:paraId="55D5B665" w14:textId="77777777" w:rsidR="00B61752" w:rsidRPr="00216226" w:rsidRDefault="00B61752" w:rsidP="00B61752">
      <w:pPr>
        <w:jc w:val="both"/>
        <w:rPr>
          <w:lang w:val="es-ES_tradnl"/>
        </w:rPr>
      </w:pPr>
    </w:p>
    <w:p w14:paraId="02C3374F" w14:textId="77777777" w:rsidR="00B61752" w:rsidRPr="00216226" w:rsidRDefault="00B61752" w:rsidP="00B61752">
      <w:pPr>
        <w:jc w:val="both"/>
        <w:rPr>
          <w:lang w:val="es-ES_tradnl"/>
        </w:rPr>
      </w:pPr>
    </w:p>
    <w:p w14:paraId="162D736B" w14:textId="77777777" w:rsidR="00B61752" w:rsidRPr="00216226" w:rsidRDefault="00B61752" w:rsidP="00B61752">
      <w:pPr>
        <w:jc w:val="both"/>
        <w:rPr>
          <w:lang w:val="es-ES_tradnl"/>
        </w:rPr>
      </w:pPr>
    </w:p>
    <w:p w14:paraId="68B19FAB" w14:textId="77777777" w:rsidR="00B61752" w:rsidRPr="00216226" w:rsidRDefault="00B61752" w:rsidP="00B61752">
      <w:pPr>
        <w:jc w:val="both"/>
        <w:rPr>
          <w:lang w:val="es-ES_tradnl"/>
        </w:rPr>
      </w:pPr>
    </w:p>
    <w:p w14:paraId="01476520" w14:textId="77777777" w:rsidR="00B61752" w:rsidRPr="00216226" w:rsidRDefault="00B61752" w:rsidP="00B61752">
      <w:pPr>
        <w:jc w:val="both"/>
        <w:rPr>
          <w:lang w:val="es-ES_tradnl"/>
        </w:rPr>
      </w:pPr>
    </w:p>
    <w:p w14:paraId="2AFF35B9" w14:textId="6290028A" w:rsidR="00B61752" w:rsidRPr="00072F38" w:rsidRDefault="00D93C2E" w:rsidP="00B61752">
      <w:pPr>
        <w:jc w:val="center"/>
        <w:rPr>
          <w:i/>
          <w:sz w:val="20"/>
          <w:szCs w:val="20"/>
          <w:lang w:val="es-ES_tradnl"/>
        </w:rPr>
      </w:pPr>
      <w:r w:rsidRPr="00072F38">
        <w:rPr>
          <w:i/>
          <w:sz w:val="20"/>
          <w:szCs w:val="20"/>
          <w:lang w:val="es-ES_tradnl"/>
        </w:rPr>
        <w:t>F</w:t>
      </w:r>
      <w:r w:rsidR="00B61752" w:rsidRPr="00072F38">
        <w:rPr>
          <w:i/>
          <w:sz w:val="20"/>
          <w:szCs w:val="20"/>
          <w:lang w:val="es-ES_tradnl"/>
        </w:rPr>
        <w:t xml:space="preserve">otos: </w:t>
      </w:r>
      <w:r w:rsidR="0011597F" w:rsidRPr="00072F38">
        <w:rPr>
          <w:i/>
          <w:sz w:val="20"/>
          <w:szCs w:val="20"/>
          <w:lang w:val="es-ES_tradnl"/>
        </w:rPr>
        <w:t xml:space="preserve">Almacenamiento de medicamentos TARV en </w:t>
      </w:r>
      <w:r w:rsidR="00072F38" w:rsidRPr="00072F38">
        <w:rPr>
          <w:i/>
          <w:sz w:val="20"/>
          <w:szCs w:val="20"/>
          <w:lang w:val="es-ES_tradnl"/>
        </w:rPr>
        <w:t>el SAI</w:t>
      </w:r>
      <w:r w:rsidR="00B61752" w:rsidRPr="00072F38">
        <w:rPr>
          <w:i/>
          <w:sz w:val="20"/>
          <w:szCs w:val="20"/>
          <w:lang w:val="es-ES_tradnl"/>
        </w:rPr>
        <w:t xml:space="preserve"> San Juan Pueblo, Atlántida, Honduras</w:t>
      </w:r>
    </w:p>
    <w:p w14:paraId="1BBCBD6C" w14:textId="59E8AA7D" w:rsidR="00B61752" w:rsidRPr="00216226" w:rsidRDefault="0011597F" w:rsidP="00B61752">
      <w:pPr>
        <w:jc w:val="both"/>
        <w:rPr>
          <w:lang w:val="es-ES_tradnl"/>
        </w:rPr>
      </w:pPr>
      <w:r w:rsidRPr="00216226">
        <w:rPr>
          <w:lang w:val="es-ES_tradnl"/>
        </w:rPr>
        <w:t>El principal desafío que el país debe abordar es identificar, evaluar y vincular a casi la mitad de las PVVIH que actualmente no reciben atención</w:t>
      </w:r>
      <w:r w:rsidR="00B61752" w:rsidRPr="00216226">
        <w:rPr>
          <w:lang w:val="es-ES_tradnl"/>
        </w:rPr>
        <w:t xml:space="preserve">: 48% </w:t>
      </w:r>
      <w:bookmarkStart w:id="45" w:name="_Hlk8346237"/>
      <w:r w:rsidRPr="00216226">
        <w:rPr>
          <w:lang w:val="es-ES_tradnl"/>
        </w:rPr>
        <w:t xml:space="preserve">de las PVVIH </w:t>
      </w:r>
      <w:bookmarkEnd w:id="45"/>
      <w:r w:rsidRPr="00216226">
        <w:rPr>
          <w:lang w:val="es-ES_tradnl"/>
        </w:rPr>
        <w:t xml:space="preserve">no están vinculadas a </w:t>
      </w:r>
      <w:r w:rsidR="00072F38">
        <w:rPr>
          <w:lang w:val="es-ES_tradnl"/>
        </w:rPr>
        <w:t>los SAI</w:t>
      </w:r>
      <w:r w:rsidR="00B61752" w:rsidRPr="00216226">
        <w:rPr>
          <w:lang w:val="es-ES_tradnl"/>
        </w:rPr>
        <w:t xml:space="preserve"> (SESAL, 2018a)</w:t>
      </w:r>
      <w:r w:rsidRPr="00216226">
        <w:rPr>
          <w:lang w:val="es-ES_tradnl"/>
        </w:rPr>
        <w:t>, y no se sabe cuál es la proporción de quienes no conocen su estado serológico en comparación con aquell</w:t>
      </w:r>
      <w:r w:rsidR="007A768B" w:rsidRPr="00216226">
        <w:rPr>
          <w:lang w:val="es-ES_tradnl"/>
        </w:rPr>
        <w:t>a</w:t>
      </w:r>
      <w:r w:rsidRPr="00216226">
        <w:rPr>
          <w:lang w:val="es-ES_tradnl"/>
        </w:rPr>
        <w:t>s que sí lo saben</w:t>
      </w:r>
      <w:r w:rsidR="00F81456" w:rsidRPr="00216226">
        <w:rPr>
          <w:lang w:val="es-ES_tradnl"/>
        </w:rPr>
        <w:t>,</w:t>
      </w:r>
      <w:r w:rsidRPr="00216226">
        <w:rPr>
          <w:lang w:val="es-ES_tradnl"/>
        </w:rPr>
        <w:t xml:space="preserve"> pero no están vinculad</w:t>
      </w:r>
      <w:r w:rsidR="007A768B" w:rsidRPr="00216226">
        <w:rPr>
          <w:lang w:val="es-ES_tradnl"/>
        </w:rPr>
        <w:t>a</w:t>
      </w:r>
      <w:r w:rsidRPr="00216226">
        <w:rPr>
          <w:lang w:val="es-ES_tradnl"/>
        </w:rPr>
        <w:t>s a la atención</w:t>
      </w:r>
      <w:r w:rsidR="00B61752" w:rsidRPr="00216226">
        <w:rPr>
          <w:lang w:val="es-ES_tradnl"/>
        </w:rPr>
        <w:t xml:space="preserve">. </w:t>
      </w:r>
      <w:r w:rsidRPr="00216226">
        <w:rPr>
          <w:lang w:val="es-ES_tradnl"/>
        </w:rPr>
        <w:t>De manera similar</w:t>
      </w:r>
      <w:r w:rsidR="00B61752" w:rsidRPr="00216226">
        <w:rPr>
          <w:lang w:val="es-ES_tradnl"/>
        </w:rPr>
        <w:t xml:space="preserve">, 49% </w:t>
      </w:r>
      <w:r w:rsidRPr="00216226">
        <w:rPr>
          <w:lang w:val="es-ES_tradnl"/>
        </w:rPr>
        <w:t xml:space="preserve">de las PVVIH </w:t>
      </w:r>
      <w:r w:rsidR="00B61752" w:rsidRPr="00216226">
        <w:rPr>
          <w:lang w:val="es-ES_tradnl"/>
        </w:rPr>
        <w:t>(</w:t>
      </w:r>
      <w:r w:rsidRPr="00216226">
        <w:rPr>
          <w:lang w:val="es-ES_tradnl"/>
        </w:rPr>
        <w:t>diagnosticad</w:t>
      </w:r>
      <w:r w:rsidR="00F81456" w:rsidRPr="00216226">
        <w:rPr>
          <w:lang w:val="es-ES_tradnl"/>
        </w:rPr>
        <w:t>a</w:t>
      </w:r>
      <w:r w:rsidRPr="00216226">
        <w:rPr>
          <w:lang w:val="es-ES_tradnl"/>
        </w:rPr>
        <w:t xml:space="preserve">s o no) no están tomando TARV, lo que representa una enorme oportunidad perdida tanto en términos de resultados de salud para esa población como en términos de impacto </w:t>
      </w:r>
      <w:r w:rsidRPr="00216226">
        <w:rPr>
          <w:lang w:val="es-ES_tradnl"/>
        </w:rPr>
        <w:lastRenderedPageBreak/>
        <w:t>en la salud pública</w:t>
      </w:r>
      <w:r w:rsidR="00B61752" w:rsidRPr="00216226">
        <w:rPr>
          <w:lang w:val="es-ES_tradnl"/>
        </w:rPr>
        <w:t xml:space="preserve">. </w:t>
      </w:r>
      <w:r w:rsidR="00F81456" w:rsidRPr="00216226">
        <w:rPr>
          <w:lang w:val="es-ES_tradnl"/>
        </w:rPr>
        <w:t>A pesar de las inversiones del Fondo Mundial y de otros socios para el desarrollo, sólo el 42% de los centros de salud en el país ofrecen pruebas de VIH, incluidas las ocho VICITS adaptadas y favorables a las poblaciones clave</w:t>
      </w:r>
      <w:r w:rsidR="00B61752" w:rsidRPr="00216226">
        <w:rPr>
          <w:lang w:val="es-ES_tradnl"/>
        </w:rPr>
        <w:t xml:space="preserve"> (SESAL, 2018c). </w:t>
      </w:r>
      <w:r w:rsidR="00F81456" w:rsidRPr="00216226">
        <w:rPr>
          <w:lang w:val="es-ES_tradnl"/>
        </w:rPr>
        <w:t xml:space="preserve">La falta de cobertura, la falta de atención a los determinantes socioeconómicos, las barreras culturales y las amenazas a la seguridad alimentan la debilidad de la respuesta nacional en el primer componente de las metas 90-90-90 </w:t>
      </w:r>
      <w:r w:rsidR="00B61752" w:rsidRPr="00216226">
        <w:rPr>
          <w:lang w:val="es-ES_tradnl"/>
        </w:rPr>
        <w:t>(</w:t>
      </w:r>
      <w:r w:rsidR="00D44421" w:rsidRPr="00216226">
        <w:rPr>
          <w:lang w:val="es-ES_tradnl"/>
        </w:rPr>
        <w:t>MCP</w:t>
      </w:r>
      <w:r w:rsidR="00B61752" w:rsidRPr="00216226">
        <w:rPr>
          <w:lang w:val="es-ES_tradnl"/>
        </w:rPr>
        <w:t xml:space="preserve">, 2018). </w:t>
      </w:r>
    </w:p>
    <w:p w14:paraId="32BB9497" w14:textId="0B1ADC7F" w:rsidR="00B61752" w:rsidRPr="00216226" w:rsidRDefault="00F81456" w:rsidP="00B61752">
      <w:pPr>
        <w:jc w:val="both"/>
        <w:rPr>
          <w:lang w:val="es-ES_tradnl"/>
        </w:rPr>
      </w:pPr>
      <w:r w:rsidRPr="00216226">
        <w:rPr>
          <w:lang w:val="es-ES_tradnl"/>
        </w:rPr>
        <w:t xml:space="preserve">Desde 2017, varios implementadores están recopilando datos para determinar la tasa de positividad de cada modelo que ofrece </w:t>
      </w:r>
      <w:r w:rsidRPr="00943294">
        <w:rPr>
          <w:i/>
          <w:lang w:val="es-ES_tradnl"/>
        </w:rPr>
        <w:t>HTC</w:t>
      </w:r>
      <w:r w:rsidRPr="00216226">
        <w:rPr>
          <w:lang w:val="es-ES_tradnl"/>
        </w:rPr>
        <w:t xml:space="preserve"> a poblaciones clave (ver Tabla </w:t>
      </w:r>
      <w:r w:rsidR="00174C7E">
        <w:rPr>
          <w:lang w:val="es-ES_tradnl"/>
        </w:rPr>
        <w:t>6</w:t>
      </w:r>
      <w:r w:rsidR="00B61752" w:rsidRPr="00216226">
        <w:rPr>
          <w:lang w:val="es-ES_tradnl"/>
        </w:rPr>
        <w:t xml:space="preserve">). </w:t>
      </w:r>
      <w:r w:rsidRPr="00216226">
        <w:rPr>
          <w:lang w:val="es-ES_tradnl"/>
        </w:rPr>
        <w:t xml:space="preserve">Si bien estos datos no pueden excluir el doble cómputo debido a la falta de integración del sistema de información de salud, sugieren que, en general, el modelo más efectivo para identificar casos </w:t>
      </w:r>
      <w:r w:rsidR="007A768B" w:rsidRPr="00216226">
        <w:rPr>
          <w:lang w:val="es-ES_tradnl"/>
        </w:rPr>
        <w:t>seropositivos</w:t>
      </w:r>
      <w:r w:rsidRPr="00216226">
        <w:rPr>
          <w:lang w:val="es-ES_tradnl"/>
        </w:rPr>
        <w:t xml:space="preserve"> es el horario ampliado en VICITS, seguido del alcance en las redes sociales utilizando clínicas privadas (uno de los modelos que utiliza </w:t>
      </w:r>
      <w:r w:rsidRPr="00D93C5D">
        <w:rPr>
          <w:i/>
          <w:lang w:val="es-ES_tradnl"/>
        </w:rPr>
        <w:t>PASMO</w:t>
      </w:r>
      <w:r w:rsidR="00B61752" w:rsidRPr="00216226">
        <w:rPr>
          <w:lang w:val="es-ES_tradnl"/>
        </w:rPr>
        <w:t xml:space="preserve">). </w:t>
      </w:r>
      <w:r w:rsidRPr="00216226">
        <w:rPr>
          <w:lang w:val="es-ES_tradnl"/>
        </w:rPr>
        <w:t>Si este modelo se amplía, será necesario abrir más VICITS. La excepción podría ser el enfoque para identificar a las muj</w:t>
      </w:r>
      <w:r w:rsidR="00453B71">
        <w:rPr>
          <w:lang w:val="es-ES_tradnl"/>
        </w:rPr>
        <w:t>eres transgénero</w:t>
      </w:r>
      <w:r w:rsidRPr="00216226">
        <w:rPr>
          <w:lang w:val="es-ES_tradnl"/>
        </w:rPr>
        <w:t xml:space="preserve"> seropositivas, en las que el alcance en persona en la comunidad </w:t>
      </w:r>
      <w:r w:rsidR="007A768B" w:rsidRPr="00216226">
        <w:rPr>
          <w:lang w:val="es-ES_tradnl"/>
        </w:rPr>
        <w:t>aún</w:t>
      </w:r>
      <w:r w:rsidRPr="00216226">
        <w:rPr>
          <w:lang w:val="es-ES_tradnl"/>
        </w:rPr>
        <w:t xml:space="preserve"> podría tener un papel relevante</w:t>
      </w:r>
      <w:r w:rsidR="00B61752" w:rsidRPr="00216226">
        <w:rPr>
          <w:lang w:val="es-ES_tradnl"/>
        </w:rPr>
        <w:t xml:space="preserve">. </w:t>
      </w:r>
      <w:r w:rsidRPr="00216226">
        <w:rPr>
          <w:lang w:val="es-ES_tradnl"/>
        </w:rPr>
        <w:t xml:space="preserve">En cualquier caso, las partes interesadas del país tienen la responsabilidad de compartir y discutir colectivamente los datos que están acumulando sobre los rendimientos positivos de los diferentes modelos de </w:t>
      </w:r>
      <w:r w:rsidRPr="00943294">
        <w:rPr>
          <w:i/>
          <w:lang w:val="es-ES_tradnl"/>
        </w:rPr>
        <w:t>HTC</w:t>
      </w:r>
      <w:r w:rsidRPr="00216226">
        <w:rPr>
          <w:lang w:val="es-ES_tradnl"/>
        </w:rPr>
        <w:t>, y el país debe usar esa evidencia para dar prioridad a los modelos que parecen más efectivos</w:t>
      </w:r>
      <w:r w:rsidR="00B61752" w:rsidRPr="00216226">
        <w:rPr>
          <w:lang w:val="es-ES_tradnl"/>
        </w:rPr>
        <w:t xml:space="preserve">. </w:t>
      </w:r>
    </w:p>
    <w:p w14:paraId="61403776" w14:textId="5C0D5F31" w:rsidR="00B61752" w:rsidRPr="00216226" w:rsidRDefault="00B32441" w:rsidP="00B61752">
      <w:pPr>
        <w:jc w:val="both"/>
        <w:rPr>
          <w:lang w:val="es-ES_tradnl"/>
        </w:rPr>
      </w:pPr>
      <w:r w:rsidRPr="00216226">
        <w:rPr>
          <w:lang w:val="es-ES_tradnl"/>
        </w:rPr>
        <w:t xml:space="preserve">De manera similar, es crucial obtener y analizar datos sobre las estrategias más efectivas para vincular a pacientes seropositivos diagnosticados recientemente con </w:t>
      </w:r>
      <w:r w:rsidR="00072F38">
        <w:rPr>
          <w:lang w:val="es-ES_tradnl"/>
        </w:rPr>
        <w:t>los SAI</w:t>
      </w:r>
      <w:r w:rsidRPr="00216226">
        <w:rPr>
          <w:lang w:val="es-ES_tradnl"/>
        </w:rPr>
        <w:t>, para retenerlos cuando muestran signos de pérdida durante el seguimiento y, para volver a vincularlos cuando abandonan el sistema, es crucial informar a la toma de decisiones</w:t>
      </w:r>
      <w:r w:rsidR="00B61752" w:rsidRPr="00216226">
        <w:rPr>
          <w:lang w:val="es-ES_tradnl"/>
        </w:rPr>
        <w:t xml:space="preserve">. </w:t>
      </w:r>
      <w:r w:rsidRPr="00216226">
        <w:rPr>
          <w:lang w:val="es-ES_tradnl"/>
        </w:rPr>
        <w:t>La evidencia disponible sugiere que reducir el lapso entre el diagnóstico y el primer chequeo médico, seguido de la prescripción y entrega del medicamento, probablemente sea eficaz para aumentar la vinculación con la atención</w:t>
      </w:r>
      <w:r w:rsidR="00B61752" w:rsidRPr="00216226">
        <w:rPr>
          <w:lang w:val="es-ES_tradnl"/>
        </w:rPr>
        <w:t xml:space="preserve"> </w:t>
      </w:r>
      <w:r w:rsidR="000A4808" w:rsidRPr="00216226">
        <w:rPr>
          <w:lang w:val="es-ES_tradnl"/>
        </w:rPr>
        <w:t>(Visita de campo)</w:t>
      </w:r>
      <w:r w:rsidR="00B61752" w:rsidRPr="00216226">
        <w:rPr>
          <w:lang w:val="es-ES_tradnl"/>
        </w:rPr>
        <w:t xml:space="preserve">. </w:t>
      </w:r>
      <w:r w:rsidRPr="00216226">
        <w:rPr>
          <w:lang w:val="es-ES_tradnl"/>
        </w:rPr>
        <w:t>Idealmente, esto debería ocurrir en el mismo día, mientras que, en la mayoría de los casos, esto puede demorar hasta siete días o más. Se debe decir que la entrega rápida de servicios no siempre garantiza la vinculación, ya que algunos centros informan sobre las reacciones de negación de algunos pacientes que están en shock por el diagnóstico seropositivo y huyen o no regresan</w:t>
      </w:r>
      <w:r w:rsidR="00B61752" w:rsidRPr="00216226">
        <w:rPr>
          <w:lang w:val="es-ES_tradnl"/>
        </w:rPr>
        <w:t xml:space="preserve"> </w:t>
      </w:r>
      <w:r w:rsidR="000A4808" w:rsidRPr="00216226">
        <w:rPr>
          <w:lang w:val="es-ES_tradnl"/>
        </w:rPr>
        <w:t>(Visita de campo)</w:t>
      </w:r>
      <w:r w:rsidR="00B61752" w:rsidRPr="00216226">
        <w:rPr>
          <w:lang w:val="es-ES_tradnl"/>
        </w:rPr>
        <w:t xml:space="preserve">. </w:t>
      </w:r>
      <w:r w:rsidR="005E4B6F" w:rsidRPr="00216226">
        <w:rPr>
          <w:lang w:val="es-ES_tradnl"/>
        </w:rPr>
        <w:t xml:space="preserve">Del mismo modo, </w:t>
      </w:r>
      <w:r w:rsidR="00B872A3" w:rsidRPr="00216226">
        <w:rPr>
          <w:lang w:val="es-ES_tradnl"/>
        </w:rPr>
        <w:t xml:space="preserve">deben evaluarse </w:t>
      </w:r>
      <w:r w:rsidR="005E4B6F" w:rsidRPr="00216226">
        <w:rPr>
          <w:lang w:val="es-ES_tradnl"/>
        </w:rPr>
        <w:t>las actividades para retener a los pacientes cuando están en riesgo de perderse durante el seguimiento, y para volver a vincularlos cuando se han perdido, en función de sus tasas de éxito. Según los informantes clave, la prevención de la pérdida durante el seguimiento es más eficiente y menos costosa que intentar involucrar nuevamente a los pacientes perdidos</w:t>
      </w:r>
      <w:r w:rsidR="00B61752" w:rsidRPr="00216226">
        <w:rPr>
          <w:lang w:val="es-ES_tradnl"/>
        </w:rPr>
        <w:t xml:space="preserve">. </w:t>
      </w:r>
      <w:r w:rsidR="005E4B6F" w:rsidRPr="00216226">
        <w:rPr>
          <w:lang w:val="es-ES_tradnl"/>
        </w:rPr>
        <w:t xml:space="preserve">En esta última categoría, los pacientes que se han perdido recientemente durante el seguimiento son más fáciles de recuperar que los que se han perdido hace más tiempo, cuya ubicación es difícil de determinar </w:t>
      </w:r>
      <w:r w:rsidR="000A4808" w:rsidRPr="00216226">
        <w:rPr>
          <w:lang w:val="es-ES_tradnl"/>
        </w:rPr>
        <w:t>(Visita de campo)</w:t>
      </w:r>
      <w:r w:rsidR="00B61752" w:rsidRPr="00216226">
        <w:rPr>
          <w:lang w:val="es-ES_tradnl"/>
        </w:rPr>
        <w:t xml:space="preserve">. </w:t>
      </w:r>
    </w:p>
    <w:p w14:paraId="779CA0D0" w14:textId="23E83158" w:rsidR="00B61752" w:rsidRPr="00216226" w:rsidRDefault="005E4B6F" w:rsidP="00B61752">
      <w:pPr>
        <w:jc w:val="both"/>
        <w:rPr>
          <w:lang w:val="es-ES_tradnl"/>
        </w:rPr>
      </w:pPr>
      <w:r w:rsidRPr="00216226">
        <w:rPr>
          <w:lang w:val="es-ES_tradnl"/>
        </w:rPr>
        <w:t xml:space="preserve">Estas decisiones sobre modelos diferenciados de </w:t>
      </w:r>
      <w:r w:rsidRPr="00943294">
        <w:rPr>
          <w:i/>
          <w:lang w:val="es-ES_tradnl"/>
        </w:rPr>
        <w:t>HTC</w:t>
      </w:r>
      <w:r w:rsidRPr="00216226">
        <w:rPr>
          <w:lang w:val="es-ES_tradnl"/>
        </w:rPr>
        <w:t xml:space="preserve"> y vinculación deben ir acompañadas de análisis y acciones para aumentar la aceptabilidad de la prueba del VIH y un resultado positivo. Las poblaciones clave en los grupos focales </w:t>
      </w:r>
      <w:r w:rsidR="003341A0" w:rsidRPr="00216226">
        <w:rPr>
          <w:lang w:val="es-ES_tradnl"/>
        </w:rPr>
        <w:t>indican</w:t>
      </w:r>
      <w:r w:rsidRPr="00216226">
        <w:rPr>
          <w:lang w:val="es-ES_tradnl"/>
        </w:rPr>
        <w:t xml:space="preserve"> que el temor a las consecuencias sociales de un resultado </w:t>
      </w:r>
      <w:r w:rsidR="003341A0" w:rsidRPr="00216226">
        <w:rPr>
          <w:lang w:val="es-ES_tradnl"/>
        </w:rPr>
        <w:t>seropositivo</w:t>
      </w:r>
      <w:r w:rsidRPr="00216226">
        <w:rPr>
          <w:lang w:val="es-ES_tradnl"/>
        </w:rPr>
        <w:t xml:space="preserve"> es la causa principal para rechazar una prueba de VIH</w:t>
      </w:r>
      <w:r w:rsidR="00B61752" w:rsidRPr="00216226">
        <w:rPr>
          <w:lang w:val="es-ES_tradnl"/>
        </w:rPr>
        <w:t xml:space="preserve">. </w:t>
      </w:r>
      <w:r w:rsidRPr="00216226">
        <w:rPr>
          <w:lang w:val="es-ES_tradnl"/>
        </w:rPr>
        <w:t xml:space="preserve">Esas consecuencias sociales incluyen el estigma y la discriminación en la familia, el vecindario, el lugar de trabajo y los centros educativos. Esto también implica un rechazo significativo en las propias comunidades: cuando se les preguntó, los HSH informaron que no tendrían una pareja o amigo seropositivo y </w:t>
      </w:r>
      <w:r w:rsidR="003341A0" w:rsidRPr="00216226">
        <w:rPr>
          <w:lang w:val="es-ES_tradnl"/>
        </w:rPr>
        <w:t>que,</w:t>
      </w:r>
      <w:r w:rsidRPr="00216226">
        <w:rPr>
          <w:lang w:val="es-ES_tradnl"/>
        </w:rPr>
        <w:t xml:space="preserve"> si su pareja / amigo </w:t>
      </w:r>
      <w:r w:rsidR="003341A0" w:rsidRPr="00216226">
        <w:rPr>
          <w:lang w:val="es-ES_tradnl"/>
        </w:rPr>
        <w:t>afirmaba serlo</w:t>
      </w:r>
      <w:r w:rsidRPr="00216226">
        <w:rPr>
          <w:lang w:val="es-ES_tradnl"/>
        </w:rPr>
        <w:t>, cortarían su relación</w:t>
      </w:r>
      <w:r w:rsidR="00B61752" w:rsidRPr="00216226">
        <w:rPr>
          <w:lang w:val="es-ES_tradnl"/>
        </w:rPr>
        <w:t xml:space="preserve">. </w:t>
      </w:r>
      <w:r w:rsidRPr="00216226">
        <w:rPr>
          <w:lang w:val="es-ES_tradnl"/>
        </w:rPr>
        <w:t xml:space="preserve">Las mujeres transgénero y las trabajadoras sexuales concordaron en que ser conocidas como seropositivas es algo que utilizan sus pares para perjudicar la reputación y el acceso a los clientes. Las mujeres transgénero y las trabajadoras sexuales también dijeron que, para sus pares que están controladas o bajo la extorsión de bandas criminales, ser conocidas como seropositivas aumenta considerablemente el riesgo de ser asesinadas </w:t>
      </w:r>
      <w:r w:rsidR="000A4808" w:rsidRPr="00216226">
        <w:rPr>
          <w:lang w:val="es-ES_tradnl"/>
        </w:rPr>
        <w:t>(Visita de campo)</w:t>
      </w:r>
      <w:r w:rsidR="00B61752" w:rsidRPr="00216226">
        <w:rPr>
          <w:lang w:val="es-ES_tradnl"/>
        </w:rPr>
        <w:t xml:space="preserve">. </w:t>
      </w:r>
      <w:r w:rsidR="00F433E9" w:rsidRPr="00216226">
        <w:rPr>
          <w:lang w:val="es-ES_tradnl"/>
        </w:rPr>
        <w:t xml:space="preserve">Esta puede ser una de las razones subyacentes clave por las que estas dos poblaciones </w:t>
      </w:r>
      <w:r w:rsidR="00F433E9" w:rsidRPr="00216226">
        <w:rPr>
          <w:lang w:val="es-ES_tradnl"/>
        </w:rPr>
        <w:lastRenderedPageBreak/>
        <w:t>pueden ser más difíciles de vincular y retener en los servicios de salud</w:t>
      </w:r>
      <w:r w:rsidR="00B61752" w:rsidRPr="00216226">
        <w:rPr>
          <w:lang w:val="es-ES_tradnl"/>
        </w:rPr>
        <w:t xml:space="preserve">. </w:t>
      </w:r>
      <w:r w:rsidR="00F433E9" w:rsidRPr="00216226">
        <w:rPr>
          <w:lang w:val="es-ES_tradnl"/>
        </w:rPr>
        <w:t>Las acciones para combatir el estigma y la discriminación relacionados con el VIH, tanto a nivel social como en las comunidades de poblaciones clave, así como la pobreza, la inequidad y la violencia que afectan a las poblaciones clave, en particular a las mujeres transgénero y las trabajadoras sexuales, son cruciales para aumentar la vinculación y la retención en la atención del VIH</w:t>
      </w:r>
      <w:r w:rsidR="00B61752" w:rsidRPr="00216226">
        <w:rPr>
          <w:lang w:val="es-ES_tradnl"/>
        </w:rPr>
        <w:t xml:space="preserve">. </w:t>
      </w:r>
    </w:p>
    <w:p w14:paraId="79B53D6E" w14:textId="5EA0E998" w:rsidR="00943294" w:rsidRPr="00943294" w:rsidRDefault="00943294" w:rsidP="00943294">
      <w:pPr>
        <w:pStyle w:val="Heading2"/>
        <w:rPr>
          <w:bCs/>
          <w:sz w:val="22"/>
          <w:szCs w:val="22"/>
          <w:lang w:val="es-ES_tradnl"/>
        </w:rPr>
      </w:pPr>
      <w:r w:rsidRPr="00943294">
        <w:rPr>
          <w:b w:val="0"/>
          <w:bCs/>
          <w:sz w:val="22"/>
          <w:szCs w:val="22"/>
          <w:lang w:val="es-ES_tradnl"/>
        </w:rPr>
        <w:t>Anexo 3 –</w:t>
      </w:r>
      <w:r>
        <w:rPr>
          <w:bCs/>
          <w:sz w:val="22"/>
          <w:szCs w:val="22"/>
          <w:lang w:val="es-ES_tradnl"/>
        </w:rPr>
        <w:t xml:space="preserve"> </w:t>
      </w:r>
      <w:r w:rsidRPr="00943294">
        <w:rPr>
          <w:bCs/>
          <w:sz w:val="22"/>
          <w:szCs w:val="22"/>
          <w:lang w:val="es-ES_tradnl"/>
        </w:rPr>
        <w:t>Objetivo 3. Análisis</w:t>
      </w:r>
    </w:p>
    <w:p w14:paraId="0E9DE2E0" w14:textId="0D9D7D2D" w:rsidR="00B61752" w:rsidRPr="00216226" w:rsidRDefault="00F433E9" w:rsidP="00B61752">
      <w:pPr>
        <w:tabs>
          <w:tab w:val="left" w:pos="2835"/>
        </w:tabs>
        <w:jc w:val="both"/>
        <w:rPr>
          <w:lang w:val="es-ES_tradnl"/>
        </w:rPr>
      </w:pPr>
      <w:r w:rsidRPr="00216226">
        <w:rPr>
          <w:lang w:val="es-ES_tradnl"/>
        </w:rPr>
        <w:t xml:space="preserve">El Fondo Mundial (y otros socios para el desarrollo: </w:t>
      </w:r>
      <w:r w:rsidRPr="00943294">
        <w:rPr>
          <w:i/>
          <w:lang w:val="es-ES_tradnl"/>
        </w:rPr>
        <w:t>PEPFAR</w:t>
      </w:r>
      <w:r w:rsidRPr="00216226">
        <w:rPr>
          <w:lang w:val="es-ES_tradnl"/>
        </w:rPr>
        <w:t xml:space="preserve"> / </w:t>
      </w:r>
      <w:r w:rsidRPr="000A1D9C">
        <w:rPr>
          <w:i/>
          <w:lang w:val="es-ES_tradnl"/>
        </w:rPr>
        <w:t>CDC</w:t>
      </w:r>
      <w:r w:rsidRPr="00216226">
        <w:rPr>
          <w:lang w:val="es-ES_tradnl"/>
        </w:rPr>
        <w:t xml:space="preserve"> / </w:t>
      </w:r>
      <w:r w:rsidRPr="000A1D9C">
        <w:rPr>
          <w:i/>
          <w:lang w:val="es-ES_tradnl"/>
        </w:rPr>
        <w:t>USAID</w:t>
      </w:r>
      <w:r w:rsidRPr="00216226">
        <w:rPr>
          <w:lang w:val="es-ES_tradnl"/>
        </w:rPr>
        <w:t>, ONUSIDA, OPS) ha brindado asistencia financiera y técnica para mejorar el Sistema Integrado de Información de Salud de Honduras en relación con el VIH. Esto tenía como objetivo mejorar el alcance y la calidad de los datos, así como su interpretación para informar la evaluación del modelo de servicio y su modificación</w:t>
      </w:r>
      <w:r w:rsidR="004534CE" w:rsidRPr="00216226">
        <w:rPr>
          <w:lang w:val="es-ES_tradnl"/>
        </w:rPr>
        <w:t xml:space="preserve"> posterior</w:t>
      </w:r>
      <w:r w:rsidR="00B61752" w:rsidRPr="00216226">
        <w:rPr>
          <w:lang w:val="es-ES_tradnl"/>
        </w:rPr>
        <w:t xml:space="preserve">. </w:t>
      </w:r>
      <w:r w:rsidR="00E2174D" w:rsidRPr="00216226">
        <w:rPr>
          <w:lang w:val="es-ES_tradnl"/>
        </w:rPr>
        <w:t xml:space="preserve">Sin embargo, un </w:t>
      </w:r>
      <w:r w:rsidR="005F63B6">
        <w:rPr>
          <w:lang w:val="es-ES_tradnl"/>
        </w:rPr>
        <w:t>SIIS</w:t>
      </w:r>
      <w:r w:rsidR="00E2174D" w:rsidRPr="00216226">
        <w:rPr>
          <w:lang w:val="es-ES_tradnl"/>
        </w:rPr>
        <w:t xml:space="preserve"> completo y funcional en relación con el VIH en Honduras es básicamente inexistente</w:t>
      </w:r>
      <w:r w:rsidR="00B61752" w:rsidRPr="00216226">
        <w:rPr>
          <w:lang w:val="es-ES_tradnl"/>
        </w:rPr>
        <w:t xml:space="preserve">. </w:t>
      </w:r>
      <w:r w:rsidR="00E2174D" w:rsidRPr="00216226">
        <w:rPr>
          <w:lang w:val="es-ES_tradnl"/>
        </w:rPr>
        <w:t>Cada parte interesada utiliza su propio sistema de recopilación de datos, los indicadores no están necesariamente homologados, faltan algunos indicadores clave de impacto, las auditorías de calidad de los datos sólo las realizan las organizaciones asocia</w:t>
      </w:r>
      <w:r w:rsidR="00961B1B" w:rsidRPr="00216226">
        <w:rPr>
          <w:lang w:val="es-ES_tradnl"/>
        </w:rPr>
        <w:t>das</w:t>
      </w:r>
      <w:r w:rsidR="00E2174D" w:rsidRPr="00216226">
        <w:rPr>
          <w:lang w:val="es-ES_tradnl"/>
        </w:rPr>
        <w:t xml:space="preserve"> con el Fondo Mundial y el PEPFAR, y en los centros públicos la recopilación de datos es manual y se digitaliza después, sin protección contra pérdidas accidentales</w:t>
      </w:r>
      <w:r w:rsidR="00B61752" w:rsidRPr="00216226">
        <w:rPr>
          <w:lang w:val="es-ES_tradnl"/>
        </w:rPr>
        <w:t xml:space="preserve">. </w:t>
      </w:r>
    </w:p>
    <w:p w14:paraId="5A157075" w14:textId="6DD21B6F" w:rsidR="00B61752" w:rsidRPr="00216226" w:rsidRDefault="00E2174D" w:rsidP="00B61752">
      <w:pPr>
        <w:tabs>
          <w:tab w:val="left" w:pos="2835"/>
        </w:tabs>
        <w:jc w:val="both"/>
        <w:rPr>
          <w:lang w:val="es-ES_tradnl"/>
        </w:rPr>
      </w:pPr>
      <w:bookmarkStart w:id="46" w:name="_Hlk8337300"/>
      <w:r w:rsidRPr="00216226">
        <w:rPr>
          <w:lang w:val="es-ES_tradnl"/>
        </w:rPr>
        <w:t xml:space="preserve">Aunque el país ha podido producir datos agregados sobre la cascada del continuo de atención y la información ocasional sobre otros indicadores relacionados con poblaciones clave (HSH, </w:t>
      </w:r>
      <w:r w:rsidR="00961B1B" w:rsidRPr="00216226">
        <w:rPr>
          <w:lang w:val="es-ES_tradnl"/>
        </w:rPr>
        <w:t xml:space="preserve">trabajadoras </w:t>
      </w:r>
      <w:r w:rsidRPr="00216226">
        <w:rPr>
          <w:lang w:val="es-ES_tradnl"/>
        </w:rPr>
        <w:t xml:space="preserve">sexuales, mujeres transgénero, </w:t>
      </w:r>
      <w:r w:rsidR="00CB285B">
        <w:rPr>
          <w:lang w:val="es-ES_tradnl"/>
        </w:rPr>
        <w:t>PPL</w:t>
      </w:r>
      <w:r w:rsidRPr="00216226">
        <w:rPr>
          <w:lang w:val="es-ES_tradnl"/>
        </w:rPr>
        <w:t xml:space="preserve"> y población </w:t>
      </w:r>
      <w:r w:rsidR="003C6851">
        <w:rPr>
          <w:lang w:val="es-ES_tradnl"/>
        </w:rPr>
        <w:t>Garífuna</w:t>
      </w:r>
      <w:r w:rsidR="00B61752" w:rsidRPr="00216226">
        <w:rPr>
          <w:lang w:val="es-ES_tradnl"/>
        </w:rPr>
        <w:t xml:space="preserve">), </w:t>
      </w:r>
      <w:r w:rsidRPr="00216226">
        <w:rPr>
          <w:lang w:val="es-ES_tradnl"/>
        </w:rPr>
        <w:t xml:space="preserve">parte de la información no está actualizada (el informe disponible sobre tendencias de comportamiento en HSH, </w:t>
      </w:r>
      <w:r w:rsidR="00961B1B" w:rsidRPr="00216226">
        <w:rPr>
          <w:lang w:val="es-ES_tradnl"/>
        </w:rPr>
        <w:t xml:space="preserve">trabajadoras </w:t>
      </w:r>
      <w:r w:rsidRPr="00216226">
        <w:rPr>
          <w:lang w:val="es-ES_tradnl"/>
        </w:rPr>
        <w:t xml:space="preserve">sexuales y </w:t>
      </w:r>
      <w:r w:rsidR="00961B1B" w:rsidRPr="00216226">
        <w:rPr>
          <w:lang w:val="es-ES_tradnl"/>
        </w:rPr>
        <w:t xml:space="preserve">mujeres transgénero </w:t>
      </w:r>
      <w:r w:rsidRPr="00216226">
        <w:rPr>
          <w:lang w:val="es-ES_tradnl"/>
        </w:rPr>
        <w:t xml:space="preserve">es de 2012), </w:t>
      </w:r>
      <w:r w:rsidR="00961B1B" w:rsidRPr="00216226">
        <w:rPr>
          <w:lang w:val="es-ES_tradnl"/>
        </w:rPr>
        <w:t xml:space="preserve">no es </w:t>
      </w:r>
      <w:r w:rsidRPr="00216226">
        <w:rPr>
          <w:lang w:val="es-ES_tradnl"/>
        </w:rPr>
        <w:t>integral (tasas de positividad en los mismos grupos</w:t>
      </w:r>
      <w:r w:rsidR="00B61752" w:rsidRPr="00216226">
        <w:rPr>
          <w:lang w:val="es-ES_tradnl"/>
        </w:rPr>
        <w:t xml:space="preserve">), </w:t>
      </w:r>
      <w:r w:rsidR="00961B1B" w:rsidRPr="00216226">
        <w:rPr>
          <w:lang w:val="es-ES_tradnl"/>
        </w:rPr>
        <w:t>ni está</w:t>
      </w:r>
      <w:r w:rsidR="00B61752" w:rsidRPr="00216226">
        <w:rPr>
          <w:lang w:val="es-ES_tradnl"/>
        </w:rPr>
        <w:t xml:space="preserve"> complet</w:t>
      </w:r>
      <w:r w:rsidRPr="00216226">
        <w:rPr>
          <w:lang w:val="es-ES_tradnl"/>
        </w:rPr>
        <w:t>a</w:t>
      </w:r>
      <w:r w:rsidR="00B61752" w:rsidRPr="00216226">
        <w:rPr>
          <w:lang w:val="es-ES_tradnl"/>
        </w:rPr>
        <w:t xml:space="preserve"> </w:t>
      </w:r>
      <w:bookmarkEnd w:id="46"/>
      <w:r w:rsidRPr="00216226">
        <w:rPr>
          <w:lang w:val="es-ES_tradnl"/>
        </w:rPr>
        <w:t xml:space="preserve">(resultado del impacto e indicadores de excedentes para todos los grupos). Además, los informes de evaluación de los socios para el desarrollo indican que la </w:t>
      </w:r>
      <w:r w:rsidR="00961B1B" w:rsidRPr="00216226">
        <w:rPr>
          <w:lang w:val="es-ES_tradnl"/>
        </w:rPr>
        <w:t>insuficiencia</w:t>
      </w:r>
      <w:r w:rsidRPr="00216226">
        <w:rPr>
          <w:lang w:val="es-ES_tradnl"/>
        </w:rPr>
        <w:t xml:space="preserve"> de </w:t>
      </w:r>
      <w:r w:rsidR="00961B1B" w:rsidRPr="00216226">
        <w:rPr>
          <w:lang w:val="es-ES_tradnl"/>
        </w:rPr>
        <w:t xml:space="preserve">los </w:t>
      </w:r>
      <w:r w:rsidRPr="00216226">
        <w:rPr>
          <w:lang w:val="es-ES_tradnl"/>
        </w:rPr>
        <w:t>informes sigue siendo considerable (OPS, 2017). Si bien los esfuerzos realizados hasta ahora han contribuido a intervenciones y servicios más específicos, no está claro el impacto final que han tenido en los resultados de salud</w:t>
      </w:r>
      <w:r w:rsidR="00B61752" w:rsidRPr="00216226">
        <w:rPr>
          <w:lang w:val="es-ES_tradnl"/>
        </w:rPr>
        <w:t xml:space="preserve">. </w:t>
      </w:r>
    </w:p>
    <w:p w14:paraId="0388247B" w14:textId="7F1D801A" w:rsidR="00B61752" w:rsidRPr="00216226" w:rsidRDefault="00E2174D" w:rsidP="00B61752">
      <w:pPr>
        <w:tabs>
          <w:tab w:val="left" w:pos="2835"/>
        </w:tabs>
        <w:jc w:val="both"/>
        <w:rPr>
          <w:lang w:val="es-ES_tradnl"/>
        </w:rPr>
      </w:pPr>
      <w:r w:rsidRPr="00216226">
        <w:rPr>
          <w:lang w:val="es-ES_tradnl"/>
        </w:rPr>
        <w:t>El sistema actual no permite determinar cuántas PVVIH conocen su estado</w:t>
      </w:r>
      <w:r w:rsidR="00961B1B" w:rsidRPr="00216226">
        <w:rPr>
          <w:lang w:val="es-ES_tradnl"/>
        </w:rPr>
        <w:t xml:space="preserve"> ni</w:t>
      </w:r>
      <w:r w:rsidRPr="00216226">
        <w:rPr>
          <w:lang w:val="es-ES_tradnl"/>
        </w:rPr>
        <w:t xml:space="preserve"> cuántas de ellas están asociadas con una o más poblaciones clave</w:t>
      </w:r>
      <w:r w:rsidR="00B61752" w:rsidRPr="00216226">
        <w:rPr>
          <w:lang w:val="es-ES_tradnl"/>
        </w:rPr>
        <w:t xml:space="preserve">. </w:t>
      </w:r>
      <w:r w:rsidRPr="00216226">
        <w:rPr>
          <w:lang w:val="es-ES_tradnl"/>
        </w:rPr>
        <w:t>La falta de esta información hace que sea más difícil diseñar e implementar enfoques diferenciados para aumentar las tasas de positividad en las actividades de prueba y divulgación (</w:t>
      </w:r>
      <w:r w:rsidR="00961B1B" w:rsidRPr="00216226">
        <w:rPr>
          <w:lang w:val="es-ES_tradnl"/>
        </w:rPr>
        <w:t>encontrar</w:t>
      </w:r>
      <w:r w:rsidRPr="00216226">
        <w:rPr>
          <w:lang w:val="es-ES_tradnl"/>
        </w:rPr>
        <w:t xml:space="preserve"> casos) e innova</w:t>
      </w:r>
      <w:r w:rsidR="003B25E2" w:rsidRPr="00216226">
        <w:rPr>
          <w:lang w:val="es-ES_tradnl"/>
        </w:rPr>
        <w:t>ciones</w:t>
      </w:r>
      <w:r w:rsidRPr="00216226">
        <w:rPr>
          <w:lang w:val="es-ES_tradnl"/>
        </w:rPr>
        <w:t xml:space="preserve"> en las intervenciones de prevención</w:t>
      </w:r>
      <w:r w:rsidR="00B61752" w:rsidRPr="00216226">
        <w:rPr>
          <w:lang w:val="es-ES_tradnl"/>
        </w:rPr>
        <w:t xml:space="preserve">. </w:t>
      </w:r>
    </w:p>
    <w:p w14:paraId="18EC2C59" w14:textId="7A26E96F" w:rsidR="00B61752" w:rsidRPr="00216226" w:rsidRDefault="003B25E2" w:rsidP="00B61752">
      <w:pPr>
        <w:tabs>
          <w:tab w:val="left" w:pos="2835"/>
        </w:tabs>
        <w:jc w:val="both"/>
        <w:rPr>
          <w:lang w:val="es-ES_tradnl"/>
        </w:rPr>
      </w:pPr>
      <w:r w:rsidRPr="00216226">
        <w:rPr>
          <w:lang w:val="es-ES_tradnl"/>
        </w:rPr>
        <w:t xml:space="preserve">El sistema de información actual no permite un conocimiento preciso de la cantidad de </w:t>
      </w:r>
      <w:r w:rsidR="00DB2E29" w:rsidRPr="00216226">
        <w:rPr>
          <w:lang w:val="es-ES_tradnl"/>
        </w:rPr>
        <w:t>PVVIH</w:t>
      </w:r>
      <w:r w:rsidRPr="00216226">
        <w:rPr>
          <w:lang w:val="es-ES_tradnl"/>
        </w:rPr>
        <w:t xml:space="preserve"> vinculadas a los servicios de salud (los datos en cascada actuales provienen de las personas que reciben TARV y el estado anterior a la TARV en </w:t>
      </w:r>
      <w:r w:rsidR="00072F38">
        <w:rPr>
          <w:lang w:val="es-ES_tradnl"/>
        </w:rPr>
        <w:t>los SAI</w:t>
      </w:r>
      <w:r w:rsidRPr="00216226">
        <w:rPr>
          <w:lang w:val="es-ES_tradnl"/>
        </w:rPr>
        <w:t>) o las características de las PVVIH que no permanecen en el tratamiento</w:t>
      </w:r>
      <w:r w:rsidR="00B61752" w:rsidRPr="00216226">
        <w:rPr>
          <w:lang w:val="es-ES_tradnl"/>
        </w:rPr>
        <w:t xml:space="preserve">. </w:t>
      </w:r>
      <w:r w:rsidRPr="00216226">
        <w:rPr>
          <w:lang w:val="es-ES_tradnl"/>
        </w:rPr>
        <w:t>Esta brecha obstaculiza los esfuerzos para volver a vincular a las PVVIH o retenerlas en el sistema de salud</w:t>
      </w:r>
      <w:r w:rsidR="00B61752" w:rsidRPr="00216226">
        <w:rPr>
          <w:lang w:val="es-ES_tradnl"/>
        </w:rPr>
        <w:t xml:space="preserve">. </w:t>
      </w:r>
      <w:r w:rsidRPr="00216226">
        <w:rPr>
          <w:lang w:val="es-ES_tradnl"/>
        </w:rPr>
        <w:t xml:space="preserve">La implementación completa de un modelo de </w:t>
      </w:r>
      <w:r w:rsidRPr="00C033A0">
        <w:rPr>
          <w:i/>
          <w:lang w:val="es-ES_tradnl"/>
        </w:rPr>
        <w:t>UIC</w:t>
      </w:r>
      <w:r w:rsidRPr="00216226">
        <w:rPr>
          <w:lang w:val="es-ES_tradnl"/>
        </w:rPr>
        <w:t xml:space="preserve"> que incluya un registro del historial médico compartido por todos los actores y servicios en el continuo de la atención brindaría datos muy valiosos para informar mejores estrategias para la prevención y probar la divulgación, la vinculación y atención al sistema de salud</w:t>
      </w:r>
      <w:r w:rsidR="00B61752" w:rsidRPr="00216226">
        <w:rPr>
          <w:lang w:val="es-ES_tradnl"/>
        </w:rPr>
        <w:t xml:space="preserve">. </w:t>
      </w:r>
    </w:p>
    <w:p w14:paraId="692515C8" w14:textId="486332F3" w:rsidR="005D3854" w:rsidRPr="00216226" w:rsidRDefault="003B25E2" w:rsidP="00B61752">
      <w:pPr>
        <w:tabs>
          <w:tab w:val="left" w:pos="2835"/>
        </w:tabs>
        <w:jc w:val="both"/>
        <w:rPr>
          <w:lang w:val="es-ES_tradnl"/>
        </w:rPr>
      </w:pPr>
      <w:r w:rsidRPr="00216226">
        <w:rPr>
          <w:lang w:val="es-ES_tradnl"/>
        </w:rPr>
        <w:t>En resumen, SESAL, como organismo nacional de salud pública, carece de una visión global de la situación del VIH en el país, lo cual limita su capacidad de análisis crítico y planificación estratégica</w:t>
      </w:r>
      <w:r w:rsidR="00B61752" w:rsidRPr="00216226">
        <w:rPr>
          <w:lang w:val="es-ES_tradnl"/>
        </w:rPr>
        <w:t>.</w:t>
      </w:r>
      <w:r w:rsidR="009521F9" w:rsidRPr="00216226">
        <w:rPr>
          <w:lang w:val="es-ES_tradnl"/>
        </w:rPr>
        <w:t xml:space="preserve"> </w:t>
      </w:r>
    </w:p>
    <w:p w14:paraId="306484BD" w14:textId="77777777" w:rsidR="00F86812" w:rsidRPr="00216226" w:rsidRDefault="00F86812" w:rsidP="00B61752">
      <w:pPr>
        <w:tabs>
          <w:tab w:val="left" w:pos="2835"/>
        </w:tabs>
        <w:jc w:val="both"/>
        <w:rPr>
          <w:lang w:val="es-ES_tradnl"/>
        </w:rPr>
      </w:pPr>
    </w:p>
    <w:p w14:paraId="2F09783C" w14:textId="77777777" w:rsidR="00943294" w:rsidRPr="007234C9" w:rsidRDefault="00943294" w:rsidP="00943294">
      <w:pPr>
        <w:pStyle w:val="Heading3"/>
        <w:jc w:val="both"/>
        <w:rPr>
          <w:b w:val="0"/>
          <w:bCs/>
          <w:lang w:val="es-ES_tradnl"/>
        </w:rPr>
      </w:pPr>
      <w:bookmarkStart w:id="47" w:name="_Toc1067603"/>
      <w:r w:rsidRPr="00855F7A">
        <w:rPr>
          <w:b w:val="0"/>
          <w:bCs/>
          <w:lang w:val="es-ES_tradnl"/>
        </w:rPr>
        <w:lastRenderedPageBreak/>
        <w:t>Anexo</w:t>
      </w:r>
      <w:r>
        <w:rPr>
          <w:b w:val="0"/>
          <w:bCs/>
          <w:lang w:val="es-ES_tradnl"/>
        </w:rPr>
        <w:t xml:space="preserve"> 4 –</w:t>
      </w:r>
      <w:r w:rsidRPr="00855F7A">
        <w:rPr>
          <w:b w:val="0"/>
          <w:bCs/>
          <w:lang w:val="es-ES_tradnl"/>
        </w:rPr>
        <w:t xml:space="preserve"> </w:t>
      </w:r>
      <w:r>
        <w:rPr>
          <w:rFonts w:asciiTheme="majorHAnsi" w:hAnsiTheme="majorHAnsi" w:cstheme="majorHAnsi"/>
          <w:lang w:val="es-ES_tradnl"/>
        </w:rPr>
        <w:t>Objetivo 4</w:t>
      </w:r>
      <w:r w:rsidRPr="00855F7A">
        <w:rPr>
          <w:rFonts w:asciiTheme="majorHAnsi" w:hAnsiTheme="majorHAnsi" w:cstheme="majorHAnsi"/>
          <w:lang w:val="es-ES_tradnl"/>
        </w:rPr>
        <w:t xml:space="preserve">. Análisis </w:t>
      </w:r>
    </w:p>
    <w:p w14:paraId="05015549" w14:textId="28EF3577" w:rsidR="00B61752" w:rsidRPr="00943294" w:rsidRDefault="00943294" w:rsidP="00943294">
      <w:pPr>
        <w:jc w:val="both"/>
        <w:rPr>
          <w:b/>
          <w:i/>
          <w:color w:val="008DB8"/>
          <w:lang w:val="es-ES_tradnl"/>
        </w:rPr>
      </w:pPr>
      <w:r w:rsidRPr="00855F7A">
        <w:rPr>
          <w:rStyle w:val="Heading2Char"/>
          <w:lang w:val="es-ES_tradnl"/>
        </w:rPr>
        <w:t>Objetivo 4.</w:t>
      </w:r>
      <w:bookmarkEnd w:id="47"/>
      <w:r w:rsidRPr="00855F7A">
        <w:rPr>
          <w:b/>
          <w:i/>
          <w:color w:val="008DB8"/>
          <w:sz w:val="24"/>
          <w:szCs w:val="24"/>
          <w:lang w:val="es-ES_tradnl"/>
        </w:rPr>
        <w:t xml:space="preserve"> </w:t>
      </w:r>
      <w:r w:rsidRPr="00855F7A">
        <w:rPr>
          <w:rFonts w:asciiTheme="majorHAnsi" w:hAnsiTheme="majorHAnsi" w:cstheme="majorHAnsi"/>
          <w:b/>
          <w:lang w:val="es-ES_tradnl"/>
        </w:rPr>
        <w:t>Evaluar hasta qué punto las inversiones del Fondo Mundial han ayudado a los países a prepararse financiera y programáticamente para una respuesta sostenible a las tres enfermedades.</w:t>
      </w:r>
    </w:p>
    <w:p w14:paraId="51A703E0" w14:textId="44E54CA2" w:rsidR="00184970" w:rsidRPr="00216226" w:rsidRDefault="00773E63" w:rsidP="00184970">
      <w:pPr>
        <w:pStyle w:val="Heading3"/>
        <w:rPr>
          <w:lang w:val="es-ES_tradnl"/>
        </w:rPr>
      </w:pPr>
      <w:bookmarkStart w:id="48" w:name="_Toc1149178"/>
      <w:r w:rsidRPr="00216226">
        <w:rPr>
          <w:lang w:val="es-ES_tradnl"/>
        </w:rPr>
        <w:t xml:space="preserve">Tablero de mando de los Indicadores Clave del </w:t>
      </w:r>
      <w:r w:rsidR="003E78F0" w:rsidRPr="00216226">
        <w:rPr>
          <w:lang w:val="es-ES_tradnl"/>
        </w:rPr>
        <w:t>Objetivo</w:t>
      </w:r>
      <w:r w:rsidR="00184970" w:rsidRPr="00216226">
        <w:rPr>
          <w:lang w:val="es-ES_tradnl"/>
        </w:rPr>
        <w:t xml:space="preserve"> 4 </w:t>
      </w:r>
      <w:bookmarkEnd w:id="48"/>
    </w:p>
    <w:tbl>
      <w:tblPr>
        <w:tblStyle w:val="a3"/>
        <w:tblW w:w="4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4086"/>
      </w:tblGrid>
      <w:tr w:rsidR="003168D3" w:rsidRPr="009A4A93" w14:paraId="415F9840" w14:textId="77777777" w:rsidTr="00CB5827">
        <w:trPr>
          <w:trHeight w:val="60"/>
        </w:trPr>
        <w:tc>
          <w:tcPr>
            <w:tcW w:w="4891" w:type="dxa"/>
            <w:gridSpan w:val="2"/>
            <w:shd w:val="clear" w:color="auto" w:fill="F2F2F2"/>
            <w:vAlign w:val="center"/>
          </w:tcPr>
          <w:p w14:paraId="65E94742" w14:textId="2FF93814" w:rsidR="003168D3" w:rsidRPr="00216226" w:rsidRDefault="00A61B0A" w:rsidP="00CB5827">
            <w:pPr>
              <w:spacing w:after="0" w:line="240" w:lineRule="auto"/>
              <w:rPr>
                <w:b/>
                <w:color w:val="808080"/>
                <w:sz w:val="20"/>
                <w:szCs w:val="20"/>
                <w:lang w:val="es-ES_tradnl"/>
              </w:rPr>
            </w:pPr>
            <w:r w:rsidRPr="00216226">
              <w:rPr>
                <w:b/>
                <w:sz w:val="20"/>
                <w:szCs w:val="20"/>
                <w:lang w:val="es-ES_tradnl"/>
              </w:rPr>
              <w:t>Claves del Tablero de mando</w:t>
            </w:r>
          </w:p>
        </w:tc>
      </w:tr>
      <w:tr w:rsidR="003168D3" w:rsidRPr="00216226" w14:paraId="7799B973" w14:textId="77777777" w:rsidTr="00CB5827">
        <w:trPr>
          <w:trHeight w:val="280"/>
        </w:trPr>
        <w:tc>
          <w:tcPr>
            <w:tcW w:w="805" w:type="dxa"/>
            <w:shd w:val="clear" w:color="auto" w:fill="C00000"/>
          </w:tcPr>
          <w:p w14:paraId="0B60B0F6" w14:textId="77777777" w:rsidR="003168D3" w:rsidRPr="00216226" w:rsidRDefault="003168D3" w:rsidP="00CB5827">
            <w:pPr>
              <w:spacing w:after="0" w:line="240" w:lineRule="auto"/>
              <w:rPr>
                <w:b/>
                <w:color w:val="000000" w:themeColor="text1"/>
                <w:sz w:val="20"/>
                <w:szCs w:val="20"/>
                <w:lang w:val="es-ES_tradnl"/>
              </w:rPr>
            </w:pPr>
            <w:r w:rsidRPr="00216226">
              <w:rPr>
                <w:b/>
                <w:color w:val="000000" w:themeColor="text1"/>
                <w:sz w:val="20"/>
                <w:szCs w:val="20"/>
                <w:lang w:val="es-ES_tradnl"/>
              </w:rPr>
              <w:t>1</w:t>
            </w:r>
          </w:p>
        </w:tc>
        <w:tc>
          <w:tcPr>
            <w:tcW w:w="4086" w:type="dxa"/>
          </w:tcPr>
          <w:p w14:paraId="17717B73" w14:textId="0850D4C4" w:rsidR="003168D3" w:rsidRPr="00216226" w:rsidRDefault="00A61B0A" w:rsidP="00CB5827">
            <w:pPr>
              <w:spacing w:after="0" w:line="240" w:lineRule="auto"/>
              <w:rPr>
                <w:sz w:val="20"/>
                <w:szCs w:val="20"/>
                <w:lang w:val="es-ES_tradnl"/>
              </w:rPr>
            </w:pPr>
            <w:r w:rsidRPr="00216226">
              <w:rPr>
                <w:sz w:val="20"/>
                <w:szCs w:val="20"/>
                <w:lang w:val="es-ES_tradnl"/>
              </w:rPr>
              <w:t>Muy bajo</w:t>
            </w:r>
          </w:p>
        </w:tc>
      </w:tr>
      <w:tr w:rsidR="003168D3" w:rsidRPr="00216226" w14:paraId="589BB458" w14:textId="77777777" w:rsidTr="00CB5827">
        <w:trPr>
          <w:trHeight w:val="60"/>
        </w:trPr>
        <w:tc>
          <w:tcPr>
            <w:tcW w:w="805" w:type="dxa"/>
            <w:shd w:val="clear" w:color="auto" w:fill="FF9300"/>
          </w:tcPr>
          <w:p w14:paraId="5F6C6657" w14:textId="77777777" w:rsidR="003168D3" w:rsidRPr="00216226" w:rsidRDefault="003168D3" w:rsidP="00CB5827">
            <w:pPr>
              <w:spacing w:after="0" w:line="240" w:lineRule="auto"/>
              <w:rPr>
                <w:b/>
                <w:sz w:val="20"/>
                <w:szCs w:val="20"/>
                <w:lang w:val="es-ES_tradnl"/>
              </w:rPr>
            </w:pPr>
            <w:r w:rsidRPr="00216226">
              <w:rPr>
                <w:b/>
                <w:sz w:val="20"/>
                <w:szCs w:val="20"/>
                <w:lang w:val="es-ES_tradnl"/>
              </w:rPr>
              <w:t>2</w:t>
            </w:r>
          </w:p>
        </w:tc>
        <w:tc>
          <w:tcPr>
            <w:tcW w:w="4086" w:type="dxa"/>
          </w:tcPr>
          <w:p w14:paraId="5C9EF14B" w14:textId="1FD72586" w:rsidR="003168D3" w:rsidRPr="00216226" w:rsidRDefault="00A61B0A" w:rsidP="00CB5827">
            <w:pPr>
              <w:spacing w:after="0" w:line="240" w:lineRule="auto"/>
              <w:rPr>
                <w:sz w:val="20"/>
                <w:szCs w:val="20"/>
                <w:lang w:val="es-ES_tradnl"/>
              </w:rPr>
            </w:pPr>
            <w:r w:rsidRPr="00216226">
              <w:rPr>
                <w:sz w:val="20"/>
                <w:szCs w:val="20"/>
                <w:lang w:val="es-ES_tradnl"/>
              </w:rPr>
              <w:t>Bajo</w:t>
            </w:r>
          </w:p>
        </w:tc>
      </w:tr>
      <w:tr w:rsidR="003168D3" w:rsidRPr="00216226" w14:paraId="3B3A9C08" w14:textId="77777777" w:rsidTr="00CB5827">
        <w:trPr>
          <w:trHeight w:val="60"/>
        </w:trPr>
        <w:tc>
          <w:tcPr>
            <w:tcW w:w="805" w:type="dxa"/>
            <w:shd w:val="clear" w:color="auto" w:fill="FFD965"/>
          </w:tcPr>
          <w:p w14:paraId="68627599" w14:textId="77777777" w:rsidR="003168D3" w:rsidRPr="00216226" w:rsidRDefault="003168D3" w:rsidP="00CB5827">
            <w:pPr>
              <w:spacing w:after="0" w:line="240" w:lineRule="auto"/>
              <w:rPr>
                <w:b/>
                <w:sz w:val="20"/>
                <w:szCs w:val="20"/>
                <w:lang w:val="es-ES_tradnl"/>
              </w:rPr>
            </w:pPr>
            <w:r w:rsidRPr="00216226">
              <w:rPr>
                <w:b/>
                <w:sz w:val="20"/>
                <w:szCs w:val="20"/>
                <w:lang w:val="es-ES_tradnl"/>
              </w:rPr>
              <w:t>3</w:t>
            </w:r>
          </w:p>
        </w:tc>
        <w:tc>
          <w:tcPr>
            <w:tcW w:w="4086" w:type="dxa"/>
          </w:tcPr>
          <w:p w14:paraId="2446626C" w14:textId="1422FBF3" w:rsidR="003168D3" w:rsidRPr="00216226" w:rsidRDefault="00A61B0A" w:rsidP="00CB5827">
            <w:pPr>
              <w:spacing w:after="0" w:line="240" w:lineRule="auto"/>
              <w:rPr>
                <w:sz w:val="20"/>
                <w:szCs w:val="20"/>
                <w:lang w:val="es-ES_tradnl"/>
              </w:rPr>
            </w:pPr>
            <w:r w:rsidRPr="00216226">
              <w:rPr>
                <w:sz w:val="20"/>
                <w:szCs w:val="20"/>
                <w:lang w:val="es-ES_tradnl"/>
              </w:rPr>
              <w:t>Moderado</w:t>
            </w:r>
          </w:p>
        </w:tc>
      </w:tr>
      <w:tr w:rsidR="003168D3" w:rsidRPr="00216226" w14:paraId="645CCFE9" w14:textId="77777777" w:rsidTr="00CB5827">
        <w:trPr>
          <w:trHeight w:val="60"/>
        </w:trPr>
        <w:tc>
          <w:tcPr>
            <w:tcW w:w="805" w:type="dxa"/>
            <w:shd w:val="clear" w:color="auto" w:fill="A8D08D"/>
          </w:tcPr>
          <w:p w14:paraId="5280ADBB" w14:textId="77777777" w:rsidR="003168D3" w:rsidRPr="00216226" w:rsidRDefault="003168D3" w:rsidP="00CB5827">
            <w:pPr>
              <w:spacing w:after="0" w:line="240" w:lineRule="auto"/>
              <w:rPr>
                <w:b/>
                <w:sz w:val="20"/>
                <w:szCs w:val="20"/>
                <w:lang w:val="es-ES_tradnl"/>
              </w:rPr>
            </w:pPr>
            <w:r w:rsidRPr="00216226">
              <w:rPr>
                <w:b/>
                <w:sz w:val="20"/>
                <w:szCs w:val="20"/>
                <w:lang w:val="es-ES_tradnl"/>
              </w:rPr>
              <w:t>4</w:t>
            </w:r>
          </w:p>
        </w:tc>
        <w:tc>
          <w:tcPr>
            <w:tcW w:w="4086" w:type="dxa"/>
          </w:tcPr>
          <w:p w14:paraId="2D95BC12" w14:textId="3CE63AC4" w:rsidR="003168D3" w:rsidRPr="00216226" w:rsidRDefault="00A61B0A" w:rsidP="00CB5827">
            <w:pPr>
              <w:spacing w:after="0" w:line="240" w:lineRule="auto"/>
              <w:rPr>
                <w:sz w:val="20"/>
                <w:szCs w:val="20"/>
                <w:lang w:val="es-ES_tradnl"/>
              </w:rPr>
            </w:pPr>
            <w:r w:rsidRPr="00216226">
              <w:rPr>
                <w:sz w:val="20"/>
                <w:szCs w:val="20"/>
                <w:lang w:val="es-ES_tradnl"/>
              </w:rPr>
              <w:t>Bueno</w:t>
            </w:r>
            <w:r w:rsidR="003168D3" w:rsidRPr="00216226">
              <w:rPr>
                <w:sz w:val="20"/>
                <w:szCs w:val="20"/>
                <w:lang w:val="es-ES_tradnl"/>
              </w:rPr>
              <w:t xml:space="preserve"> </w:t>
            </w:r>
          </w:p>
        </w:tc>
      </w:tr>
    </w:tbl>
    <w:tbl>
      <w:tblPr>
        <w:tblStyle w:val="TableGrid"/>
        <w:tblW w:w="0" w:type="auto"/>
        <w:tblLook w:val="04A0" w:firstRow="1" w:lastRow="0" w:firstColumn="1" w:lastColumn="0" w:noHBand="0" w:noVBand="1"/>
      </w:tblPr>
      <w:tblGrid>
        <w:gridCol w:w="3870"/>
        <w:gridCol w:w="1255"/>
        <w:gridCol w:w="3891"/>
      </w:tblGrid>
      <w:tr w:rsidR="00184970" w:rsidRPr="00216226" w14:paraId="6C2A20AE" w14:textId="77777777" w:rsidTr="00CB5827">
        <w:tc>
          <w:tcPr>
            <w:tcW w:w="4045" w:type="dxa"/>
            <w:shd w:val="clear" w:color="auto" w:fill="F2F2F2" w:themeFill="background1" w:themeFillShade="F2"/>
          </w:tcPr>
          <w:p w14:paraId="0F4C7D0C" w14:textId="1244DDA4" w:rsidR="00184970" w:rsidRPr="00216226" w:rsidRDefault="00184970" w:rsidP="00CB5827">
            <w:pPr>
              <w:pStyle w:val="Header"/>
              <w:rPr>
                <w:rFonts w:asciiTheme="majorHAnsi" w:hAnsiTheme="majorHAnsi" w:cstheme="majorHAnsi"/>
                <w:b/>
                <w:lang w:val="es-ES_tradnl"/>
              </w:rPr>
            </w:pPr>
            <w:r w:rsidRPr="00216226">
              <w:rPr>
                <w:rFonts w:asciiTheme="majorHAnsi" w:hAnsiTheme="majorHAnsi" w:cstheme="majorHAnsi"/>
                <w:b/>
                <w:lang w:val="es-ES_tradnl"/>
              </w:rPr>
              <w:t>Indica</w:t>
            </w:r>
            <w:r w:rsidR="006A6E68" w:rsidRPr="00216226">
              <w:rPr>
                <w:rFonts w:asciiTheme="majorHAnsi" w:hAnsiTheme="majorHAnsi" w:cstheme="majorHAnsi"/>
                <w:b/>
                <w:lang w:val="es-ES_tradnl"/>
              </w:rPr>
              <w:t>d</w:t>
            </w:r>
            <w:r w:rsidRPr="00216226">
              <w:rPr>
                <w:rFonts w:asciiTheme="majorHAnsi" w:hAnsiTheme="majorHAnsi" w:cstheme="majorHAnsi"/>
                <w:b/>
                <w:lang w:val="es-ES_tradnl"/>
              </w:rPr>
              <w:t>or</w:t>
            </w:r>
          </w:p>
        </w:tc>
        <w:tc>
          <w:tcPr>
            <w:tcW w:w="900" w:type="dxa"/>
            <w:shd w:val="clear" w:color="auto" w:fill="F2F2F2" w:themeFill="background1" w:themeFillShade="F2"/>
          </w:tcPr>
          <w:p w14:paraId="0465F294" w14:textId="5B84E59C" w:rsidR="00184970" w:rsidRPr="00216226" w:rsidRDefault="00AA352A" w:rsidP="00CB5827">
            <w:pPr>
              <w:pStyle w:val="Header"/>
              <w:rPr>
                <w:rFonts w:asciiTheme="majorHAnsi" w:hAnsiTheme="majorHAnsi" w:cstheme="majorHAnsi"/>
                <w:b/>
                <w:lang w:val="es-ES_tradnl"/>
              </w:rPr>
            </w:pPr>
            <w:r w:rsidRPr="00216226">
              <w:rPr>
                <w:rFonts w:asciiTheme="majorHAnsi" w:hAnsiTheme="majorHAnsi" w:cstheme="majorHAnsi"/>
                <w:b/>
                <w:lang w:val="es-ES_tradnl"/>
              </w:rPr>
              <w:t>Puntuación</w:t>
            </w:r>
          </w:p>
        </w:tc>
        <w:tc>
          <w:tcPr>
            <w:tcW w:w="4071" w:type="dxa"/>
            <w:shd w:val="clear" w:color="auto" w:fill="F2F2F2" w:themeFill="background1" w:themeFillShade="F2"/>
          </w:tcPr>
          <w:p w14:paraId="5617DA9A" w14:textId="491BB576" w:rsidR="00184970" w:rsidRPr="00216226" w:rsidRDefault="00A61B0A" w:rsidP="00CB5827">
            <w:pPr>
              <w:pStyle w:val="Header"/>
              <w:rPr>
                <w:rFonts w:asciiTheme="majorHAnsi" w:hAnsiTheme="majorHAnsi" w:cstheme="majorHAnsi"/>
                <w:b/>
                <w:lang w:val="es-ES_tradnl"/>
              </w:rPr>
            </w:pPr>
            <w:r w:rsidRPr="00216226">
              <w:rPr>
                <w:rFonts w:asciiTheme="majorHAnsi" w:hAnsiTheme="majorHAnsi" w:cstheme="majorHAnsi"/>
                <w:b/>
                <w:lang w:val="es-ES_tradnl"/>
              </w:rPr>
              <w:t>Justificación</w:t>
            </w:r>
          </w:p>
        </w:tc>
      </w:tr>
      <w:tr w:rsidR="00184970" w:rsidRPr="009A4A93" w14:paraId="43390D01" w14:textId="77777777" w:rsidTr="003168D3">
        <w:tc>
          <w:tcPr>
            <w:tcW w:w="4045" w:type="dxa"/>
            <w:vAlign w:val="bottom"/>
          </w:tcPr>
          <w:p w14:paraId="2734B224" w14:textId="44514FE4" w:rsidR="00184970" w:rsidRPr="00216226" w:rsidRDefault="006A6E68" w:rsidP="00CB5827">
            <w:pPr>
              <w:rPr>
                <w:rFonts w:asciiTheme="majorHAnsi" w:hAnsiTheme="majorHAnsi" w:cstheme="majorHAnsi"/>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fármacos para el tratamiento</w:t>
            </w:r>
          </w:p>
        </w:tc>
        <w:tc>
          <w:tcPr>
            <w:tcW w:w="900" w:type="dxa"/>
            <w:shd w:val="clear" w:color="auto" w:fill="9BBB59" w:themeFill="accent3"/>
          </w:tcPr>
          <w:p w14:paraId="2BA2DD88"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4</w:t>
            </w:r>
          </w:p>
        </w:tc>
        <w:tc>
          <w:tcPr>
            <w:tcW w:w="4071" w:type="dxa"/>
          </w:tcPr>
          <w:p w14:paraId="221964B4" w14:textId="48D1C3E1" w:rsidR="00184970" w:rsidRPr="00216226" w:rsidRDefault="003B25E2" w:rsidP="00CB5827">
            <w:pPr>
              <w:pStyle w:val="Header"/>
              <w:rPr>
                <w:rFonts w:asciiTheme="majorHAnsi" w:hAnsiTheme="majorHAnsi" w:cstheme="majorHAnsi"/>
                <w:lang w:val="es-ES_tradnl"/>
              </w:rPr>
            </w:pPr>
            <w:r w:rsidRPr="00216226">
              <w:rPr>
                <w:rFonts w:asciiTheme="majorHAnsi" w:hAnsiTheme="majorHAnsi" w:cstheme="majorHAnsi"/>
                <w:lang w:val="es-ES_tradnl"/>
              </w:rPr>
              <w:t>Honduras cubre el 93-98% (las cifras varían según la fuente) de la compra de TARV con fondos públicos domésticos. Sin embargo, el sistema público sólo cubre el 8</w:t>
            </w:r>
            <w:r w:rsidR="00F52BCD" w:rsidRPr="00216226">
              <w:rPr>
                <w:rFonts w:asciiTheme="majorHAnsi" w:hAnsiTheme="majorHAnsi" w:cstheme="majorHAnsi"/>
                <w:lang w:val="es-ES_tradnl"/>
              </w:rPr>
              <w:t>.</w:t>
            </w:r>
            <w:r w:rsidRPr="00216226">
              <w:rPr>
                <w:rFonts w:asciiTheme="majorHAnsi" w:hAnsiTheme="majorHAnsi" w:cstheme="majorHAnsi"/>
                <w:lang w:val="es-ES_tradnl"/>
              </w:rPr>
              <w:t>8% del tratamiento ambulatorio de las OI; la gran mayoría es gasto directo.</w:t>
            </w:r>
          </w:p>
        </w:tc>
      </w:tr>
      <w:tr w:rsidR="00184970" w:rsidRPr="009A4A93" w14:paraId="7DC27FA9" w14:textId="77777777" w:rsidTr="003168D3">
        <w:tc>
          <w:tcPr>
            <w:tcW w:w="4045" w:type="dxa"/>
            <w:vAlign w:val="bottom"/>
          </w:tcPr>
          <w:p w14:paraId="7EB4C15E" w14:textId="2518379A" w:rsidR="00184970" w:rsidRPr="00216226" w:rsidRDefault="006A6E68" w:rsidP="00CB5827">
            <w:pPr>
              <w:rPr>
                <w:rFonts w:asciiTheme="majorHAnsi" w:hAnsiTheme="majorHAnsi" w:cstheme="majorHAnsi"/>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productos básicos de diagnóstico</w:t>
            </w:r>
          </w:p>
        </w:tc>
        <w:tc>
          <w:tcPr>
            <w:tcW w:w="900" w:type="dxa"/>
            <w:shd w:val="clear" w:color="auto" w:fill="E36C0A" w:themeFill="accent6" w:themeFillShade="BF"/>
          </w:tcPr>
          <w:p w14:paraId="776B2377"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2</w:t>
            </w:r>
          </w:p>
        </w:tc>
        <w:tc>
          <w:tcPr>
            <w:tcW w:w="4071" w:type="dxa"/>
          </w:tcPr>
          <w:p w14:paraId="643C70DB" w14:textId="4B0B9A79" w:rsidR="00184970" w:rsidRPr="00216226" w:rsidRDefault="00F52BCD" w:rsidP="00943294">
            <w:pPr>
              <w:pStyle w:val="Header"/>
              <w:rPr>
                <w:rFonts w:asciiTheme="majorHAnsi" w:hAnsiTheme="majorHAnsi" w:cstheme="majorHAnsi"/>
                <w:lang w:val="es-ES_tradnl"/>
              </w:rPr>
            </w:pPr>
            <w:r w:rsidRPr="00216226">
              <w:rPr>
                <w:rFonts w:asciiTheme="majorHAnsi" w:hAnsiTheme="majorHAnsi" w:cstheme="majorHAnsi"/>
                <w:lang w:val="es-ES_tradnl"/>
              </w:rPr>
              <w:t xml:space="preserve">En general, los recursos domésticos cubren el 27.6% del </w:t>
            </w:r>
            <w:r w:rsidR="00943294" w:rsidRPr="00943294">
              <w:rPr>
                <w:rFonts w:asciiTheme="majorHAnsi" w:hAnsiTheme="majorHAnsi" w:cstheme="majorHAnsi"/>
                <w:lang w:val="es-ES_tradnl"/>
              </w:rPr>
              <w:t xml:space="preserve">asesoramiento y pruebas </w:t>
            </w:r>
            <w:r w:rsidR="00943294">
              <w:rPr>
                <w:rFonts w:asciiTheme="majorHAnsi" w:hAnsiTheme="majorHAnsi" w:cstheme="majorHAnsi"/>
                <w:lang w:val="es-ES_tradnl"/>
              </w:rPr>
              <w:t xml:space="preserve">del VIH </w:t>
            </w:r>
            <w:r w:rsidR="00943294" w:rsidRPr="00943294">
              <w:rPr>
                <w:rFonts w:asciiTheme="majorHAnsi" w:hAnsiTheme="majorHAnsi" w:cstheme="majorHAnsi"/>
                <w:lang w:val="es-ES_tradnl"/>
              </w:rPr>
              <w:t>con carácter voluntario</w:t>
            </w:r>
            <w:r w:rsidRPr="00216226">
              <w:rPr>
                <w:rFonts w:asciiTheme="majorHAnsi" w:hAnsiTheme="majorHAnsi" w:cstheme="majorHAnsi"/>
                <w:lang w:val="es-ES_tradnl"/>
              </w:rPr>
              <w:t xml:space="preserve">, pero no para poblaciones clave como HSH, </w:t>
            </w:r>
            <w:r w:rsidR="00961B1B" w:rsidRPr="00216226">
              <w:rPr>
                <w:rFonts w:asciiTheme="majorHAnsi" w:hAnsiTheme="majorHAnsi" w:cstheme="majorHAnsi"/>
                <w:lang w:val="es-ES_tradnl"/>
              </w:rPr>
              <w:t xml:space="preserve">mujeres </w:t>
            </w:r>
            <w:r w:rsidR="00453B71">
              <w:rPr>
                <w:rFonts w:asciiTheme="majorHAnsi" w:hAnsiTheme="majorHAnsi" w:cstheme="majorHAnsi"/>
                <w:lang w:val="es-ES_tradnl"/>
              </w:rPr>
              <w:t xml:space="preserve">transgénero </w:t>
            </w:r>
            <w:r w:rsidRPr="00216226">
              <w:rPr>
                <w:rFonts w:asciiTheme="majorHAnsi" w:hAnsiTheme="majorHAnsi" w:cstheme="majorHAnsi"/>
                <w:lang w:val="es-ES_tradnl"/>
              </w:rPr>
              <w:t xml:space="preserve">y </w:t>
            </w:r>
            <w:r w:rsidR="00961B1B" w:rsidRPr="00216226">
              <w:rPr>
                <w:rFonts w:asciiTheme="majorHAnsi" w:hAnsiTheme="majorHAnsi" w:cstheme="majorHAnsi"/>
                <w:lang w:val="es-ES_tradnl"/>
              </w:rPr>
              <w:t xml:space="preserve">trabajadoras </w:t>
            </w:r>
            <w:r w:rsidRPr="00216226">
              <w:rPr>
                <w:rFonts w:asciiTheme="majorHAnsi" w:hAnsiTheme="majorHAnsi" w:cstheme="majorHAnsi"/>
                <w:lang w:val="es-ES_tradnl"/>
              </w:rPr>
              <w:t>sexuales, donde su contribución es del 0%. Las pruebas de ITS se financian a nivel nacional en más del 60%, excepto para HSH, que es menos del 40%. El país no cubre los costos de CD4 o las pruebas de carga viral</w:t>
            </w:r>
          </w:p>
        </w:tc>
      </w:tr>
      <w:tr w:rsidR="00184970" w:rsidRPr="009A4A93" w14:paraId="132AF959" w14:textId="77777777" w:rsidTr="003168D3">
        <w:tc>
          <w:tcPr>
            <w:tcW w:w="4045" w:type="dxa"/>
            <w:vAlign w:val="bottom"/>
          </w:tcPr>
          <w:p w14:paraId="29A86B22" w14:textId="295E0FC2" w:rsidR="00184970" w:rsidRPr="00216226" w:rsidRDefault="006A6E68" w:rsidP="00CB5827">
            <w:pPr>
              <w:rPr>
                <w:rFonts w:asciiTheme="majorHAnsi" w:hAnsiTheme="majorHAnsi" w:cstheme="majorHAnsi"/>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adherencia / apoyo social</w:t>
            </w:r>
          </w:p>
        </w:tc>
        <w:tc>
          <w:tcPr>
            <w:tcW w:w="900" w:type="dxa"/>
            <w:shd w:val="clear" w:color="auto" w:fill="C00000"/>
          </w:tcPr>
          <w:p w14:paraId="3D22D131"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1</w:t>
            </w:r>
          </w:p>
        </w:tc>
        <w:tc>
          <w:tcPr>
            <w:tcW w:w="4071" w:type="dxa"/>
          </w:tcPr>
          <w:p w14:paraId="7BC01678" w14:textId="3A4AAECA"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lang w:val="es-ES_tradnl"/>
              </w:rPr>
              <w:t>No hay financiamiento nacional en esta categoría, excepto para la transferencia de efectivo como parte del sistema de bienestar social, no específico del VIH</w:t>
            </w:r>
            <w:r w:rsidR="00184970" w:rsidRPr="00216226">
              <w:rPr>
                <w:rFonts w:asciiTheme="majorHAnsi" w:hAnsiTheme="majorHAnsi" w:cstheme="majorHAnsi"/>
                <w:lang w:val="es-ES_tradnl"/>
              </w:rPr>
              <w:t>.</w:t>
            </w:r>
          </w:p>
        </w:tc>
      </w:tr>
      <w:tr w:rsidR="00184970" w:rsidRPr="009A4A93" w14:paraId="2BF2963C" w14:textId="77777777" w:rsidTr="003168D3">
        <w:tc>
          <w:tcPr>
            <w:tcW w:w="4045" w:type="dxa"/>
            <w:vAlign w:val="bottom"/>
          </w:tcPr>
          <w:p w14:paraId="72AC99A1" w14:textId="560FA707" w:rsidR="00184970" w:rsidRPr="00216226" w:rsidRDefault="006A6E68" w:rsidP="00CB5827">
            <w:pPr>
              <w:rPr>
                <w:rFonts w:asciiTheme="majorHAnsi" w:hAnsiTheme="majorHAnsi" w:cstheme="majorHAnsi"/>
                <w:b/>
                <w:bCs/>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prestación de servicios dirigida por OSC</w:t>
            </w:r>
          </w:p>
        </w:tc>
        <w:tc>
          <w:tcPr>
            <w:tcW w:w="900" w:type="dxa"/>
            <w:shd w:val="clear" w:color="auto" w:fill="C00000"/>
          </w:tcPr>
          <w:p w14:paraId="628EAE92"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1</w:t>
            </w:r>
          </w:p>
        </w:tc>
        <w:tc>
          <w:tcPr>
            <w:tcW w:w="4071" w:type="dxa"/>
          </w:tcPr>
          <w:p w14:paraId="16CC0543" w14:textId="0A3C33BB"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lang w:val="es-ES_tradnl"/>
              </w:rPr>
              <w:t>No se conocen contribuciones a los servicios dirigidos por OSC en VIH apoyados por recursos domésticos</w:t>
            </w:r>
            <w:r w:rsidR="00184970" w:rsidRPr="00216226">
              <w:rPr>
                <w:rFonts w:asciiTheme="majorHAnsi" w:hAnsiTheme="majorHAnsi" w:cstheme="majorHAnsi"/>
                <w:lang w:val="es-ES_tradnl"/>
              </w:rPr>
              <w:t xml:space="preserve">. </w:t>
            </w:r>
          </w:p>
        </w:tc>
      </w:tr>
      <w:tr w:rsidR="00184970" w:rsidRPr="00216226" w14:paraId="03A447DC" w14:textId="77777777" w:rsidTr="003168D3">
        <w:tc>
          <w:tcPr>
            <w:tcW w:w="4045" w:type="dxa"/>
            <w:vAlign w:val="bottom"/>
          </w:tcPr>
          <w:p w14:paraId="147A4CCC" w14:textId="6FE2B344" w:rsidR="00184970" w:rsidRPr="00216226" w:rsidRDefault="006A6E68" w:rsidP="00CB5827">
            <w:pPr>
              <w:rPr>
                <w:rFonts w:asciiTheme="majorHAnsi" w:hAnsiTheme="majorHAnsi" w:cstheme="majorHAnsi"/>
                <w:b/>
                <w:bCs/>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productos básicos para la prevención</w:t>
            </w:r>
          </w:p>
        </w:tc>
        <w:tc>
          <w:tcPr>
            <w:tcW w:w="900" w:type="dxa"/>
            <w:shd w:val="clear" w:color="auto" w:fill="9BBB59" w:themeFill="accent3"/>
          </w:tcPr>
          <w:p w14:paraId="32E0EF26"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4</w:t>
            </w:r>
          </w:p>
        </w:tc>
        <w:tc>
          <w:tcPr>
            <w:tcW w:w="4071" w:type="dxa"/>
          </w:tcPr>
          <w:p w14:paraId="7A4351C1" w14:textId="17B438F6"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lang w:val="es-ES_tradnl"/>
              </w:rPr>
              <w:t>La gran mayoría de los gastos de condones son privados nacionales (la compra directa a través de tiendas minoristas es del 90%). No hay compra pública nacional de lubricantes</w:t>
            </w:r>
          </w:p>
        </w:tc>
      </w:tr>
      <w:tr w:rsidR="00184970" w:rsidRPr="009A4A93" w14:paraId="22456C42" w14:textId="77777777" w:rsidTr="003168D3">
        <w:tc>
          <w:tcPr>
            <w:tcW w:w="4045" w:type="dxa"/>
            <w:vAlign w:val="bottom"/>
          </w:tcPr>
          <w:p w14:paraId="50658861" w14:textId="4D494892" w:rsidR="00184970" w:rsidRPr="00216226" w:rsidRDefault="006A6E68" w:rsidP="00CB5827">
            <w:pPr>
              <w:rPr>
                <w:rFonts w:asciiTheme="majorHAnsi" w:hAnsiTheme="majorHAnsi" w:cstheme="majorHAnsi"/>
                <w:b/>
                <w:bCs/>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vigilancia / información estratégica</w:t>
            </w:r>
          </w:p>
        </w:tc>
        <w:tc>
          <w:tcPr>
            <w:tcW w:w="900" w:type="dxa"/>
            <w:shd w:val="clear" w:color="auto" w:fill="C00000"/>
          </w:tcPr>
          <w:p w14:paraId="622DD9B0"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1</w:t>
            </w:r>
          </w:p>
        </w:tc>
        <w:tc>
          <w:tcPr>
            <w:tcW w:w="4071" w:type="dxa"/>
          </w:tcPr>
          <w:p w14:paraId="140516B9" w14:textId="0F42418D"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lang w:val="es-ES_tradnl"/>
              </w:rPr>
              <w:t>No hay contribución doméstica a la vigilancia y evaluación</w:t>
            </w:r>
            <w:r w:rsidR="00184970" w:rsidRPr="00216226">
              <w:rPr>
                <w:rFonts w:asciiTheme="majorHAnsi" w:hAnsiTheme="majorHAnsi" w:cstheme="majorHAnsi"/>
                <w:lang w:val="es-ES_tradnl"/>
              </w:rPr>
              <w:t>.</w:t>
            </w:r>
          </w:p>
        </w:tc>
      </w:tr>
      <w:tr w:rsidR="00184970" w:rsidRPr="009A4A93" w14:paraId="297E7B52" w14:textId="77777777" w:rsidTr="00CB5827">
        <w:tc>
          <w:tcPr>
            <w:tcW w:w="4045" w:type="dxa"/>
            <w:vAlign w:val="bottom"/>
          </w:tcPr>
          <w:p w14:paraId="5C56EA87" w14:textId="6CD106A1" w:rsidR="00184970" w:rsidRPr="00216226" w:rsidRDefault="006A6E68" w:rsidP="00CB5827">
            <w:pPr>
              <w:rPr>
                <w:rFonts w:asciiTheme="majorHAnsi" w:hAnsiTheme="majorHAnsi" w:cstheme="majorHAnsi"/>
                <w:b/>
                <w:color w:val="000000"/>
                <w:lang w:val="es-ES_tradnl"/>
              </w:rPr>
            </w:pPr>
            <w:r w:rsidRPr="00216226">
              <w:rPr>
                <w:rFonts w:asciiTheme="majorHAnsi" w:hAnsiTheme="majorHAnsi" w:cstheme="majorHAnsi"/>
                <w:b/>
                <w:color w:val="000000"/>
                <w:lang w:val="es-ES_tradnl"/>
              </w:rPr>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recursos humanos para la gestión del Programa Nacional (excluyendo el personal del servicio de salud general que presta servicios</w:t>
            </w:r>
            <w:r w:rsidR="00184970" w:rsidRPr="00216226">
              <w:rPr>
                <w:rFonts w:asciiTheme="majorHAnsi" w:hAnsiTheme="majorHAnsi" w:cstheme="majorHAnsi"/>
                <w:color w:val="000000"/>
                <w:lang w:val="es-ES_tradnl"/>
              </w:rPr>
              <w:t>)</w:t>
            </w:r>
          </w:p>
        </w:tc>
        <w:tc>
          <w:tcPr>
            <w:tcW w:w="900" w:type="dxa"/>
            <w:shd w:val="clear" w:color="auto" w:fill="auto"/>
          </w:tcPr>
          <w:p w14:paraId="0D7032FC"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0</w:t>
            </w:r>
          </w:p>
        </w:tc>
        <w:tc>
          <w:tcPr>
            <w:tcW w:w="4071" w:type="dxa"/>
          </w:tcPr>
          <w:p w14:paraId="24609D47" w14:textId="2021245F"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color w:val="000000" w:themeColor="text1"/>
                <w:lang w:val="es-ES_tradnl"/>
              </w:rPr>
              <w:t>Dado que el Programa Nacional fue desmantelado en 2014 y su personal asignado a otros departamentos como parte de un enfoque de integración, no es posible responder esta pregunta</w:t>
            </w:r>
            <w:r w:rsidR="00184970" w:rsidRPr="00216226">
              <w:rPr>
                <w:rFonts w:asciiTheme="majorHAnsi" w:hAnsiTheme="majorHAnsi" w:cstheme="majorHAnsi"/>
                <w:color w:val="000000" w:themeColor="text1"/>
                <w:lang w:val="es-ES_tradnl"/>
              </w:rPr>
              <w:t xml:space="preserve">. </w:t>
            </w:r>
          </w:p>
        </w:tc>
      </w:tr>
      <w:tr w:rsidR="00184970" w:rsidRPr="009A4A93" w14:paraId="55321DFA" w14:textId="77777777" w:rsidTr="003168D3">
        <w:tc>
          <w:tcPr>
            <w:tcW w:w="4045" w:type="dxa"/>
            <w:vAlign w:val="bottom"/>
          </w:tcPr>
          <w:p w14:paraId="744DBA0C" w14:textId="45D16838" w:rsidR="00184970" w:rsidRPr="00216226" w:rsidRDefault="006A6E68" w:rsidP="00CB5827">
            <w:pPr>
              <w:rPr>
                <w:rFonts w:asciiTheme="majorHAnsi" w:hAnsiTheme="majorHAnsi" w:cstheme="majorHAnsi"/>
                <w:b/>
                <w:bCs/>
                <w:lang w:val="es-ES_tradnl"/>
              </w:rPr>
            </w:pPr>
            <w:r w:rsidRPr="00216226">
              <w:rPr>
                <w:rFonts w:asciiTheme="majorHAnsi" w:hAnsiTheme="majorHAnsi" w:cstheme="majorHAnsi"/>
                <w:b/>
                <w:color w:val="000000"/>
                <w:lang w:val="es-ES_tradnl"/>
              </w:rPr>
              <w:lastRenderedPageBreak/>
              <w:t>Financiamiento doméstico</w:t>
            </w:r>
            <w:r w:rsidR="00184970" w:rsidRPr="00216226">
              <w:rPr>
                <w:rFonts w:asciiTheme="majorHAnsi" w:hAnsiTheme="majorHAnsi" w:cstheme="majorHAnsi"/>
                <w:color w:val="000000"/>
                <w:lang w:val="es-ES_tradnl"/>
              </w:rPr>
              <w:t xml:space="preserve"> </w:t>
            </w:r>
            <w:r w:rsidRPr="00216226">
              <w:rPr>
                <w:rFonts w:asciiTheme="majorHAnsi" w:hAnsiTheme="majorHAnsi" w:cstheme="majorHAnsi"/>
                <w:color w:val="000000"/>
                <w:lang w:val="es-ES_tradnl"/>
              </w:rPr>
              <w:t>para el financiamiento global del programa</w:t>
            </w:r>
          </w:p>
        </w:tc>
        <w:tc>
          <w:tcPr>
            <w:tcW w:w="900" w:type="dxa"/>
            <w:shd w:val="clear" w:color="auto" w:fill="9BBB59" w:themeFill="accent3"/>
          </w:tcPr>
          <w:p w14:paraId="64E76694"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4</w:t>
            </w:r>
          </w:p>
        </w:tc>
        <w:tc>
          <w:tcPr>
            <w:tcW w:w="4071" w:type="dxa"/>
          </w:tcPr>
          <w:p w14:paraId="1C571E4D" w14:textId="591A48B3" w:rsidR="00184970" w:rsidRPr="00216226" w:rsidRDefault="00F52BCD" w:rsidP="00CB5827">
            <w:pPr>
              <w:pStyle w:val="Header"/>
              <w:rPr>
                <w:rFonts w:asciiTheme="majorHAnsi" w:hAnsiTheme="majorHAnsi" w:cstheme="majorHAnsi"/>
                <w:lang w:val="es-ES_tradnl"/>
              </w:rPr>
            </w:pPr>
            <w:r w:rsidRPr="00216226">
              <w:rPr>
                <w:rFonts w:asciiTheme="majorHAnsi" w:hAnsiTheme="majorHAnsi" w:cstheme="majorHAnsi"/>
                <w:lang w:val="es-ES_tradnl"/>
              </w:rPr>
              <w:t>El gasto doméstico público y privado combinado representa el 72% del gasto en VIH en el país</w:t>
            </w:r>
            <w:r w:rsidR="00184970" w:rsidRPr="00216226">
              <w:rPr>
                <w:rFonts w:asciiTheme="majorHAnsi" w:hAnsiTheme="majorHAnsi" w:cstheme="majorHAnsi"/>
                <w:lang w:val="es-ES_tradnl"/>
              </w:rPr>
              <w:t xml:space="preserve">. </w:t>
            </w:r>
          </w:p>
        </w:tc>
      </w:tr>
      <w:tr w:rsidR="00184970" w:rsidRPr="00216226" w14:paraId="66891AB9" w14:textId="77777777" w:rsidTr="00CB5827">
        <w:tc>
          <w:tcPr>
            <w:tcW w:w="4045" w:type="dxa"/>
            <w:shd w:val="clear" w:color="auto" w:fill="D9D9D9" w:themeFill="background1" w:themeFillShade="D9"/>
            <w:vAlign w:val="center"/>
          </w:tcPr>
          <w:p w14:paraId="7EB4EDE3" w14:textId="1A6A40A3" w:rsidR="00184970" w:rsidRPr="00216226" w:rsidRDefault="00FB0B72" w:rsidP="00CB5827">
            <w:pPr>
              <w:rPr>
                <w:rFonts w:asciiTheme="majorHAnsi" w:hAnsiTheme="majorHAnsi" w:cstheme="majorHAnsi"/>
                <w:b/>
                <w:bCs/>
                <w:lang w:val="es-ES_tradnl"/>
              </w:rPr>
            </w:pPr>
            <w:r w:rsidRPr="00216226">
              <w:rPr>
                <w:rFonts w:asciiTheme="majorHAnsi" w:hAnsiTheme="majorHAnsi" w:cstheme="majorHAnsi"/>
                <w:b/>
                <w:color w:val="000000"/>
                <w:kern w:val="24"/>
                <w:lang w:val="es-ES_tradnl"/>
              </w:rPr>
              <w:t xml:space="preserve">Puntuación compuesta a través de todos los componentes relevantes </w:t>
            </w:r>
            <w:r w:rsidR="00184970" w:rsidRPr="00216226">
              <w:rPr>
                <w:rFonts w:asciiTheme="majorHAnsi" w:hAnsiTheme="majorHAnsi" w:cstheme="majorHAnsi"/>
                <w:b/>
                <w:color w:val="000000"/>
                <w:kern w:val="24"/>
                <w:lang w:val="es-ES_tradnl"/>
              </w:rPr>
              <w:t xml:space="preserve">(8) </w:t>
            </w:r>
          </w:p>
        </w:tc>
        <w:tc>
          <w:tcPr>
            <w:tcW w:w="900" w:type="dxa"/>
            <w:shd w:val="clear" w:color="auto" w:fill="C0504D" w:themeFill="accent2"/>
          </w:tcPr>
          <w:p w14:paraId="7E171725" w14:textId="77777777" w:rsidR="00184970" w:rsidRPr="00216226" w:rsidRDefault="00184970" w:rsidP="00CB5827">
            <w:pPr>
              <w:pStyle w:val="Header"/>
              <w:jc w:val="center"/>
              <w:rPr>
                <w:rFonts w:asciiTheme="majorHAnsi" w:hAnsiTheme="majorHAnsi" w:cstheme="majorHAnsi"/>
                <w:lang w:val="es-ES_tradnl"/>
              </w:rPr>
            </w:pPr>
            <w:r w:rsidRPr="00216226">
              <w:rPr>
                <w:rFonts w:asciiTheme="majorHAnsi" w:hAnsiTheme="majorHAnsi" w:cstheme="majorHAnsi"/>
                <w:lang w:val="es-ES_tradnl"/>
              </w:rPr>
              <w:t>2.13</w:t>
            </w:r>
          </w:p>
        </w:tc>
        <w:tc>
          <w:tcPr>
            <w:tcW w:w="4071" w:type="dxa"/>
          </w:tcPr>
          <w:p w14:paraId="56DFE60B" w14:textId="77777777" w:rsidR="00184970" w:rsidRPr="00216226" w:rsidRDefault="00184970" w:rsidP="00CB5827">
            <w:pPr>
              <w:pStyle w:val="Header"/>
              <w:rPr>
                <w:rFonts w:asciiTheme="majorHAnsi" w:hAnsiTheme="majorHAnsi" w:cstheme="majorHAnsi"/>
                <w:lang w:val="es-ES_tradnl"/>
              </w:rPr>
            </w:pPr>
          </w:p>
        </w:tc>
      </w:tr>
    </w:tbl>
    <w:p w14:paraId="1477FDCE" w14:textId="77777777" w:rsidR="003168D3" w:rsidRPr="00216226" w:rsidRDefault="003168D3" w:rsidP="00B61752">
      <w:pPr>
        <w:tabs>
          <w:tab w:val="left" w:pos="2835"/>
        </w:tabs>
        <w:jc w:val="both"/>
        <w:rPr>
          <w:lang w:val="es-ES_tradnl"/>
        </w:rPr>
      </w:pPr>
    </w:p>
    <w:p w14:paraId="6F77CD7B" w14:textId="20493006" w:rsidR="00B61752" w:rsidRPr="00216226" w:rsidRDefault="00F52BCD" w:rsidP="00B61752">
      <w:pPr>
        <w:tabs>
          <w:tab w:val="left" w:pos="2835"/>
        </w:tabs>
        <w:jc w:val="both"/>
        <w:rPr>
          <w:lang w:val="es-ES_tradnl"/>
        </w:rPr>
      </w:pPr>
      <w:bookmarkStart w:id="49" w:name="_Hlk8338605"/>
      <w:r w:rsidRPr="00216226">
        <w:rPr>
          <w:lang w:val="es-ES_tradnl"/>
        </w:rPr>
        <w:t>El VIH representa el 5.49% del gasto total en salud en el país. De eso, el 46% provino de fuentes públicas, el 28% de donantes internacionales y el 26% de fuentes privadas</w:t>
      </w:r>
      <w:r w:rsidR="00B61752" w:rsidRPr="00216226">
        <w:rPr>
          <w:lang w:val="es-ES_tradnl"/>
        </w:rPr>
        <w:t xml:space="preserve">. </w:t>
      </w:r>
      <w:r w:rsidRPr="00216226">
        <w:rPr>
          <w:lang w:val="es-ES_tradnl"/>
        </w:rPr>
        <w:t xml:space="preserve">La categoría de gasto más alta fue la prevención en 59.96%, </w:t>
      </w:r>
      <w:r w:rsidR="001A3756" w:rsidRPr="00216226">
        <w:rPr>
          <w:lang w:val="es-ES_tradnl"/>
        </w:rPr>
        <w:t>con</w:t>
      </w:r>
      <w:r w:rsidRPr="00216226">
        <w:rPr>
          <w:lang w:val="es-ES_tradnl"/>
        </w:rPr>
        <w:t xml:space="preserve"> el gasto privado en condones </w:t>
      </w:r>
      <w:r w:rsidR="001A3756" w:rsidRPr="00216226">
        <w:rPr>
          <w:lang w:val="es-ES_tradnl"/>
        </w:rPr>
        <w:t xml:space="preserve">en primer lugar </w:t>
      </w:r>
      <w:r w:rsidRPr="00216226">
        <w:rPr>
          <w:lang w:val="es-ES_tradnl"/>
        </w:rPr>
        <w:t>(compra directa de condones en tiendas minoristas), seguid</w:t>
      </w:r>
      <w:r w:rsidR="001A3756" w:rsidRPr="00216226">
        <w:rPr>
          <w:lang w:val="es-ES_tradnl"/>
        </w:rPr>
        <w:t>o</w:t>
      </w:r>
      <w:r w:rsidRPr="00216226">
        <w:rPr>
          <w:lang w:val="es-ES_tradnl"/>
        </w:rPr>
        <w:t xml:space="preserve"> por la atención y el tratamiento en </w:t>
      </w:r>
      <w:r w:rsidR="00B61752" w:rsidRPr="00216226">
        <w:rPr>
          <w:lang w:val="es-ES_tradnl"/>
        </w:rPr>
        <w:t xml:space="preserve">32.78%. </w:t>
      </w:r>
      <w:r w:rsidR="001A3756" w:rsidRPr="00216226">
        <w:rPr>
          <w:lang w:val="es-ES_tradnl"/>
        </w:rPr>
        <w:t xml:space="preserve">Por poblaciones beneficiarias, el porcentaje de </w:t>
      </w:r>
      <w:r w:rsidR="004936C4" w:rsidRPr="00216226">
        <w:rPr>
          <w:lang w:val="es-ES_tradnl"/>
        </w:rPr>
        <w:t xml:space="preserve">mayor </w:t>
      </w:r>
      <w:r w:rsidR="001A3756" w:rsidRPr="00216226">
        <w:rPr>
          <w:lang w:val="es-ES_tradnl"/>
        </w:rPr>
        <w:t xml:space="preserve">gasto corresponde a las PVVIH (32.5%), seguido por la población general </w:t>
      </w:r>
      <w:r w:rsidR="00B61752" w:rsidRPr="00216226">
        <w:rPr>
          <w:lang w:val="es-ES_tradnl"/>
        </w:rPr>
        <w:t xml:space="preserve">(25.2%) </w:t>
      </w:r>
      <w:r w:rsidR="001A3756" w:rsidRPr="00216226">
        <w:rPr>
          <w:lang w:val="es-ES_tradnl"/>
        </w:rPr>
        <w:t>y las</w:t>
      </w:r>
      <w:r w:rsidR="00B61752" w:rsidRPr="00216226">
        <w:rPr>
          <w:lang w:val="es-ES_tradnl"/>
        </w:rPr>
        <w:t xml:space="preserve"> </w:t>
      </w:r>
      <w:r w:rsidR="0097517B" w:rsidRPr="00216226">
        <w:rPr>
          <w:lang w:val="es-ES_tradnl"/>
        </w:rPr>
        <w:t>poblaciones clave</w:t>
      </w:r>
      <w:r w:rsidR="00B61752" w:rsidRPr="00216226">
        <w:rPr>
          <w:lang w:val="es-ES_tradnl"/>
        </w:rPr>
        <w:t xml:space="preserve"> (15.1%) (SESAL, 2016a).</w:t>
      </w:r>
    </w:p>
    <w:bookmarkEnd w:id="49"/>
    <w:p w14:paraId="6212CD6F" w14:textId="2CCB2E1A" w:rsidR="00B61752" w:rsidRPr="00216226" w:rsidRDefault="00EE0F21" w:rsidP="00B61752">
      <w:pPr>
        <w:tabs>
          <w:tab w:val="left" w:pos="2835"/>
        </w:tabs>
        <w:jc w:val="both"/>
        <w:rPr>
          <w:lang w:val="es-ES_tradnl"/>
        </w:rPr>
      </w:pPr>
      <w:r w:rsidRPr="00216226">
        <w:rPr>
          <w:lang w:val="es-ES_tradnl"/>
        </w:rPr>
        <w:t>Dominio</w:t>
      </w:r>
      <w:r w:rsidR="00B61752" w:rsidRPr="00216226">
        <w:rPr>
          <w:lang w:val="es-ES_tradnl"/>
        </w:rPr>
        <w:t xml:space="preserve"> 4.1 </w:t>
      </w:r>
      <w:r w:rsidR="007543A0" w:rsidRPr="00216226">
        <w:rPr>
          <w:lang w:val="es-ES_tradnl"/>
        </w:rPr>
        <w:t xml:space="preserve">Modelos de servicio sostenibles </w:t>
      </w:r>
    </w:p>
    <w:p w14:paraId="06600EF1" w14:textId="20C49638" w:rsidR="00B61752" w:rsidRPr="00216226" w:rsidRDefault="00320DF5" w:rsidP="00B61752">
      <w:pPr>
        <w:tabs>
          <w:tab w:val="left" w:pos="2835"/>
        </w:tabs>
        <w:jc w:val="both"/>
        <w:rPr>
          <w:lang w:val="es-ES_tradnl"/>
        </w:rPr>
      </w:pPr>
      <w:r w:rsidRPr="00216226">
        <w:rPr>
          <w:lang w:val="es-ES_tradnl"/>
        </w:rPr>
        <w:t>Insumos:</w:t>
      </w:r>
      <w:r w:rsidR="00B61752" w:rsidRPr="00216226">
        <w:rPr>
          <w:lang w:val="es-ES_tradnl"/>
        </w:rPr>
        <w:t xml:space="preserve"> </w:t>
      </w:r>
      <w:bookmarkStart w:id="50" w:name="_Hlk8338649"/>
      <w:r w:rsidR="001A3756" w:rsidRPr="00216226">
        <w:rPr>
          <w:lang w:val="es-ES_tradnl"/>
        </w:rPr>
        <w:t xml:space="preserve">No existe información que identifique las contribuciones específicas del Fondo Mundial para la integración de elementos de servicio en los sistemas de salud (excepto la integración de los servicios de VIH y TB), la reforma del seguro de salud y </w:t>
      </w:r>
      <w:r w:rsidR="004936C4" w:rsidRPr="00216226">
        <w:rPr>
          <w:lang w:val="es-ES_tradnl"/>
        </w:rPr>
        <w:t xml:space="preserve">de </w:t>
      </w:r>
      <w:r w:rsidR="001A3756" w:rsidRPr="00216226">
        <w:rPr>
          <w:lang w:val="es-ES_tradnl"/>
        </w:rPr>
        <w:t>la previsión, el uso más efectivo de los recursos humanos, o una mayor eficiencia de costos</w:t>
      </w:r>
      <w:r w:rsidR="00B61752" w:rsidRPr="00216226">
        <w:rPr>
          <w:lang w:val="es-ES_tradnl"/>
        </w:rPr>
        <w:t xml:space="preserve">. </w:t>
      </w:r>
      <w:r w:rsidR="001A3756" w:rsidRPr="00216226">
        <w:rPr>
          <w:lang w:val="es-ES_tradnl"/>
        </w:rPr>
        <w:t xml:space="preserve">El paquete definido de servicios de VIH para poblaciones clave se ejecuta paralelamente al sistema de salud, sostenido por el Fondo Mundial y otros socios para el desarrollo </w:t>
      </w:r>
      <w:r w:rsidR="00B61752" w:rsidRPr="00216226">
        <w:rPr>
          <w:lang w:val="es-ES_tradnl"/>
        </w:rPr>
        <w:t xml:space="preserve">(PEPFAR) </w:t>
      </w:r>
      <w:r w:rsidR="000A4808" w:rsidRPr="00216226">
        <w:rPr>
          <w:lang w:val="es-ES_tradnl"/>
        </w:rPr>
        <w:t>(Visita de campo</w:t>
      </w:r>
      <w:bookmarkEnd w:id="50"/>
      <w:r w:rsidR="000A4808" w:rsidRPr="00216226">
        <w:rPr>
          <w:lang w:val="es-ES_tradnl"/>
        </w:rPr>
        <w:t>)</w:t>
      </w:r>
      <w:r w:rsidR="00B61752" w:rsidRPr="00216226">
        <w:rPr>
          <w:lang w:val="es-ES_tradnl"/>
        </w:rPr>
        <w:t xml:space="preserve">. </w:t>
      </w:r>
    </w:p>
    <w:p w14:paraId="2E29F171" w14:textId="5623AFA8" w:rsidR="00B61752" w:rsidRPr="00216226" w:rsidRDefault="001A3756" w:rsidP="00B61752">
      <w:pPr>
        <w:tabs>
          <w:tab w:val="left" w:pos="2835"/>
        </w:tabs>
        <w:jc w:val="both"/>
        <w:rPr>
          <w:lang w:val="es-ES_tradnl"/>
        </w:rPr>
      </w:pPr>
      <w:bookmarkStart w:id="51" w:name="_Hlk8338708"/>
      <w:r w:rsidRPr="00216226">
        <w:rPr>
          <w:lang w:val="es-ES_tradnl"/>
        </w:rPr>
        <w:t>Ha habido un apoyo continuo para eliminar las barreras estructurales a los servicios para las poblaciones clave</w:t>
      </w:r>
      <w:r w:rsidR="00B61752" w:rsidRPr="00216226">
        <w:rPr>
          <w:lang w:val="es-ES_tradnl"/>
        </w:rPr>
        <w:t xml:space="preserve">. </w:t>
      </w:r>
      <w:r w:rsidRPr="00216226">
        <w:rPr>
          <w:lang w:val="es-ES_tradnl"/>
        </w:rPr>
        <w:t>En la subvención actual, este apoyo cubrió tres áreas: cambios legales y sensibilización al VIH / derechos humanos para funcionarios de salud de alto nivel, educación y seguridad a través de la incidencia política</w:t>
      </w:r>
      <w:r w:rsidR="00B61752" w:rsidRPr="00216226">
        <w:rPr>
          <w:lang w:val="es-ES_tradnl"/>
        </w:rPr>
        <w:t xml:space="preserve">; </w:t>
      </w:r>
      <w:r w:rsidRPr="00216226">
        <w:rPr>
          <w:lang w:val="es-ES_tradnl"/>
        </w:rPr>
        <w:t xml:space="preserve">apoyo a </w:t>
      </w:r>
      <w:r w:rsidR="004936C4" w:rsidRPr="00216226">
        <w:rPr>
          <w:lang w:val="es-ES_tradnl"/>
        </w:rPr>
        <w:t xml:space="preserve">las </w:t>
      </w:r>
      <w:r w:rsidRPr="00216226">
        <w:rPr>
          <w:lang w:val="es-ES_tradnl"/>
        </w:rPr>
        <w:t>personas que han sufrido violaciones de derechos humanos, recopilación de casos de violación de derechos, publicación y divulgación</w:t>
      </w:r>
      <w:r w:rsidR="004936C4" w:rsidRPr="00216226">
        <w:rPr>
          <w:lang w:val="es-ES_tradnl"/>
        </w:rPr>
        <w:t>,</w:t>
      </w:r>
      <w:r w:rsidRPr="00216226">
        <w:rPr>
          <w:lang w:val="es-ES_tradnl"/>
        </w:rPr>
        <w:t xml:space="preserve"> y sensibilización y capacitación sobre violaciones de derechos humanos y abuso sexual para funcionarios públicos, profesionales de la salud y la policía </w:t>
      </w:r>
      <w:r w:rsidR="00B61752" w:rsidRPr="00216226">
        <w:rPr>
          <w:lang w:val="es-ES_tradnl"/>
        </w:rPr>
        <w:t>(</w:t>
      </w:r>
      <w:r w:rsidR="00D44421" w:rsidRPr="00216226">
        <w:rPr>
          <w:lang w:val="es-ES_tradnl"/>
        </w:rPr>
        <w:t>MCP</w:t>
      </w:r>
      <w:r w:rsidR="00B61752" w:rsidRPr="00216226">
        <w:rPr>
          <w:lang w:val="es-ES_tradnl"/>
        </w:rPr>
        <w:t>, 2015 and 2018).</w:t>
      </w:r>
      <w:bookmarkEnd w:id="51"/>
    </w:p>
    <w:p w14:paraId="1A20573E" w14:textId="2A1F3A68" w:rsidR="00B61752" w:rsidRPr="00216226" w:rsidRDefault="00320DF5" w:rsidP="00B61752">
      <w:pPr>
        <w:tabs>
          <w:tab w:val="left" w:pos="2835"/>
        </w:tabs>
        <w:jc w:val="both"/>
        <w:rPr>
          <w:lang w:val="es-ES_tradnl"/>
        </w:rPr>
      </w:pPr>
      <w:r w:rsidRPr="00216226">
        <w:rPr>
          <w:lang w:val="es-ES_tradnl"/>
        </w:rPr>
        <w:t>Productos:</w:t>
      </w:r>
      <w:r w:rsidR="00B61752" w:rsidRPr="00216226">
        <w:rPr>
          <w:lang w:val="es-ES_tradnl"/>
        </w:rPr>
        <w:t xml:space="preserve"> </w:t>
      </w:r>
      <w:r w:rsidR="00C707B0" w:rsidRPr="00216226">
        <w:rPr>
          <w:lang w:val="es-ES_tradnl"/>
        </w:rPr>
        <w:t>No hay información sobre los elementos del paquete integral incorporado en el sistema general de salud como resultado del apoyo del Fondo Mundial para la integración, excepto para abordar la coinfección TB-VIH</w:t>
      </w:r>
      <w:r w:rsidR="00B61752" w:rsidRPr="00216226">
        <w:rPr>
          <w:lang w:val="es-ES_tradnl"/>
        </w:rPr>
        <w:t xml:space="preserve">. </w:t>
      </w:r>
      <w:r w:rsidR="00C707B0" w:rsidRPr="00216226">
        <w:rPr>
          <w:lang w:val="es-ES_tradnl"/>
        </w:rPr>
        <w:t>Lo mismo puede decirse de los seguros de salud u otros sistemas de financiamiento, o la asignación eficiente de tareas entre el personal de salud</w:t>
      </w:r>
      <w:r w:rsidR="00B61752" w:rsidRPr="00216226">
        <w:rPr>
          <w:lang w:val="es-ES_tradnl"/>
        </w:rPr>
        <w:t xml:space="preserve">. </w:t>
      </w:r>
      <w:r w:rsidR="00C707B0" w:rsidRPr="00216226">
        <w:rPr>
          <w:lang w:val="es-ES_tradnl"/>
        </w:rPr>
        <w:t>De hecho, el sistema de salud del país enfrenta algunas tensiones estructurales debido a un modelo de atención muy estricto y bastante obsoleto para las PVVIH, que requiere un uso intensivo de recursos humanos que no siempre está justificado (ver el análisis anterior sobre la periodicidad obligatoria de las visitas médicas y sus efectos en el consumo de recursos y la calidad de vida de los pacientes</w:t>
      </w:r>
      <w:r w:rsidR="00B61752" w:rsidRPr="00216226">
        <w:rPr>
          <w:lang w:val="es-ES_tradnl"/>
        </w:rPr>
        <w:t xml:space="preserve">) </w:t>
      </w:r>
      <w:r w:rsidR="000A4808" w:rsidRPr="00216226">
        <w:rPr>
          <w:lang w:val="es-ES_tradnl"/>
        </w:rPr>
        <w:t>(Visita de campo)</w:t>
      </w:r>
      <w:r w:rsidR="00B61752" w:rsidRPr="00216226">
        <w:rPr>
          <w:lang w:val="es-ES_tradnl"/>
        </w:rPr>
        <w:t xml:space="preserve">. </w:t>
      </w:r>
    </w:p>
    <w:p w14:paraId="65BF9B2C" w14:textId="20F12527" w:rsidR="00B61752" w:rsidRPr="00216226" w:rsidRDefault="00C707B0" w:rsidP="00B61752">
      <w:pPr>
        <w:tabs>
          <w:tab w:val="left" w:pos="2835"/>
        </w:tabs>
        <w:jc w:val="both"/>
        <w:rPr>
          <w:lang w:val="es-ES_tradnl"/>
        </w:rPr>
      </w:pPr>
      <w:r w:rsidRPr="00216226">
        <w:rPr>
          <w:lang w:val="es-ES_tradnl"/>
        </w:rPr>
        <w:t xml:space="preserve">Las ONG no reciben fondos </w:t>
      </w:r>
      <w:r w:rsidR="004936C4" w:rsidRPr="00216226">
        <w:rPr>
          <w:lang w:val="es-ES_tradnl"/>
        </w:rPr>
        <w:t>domésticos</w:t>
      </w:r>
      <w:r w:rsidRPr="00216226">
        <w:rPr>
          <w:lang w:val="es-ES_tradnl"/>
        </w:rPr>
        <w:t xml:space="preserve"> que contribuyan </w:t>
      </w:r>
      <w:r w:rsidR="004936C4" w:rsidRPr="00216226">
        <w:rPr>
          <w:lang w:val="es-ES_tradnl"/>
        </w:rPr>
        <w:t>a acercarse</w:t>
      </w:r>
      <w:r w:rsidRPr="00216226">
        <w:rPr>
          <w:lang w:val="es-ES_tradnl"/>
        </w:rPr>
        <w:t xml:space="preserve"> a las poblaciones más difíciles de alcanzar. No hay información específica sobre el compromiso del sector privado en la respuesta nacional al VIH </w:t>
      </w:r>
      <w:r w:rsidR="000A4808" w:rsidRPr="00216226">
        <w:rPr>
          <w:lang w:val="es-ES_tradnl"/>
        </w:rPr>
        <w:t>(Visita de campo)</w:t>
      </w:r>
      <w:r w:rsidR="00B61752" w:rsidRPr="00216226">
        <w:rPr>
          <w:lang w:val="es-ES_tradnl"/>
        </w:rPr>
        <w:t xml:space="preserve">. </w:t>
      </w:r>
    </w:p>
    <w:p w14:paraId="02B0C2ED" w14:textId="5E2B0E07" w:rsidR="00B61752" w:rsidRPr="00216226" w:rsidRDefault="004B3528" w:rsidP="00B61752">
      <w:pPr>
        <w:tabs>
          <w:tab w:val="left" w:pos="2835"/>
        </w:tabs>
        <w:jc w:val="both"/>
        <w:rPr>
          <w:lang w:val="es-ES_tradnl"/>
        </w:rPr>
      </w:pPr>
      <w:r w:rsidRPr="00216226">
        <w:rPr>
          <w:lang w:val="es-ES_tradnl"/>
        </w:rPr>
        <w:t>Resultados:</w:t>
      </w:r>
      <w:r w:rsidR="00B61752" w:rsidRPr="00216226">
        <w:rPr>
          <w:lang w:val="es-ES_tradnl"/>
        </w:rPr>
        <w:t xml:space="preserve"> </w:t>
      </w:r>
      <w:r w:rsidR="00C707B0" w:rsidRPr="00216226">
        <w:rPr>
          <w:lang w:val="es-ES_tradnl"/>
        </w:rPr>
        <w:t xml:space="preserve">En este momento, sólo la entrega de TARV parece ser sostenible en el país. Las herramientas de diagnóstico, tales como las pruebas de CD4 y la medición de la carga viral, dependen de fuentes externas. El tratamiento para las OI está cubierto en su mayoría por los pacientes mediante gastos directos </w:t>
      </w:r>
      <w:r w:rsidR="000A4808" w:rsidRPr="00216226">
        <w:rPr>
          <w:lang w:val="es-ES_tradnl"/>
        </w:rPr>
        <w:t>(Visita de campo)</w:t>
      </w:r>
      <w:r w:rsidR="00B61752" w:rsidRPr="00216226">
        <w:rPr>
          <w:lang w:val="es-ES_tradnl"/>
        </w:rPr>
        <w:t xml:space="preserve">. </w:t>
      </w:r>
    </w:p>
    <w:p w14:paraId="5232ACB4" w14:textId="378CC1DE" w:rsidR="00B61752" w:rsidRPr="00216226" w:rsidRDefault="00C707B0" w:rsidP="00B61752">
      <w:pPr>
        <w:tabs>
          <w:tab w:val="left" w:pos="2835"/>
        </w:tabs>
        <w:jc w:val="both"/>
        <w:rPr>
          <w:lang w:val="es-ES_tradnl"/>
        </w:rPr>
      </w:pPr>
      <w:r w:rsidRPr="00216226">
        <w:rPr>
          <w:lang w:val="es-ES_tradnl"/>
        </w:rPr>
        <w:t xml:space="preserve">Los esfuerzos de prevención y cribado dirigidos a las poblaciones clave son altamente vulnerables a los cambios en el financiamiento externo, ya que dependen en gran medida de los fondos de los donantes. Lo mismo puede decirse del apoyo comunitario, los servicios dirigidos por la sociedad civil </w:t>
      </w:r>
      <w:r w:rsidRPr="00216226">
        <w:rPr>
          <w:lang w:val="es-ES_tradnl"/>
        </w:rPr>
        <w:lastRenderedPageBreak/>
        <w:t xml:space="preserve">y el apoyo para eliminar las barreras estructurales a los servicios para las </w:t>
      </w:r>
      <w:r w:rsidR="0097517B" w:rsidRPr="00216226">
        <w:rPr>
          <w:lang w:val="es-ES_tradnl"/>
        </w:rPr>
        <w:t>poblaciones clave</w:t>
      </w:r>
      <w:r w:rsidR="00B61752" w:rsidRPr="00216226">
        <w:rPr>
          <w:lang w:val="es-ES_tradnl"/>
        </w:rPr>
        <w:t xml:space="preserve"> </w:t>
      </w:r>
      <w:r w:rsidR="000A4808" w:rsidRPr="00216226">
        <w:rPr>
          <w:lang w:val="es-ES_tradnl"/>
        </w:rPr>
        <w:t>(Visita de campo)</w:t>
      </w:r>
      <w:r w:rsidR="00B61752" w:rsidRPr="00216226">
        <w:rPr>
          <w:lang w:val="es-ES_tradnl"/>
        </w:rPr>
        <w:t xml:space="preserve">. </w:t>
      </w:r>
    </w:p>
    <w:p w14:paraId="2887B467" w14:textId="19EECB54" w:rsidR="00B61752" w:rsidRPr="00216226" w:rsidRDefault="00EE0F21" w:rsidP="00B61752">
      <w:pPr>
        <w:tabs>
          <w:tab w:val="left" w:pos="2835"/>
        </w:tabs>
        <w:jc w:val="both"/>
        <w:rPr>
          <w:lang w:val="es-ES_tradnl"/>
        </w:rPr>
      </w:pPr>
      <w:r w:rsidRPr="00216226">
        <w:rPr>
          <w:lang w:val="es-ES_tradnl"/>
        </w:rPr>
        <w:t>Dominio</w:t>
      </w:r>
      <w:r w:rsidR="00B61752" w:rsidRPr="00216226">
        <w:rPr>
          <w:lang w:val="es-ES_tradnl"/>
        </w:rPr>
        <w:t xml:space="preserve"> 4.2 </w:t>
      </w:r>
      <w:r w:rsidR="007543A0" w:rsidRPr="00216226">
        <w:rPr>
          <w:lang w:val="es-ES_tradnl"/>
        </w:rPr>
        <w:t xml:space="preserve">Transición a mayores niveles de financiamiento doméstico </w:t>
      </w:r>
    </w:p>
    <w:p w14:paraId="7920A6A9" w14:textId="459632F0" w:rsidR="00B61752" w:rsidRPr="00216226" w:rsidRDefault="00320DF5" w:rsidP="00B61752">
      <w:pPr>
        <w:tabs>
          <w:tab w:val="left" w:pos="2835"/>
        </w:tabs>
        <w:jc w:val="both"/>
        <w:rPr>
          <w:lang w:val="es-ES_tradnl"/>
        </w:rPr>
      </w:pPr>
      <w:r w:rsidRPr="00216226">
        <w:rPr>
          <w:lang w:val="es-ES_tradnl"/>
        </w:rPr>
        <w:t>Insumos:</w:t>
      </w:r>
      <w:r w:rsidR="00B61752" w:rsidRPr="00216226">
        <w:rPr>
          <w:lang w:val="es-ES_tradnl"/>
        </w:rPr>
        <w:t xml:space="preserve"> </w:t>
      </w:r>
      <w:r w:rsidR="002445F3" w:rsidRPr="00216226">
        <w:rPr>
          <w:lang w:val="es-ES_tradnl"/>
        </w:rPr>
        <w:t xml:space="preserve">El apoyo del Fondo Mundial para elaborar e implementar los planes de transición en VIH está a punto de comenzar. Los casos de inversión se generaron en 2013 y 2017 </w:t>
      </w:r>
      <w:r w:rsidR="0085786A" w:rsidRPr="00216226">
        <w:rPr>
          <w:lang w:val="es-ES_tradnl"/>
        </w:rPr>
        <w:t xml:space="preserve">y fueron </w:t>
      </w:r>
      <w:r w:rsidR="002445F3" w:rsidRPr="00216226">
        <w:rPr>
          <w:lang w:val="es-ES_tradnl"/>
        </w:rPr>
        <w:t xml:space="preserve">financiados por ONUSIDA y </w:t>
      </w:r>
      <w:r w:rsidR="002445F3" w:rsidRPr="000A1D9C">
        <w:rPr>
          <w:i/>
          <w:lang w:val="es-ES_tradnl"/>
        </w:rPr>
        <w:t>USAID</w:t>
      </w:r>
      <w:r w:rsidR="002445F3" w:rsidRPr="00216226">
        <w:rPr>
          <w:lang w:val="es-ES_tradnl"/>
        </w:rPr>
        <w:t xml:space="preserve">, respectivamente </w:t>
      </w:r>
      <w:r w:rsidR="00B61752" w:rsidRPr="00216226">
        <w:rPr>
          <w:lang w:val="es-ES_tradnl"/>
        </w:rPr>
        <w:t xml:space="preserve">(CONASIDA, 2013 </w:t>
      </w:r>
      <w:r w:rsidR="0085786A" w:rsidRPr="00216226">
        <w:rPr>
          <w:lang w:val="es-ES_tradnl"/>
        </w:rPr>
        <w:t xml:space="preserve">y </w:t>
      </w:r>
      <w:r w:rsidR="00B61752" w:rsidRPr="00216226">
        <w:rPr>
          <w:lang w:val="es-ES_tradnl"/>
        </w:rPr>
        <w:t>2017).</w:t>
      </w:r>
    </w:p>
    <w:p w14:paraId="74A69A07" w14:textId="5B68E38B" w:rsidR="00B61752" w:rsidRPr="00216226" w:rsidRDefault="0085786A" w:rsidP="00B61752">
      <w:pPr>
        <w:tabs>
          <w:tab w:val="left" w:pos="2835"/>
        </w:tabs>
        <w:jc w:val="both"/>
        <w:rPr>
          <w:lang w:val="es-ES_tradnl"/>
        </w:rPr>
      </w:pPr>
      <w:bookmarkStart w:id="52" w:name="_Hlk8338888"/>
      <w:r w:rsidRPr="00216226">
        <w:rPr>
          <w:lang w:val="es-ES_tradnl"/>
        </w:rPr>
        <w:t xml:space="preserve">Ha habido un apoyo continuo del Fondo Mundial para fortalecer el sistema de salud, en particular el componente de monitoreo y evaluación. Otros socios para el desarrollo también han contribuido a reforzar la </w:t>
      </w:r>
      <w:r w:rsidR="004936C4" w:rsidRPr="00216226">
        <w:rPr>
          <w:lang w:val="es-ES_tradnl"/>
        </w:rPr>
        <w:t xml:space="preserve">gestión de adquisiciones y suministros </w:t>
      </w:r>
      <w:r w:rsidRPr="00216226">
        <w:rPr>
          <w:lang w:val="es-ES_tradnl"/>
        </w:rPr>
        <w:t xml:space="preserve">y el monitoreo de calidad </w:t>
      </w:r>
      <w:r w:rsidR="00B61752" w:rsidRPr="00216226">
        <w:rPr>
          <w:lang w:val="es-ES_tradnl"/>
        </w:rPr>
        <w:t>(</w:t>
      </w:r>
      <w:r w:rsidR="00D44421" w:rsidRPr="00216226">
        <w:rPr>
          <w:lang w:val="es-ES_tradnl"/>
        </w:rPr>
        <w:t>MCP</w:t>
      </w:r>
      <w:r w:rsidR="00B61752" w:rsidRPr="00216226">
        <w:rPr>
          <w:lang w:val="es-ES_tradnl"/>
        </w:rPr>
        <w:t>, 2018</w:t>
      </w:r>
      <w:bookmarkEnd w:id="52"/>
      <w:r w:rsidR="00B61752" w:rsidRPr="00216226">
        <w:rPr>
          <w:lang w:val="es-ES_tradnl"/>
        </w:rPr>
        <w:t xml:space="preserve">). </w:t>
      </w:r>
    </w:p>
    <w:p w14:paraId="366FE977" w14:textId="50C369FF" w:rsidR="00B61752" w:rsidRPr="00216226" w:rsidRDefault="00320DF5" w:rsidP="00B61752">
      <w:pPr>
        <w:tabs>
          <w:tab w:val="left" w:pos="2835"/>
        </w:tabs>
        <w:jc w:val="both"/>
        <w:rPr>
          <w:lang w:val="es-ES_tradnl"/>
        </w:rPr>
      </w:pPr>
      <w:r w:rsidRPr="00216226">
        <w:rPr>
          <w:lang w:val="es-ES_tradnl"/>
        </w:rPr>
        <w:t>Productos:</w:t>
      </w:r>
      <w:r w:rsidR="00B61752" w:rsidRPr="00216226">
        <w:rPr>
          <w:lang w:val="es-ES_tradnl"/>
        </w:rPr>
        <w:t xml:space="preserve"> </w:t>
      </w:r>
      <w:r w:rsidR="00670819" w:rsidRPr="00216226">
        <w:rPr>
          <w:lang w:val="es-ES_tradnl"/>
        </w:rPr>
        <w:t xml:space="preserve">No había </w:t>
      </w:r>
      <w:r w:rsidR="004936C4" w:rsidRPr="00216226">
        <w:rPr>
          <w:lang w:val="es-ES_tradnl"/>
        </w:rPr>
        <w:t xml:space="preserve">a disposición </w:t>
      </w:r>
      <w:r w:rsidR="00670819" w:rsidRPr="00216226">
        <w:rPr>
          <w:lang w:val="es-ES_tradnl"/>
        </w:rPr>
        <w:t>ningún plan de preparación para la transición de Honduras para esta revisión documental. La planificación de la sostenibilidad está programada para comenzar en el último trimestre de 2018. Existen casos de inversi</w:t>
      </w:r>
      <w:r w:rsidR="004936C4" w:rsidRPr="00216226">
        <w:rPr>
          <w:lang w:val="es-ES_tradnl"/>
        </w:rPr>
        <w:t>ones</w:t>
      </w:r>
      <w:r w:rsidR="00670819" w:rsidRPr="00216226">
        <w:rPr>
          <w:lang w:val="es-ES_tradnl"/>
        </w:rPr>
        <w:t xml:space="preserve"> de 2013 y 2017, financiados por otros socios para el desarrollo (ONUSIDA y </w:t>
      </w:r>
      <w:r w:rsidR="00670819" w:rsidRPr="000A1D9C">
        <w:rPr>
          <w:i/>
          <w:lang w:val="es-ES_tradnl"/>
        </w:rPr>
        <w:t>USAID</w:t>
      </w:r>
      <w:r w:rsidR="00B61752" w:rsidRPr="00216226">
        <w:rPr>
          <w:lang w:val="es-ES_tradnl"/>
        </w:rPr>
        <w:t xml:space="preserve">). </w:t>
      </w:r>
    </w:p>
    <w:p w14:paraId="7E5C5BDC" w14:textId="1BD40822" w:rsidR="00B61752" w:rsidRPr="00216226" w:rsidRDefault="00E61E3A" w:rsidP="00B61752">
      <w:pPr>
        <w:tabs>
          <w:tab w:val="left" w:pos="2835"/>
        </w:tabs>
        <w:jc w:val="both"/>
        <w:rPr>
          <w:lang w:val="es-ES_tradnl"/>
        </w:rPr>
      </w:pPr>
      <w:r w:rsidRPr="00216226">
        <w:rPr>
          <w:lang w:val="es-ES_tradnl"/>
        </w:rPr>
        <w:t>Continúa</w:t>
      </w:r>
      <w:r w:rsidR="00670819" w:rsidRPr="00216226">
        <w:rPr>
          <w:lang w:val="es-ES_tradnl"/>
        </w:rPr>
        <w:t xml:space="preserve"> habiendo disfunciones en la gestión de adquisiciones y suministros que afectan a los condones, los medicamentos y las herramientas de diagnóstico (ver Objetivos 1 y 2). Recientemente se canceló un contrato de licitación debido a eviden</w:t>
      </w:r>
      <w:r w:rsidR="004936C4" w:rsidRPr="00216226">
        <w:rPr>
          <w:lang w:val="es-ES_tradnl"/>
        </w:rPr>
        <w:t>te</w:t>
      </w:r>
      <w:r w:rsidR="00670819" w:rsidRPr="00216226">
        <w:rPr>
          <w:lang w:val="es-ES_tradnl"/>
        </w:rPr>
        <w:t xml:space="preserve"> baja calidad del medicamento suministrado (tenofovir plus emtricitabina), causando la escasez de la combinación de fármacos y la necesidad de reemplazarlos con equivalentes terapéuticos</w:t>
      </w:r>
      <w:r w:rsidR="00B61752" w:rsidRPr="00216226">
        <w:rPr>
          <w:lang w:val="es-ES_tradnl"/>
        </w:rPr>
        <w:t xml:space="preserve">. </w:t>
      </w:r>
      <w:r w:rsidR="00670819" w:rsidRPr="00216226">
        <w:rPr>
          <w:lang w:val="es-ES_tradnl"/>
        </w:rPr>
        <w:t xml:space="preserve">Este ejemplo ilustra que el país carece de procedimientos para garantizar </w:t>
      </w:r>
      <w:r w:rsidRPr="00216226">
        <w:rPr>
          <w:lang w:val="es-ES_tradnl"/>
        </w:rPr>
        <w:t>adecuadamente la</w:t>
      </w:r>
      <w:r w:rsidR="00670819" w:rsidRPr="00216226">
        <w:rPr>
          <w:lang w:val="es-ES_tradnl"/>
        </w:rPr>
        <w:t xml:space="preserve"> calidad de los proveedores de productos básicos y servicios</w:t>
      </w:r>
      <w:r w:rsidRPr="00216226">
        <w:rPr>
          <w:lang w:val="es-ES_tradnl"/>
        </w:rPr>
        <w:t xml:space="preserve"> anticipadamente</w:t>
      </w:r>
      <w:r w:rsidR="00670819" w:rsidRPr="00216226">
        <w:rPr>
          <w:lang w:val="es-ES_tradnl"/>
        </w:rPr>
        <w:t>, y sólo actúa de manera reactiva, lo que es más costoso y consume más recursos</w:t>
      </w:r>
      <w:r w:rsidR="00B61752" w:rsidRPr="00216226">
        <w:rPr>
          <w:lang w:val="es-ES_tradnl"/>
        </w:rPr>
        <w:t xml:space="preserve"> </w:t>
      </w:r>
      <w:r w:rsidR="000A4808" w:rsidRPr="00216226">
        <w:rPr>
          <w:lang w:val="es-ES_tradnl"/>
        </w:rPr>
        <w:t>(Visita de campo)</w:t>
      </w:r>
      <w:r w:rsidR="00B61752" w:rsidRPr="00216226">
        <w:rPr>
          <w:lang w:val="es-ES_tradnl"/>
        </w:rPr>
        <w:t xml:space="preserve">. </w:t>
      </w:r>
    </w:p>
    <w:p w14:paraId="6A585841" w14:textId="16D1FE45" w:rsidR="00CF5C73" w:rsidRPr="00216226" w:rsidRDefault="00CF5C73" w:rsidP="00CF5C73">
      <w:pPr>
        <w:jc w:val="both"/>
        <w:rPr>
          <w:rFonts w:asciiTheme="minorHAnsi" w:hAnsiTheme="minorHAnsi" w:cstheme="minorHAnsi"/>
          <w:color w:val="000000" w:themeColor="text1"/>
          <w:lang w:val="es-ES_tradnl"/>
        </w:rPr>
      </w:pPr>
      <w:r w:rsidRPr="00216226">
        <w:rPr>
          <w:rFonts w:asciiTheme="minorHAnsi" w:hAnsiTheme="minorHAnsi" w:cstheme="minorHAnsi"/>
          <w:color w:val="000000" w:themeColor="text1"/>
          <w:lang w:val="es-ES_tradnl"/>
        </w:rPr>
        <w:t xml:space="preserve"> </w:t>
      </w:r>
    </w:p>
    <w:p w14:paraId="5A3EA5EE" w14:textId="77777777" w:rsidR="00CF5C73" w:rsidRPr="00216226" w:rsidRDefault="00CF5C73" w:rsidP="00CF5C73">
      <w:pPr>
        <w:jc w:val="center"/>
        <w:rPr>
          <w:rFonts w:asciiTheme="minorHAnsi" w:hAnsiTheme="minorHAnsi" w:cstheme="minorHAnsi"/>
          <w:color w:val="000000" w:themeColor="text1"/>
          <w:lang w:val="es-ES_tradnl"/>
        </w:rPr>
      </w:pPr>
      <w:r w:rsidRPr="00216226">
        <w:rPr>
          <w:rFonts w:asciiTheme="minorHAnsi" w:hAnsiTheme="minorHAnsi" w:cstheme="minorHAnsi"/>
          <w:noProof/>
          <w:color w:val="000000" w:themeColor="text1"/>
          <w:lang w:val="en-US" w:eastAsia="en-US"/>
        </w:rPr>
        <w:drawing>
          <wp:inline distT="0" distB="0" distL="0" distR="0" wp14:anchorId="0382A5B3" wp14:editId="461B7B19">
            <wp:extent cx="1879648" cy="2506980"/>
            <wp:effectExtent l="0" t="0" r="6350" b="7620"/>
            <wp:docPr id="7" name="Imagen 7" descr="C:\Users\Usuario\Documents\Clientes\APMG\Focused Countries\Countries\Honduras\H1\Evaluation\Fotos\IMG_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Clientes\APMG\Focused Countries\Countries\Honduras\H1\Evaluation\Fotos\IMG_058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88294" cy="2518512"/>
                    </a:xfrm>
                    <a:prstGeom prst="rect">
                      <a:avLst/>
                    </a:prstGeom>
                    <a:noFill/>
                    <a:ln>
                      <a:noFill/>
                    </a:ln>
                  </pic:spPr>
                </pic:pic>
              </a:graphicData>
            </a:graphic>
          </wp:inline>
        </w:drawing>
      </w:r>
    </w:p>
    <w:p w14:paraId="30708004" w14:textId="56157A22" w:rsidR="00CF5C73" w:rsidRPr="00072F38" w:rsidRDefault="005055AC" w:rsidP="00CF5C73">
      <w:pPr>
        <w:jc w:val="center"/>
        <w:rPr>
          <w:rFonts w:asciiTheme="majorHAnsi" w:hAnsiTheme="majorHAnsi" w:cstheme="majorHAnsi"/>
          <w:i/>
          <w:color w:val="000000" w:themeColor="text1"/>
          <w:sz w:val="20"/>
          <w:szCs w:val="20"/>
          <w:lang w:val="es-ES_tradnl"/>
        </w:rPr>
      </w:pPr>
      <w:r w:rsidRPr="00072F38">
        <w:rPr>
          <w:rFonts w:asciiTheme="majorHAnsi" w:hAnsiTheme="majorHAnsi" w:cstheme="majorHAnsi"/>
          <w:i/>
          <w:color w:val="000000" w:themeColor="text1"/>
          <w:sz w:val="20"/>
          <w:szCs w:val="20"/>
          <w:lang w:val="es-ES_tradnl"/>
        </w:rPr>
        <w:t>F</w:t>
      </w:r>
      <w:r w:rsidR="00CF5C73" w:rsidRPr="00072F38">
        <w:rPr>
          <w:rFonts w:asciiTheme="majorHAnsi" w:hAnsiTheme="majorHAnsi" w:cstheme="majorHAnsi"/>
          <w:i/>
          <w:color w:val="000000" w:themeColor="text1"/>
          <w:sz w:val="20"/>
          <w:szCs w:val="20"/>
          <w:lang w:val="es-ES_tradnl"/>
        </w:rPr>
        <w:t xml:space="preserve">oto: </w:t>
      </w:r>
      <w:r w:rsidR="00E61E3A" w:rsidRPr="00072F38">
        <w:rPr>
          <w:rFonts w:asciiTheme="majorHAnsi" w:hAnsiTheme="majorHAnsi" w:cstheme="majorHAnsi"/>
          <w:i/>
          <w:color w:val="000000" w:themeColor="text1"/>
          <w:sz w:val="20"/>
          <w:szCs w:val="20"/>
          <w:lang w:val="es-ES_tradnl"/>
        </w:rPr>
        <w:t xml:space="preserve">Anuncio sobre el agotamiento de la combinación de tenofovir plus emtricitabina y la necesidad de sustituirla temporalmente en </w:t>
      </w:r>
      <w:r w:rsidR="00072F38">
        <w:rPr>
          <w:rFonts w:asciiTheme="majorHAnsi" w:hAnsiTheme="majorHAnsi" w:cstheme="majorHAnsi"/>
          <w:i/>
          <w:color w:val="000000" w:themeColor="text1"/>
          <w:sz w:val="20"/>
          <w:szCs w:val="20"/>
          <w:lang w:val="es-ES_tradnl"/>
        </w:rPr>
        <w:t>el</w:t>
      </w:r>
      <w:r w:rsidR="00E61E3A" w:rsidRPr="00072F38">
        <w:rPr>
          <w:rFonts w:asciiTheme="majorHAnsi" w:hAnsiTheme="majorHAnsi" w:cstheme="majorHAnsi"/>
          <w:i/>
          <w:color w:val="000000" w:themeColor="text1"/>
          <w:sz w:val="20"/>
          <w:szCs w:val="20"/>
          <w:lang w:val="es-ES_tradnl"/>
        </w:rPr>
        <w:t xml:space="preserve"> </w:t>
      </w:r>
      <w:r w:rsidR="00CF5C73" w:rsidRPr="00072F38">
        <w:rPr>
          <w:rFonts w:asciiTheme="majorHAnsi" w:hAnsiTheme="majorHAnsi" w:cstheme="majorHAnsi"/>
          <w:i/>
          <w:color w:val="000000" w:themeColor="text1"/>
          <w:sz w:val="20"/>
          <w:szCs w:val="20"/>
          <w:lang w:val="es-ES_tradnl"/>
        </w:rPr>
        <w:t>SAI Miguel Paz Barahona, San Pedro Sula</w:t>
      </w:r>
    </w:p>
    <w:p w14:paraId="38AC818D" w14:textId="4FD91C61" w:rsidR="00B61752" w:rsidRPr="00216226" w:rsidRDefault="00AA11BA" w:rsidP="00B61752">
      <w:pPr>
        <w:tabs>
          <w:tab w:val="left" w:pos="2835"/>
        </w:tabs>
        <w:jc w:val="both"/>
        <w:rPr>
          <w:lang w:val="es-ES_tradnl"/>
        </w:rPr>
      </w:pPr>
      <w:r w:rsidRPr="00216226">
        <w:rPr>
          <w:lang w:val="es-ES_tradnl"/>
        </w:rPr>
        <w:t>Incluso cuando el proceso de licitación funciona correctamente, el uso del producto acaba por ser diferente a lo planific</w:t>
      </w:r>
      <w:r w:rsidR="00680A78" w:rsidRPr="00216226">
        <w:rPr>
          <w:lang w:val="es-ES_tradnl"/>
        </w:rPr>
        <w:t>ado</w:t>
      </w:r>
      <w:r w:rsidRPr="00216226">
        <w:rPr>
          <w:lang w:val="es-ES_tradnl"/>
        </w:rPr>
        <w:t xml:space="preserve">. Los informantes revelan que, en al menos un hospital grande, los cirujanos solicitaron pruebas de VIH universales a todos los pacientes que iban a ser </w:t>
      </w:r>
      <w:r w:rsidR="00680A78" w:rsidRPr="00216226">
        <w:rPr>
          <w:lang w:val="es-ES_tradnl"/>
        </w:rPr>
        <w:t xml:space="preserve">sometidos a una </w:t>
      </w:r>
      <w:r w:rsidRPr="00216226">
        <w:rPr>
          <w:lang w:val="es-ES_tradnl"/>
        </w:rPr>
        <w:t>interven</w:t>
      </w:r>
      <w:r w:rsidR="00680A78" w:rsidRPr="00216226">
        <w:rPr>
          <w:lang w:val="es-ES_tradnl"/>
        </w:rPr>
        <w:t>ción</w:t>
      </w:r>
      <w:r w:rsidRPr="00216226">
        <w:rPr>
          <w:lang w:val="es-ES_tradnl"/>
        </w:rPr>
        <w:t xml:space="preserve"> quirúrgica</w:t>
      </w:r>
      <w:r w:rsidR="00B61752" w:rsidRPr="00216226">
        <w:rPr>
          <w:lang w:val="es-ES_tradnl"/>
        </w:rPr>
        <w:t xml:space="preserve">, </w:t>
      </w:r>
      <w:r w:rsidRPr="00216226">
        <w:rPr>
          <w:lang w:val="es-ES_tradnl"/>
        </w:rPr>
        <w:t xml:space="preserve">dando por resultado que se consumieran los kits de prueba de VIH previstos para todo el año en los primeros cinco meses </w:t>
      </w:r>
      <w:r w:rsidR="000A4808" w:rsidRPr="00216226">
        <w:rPr>
          <w:lang w:val="es-ES_tradnl"/>
        </w:rPr>
        <w:t>(Visita de campo)</w:t>
      </w:r>
      <w:r w:rsidR="00B61752" w:rsidRPr="00216226">
        <w:rPr>
          <w:lang w:val="es-ES_tradnl"/>
        </w:rPr>
        <w:t>.</w:t>
      </w:r>
      <w:r w:rsidR="00680A78" w:rsidRPr="00216226">
        <w:rPr>
          <w:lang w:val="es-ES_tradnl"/>
        </w:rPr>
        <w:t xml:space="preserve"> </w:t>
      </w:r>
    </w:p>
    <w:p w14:paraId="4CF2D058" w14:textId="393A91C8" w:rsidR="00B61752" w:rsidRPr="00216226" w:rsidRDefault="004B3528" w:rsidP="00B61752">
      <w:pPr>
        <w:tabs>
          <w:tab w:val="left" w:pos="2835"/>
        </w:tabs>
        <w:jc w:val="both"/>
        <w:rPr>
          <w:lang w:val="es-ES_tradnl"/>
        </w:rPr>
      </w:pPr>
      <w:r w:rsidRPr="00216226">
        <w:rPr>
          <w:lang w:val="es-ES_tradnl"/>
        </w:rPr>
        <w:lastRenderedPageBreak/>
        <w:t>Resultados:</w:t>
      </w:r>
      <w:r w:rsidR="00B61752" w:rsidRPr="00216226">
        <w:rPr>
          <w:lang w:val="es-ES_tradnl"/>
        </w:rPr>
        <w:t xml:space="preserve"> </w:t>
      </w:r>
      <w:bookmarkStart w:id="53" w:name="_Hlk8339109"/>
      <w:r w:rsidR="005336A6" w:rsidRPr="00216226">
        <w:rPr>
          <w:lang w:val="es-ES_tradnl"/>
        </w:rPr>
        <w:t xml:space="preserve">Se han producido </w:t>
      </w:r>
      <w:r w:rsidR="008E2E4D" w:rsidRPr="00216226">
        <w:rPr>
          <w:lang w:val="es-ES_tradnl"/>
        </w:rPr>
        <w:t>importantes reducciones</w:t>
      </w:r>
      <w:r w:rsidR="005336A6" w:rsidRPr="00216226">
        <w:rPr>
          <w:lang w:val="es-ES_tradnl"/>
        </w:rPr>
        <w:t xml:space="preserve"> de costos en la compra de TARV gracias a la utilización del fondo estratégico de </w:t>
      </w:r>
      <w:r w:rsidR="00503DEB" w:rsidRPr="00216226">
        <w:rPr>
          <w:lang w:val="es-ES_tradnl"/>
        </w:rPr>
        <w:t xml:space="preserve">la </w:t>
      </w:r>
      <w:r w:rsidR="005336A6" w:rsidRPr="00216226">
        <w:rPr>
          <w:lang w:val="es-ES_tradnl"/>
        </w:rPr>
        <w:t xml:space="preserve">OPS (PENSIDA IV). Sin embargo, los costos de las pruebas rápidas de detección del VIH han aumentado, ya que su compra se ha descentralizado a las regiones, perdiéndose la oportunidad de ahorrar mediante un sistema centralizado de compras </w:t>
      </w:r>
      <w:r w:rsidR="000A4808" w:rsidRPr="00216226">
        <w:rPr>
          <w:lang w:val="es-ES_tradnl"/>
        </w:rPr>
        <w:t>(Visita de campo</w:t>
      </w:r>
      <w:bookmarkEnd w:id="53"/>
      <w:r w:rsidR="000A4808" w:rsidRPr="00216226">
        <w:rPr>
          <w:lang w:val="es-ES_tradnl"/>
        </w:rPr>
        <w:t>)</w:t>
      </w:r>
      <w:r w:rsidR="00B61752" w:rsidRPr="00216226">
        <w:rPr>
          <w:lang w:val="es-ES_tradnl"/>
        </w:rPr>
        <w:t xml:space="preserve">. </w:t>
      </w:r>
    </w:p>
    <w:p w14:paraId="1A2F9CCF" w14:textId="6641C821" w:rsidR="00B61752" w:rsidRPr="00216226" w:rsidRDefault="00947EFC" w:rsidP="00B61752">
      <w:pPr>
        <w:tabs>
          <w:tab w:val="left" w:pos="2835"/>
        </w:tabs>
        <w:jc w:val="both"/>
        <w:rPr>
          <w:lang w:val="es-ES_tradnl"/>
        </w:rPr>
      </w:pPr>
      <w:r w:rsidRPr="00216226">
        <w:rPr>
          <w:lang w:val="es-ES_tradnl"/>
        </w:rPr>
        <w:t xml:space="preserve">En general, </w:t>
      </w:r>
      <w:bookmarkStart w:id="54" w:name="_Hlk8398714"/>
      <w:r w:rsidRPr="00216226">
        <w:rPr>
          <w:lang w:val="es-ES_tradnl"/>
        </w:rPr>
        <w:t xml:space="preserve">el financiamiento doméstico </w:t>
      </w:r>
      <w:bookmarkEnd w:id="54"/>
      <w:r w:rsidRPr="00216226">
        <w:rPr>
          <w:lang w:val="es-ES_tradnl"/>
        </w:rPr>
        <w:t xml:space="preserve">aumentó un 21.2% entre 2014 y 2016, principalmente debido a una mayor inversión pública en TARV. Sin embargo, el financiamiento doméstico para los servicios comunitarios sigue siendo inexistente </w:t>
      </w:r>
      <w:r w:rsidR="00B61752" w:rsidRPr="00216226">
        <w:rPr>
          <w:lang w:val="es-ES_tradnl"/>
        </w:rPr>
        <w:t>(2016a).</w:t>
      </w:r>
      <w:r w:rsidR="00680A78" w:rsidRPr="00216226">
        <w:rPr>
          <w:lang w:val="es-ES_tradnl"/>
        </w:rPr>
        <w:t xml:space="preserve"> </w:t>
      </w:r>
    </w:p>
    <w:p w14:paraId="2F9F66B3" w14:textId="18809CBC" w:rsidR="00B61752" w:rsidRPr="00216226" w:rsidRDefault="003F39AD" w:rsidP="00B61752">
      <w:pPr>
        <w:tabs>
          <w:tab w:val="left" w:pos="2835"/>
        </w:tabs>
        <w:jc w:val="both"/>
        <w:rPr>
          <w:lang w:val="es-ES_tradnl"/>
        </w:rPr>
      </w:pPr>
      <w:r>
        <w:rPr>
          <w:lang w:val="es-ES_tradnl"/>
        </w:rPr>
        <w:t>El Departamento de Finanzas de la SESAL</w:t>
      </w:r>
      <w:r w:rsidR="00947EFC" w:rsidRPr="00216226">
        <w:rPr>
          <w:lang w:val="es-ES_tradnl"/>
        </w:rPr>
        <w:t xml:space="preserve"> ha proyectado la necesidad de fondos </w:t>
      </w:r>
      <w:r w:rsidR="00680A78" w:rsidRPr="00216226">
        <w:rPr>
          <w:lang w:val="es-ES_tradnl"/>
        </w:rPr>
        <w:t>domésticos</w:t>
      </w:r>
      <w:r w:rsidR="00947EFC" w:rsidRPr="00216226">
        <w:rPr>
          <w:lang w:val="es-ES_tradnl"/>
        </w:rPr>
        <w:t xml:space="preserve"> adicionales para sostener la respuesta al VIH </w:t>
      </w:r>
      <w:r w:rsidR="00680A78" w:rsidRPr="00216226">
        <w:rPr>
          <w:lang w:val="es-ES_tradnl"/>
        </w:rPr>
        <w:t>durante</w:t>
      </w:r>
      <w:r w:rsidR="00947EFC" w:rsidRPr="00216226">
        <w:rPr>
          <w:lang w:val="es-ES_tradnl"/>
        </w:rPr>
        <w:t xml:space="preserve"> los próximos cuatro años</w:t>
      </w:r>
      <w:r w:rsidR="00B61752" w:rsidRPr="00216226">
        <w:rPr>
          <w:lang w:val="es-ES_tradnl"/>
        </w:rPr>
        <w:t>:</w:t>
      </w:r>
      <w:r w:rsidR="005055AC" w:rsidRPr="00216226">
        <w:rPr>
          <w:lang w:val="es-ES_tradnl"/>
        </w:rPr>
        <w:t xml:space="preserve"> </w:t>
      </w:r>
    </w:p>
    <w:p w14:paraId="41979873" w14:textId="207F949B" w:rsidR="00B61752" w:rsidRPr="00216226" w:rsidRDefault="00B61752" w:rsidP="00482B21">
      <w:pPr>
        <w:pStyle w:val="Heading3"/>
        <w:jc w:val="both"/>
        <w:rPr>
          <w:rFonts w:asciiTheme="majorHAnsi" w:hAnsiTheme="majorHAnsi" w:cstheme="majorHAnsi"/>
          <w:lang w:val="es-ES_tradnl"/>
        </w:rPr>
      </w:pPr>
      <w:bookmarkStart w:id="55" w:name="_Toc1149179"/>
      <w:r w:rsidRPr="00216226">
        <w:rPr>
          <w:lang w:val="es-ES_tradnl"/>
        </w:rPr>
        <w:t>Tabl</w:t>
      </w:r>
      <w:r w:rsidR="00947EFC" w:rsidRPr="00216226">
        <w:rPr>
          <w:lang w:val="es-ES_tradnl"/>
        </w:rPr>
        <w:t>a</w:t>
      </w:r>
      <w:r w:rsidR="001B2A25">
        <w:rPr>
          <w:lang w:val="es-ES_tradnl"/>
        </w:rPr>
        <w:t xml:space="preserve"> 8</w:t>
      </w:r>
      <w:r w:rsidRPr="00216226">
        <w:rPr>
          <w:lang w:val="es-ES_tradnl"/>
        </w:rPr>
        <w:t xml:space="preserve">: </w:t>
      </w:r>
      <w:r w:rsidR="00947EFC" w:rsidRPr="00216226">
        <w:rPr>
          <w:lang w:val="es-ES_tradnl"/>
        </w:rPr>
        <w:t xml:space="preserve">Financiamiento público doméstico adicional para sostener la respuesta al VIH en </w:t>
      </w:r>
      <w:r w:rsidRPr="00216226">
        <w:rPr>
          <w:rFonts w:asciiTheme="majorHAnsi" w:hAnsiTheme="majorHAnsi" w:cstheme="majorHAnsi"/>
          <w:lang w:val="es-ES_tradnl"/>
        </w:rPr>
        <w:t>Honduras</w:t>
      </w:r>
      <w:bookmarkEnd w:id="55"/>
    </w:p>
    <w:tbl>
      <w:tblPr>
        <w:tblpPr w:leftFromText="141" w:rightFromText="141" w:vertAnchor="text" w:horzAnchor="margin" w:tblpY="49"/>
        <w:tblW w:w="5000" w:type="pct"/>
        <w:tblLayout w:type="fixed"/>
        <w:tblCellMar>
          <w:left w:w="70" w:type="dxa"/>
          <w:right w:w="70" w:type="dxa"/>
        </w:tblCellMar>
        <w:tblLook w:val="04A0" w:firstRow="1" w:lastRow="0" w:firstColumn="1" w:lastColumn="0" w:noHBand="0" w:noVBand="1"/>
      </w:tblPr>
      <w:tblGrid>
        <w:gridCol w:w="1980"/>
        <w:gridCol w:w="1646"/>
        <w:gridCol w:w="1796"/>
        <w:gridCol w:w="1796"/>
        <w:gridCol w:w="1798"/>
      </w:tblGrid>
      <w:tr w:rsidR="00B61752" w:rsidRPr="00216226" w14:paraId="5EBB5DDB" w14:textId="77777777" w:rsidTr="00905A9C">
        <w:trPr>
          <w:trHeight w:val="288"/>
        </w:trPr>
        <w:tc>
          <w:tcPr>
            <w:tcW w:w="1098" w:type="pct"/>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14:paraId="6FC0545B" w14:textId="358B2409" w:rsidR="00B61752" w:rsidRPr="00216226" w:rsidRDefault="00D93C2E" w:rsidP="00CB5827">
            <w:pPr>
              <w:spacing w:after="0" w:line="240" w:lineRule="auto"/>
              <w:rPr>
                <w:rFonts w:asciiTheme="majorHAnsi" w:eastAsia="Times New Roman" w:hAnsiTheme="majorHAnsi" w:cstheme="majorHAnsi"/>
                <w:b/>
                <w:color w:val="000000"/>
                <w:lang w:val="es-ES_tradnl" w:eastAsia="es-ES"/>
              </w:rPr>
            </w:pPr>
            <w:r w:rsidRPr="00216226">
              <w:rPr>
                <w:rFonts w:asciiTheme="majorHAnsi" w:eastAsia="Times New Roman" w:hAnsiTheme="majorHAnsi" w:cstheme="majorHAnsi"/>
                <w:b/>
                <w:color w:val="000000"/>
                <w:lang w:val="es-ES_tradnl" w:eastAsia="es-ES"/>
              </w:rPr>
              <w:t>Divisa</w:t>
            </w:r>
          </w:p>
        </w:tc>
        <w:tc>
          <w:tcPr>
            <w:tcW w:w="913"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40712C6E" w14:textId="77777777" w:rsidR="00B61752" w:rsidRPr="00216226" w:rsidRDefault="00B61752" w:rsidP="00CB5827">
            <w:pPr>
              <w:spacing w:after="0" w:line="240" w:lineRule="auto"/>
              <w:jc w:val="center"/>
              <w:rPr>
                <w:rFonts w:asciiTheme="majorHAnsi" w:eastAsia="Times New Roman" w:hAnsiTheme="majorHAnsi" w:cstheme="majorHAnsi"/>
                <w:b/>
                <w:color w:val="000000"/>
                <w:lang w:val="es-ES_tradnl" w:eastAsia="es-ES"/>
              </w:rPr>
            </w:pPr>
            <w:r w:rsidRPr="00216226">
              <w:rPr>
                <w:rFonts w:asciiTheme="majorHAnsi" w:eastAsia="Times New Roman" w:hAnsiTheme="majorHAnsi" w:cstheme="majorHAnsi"/>
                <w:b/>
                <w:color w:val="000000"/>
                <w:lang w:val="es-ES_tradnl" w:eastAsia="es-ES"/>
              </w:rPr>
              <w:t>2019</w:t>
            </w:r>
          </w:p>
        </w:tc>
        <w:tc>
          <w:tcPr>
            <w:tcW w:w="996"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50C25E16" w14:textId="77777777" w:rsidR="00B61752" w:rsidRPr="00216226" w:rsidRDefault="00B61752" w:rsidP="00CB5827">
            <w:pPr>
              <w:spacing w:after="0" w:line="240" w:lineRule="auto"/>
              <w:jc w:val="center"/>
              <w:rPr>
                <w:rFonts w:asciiTheme="majorHAnsi" w:eastAsia="Times New Roman" w:hAnsiTheme="majorHAnsi" w:cstheme="majorHAnsi"/>
                <w:b/>
                <w:color w:val="000000"/>
                <w:lang w:val="es-ES_tradnl" w:eastAsia="es-ES"/>
              </w:rPr>
            </w:pPr>
            <w:r w:rsidRPr="00216226">
              <w:rPr>
                <w:rFonts w:asciiTheme="majorHAnsi" w:eastAsia="Times New Roman" w:hAnsiTheme="majorHAnsi" w:cstheme="majorHAnsi"/>
                <w:b/>
                <w:color w:val="000000"/>
                <w:lang w:val="es-ES_tradnl" w:eastAsia="es-ES"/>
              </w:rPr>
              <w:t>2020</w:t>
            </w:r>
          </w:p>
        </w:tc>
        <w:tc>
          <w:tcPr>
            <w:tcW w:w="996"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4BA061EF" w14:textId="77777777" w:rsidR="00B61752" w:rsidRPr="00216226" w:rsidRDefault="00B61752" w:rsidP="00CB5827">
            <w:pPr>
              <w:spacing w:after="0" w:line="240" w:lineRule="auto"/>
              <w:jc w:val="center"/>
              <w:rPr>
                <w:rFonts w:asciiTheme="majorHAnsi" w:eastAsia="Times New Roman" w:hAnsiTheme="majorHAnsi" w:cstheme="majorHAnsi"/>
                <w:b/>
                <w:color w:val="000000"/>
                <w:lang w:val="es-ES_tradnl" w:eastAsia="es-ES"/>
              </w:rPr>
            </w:pPr>
            <w:r w:rsidRPr="00216226">
              <w:rPr>
                <w:rFonts w:asciiTheme="majorHAnsi" w:eastAsia="Times New Roman" w:hAnsiTheme="majorHAnsi" w:cstheme="majorHAnsi"/>
                <w:b/>
                <w:color w:val="000000"/>
                <w:lang w:val="es-ES_tradnl" w:eastAsia="es-ES"/>
              </w:rPr>
              <w:t>2021</w:t>
            </w:r>
          </w:p>
        </w:tc>
        <w:tc>
          <w:tcPr>
            <w:tcW w:w="997" w:type="pct"/>
            <w:tcBorders>
              <w:top w:val="single" w:sz="4" w:space="0" w:color="auto"/>
              <w:left w:val="nil"/>
              <w:bottom w:val="single" w:sz="4" w:space="0" w:color="auto"/>
              <w:right w:val="single" w:sz="4" w:space="0" w:color="auto"/>
            </w:tcBorders>
            <w:shd w:val="clear" w:color="auto" w:fill="EEECE1" w:themeFill="background2"/>
            <w:noWrap/>
            <w:vAlign w:val="bottom"/>
            <w:hideMark/>
          </w:tcPr>
          <w:p w14:paraId="62D9F5E6" w14:textId="77777777" w:rsidR="00B61752" w:rsidRPr="00216226" w:rsidRDefault="00B61752" w:rsidP="00CB5827">
            <w:pPr>
              <w:spacing w:after="0" w:line="240" w:lineRule="auto"/>
              <w:jc w:val="center"/>
              <w:rPr>
                <w:rFonts w:asciiTheme="majorHAnsi" w:eastAsia="Times New Roman" w:hAnsiTheme="majorHAnsi" w:cstheme="majorHAnsi"/>
                <w:b/>
                <w:color w:val="000000"/>
                <w:lang w:val="es-ES_tradnl" w:eastAsia="es-ES"/>
              </w:rPr>
            </w:pPr>
            <w:r w:rsidRPr="00216226">
              <w:rPr>
                <w:rFonts w:asciiTheme="majorHAnsi" w:eastAsia="Times New Roman" w:hAnsiTheme="majorHAnsi" w:cstheme="majorHAnsi"/>
                <w:b/>
                <w:color w:val="000000"/>
                <w:lang w:val="es-ES_tradnl" w:eastAsia="es-ES"/>
              </w:rPr>
              <w:t>2022</w:t>
            </w:r>
          </w:p>
        </w:tc>
      </w:tr>
      <w:tr w:rsidR="00B61752" w:rsidRPr="00216226" w14:paraId="78EFFBBD" w14:textId="77777777" w:rsidTr="00905A9C">
        <w:trPr>
          <w:trHeight w:val="395"/>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C8A93" w14:textId="77777777" w:rsidR="00B61752" w:rsidRPr="00216226" w:rsidRDefault="00B61752" w:rsidP="00CB5827">
            <w:pPr>
              <w:spacing w:after="0" w:line="240" w:lineRule="auto"/>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LEMPIRAS</w:t>
            </w:r>
          </w:p>
        </w:tc>
        <w:tc>
          <w:tcPr>
            <w:tcW w:w="913" w:type="pct"/>
            <w:tcBorders>
              <w:top w:val="single" w:sz="4" w:space="0" w:color="auto"/>
              <w:left w:val="nil"/>
              <w:bottom w:val="single" w:sz="4" w:space="0" w:color="auto"/>
              <w:right w:val="single" w:sz="4" w:space="0" w:color="auto"/>
            </w:tcBorders>
            <w:shd w:val="clear" w:color="auto" w:fill="auto"/>
            <w:noWrap/>
            <w:vAlign w:val="bottom"/>
            <w:hideMark/>
          </w:tcPr>
          <w:p w14:paraId="5D2D1872"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 xml:space="preserve">            91,050,049 </w:t>
            </w:r>
          </w:p>
        </w:tc>
        <w:tc>
          <w:tcPr>
            <w:tcW w:w="996" w:type="pct"/>
            <w:tcBorders>
              <w:top w:val="single" w:sz="4" w:space="0" w:color="auto"/>
              <w:left w:val="nil"/>
              <w:bottom w:val="single" w:sz="4" w:space="0" w:color="auto"/>
              <w:right w:val="single" w:sz="4" w:space="0" w:color="auto"/>
            </w:tcBorders>
            <w:shd w:val="clear" w:color="auto" w:fill="auto"/>
            <w:noWrap/>
            <w:vAlign w:val="bottom"/>
            <w:hideMark/>
          </w:tcPr>
          <w:p w14:paraId="260FAE99"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 xml:space="preserve"> 141,029,857</w:t>
            </w:r>
          </w:p>
        </w:tc>
        <w:tc>
          <w:tcPr>
            <w:tcW w:w="996" w:type="pct"/>
            <w:tcBorders>
              <w:top w:val="single" w:sz="4" w:space="0" w:color="auto"/>
              <w:left w:val="nil"/>
              <w:bottom w:val="single" w:sz="4" w:space="0" w:color="auto"/>
              <w:right w:val="single" w:sz="4" w:space="0" w:color="auto"/>
            </w:tcBorders>
            <w:shd w:val="clear" w:color="auto" w:fill="auto"/>
            <w:noWrap/>
            <w:vAlign w:val="bottom"/>
            <w:hideMark/>
          </w:tcPr>
          <w:p w14:paraId="42A9ED9D"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 xml:space="preserve"> 149,833,672</w:t>
            </w:r>
          </w:p>
        </w:tc>
        <w:tc>
          <w:tcPr>
            <w:tcW w:w="997" w:type="pct"/>
            <w:tcBorders>
              <w:top w:val="single" w:sz="4" w:space="0" w:color="auto"/>
              <w:left w:val="nil"/>
              <w:bottom w:val="single" w:sz="4" w:space="0" w:color="auto"/>
              <w:right w:val="single" w:sz="4" w:space="0" w:color="auto"/>
            </w:tcBorders>
            <w:shd w:val="clear" w:color="auto" w:fill="auto"/>
            <w:noWrap/>
            <w:vAlign w:val="bottom"/>
            <w:hideMark/>
          </w:tcPr>
          <w:p w14:paraId="0C0D6533"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 xml:space="preserve"> 207,012,909</w:t>
            </w:r>
          </w:p>
        </w:tc>
      </w:tr>
      <w:tr w:rsidR="00B61752" w:rsidRPr="00216226" w14:paraId="6961B55F" w14:textId="77777777" w:rsidTr="00905A9C">
        <w:trPr>
          <w:trHeight w:val="367"/>
        </w:trPr>
        <w:tc>
          <w:tcPr>
            <w:tcW w:w="10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9973ED" w14:textId="1FE03753" w:rsidR="00B61752" w:rsidRPr="00216226" w:rsidRDefault="00905A9C" w:rsidP="00CB5827">
            <w:pPr>
              <w:spacing w:after="0" w:line="240" w:lineRule="auto"/>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 xml:space="preserve">EQUIVALENTE </w:t>
            </w:r>
            <w:r w:rsidR="00652E09">
              <w:rPr>
                <w:lang w:val="es-ES_tradnl"/>
              </w:rPr>
              <w:t xml:space="preserve">US$ </w:t>
            </w:r>
          </w:p>
        </w:tc>
        <w:tc>
          <w:tcPr>
            <w:tcW w:w="913" w:type="pct"/>
            <w:tcBorders>
              <w:top w:val="single" w:sz="4" w:space="0" w:color="auto"/>
              <w:left w:val="nil"/>
              <w:bottom w:val="single" w:sz="4" w:space="0" w:color="auto"/>
              <w:right w:val="single" w:sz="4" w:space="0" w:color="auto"/>
            </w:tcBorders>
            <w:shd w:val="clear" w:color="auto" w:fill="auto"/>
            <w:noWrap/>
            <w:vAlign w:val="bottom"/>
          </w:tcPr>
          <w:p w14:paraId="7F012515"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3,714,910</w:t>
            </w:r>
          </w:p>
        </w:tc>
        <w:tc>
          <w:tcPr>
            <w:tcW w:w="996" w:type="pct"/>
            <w:tcBorders>
              <w:top w:val="single" w:sz="4" w:space="0" w:color="auto"/>
              <w:left w:val="nil"/>
              <w:bottom w:val="single" w:sz="4" w:space="0" w:color="auto"/>
              <w:right w:val="single" w:sz="4" w:space="0" w:color="auto"/>
            </w:tcBorders>
            <w:shd w:val="clear" w:color="auto" w:fill="auto"/>
            <w:noWrap/>
            <w:vAlign w:val="bottom"/>
          </w:tcPr>
          <w:p w14:paraId="69F89C99"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5,754,120</w:t>
            </w:r>
          </w:p>
        </w:tc>
        <w:tc>
          <w:tcPr>
            <w:tcW w:w="996" w:type="pct"/>
            <w:tcBorders>
              <w:top w:val="single" w:sz="4" w:space="0" w:color="auto"/>
              <w:left w:val="nil"/>
              <w:bottom w:val="single" w:sz="4" w:space="0" w:color="auto"/>
              <w:right w:val="single" w:sz="4" w:space="0" w:color="auto"/>
            </w:tcBorders>
            <w:shd w:val="clear" w:color="auto" w:fill="auto"/>
            <w:noWrap/>
            <w:vAlign w:val="bottom"/>
          </w:tcPr>
          <w:p w14:paraId="019C9119"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6,113,320</w:t>
            </w:r>
          </w:p>
        </w:tc>
        <w:tc>
          <w:tcPr>
            <w:tcW w:w="997" w:type="pct"/>
            <w:tcBorders>
              <w:top w:val="single" w:sz="4" w:space="0" w:color="auto"/>
              <w:left w:val="nil"/>
              <w:bottom w:val="single" w:sz="4" w:space="0" w:color="auto"/>
              <w:right w:val="single" w:sz="4" w:space="0" w:color="auto"/>
            </w:tcBorders>
            <w:shd w:val="clear" w:color="auto" w:fill="auto"/>
            <w:noWrap/>
            <w:vAlign w:val="bottom"/>
          </w:tcPr>
          <w:p w14:paraId="6E7714B1" w14:textId="77777777" w:rsidR="00B61752" w:rsidRPr="00216226" w:rsidRDefault="00B61752" w:rsidP="00CB5827">
            <w:pPr>
              <w:spacing w:after="0" w:line="240" w:lineRule="auto"/>
              <w:jc w:val="right"/>
              <w:rPr>
                <w:rFonts w:asciiTheme="majorHAnsi" w:eastAsia="Times New Roman" w:hAnsiTheme="majorHAnsi" w:cstheme="majorHAnsi"/>
                <w:color w:val="000000"/>
                <w:lang w:val="es-ES_tradnl" w:eastAsia="es-ES"/>
              </w:rPr>
            </w:pPr>
            <w:r w:rsidRPr="00216226">
              <w:rPr>
                <w:rFonts w:asciiTheme="majorHAnsi" w:eastAsia="Times New Roman" w:hAnsiTheme="majorHAnsi" w:cstheme="majorHAnsi"/>
                <w:color w:val="000000"/>
                <w:lang w:val="es-ES_tradnl" w:eastAsia="es-ES"/>
              </w:rPr>
              <w:t>8,446,280</w:t>
            </w:r>
          </w:p>
        </w:tc>
      </w:tr>
    </w:tbl>
    <w:p w14:paraId="6477F89E" w14:textId="51BBD722" w:rsidR="00B61752" w:rsidRPr="00216226" w:rsidRDefault="00460210" w:rsidP="00B61752">
      <w:pPr>
        <w:spacing w:after="0" w:line="240" w:lineRule="auto"/>
        <w:rPr>
          <w:rFonts w:asciiTheme="majorHAnsi" w:hAnsiTheme="majorHAnsi" w:cstheme="majorHAnsi"/>
          <w:i/>
          <w:color w:val="000000" w:themeColor="text1"/>
          <w:lang w:val="es-ES_tradnl"/>
        </w:rPr>
      </w:pPr>
      <w:r w:rsidRPr="00216226">
        <w:rPr>
          <w:rFonts w:asciiTheme="majorHAnsi" w:hAnsiTheme="majorHAnsi" w:cstheme="majorHAnsi"/>
          <w:i/>
          <w:color w:val="000000" w:themeColor="text1"/>
          <w:lang w:val="es-ES_tradnl"/>
        </w:rPr>
        <w:t>Fuente</w:t>
      </w:r>
      <w:r w:rsidR="00B61752" w:rsidRPr="00216226">
        <w:rPr>
          <w:rFonts w:asciiTheme="majorHAnsi" w:hAnsiTheme="majorHAnsi" w:cstheme="majorHAnsi"/>
          <w:i/>
          <w:color w:val="000000" w:themeColor="text1"/>
          <w:lang w:val="es-ES_tradnl"/>
        </w:rPr>
        <w:t xml:space="preserve">: </w:t>
      </w:r>
      <w:r w:rsidR="005055AC" w:rsidRPr="00216226">
        <w:rPr>
          <w:rFonts w:asciiTheme="majorHAnsi" w:hAnsiTheme="majorHAnsi" w:cstheme="majorHAnsi"/>
          <w:i/>
          <w:color w:val="000000" w:themeColor="text1"/>
          <w:lang w:val="es-ES_tradnl"/>
        </w:rPr>
        <w:t>Comunicación directa de UPEG</w:t>
      </w:r>
      <w:r w:rsidR="00D93C2E" w:rsidRPr="00216226">
        <w:rPr>
          <w:rFonts w:asciiTheme="majorHAnsi" w:hAnsiTheme="majorHAnsi" w:cstheme="majorHAnsi"/>
          <w:i/>
          <w:color w:val="000000" w:themeColor="text1"/>
          <w:lang w:val="es-ES_tradnl"/>
        </w:rPr>
        <w:t xml:space="preserve"> por correo electrónico</w:t>
      </w:r>
    </w:p>
    <w:p w14:paraId="27497321" w14:textId="77777777" w:rsidR="00B61752" w:rsidRPr="00216226" w:rsidRDefault="00B61752" w:rsidP="00B61752">
      <w:pPr>
        <w:tabs>
          <w:tab w:val="left" w:pos="2835"/>
        </w:tabs>
        <w:jc w:val="both"/>
        <w:rPr>
          <w:lang w:val="es-ES_tradnl"/>
        </w:rPr>
      </w:pPr>
    </w:p>
    <w:p w14:paraId="5175939A" w14:textId="09ECB82F" w:rsidR="00B61752" w:rsidRDefault="005055AC" w:rsidP="00B61752">
      <w:pPr>
        <w:tabs>
          <w:tab w:val="left" w:pos="2835"/>
        </w:tabs>
        <w:jc w:val="both"/>
        <w:rPr>
          <w:lang w:val="es-ES_tradnl"/>
        </w:rPr>
      </w:pPr>
      <w:r w:rsidRPr="00216226">
        <w:rPr>
          <w:lang w:val="es-ES_tradnl"/>
        </w:rPr>
        <w:t>Sin embargo, no hay evidencia de un mayor apoyo político para los programas de VIH, lo que significa que no se pueden asignar las cantidades requeridas (Visita de campo)</w:t>
      </w:r>
      <w:r w:rsidR="00B61752" w:rsidRPr="00216226">
        <w:rPr>
          <w:lang w:val="es-ES_tradnl"/>
        </w:rPr>
        <w:t>.</w:t>
      </w:r>
    </w:p>
    <w:p w14:paraId="4BAE2566" w14:textId="18A1D749" w:rsidR="00B61752" w:rsidRPr="00216226" w:rsidRDefault="003E78F0" w:rsidP="00B61752">
      <w:pPr>
        <w:tabs>
          <w:tab w:val="left" w:pos="2835"/>
        </w:tabs>
        <w:jc w:val="both"/>
        <w:rPr>
          <w:lang w:val="es-ES_tradnl"/>
        </w:rPr>
      </w:pPr>
      <w:r w:rsidRPr="00216226">
        <w:rPr>
          <w:lang w:val="es-ES_tradnl"/>
        </w:rPr>
        <w:t>Objetivo</w:t>
      </w:r>
      <w:r w:rsidR="00B61752" w:rsidRPr="00216226">
        <w:rPr>
          <w:lang w:val="es-ES_tradnl"/>
        </w:rPr>
        <w:t xml:space="preserve"> 4. </w:t>
      </w:r>
      <w:r w:rsidR="00D93C2E" w:rsidRPr="00216226">
        <w:rPr>
          <w:lang w:val="es-ES_tradnl"/>
        </w:rPr>
        <w:t>Análisis</w:t>
      </w:r>
    </w:p>
    <w:p w14:paraId="72DD99BC" w14:textId="083E2280" w:rsidR="00B61752" w:rsidRPr="00216226" w:rsidRDefault="00905A9C" w:rsidP="00B61752">
      <w:pPr>
        <w:tabs>
          <w:tab w:val="left" w:pos="2835"/>
        </w:tabs>
        <w:jc w:val="both"/>
        <w:rPr>
          <w:lang w:val="es-ES_tradnl"/>
        </w:rPr>
      </w:pPr>
      <w:bookmarkStart w:id="56" w:name="_Hlk8339256"/>
      <w:r w:rsidRPr="00216226">
        <w:rPr>
          <w:lang w:val="es-ES_tradnl"/>
        </w:rPr>
        <w:t>Honduras es un país de ingresos bajos y medios (PIMB) con una elevada carga de VIH, y no se espera que comience la transición hasta 2025</w:t>
      </w:r>
      <w:r w:rsidR="00680A78" w:rsidRPr="00216226">
        <w:rPr>
          <w:lang w:val="es-ES_tradnl"/>
        </w:rPr>
        <w:t>,</w:t>
      </w:r>
      <w:r w:rsidRPr="00216226">
        <w:rPr>
          <w:lang w:val="es-ES_tradnl"/>
        </w:rPr>
        <w:t xml:space="preserve"> como muy pronto. Sin embargo, los montos de las subvenciones se están reduciendo progresivamente y es fundamental comenzar a preparar el país para cuando comience la transición</w:t>
      </w:r>
      <w:r w:rsidR="00B61752" w:rsidRPr="00216226">
        <w:rPr>
          <w:lang w:val="es-ES_tradnl"/>
        </w:rPr>
        <w:t xml:space="preserve">. </w:t>
      </w:r>
      <w:r w:rsidRPr="00216226">
        <w:rPr>
          <w:lang w:val="es-ES_tradnl"/>
        </w:rPr>
        <w:t xml:space="preserve">Si bien el acceso a la TAR parece estar garantizado, hay muchos otros elementos de la respuesta nacional al VIH que dependen </w:t>
      </w:r>
      <w:r w:rsidR="004B2F3F" w:rsidRPr="00216226">
        <w:rPr>
          <w:lang w:val="es-ES_tradnl"/>
        </w:rPr>
        <w:t>totalmente</w:t>
      </w:r>
      <w:r w:rsidRPr="00216226">
        <w:rPr>
          <w:lang w:val="es-ES_tradnl"/>
        </w:rPr>
        <w:t xml:space="preserve"> o en gran medida de la contribución del Fondo Mundial y otros socios internacionales</w:t>
      </w:r>
      <w:r w:rsidR="00B61752" w:rsidRPr="00216226">
        <w:rPr>
          <w:lang w:val="es-ES_tradnl"/>
        </w:rPr>
        <w:t xml:space="preserve">. </w:t>
      </w:r>
      <w:bookmarkEnd w:id="56"/>
      <w:r w:rsidR="004B2F3F" w:rsidRPr="00216226">
        <w:rPr>
          <w:lang w:val="es-ES_tradnl"/>
        </w:rPr>
        <w:t xml:space="preserve">Esto incluye recuentos de CD4 y mediciones de carga viral para </w:t>
      </w:r>
      <w:r w:rsidR="007E0564" w:rsidRPr="00216226">
        <w:rPr>
          <w:lang w:val="es-ES_tradnl"/>
        </w:rPr>
        <w:t>monitorear</w:t>
      </w:r>
      <w:r w:rsidR="004B2F3F" w:rsidRPr="00216226">
        <w:rPr>
          <w:lang w:val="es-ES_tradnl"/>
        </w:rPr>
        <w:t xml:space="preserve"> los resultados de salud y los objetivos de supresión de la carga viral, a fin de maximizar los beneficios del enfoque Tratamiento como Prevención</w:t>
      </w:r>
      <w:r w:rsidR="00B61752" w:rsidRPr="00216226">
        <w:rPr>
          <w:lang w:val="es-ES_tradnl"/>
        </w:rPr>
        <w:t xml:space="preserve">. </w:t>
      </w:r>
    </w:p>
    <w:p w14:paraId="3A5FBFC7" w14:textId="7A6F34DB" w:rsidR="00B61752" w:rsidRPr="00216226" w:rsidRDefault="004B2F3F" w:rsidP="00B61752">
      <w:pPr>
        <w:tabs>
          <w:tab w:val="left" w:pos="2835"/>
        </w:tabs>
        <w:jc w:val="both"/>
        <w:rPr>
          <w:lang w:val="es-ES_tradnl"/>
        </w:rPr>
      </w:pPr>
      <w:bookmarkStart w:id="57" w:name="_Hlk8339275"/>
      <w:r w:rsidRPr="00216226">
        <w:rPr>
          <w:lang w:val="es-ES_tradnl"/>
        </w:rPr>
        <w:t xml:space="preserve">A menos que haya un aumento considerable de ayuda doméstica, otras actividades se encuentran en riesgo, entre ellas la divulgación sobre el VIH, la prevención y </w:t>
      </w:r>
      <w:r w:rsidR="00680A78" w:rsidRPr="00216226">
        <w:rPr>
          <w:lang w:val="es-ES_tradnl"/>
        </w:rPr>
        <w:t xml:space="preserve">las </w:t>
      </w:r>
      <w:r w:rsidRPr="00216226">
        <w:rPr>
          <w:lang w:val="es-ES_tradnl"/>
        </w:rPr>
        <w:t xml:space="preserve">pruebas para </w:t>
      </w:r>
      <w:r w:rsidR="00680A78" w:rsidRPr="00216226">
        <w:rPr>
          <w:lang w:val="es-ES_tradnl"/>
        </w:rPr>
        <w:t xml:space="preserve">las </w:t>
      </w:r>
      <w:r w:rsidRPr="00216226">
        <w:rPr>
          <w:lang w:val="es-ES_tradnl"/>
        </w:rPr>
        <w:t>poblaciones clave, el cribado y tratamiento de las ITS para poblaciones clave (especialmente HSH), los servicios y apoyo comunitarios</w:t>
      </w:r>
      <w:r w:rsidR="00680A78" w:rsidRPr="00216226">
        <w:rPr>
          <w:lang w:val="es-ES_tradnl"/>
        </w:rPr>
        <w:t>,</w:t>
      </w:r>
      <w:r w:rsidR="00B61752" w:rsidRPr="00216226">
        <w:rPr>
          <w:lang w:val="es-ES_tradnl"/>
        </w:rPr>
        <w:t xml:space="preserve"> </w:t>
      </w:r>
      <w:bookmarkEnd w:id="57"/>
      <w:r w:rsidRPr="00216226">
        <w:rPr>
          <w:lang w:val="es-ES_tradnl"/>
        </w:rPr>
        <w:t>el apoyo al SIIS, y el apoyo para abordar las barreras sociales, legales, políticas, culturales y económicas para que las poblaciones clave accedan a los servicios de salud, incluyendo el apoyo contra violaciones de derechos humanos</w:t>
      </w:r>
      <w:r w:rsidR="00B61752" w:rsidRPr="00216226">
        <w:rPr>
          <w:lang w:val="es-ES_tradnl"/>
        </w:rPr>
        <w:t>.</w:t>
      </w:r>
      <w:r w:rsidR="00680A78" w:rsidRPr="00216226">
        <w:rPr>
          <w:lang w:val="es-ES_tradnl"/>
        </w:rPr>
        <w:t xml:space="preserve"> </w:t>
      </w:r>
    </w:p>
    <w:p w14:paraId="064D0026" w14:textId="7E98484A" w:rsidR="00B61752" w:rsidRPr="00216226" w:rsidRDefault="004B2F3F" w:rsidP="00B61752">
      <w:pPr>
        <w:tabs>
          <w:tab w:val="left" w:pos="2835"/>
        </w:tabs>
        <w:jc w:val="both"/>
        <w:rPr>
          <w:lang w:val="es-ES_tradnl"/>
        </w:rPr>
      </w:pPr>
      <w:r w:rsidRPr="00216226">
        <w:rPr>
          <w:lang w:val="es-ES_tradnl"/>
        </w:rPr>
        <w:t xml:space="preserve">Si bien los funcionarios </w:t>
      </w:r>
      <w:r w:rsidR="003F39AD">
        <w:rPr>
          <w:lang w:val="es-ES_tradnl"/>
        </w:rPr>
        <w:t>de la SESAL</w:t>
      </w:r>
      <w:r w:rsidRPr="00216226">
        <w:rPr>
          <w:lang w:val="es-ES_tradnl"/>
        </w:rPr>
        <w:t xml:space="preserve">, la sociedad civil, los socios para el desarrollo y todas las partes interesadas en general están de acuerdo en la necesidad de aumentar el apoyo político y financiero doméstico a la respuesta al VIH, no hay indicios claros de que esto vaya a ocurrir. El país es políticamente inestable, con frecuentes sustituciones en el liderazgo </w:t>
      </w:r>
      <w:r w:rsidR="003F39AD">
        <w:rPr>
          <w:lang w:val="es-ES_tradnl"/>
        </w:rPr>
        <w:t>de la SESAL</w:t>
      </w:r>
      <w:r w:rsidR="00B61752" w:rsidRPr="00216226">
        <w:rPr>
          <w:lang w:val="es-ES_tradnl"/>
        </w:rPr>
        <w:t xml:space="preserve">. </w:t>
      </w:r>
      <w:r w:rsidR="00EE3AEC" w:rsidRPr="00216226">
        <w:rPr>
          <w:lang w:val="es-ES_tradnl"/>
        </w:rPr>
        <w:t>Las fuerzas conservadoras y religiosas tienen gran influencia en las políticas del país, dificultando la movilización de recursos públicos domésticos adicionales para las poblaciones clave y las actividades de prevención y prueba del VIH, así como para acciones enfocadas a combatir el estigma, la discriminación y la violencia asociada con el VIH</w:t>
      </w:r>
      <w:r w:rsidR="00B61752" w:rsidRPr="00216226">
        <w:rPr>
          <w:lang w:val="es-ES_tradnl"/>
        </w:rPr>
        <w:t xml:space="preserve">. </w:t>
      </w:r>
      <w:r w:rsidR="00EE3AEC" w:rsidRPr="00216226">
        <w:rPr>
          <w:lang w:val="es-ES_tradnl"/>
        </w:rPr>
        <w:t xml:space="preserve">Se dice que existen mecanismos legales y administrativos que permiten la contratación de la sociedad civil, pero es poco probable que se utilicen para apoyar a las OSC del </w:t>
      </w:r>
      <w:r w:rsidR="00EE3AEC" w:rsidRPr="00216226">
        <w:rPr>
          <w:lang w:val="es-ES_tradnl"/>
        </w:rPr>
        <w:lastRenderedPageBreak/>
        <w:t xml:space="preserve">VIH a menos que se desarrolle un liderazgo político sólido y se aumente el presupuesto en los próximos años </w:t>
      </w:r>
      <w:r w:rsidR="000A4808" w:rsidRPr="00216226">
        <w:rPr>
          <w:lang w:val="es-ES_tradnl"/>
        </w:rPr>
        <w:t>(Visita de campo)</w:t>
      </w:r>
      <w:r w:rsidR="00B61752" w:rsidRPr="00216226">
        <w:rPr>
          <w:lang w:val="es-ES_tradnl"/>
        </w:rPr>
        <w:t xml:space="preserve">. </w:t>
      </w:r>
    </w:p>
    <w:p w14:paraId="40A56C58" w14:textId="77777777" w:rsidR="00B61752" w:rsidRPr="00216226" w:rsidRDefault="00B61752" w:rsidP="00B61752">
      <w:pPr>
        <w:tabs>
          <w:tab w:val="left" w:pos="2835"/>
        </w:tabs>
        <w:jc w:val="both"/>
        <w:rPr>
          <w:lang w:val="es-ES_tradnl"/>
        </w:rPr>
      </w:pPr>
    </w:p>
    <w:sectPr w:rsidR="00B61752" w:rsidRPr="00216226" w:rsidSect="002C2B32">
      <w:pgSz w:w="11906" w:h="16838"/>
      <w:pgMar w:top="1440" w:right="1440" w:bottom="1440" w:left="1440" w:header="706" w:footer="70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Valerie W" w:date="2019-05-23T14:02:00Z" w:initials="VW">
    <w:p w14:paraId="5D8664C3" w14:textId="7F35946E" w:rsidR="009A4A93" w:rsidRDefault="009A4A93">
      <w:pPr>
        <w:pStyle w:val="CommentText"/>
      </w:pPr>
      <w:r>
        <w:rPr>
          <w:rStyle w:val="CommentReference"/>
        </w:rPr>
        <w:annotationRef/>
      </w:r>
      <w:r>
        <w:t>Not sure if this is the correct translation via the Global Fund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664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3022F" w16cid:durableId="2080B5DF"/>
  <w16cid:commentId w16cid:paraId="760B0DFA" w16cid:durableId="207078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D62E3" w14:textId="77777777" w:rsidR="00AE12A2" w:rsidRDefault="00AE12A2">
      <w:pPr>
        <w:spacing w:after="0" w:line="240" w:lineRule="auto"/>
      </w:pPr>
      <w:r>
        <w:separator/>
      </w:r>
    </w:p>
  </w:endnote>
  <w:endnote w:type="continuationSeparator" w:id="0">
    <w:p w14:paraId="34C81F4B" w14:textId="77777777" w:rsidR="00AE12A2" w:rsidRDefault="00AE1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0B81C" w14:textId="77777777" w:rsidR="009A4A93" w:rsidRDefault="009A4A9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5103D52D" w14:textId="77777777" w:rsidR="009A4A93" w:rsidRDefault="009A4A93">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E3E1" w14:textId="6100F228" w:rsidR="009A4A93" w:rsidRPr="00147761" w:rsidRDefault="009A4A93" w:rsidP="006C5426">
    <w:pPr>
      <w:pBdr>
        <w:top w:val="nil"/>
        <w:left w:val="nil"/>
        <w:bottom w:val="nil"/>
        <w:right w:val="nil"/>
        <w:between w:val="nil"/>
      </w:pBdr>
      <w:tabs>
        <w:tab w:val="center" w:pos="4680"/>
        <w:tab w:val="right" w:pos="9360"/>
      </w:tabs>
      <w:spacing w:after="0" w:line="240" w:lineRule="auto"/>
      <w:rPr>
        <w:color w:val="000000"/>
        <w:lang w:val="es-US"/>
      </w:rPr>
    </w:pPr>
    <w:r w:rsidRPr="00EE3AEC">
      <w:rPr>
        <w:color w:val="000000"/>
        <w:lang w:val="es-ES_tradnl"/>
      </w:rPr>
      <w:t xml:space="preserve">Evaluación de Campo de </w:t>
    </w:r>
    <w:r>
      <w:rPr>
        <w:color w:val="000000"/>
        <w:lang w:val="es-ES_tradnl"/>
      </w:rPr>
      <w:t>HIV</w:t>
    </w:r>
    <w:r w:rsidRPr="00EE3AEC">
      <w:rPr>
        <w:color w:val="000000"/>
        <w:lang w:val="es-ES_tradnl"/>
      </w:rPr>
      <w:t xml:space="preserve"> en Honduras</w:t>
    </w:r>
    <w:r w:rsidRPr="00147761">
      <w:rPr>
        <w:color w:val="000000"/>
        <w:lang w:val="es-US"/>
      </w:rPr>
      <w:tab/>
    </w:r>
    <w:r w:rsidRPr="00147761">
      <w:rPr>
        <w:color w:val="000000"/>
        <w:lang w:val="es-US"/>
      </w:rPr>
      <w:tab/>
    </w:r>
    <w:r>
      <w:rPr>
        <w:color w:val="000000"/>
      </w:rPr>
      <w:fldChar w:fldCharType="begin"/>
    </w:r>
    <w:r w:rsidRPr="00147761">
      <w:rPr>
        <w:color w:val="000000"/>
        <w:lang w:val="es-US"/>
      </w:rPr>
      <w:instrText>PAGE</w:instrText>
    </w:r>
    <w:r>
      <w:rPr>
        <w:color w:val="000000"/>
      </w:rPr>
      <w:fldChar w:fldCharType="separate"/>
    </w:r>
    <w:r w:rsidR="00BC3841">
      <w:rPr>
        <w:noProof/>
        <w:color w:val="000000"/>
        <w:lang w:val="es-US"/>
      </w:rPr>
      <w:t>43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91357" w14:textId="77777777" w:rsidR="00AE12A2" w:rsidRDefault="00AE12A2">
      <w:pPr>
        <w:spacing w:after="0" w:line="240" w:lineRule="auto"/>
      </w:pPr>
      <w:r>
        <w:separator/>
      </w:r>
    </w:p>
  </w:footnote>
  <w:footnote w:type="continuationSeparator" w:id="0">
    <w:p w14:paraId="095A61CF" w14:textId="77777777" w:rsidR="00AE12A2" w:rsidRDefault="00AE12A2">
      <w:pPr>
        <w:spacing w:after="0" w:line="240" w:lineRule="auto"/>
      </w:pPr>
      <w:r>
        <w:continuationSeparator/>
      </w:r>
    </w:p>
  </w:footnote>
  <w:footnote w:id="1">
    <w:p w14:paraId="01FBF657" w14:textId="43F69B52" w:rsidR="009A4A93" w:rsidRPr="000631A7" w:rsidRDefault="009A4A93" w:rsidP="00B032C2">
      <w:pPr>
        <w:pStyle w:val="FootnoteText"/>
        <w:jc w:val="both"/>
        <w:rPr>
          <w:lang w:val="es-ES_tradnl"/>
        </w:rPr>
      </w:pPr>
      <w:r w:rsidRPr="006C5426">
        <w:rPr>
          <w:rStyle w:val="FootnoteReference"/>
          <w:lang w:val="en-US"/>
        </w:rPr>
        <w:footnoteRef/>
      </w:r>
      <w:r w:rsidRPr="00147761">
        <w:rPr>
          <w:lang w:val="es-US"/>
        </w:rPr>
        <w:t xml:space="preserve"> Tal </w:t>
      </w:r>
      <w:r w:rsidRPr="000631A7">
        <w:rPr>
          <w:lang w:val="es-ES_tradnl"/>
        </w:rPr>
        <w:t>como se cita en el Plan Estratégico (SESAL, 2016)</w:t>
      </w:r>
      <w:r>
        <w:rPr>
          <w:lang w:val="es-ES_tradnl"/>
        </w:rPr>
        <w:t>.</w:t>
      </w:r>
    </w:p>
  </w:footnote>
  <w:footnote w:id="2">
    <w:p w14:paraId="4A0290E6" w14:textId="540A2A39" w:rsidR="009A4A93" w:rsidRPr="000631A7" w:rsidRDefault="009A4A93" w:rsidP="00B032C2">
      <w:pPr>
        <w:pStyle w:val="FootnoteText"/>
        <w:jc w:val="both"/>
        <w:rPr>
          <w:lang w:val="es-ES_tradnl"/>
        </w:rPr>
      </w:pPr>
      <w:r w:rsidRPr="000631A7">
        <w:rPr>
          <w:rStyle w:val="FootnoteReference"/>
          <w:lang w:val="es-ES_tradnl"/>
        </w:rPr>
        <w:footnoteRef/>
      </w:r>
      <w:r w:rsidRPr="000631A7">
        <w:rPr>
          <w:lang w:val="es-ES_tradnl"/>
        </w:rPr>
        <w:t xml:space="preserve"> Nota: a lo largo de este informe se utilizan personas transgénero (TG) y mujeres transgénero en diferentes momentos, según la fuente mencionada. No hay ninguna aclaración si TG siempre se refiere a</w:t>
      </w:r>
      <w:r>
        <w:rPr>
          <w:lang w:val="es-ES_tradnl"/>
        </w:rPr>
        <w:t xml:space="preserve"> mujeres transgénero</w:t>
      </w:r>
      <w:r w:rsidRPr="000631A7">
        <w:rPr>
          <w:lang w:val="es-ES_tradnl"/>
        </w:rPr>
        <w:t>, o adicionalmente a hombres transgénero.</w:t>
      </w:r>
    </w:p>
  </w:footnote>
  <w:footnote w:id="3">
    <w:p w14:paraId="7E76296E" w14:textId="591DF906" w:rsidR="009A4A93" w:rsidRPr="00147761" w:rsidRDefault="009A4A93" w:rsidP="0097517B">
      <w:pPr>
        <w:pStyle w:val="FootnoteText"/>
        <w:jc w:val="both"/>
        <w:rPr>
          <w:lang w:val="es-US"/>
        </w:rPr>
      </w:pPr>
      <w:r w:rsidRPr="006C5426">
        <w:rPr>
          <w:rStyle w:val="FootnoteReference"/>
          <w:lang w:val="en-US"/>
        </w:rPr>
        <w:footnoteRef/>
      </w:r>
      <w:r w:rsidRPr="00147761">
        <w:rPr>
          <w:lang w:val="es-US"/>
        </w:rPr>
        <w:t xml:space="preserve"> </w:t>
      </w:r>
      <w:r w:rsidRPr="000A56D9">
        <w:rPr>
          <w:lang w:val="es-ES_tradnl"/>
        </w:rPr>
        <w:t>Además, algunos puestos de trabajo idénticos están ocupados en diferentes centros por personal con condiciones diferentes: a) personal permanente, b) personal cuyo contrato está sujeto a una renovación incierta, o c) estudiantes de postgrado que hacen su función pública obligatoria</w:t>
      </w:r>
      <w:r w:rsidRPr="00147761">
        <w:rPr>
          <w:lang w:val="es-US"/>
        </w:rPr>
        <w:t xml:space="preserve">. </w:t>
      </w:r>
    </w:p>
  </w:footnote>
  <w:footnote w:id="4">
    <w:p w14:paraId="65A6904E" w14:textId="4541F306" w:rsidR="009A4A93" w:rsidRPr="00A05C56" w:rsidRDefault="009A4A93" w:rsidP="00B032C2">
      <w:pPr>
        <w:pBdr>
          <w:top w:val="nil"/>
          <w:left w:val="nil"/>
          <w:bottom w:val="nil"/>
          <w:right w:val="nil"/>
          <w:between w:val="nil"/>
        </w:pBdr>
        <w:spacing w:after="0" w:line="240" w:lineRule="auto"/>
        <w:jc w:val="both"/>
        <w:rPr>
          <w:color w:val="000000"/>
          <w:sz w:val="20"/>
          <w:szCs w:val="20"/>
          <w:lang w:val="es-ES_tradnl"/>
        </w:rPr>
      </w:pPr>
      <w:r w:rsidRPr="006C5426">
        <w:rPr>
          <w:vertAlign w:val="superscript"/>
          <w:lang w:val="en-US"/>
        </w:rPr>
        <w:footnoteRef/>
      </w:r>
      <w:r w:rsidRPr="00147761">
        <w:rPr>
          <w:color w:val="000000"/>
          <w:sz w:val="20"/>
          <w:szCs w:val="20"/>
          <w:lang w:val="es-US"/>
        </w:rPr>
        <w:t xml:space="preserve"> </w:t>
      </w:r>
      <w:r w:rsidRPr="00A05C56">
        <w:rPr>
          <w:color w:val="000000"/>
          <w:sz w:val="20"/>
          <w:szCs w:val="20"/>
          <w:lang w:val="es-ES_tradnl"/>
        </w:rPr>
        <w:t>Se refiere al acuerdo de subvención más reciente, excepto cuando la subvención se firmó menos de 12 meses antes de la evaluación: en estos casos, esto se refiere al acuerdo de subvención anterior.</w:t>
      </w:r>
    </w:p>
  </w:footnote>
  <w:footnote w:id="5">
    <w:p w14:paraId="41FADD79" w14:textId="47138FCC" w:rsidR="009A4A93" w:rsidRPr="00A05C56" w:rsidRDefault="009A4A93" w:rsidP="00B032C2">
      <w:pPr>
        <w:pBdr>
          <w:top w:val="nil"/>
          <w:left w:val="nil"/>
          <w:bottom w:val="nil"/>
          <w:right w:val="nil"/>
          <w:between w:val="nil"/>
        </w:pBdr>
        <w:spacing w:after="0" w:line="240" w:lineRule="auto"/>
        <w:jc w:val="both"/>
        <w:rPr>
          <w:color w:val="000000"/>
          <w:sz w:val="20"/>
          <w:szCs w:val="20"/>
          <w:highlight w:val="yellow"/>
          <w:lang w:val="es-ES_tradnl"/>
        </w:rPr>
      </w:pPr>
      <w:r w:rsidRPr="00A05C56">
        <w:rPr>
          <w:vertAlign w:val="superscript"/>
          <w:lang w:val="es-ES_tradnl"/>
        </w:rPr>
        <w:footnoteRef/>
      </w:r>
      <w:r w:rsidRPr="00A05C56">
        <w:rPr>
          <w:color w:val="000000"/>
          <w:sz w:val="20"/>
          <w:szCs w:val="20"/>
          <w:lang w:val="es-ES_tradnl"/>
        </w:rPr>
        <w:t xml:space="preserve"> Productos básicos: T</w:t>
      </w:r>
      <w:r w:rsidRPr="00A05C56">
        <w:rPr>
          <w:color w:val="222222"/>
          <w:sz w:val="20"/>
          <w:szCs w:val="20"/>
          <w:shd w:val="clear" w:color="auto" w:fill="FFFFFF"/>
          <w:lang w:val="es-ES_tradnl"/>
        </w:rPr>
        <w:t>ARV, condones, lubricantes, agujas y jeringas (si existen programas de reducción de daños) y kits de prueba para VIH, CD4 y carga viral.</w:t>
      </w:r>
    </w:p>
  </w:footnote>
  <w:footnote w:id="6">
    <w:p w14:paraId="500F3C54" w14:textId="5948CEE3" w:rsidR="009A4A93" w:rsidRPr="00147761" w:rsidRDefault="009A4A93" w:rsidP="00B032C2">
      <w:pPr>
        <w:pBdr>
          <w:top w:val="nil"/>
          <w:left w:val="nil"/>
          <w:bottom w:val="nil"/>
          <w:right w:val="nil"/>
          <w:between w:val="nil"/>
        </w:pBdr>
        <w:spacing w:after="0" w:line="240" w:lineRule="auto"/>
        <w:jc w:val="both"/>
        <w:rPr>
          <w:rFonts w:ascii="Georgia" w:eastAsia="Georgia" w:hAnsi="Georgia" w:cs="Georgia"/>
          <w:color w:val="000000"/>
          <w:sz w:val="20"/>
          <w:szCs w:val="20"/>
          <w:lang w:val="es-US"/>
        </w:rPr>
      </w:pPr>
      <w:r w:rsidRPr="006C5426">
        <w:rPr>
          <w:vertAlign w:val="superscript"/>
          <w:lang w:val="en-US"/>
        </w:rPr>
        <w:footnoteRef/>
      </w:r>
      <w:r w:rsidRPr="00147761">
        <w:rPr>
          <w:color w:val="000000"/>
          <w:sz w:val="20"/>
          <w:szCs w:val="20"/>
          <w:lang w:val="es-US"/>
        </w:rPr>
        <w:t xml:space="preserve"> </w:t>
      </w:r>
      <w:r w:rsidRPr="001716D4">
        <w:rPr>
          <w:color w:val="000000"/>
          <w:sz w:val="20"/>
          <w:szCs w:val="20"/>
          <w:lang w:val="es-ES_tradnl"/>
        </w:rPr>
        <w:t>Los entornos propicios pueden variar considerablemente según la población. Una vez que un indicador recibe una puntuación, se proporcionará una justificación. En algunos casos, este indicador puede subdividirse y calificarse para diferentes poblaciones; posteriormente se calculará una puntuación promedio para el indicador general</w:t>
      </w:r>
      <w:r w:rsidRPr="00147761">
        <w:rPr>
          <w:color w:val="000000"/>
          <w:sz w:val="20"/>
          <w:szCs w:val="20"/>
          <w:lang w:val="es-US"/>
        </w:rPr>
        <w:t>.</w:t>
      </w:r>
    </w:p>
  </w:footnote>
  <w:footnote w:id="7">
    <w:p w14:paraId="5795AA60" w14:textId="0A7EE76C" w:rsidR="009A4A93" w:rsidRPr="00DB2E29" w:rsidRDefault="009A4A93" w:rsidP="00B032C2">
      <w:pPr>
        <w:pStyle w:val="FootnoteText"/>
        <w:jc w:val="both"/>
        <w:rPr>
          <w:lang w:val="es-ES_tradnl"/>
        </w:rPr>
      </w:pPr>
      <w:r w:rsidRPr="006C5426">
        <w:rPr>
          <w:rStyle w:val="FootnoteReference"/>
          <w:lang w:val="en-US"/>
        </w:rPr>
        <w:footnoteRef/>
      </w:r>
      <w:r w:rsidRPr="00147761">
        <w:rPr>
          <w:lang w:val="es-US"/>
        </w:rPr>
        <w:t xml:space="preserve"> </w:t>
      </w:r>
      <w:r w:rsidRPr="00DB2E29">
        <w:rPr>
          <w:lang w:val="es-ES_tradnl"/>
        </w:rPr>
        <w:t xml:space="preserve">La diferencia entre las cohortes hospitalarias y las bases de datos nominales es que, en el primer caso, el número se obtiene a partir de los datos agregados que proporciona cada hospital, lo que no permite controlar duplicaciones ni errores, mientras que un sistema nominal funcional, donde cada paciente es identificado por su nombre o código único, permite controlar duplicación o errores. </w:t>
      </w:r>
    </w:p>
  </w:footnote>
  <w:footnote w:id="8">
    <w:p w14:paraId="23B61CB0" w14:textId="02531409" w:rsidR="009A4A93" w:rsidRPr="00C72571" w:rsidRDefault="009A4A93" w:rsidP="00B032C2">
      <w:pPr>
        <w:pStyle w:val="FootnoteText"/>
        <w:jc w:val="both"/>
        <w:rPr>
          <w:lang w:val="es-ES_tradnl"/>
        </w:rPr>
      </w:pPr>
      <w:r w:rsidRPr="006C5426">
        <w:rPr>
          <w:rStyle w:val="FootnoteReference"/>
          <w:lang w:val="en-US"/>
        </w:rPr>
        <w:footnoteRef/>
      </w:r>
      <w:r w:rsidRPr="00147761">
        <w:rPr>
          <w:lang w:val="es-US"/>
        </w:rPr>
        <w:t xml:space="preserve"> </w:t>
      </w:r>
      <w:r w:rsidRPr="00C72571">
        <w:rPr>
          <w:lang w:val="es-ES_tradnl"/>
        </w:rPr>
        <w:t xml:space="preserve">En Honduras, los navegadores pares son </w:t>
      </w:r>
      <w:r>
        <w:rPr>
          <w:lang w:val="es-ES_tradnl"/>
        </w:rPr>
        <w:t>PVVIH</w:t>
      </w:r>
      <w:r w:rsidRPr="00C72571">
        <w:rPr>
          <w:lang w:val="es-ES_tradnl"/>
        </w:rPr>
        <w:t xml:space="preserve"> que ayudan a personas recientemente diagnosticadas a entender y utilizar el sistema de salud, en particular </w:t>
      </w:r>
      <w:r>
        <w:rPr>
          <w:lang w:val="es-ES_tradnl"/>
        </w:rPr>
        <w:t>los</w:t>
      </w:r>
      <w:r w:rsidRPr="00C72571">
        <w:rPr>
          <w:lang w:val="es-ES_tradnl"/>
        </w:rPr>
        <w:t xml:space="preserve"> SAI. </w:t>
      </w:r>
    </w:p>
  </w:footnote>
  <w:footnote w:id="9">
    <w:p w14:paraId="2DC52936" w14:textId="07032FD9" w:rsidR="009A4A93" w:rsidRPr="00404AB2" w:rsidRDefault="009A4A93" w:rsidP="00B032C2">
      <w:pPr>
        <w:pStyle w:val="FootnoteText"/>
        <w:jc w:val="both"/>
        <w:rPr>
          <w:lang w:val="es-ES_tradnl"/>
        </w:rPr>
      </w:pPr>
      <w:r w:rsidRPr="006C5426">
        <w:rPr>
          <w:rStyle w:val="FootnoteReference"/>
          <w:lang w:val="en-US"/>
        </w:rPr>
        <w:footnoteRef/>
      </w:r>
      <w:r w:rsidRPr="00147761">
        <w:rPr>
          <w:lang w:val="es-US"/>
        </w:rPr>
        <w:t xml:space="preserve"> </w:t>
      </w:r>
      <w:r>
        <w:rPr>
          <w:lang w:val="es-ES_tradnl"/>
        </w:rPr>
        <w:t xml:space="preserve">Las </w:t>
      </w:r>
      <w:r w:rsidRPr="00404AB2">
        <w:rPr>
          <w:lang w:val="es-ES_tradnl"/>
        </w:rPr>
        <w:t xml:space="preserve">entrevistas sobre conocimientos, actitudes y prácticas </w:t>
      </w:r>
      <w:r>
        <w:rPr>
          <w:lang w:val="es-ES_tradnl"/>
        </w:rPr>
        <w:t>(</w:t>
      </w:r>
      <w:r w:rsidRPr="00404AB2">
        <w:rPr>
          <w:i/>
          <w:lang w:val="es-ES_tradnl"/>
        </w:rPr>
        <w:t>Knowledge, attitudes, and practices – KAP</w:t>
      </w:r>
      <w:r>
        <w:rPr>
          <w:lang w:val="es-ES_tradnl"/>
        </w:rPr>
        <w:t>)</w:t>
      </w:r>
      <w:r w:rsidRPr="00CB7227">
        <w:rPr>
          <w:lang w:val="es-ES_tradnl"/>
        </w:rPr>
        <w:t xml:space="preserve"> en la población de garífuna puede no se</w:t>
      </w:r>
      <w:r>
        <w:rPr>
          <w:lang w:val="es-ES_tradnl"/>
        </w:rPr>
        <w:t>r</w:t>
      </w:r>
      <w:r w:rsidRPr="00CB7227">
        <w:rPr>
          <w:lang w:val="es-ES_tradnl"/>
        </w:rPr>
        <w:t xml:space="preserve"> realiza</w:t>
      </w:r>
      <w:r>
        <w:rPr>
          <w:lang w:val="es-ES_tradnl"/>
        </w:rPr>
        <w:t>do</w:t>
      </w:r>
      <w:r w:rsidRPr="00CB7227">
        <w:rPr>
          <w:lang w:val="es-ES_tradnl"/>
        </w:rPr>
        <w:t xml:space="preserve">, ya que </w:t>
      </w:r>
      <w:r w:rsidRPr="00404AB2">
        <w:rPr>
          <w:i/>
          <w:lang w:val="es-ES_tradnl"/>
        </w:rPr>
        <w:t>PEPFAR</w:t>
      </w:r>
      <w:r w:rsidRPr="00CB7227">
        <w:rPr>
          <w:lang w:val="es-ES_tradnl"/>
        </w:rPr>
        <w:t xml:space="preserve"> ya ha hecho un ejercicio similar</w:t>
      </w:r>
      <w:r w:rsidRPr="00147761">
        <w:rPr>
          <w:lang w:val="es-US"/>
        </w:rPr>
        <w:t xml:space="preserve">. </w:t>
      </w:r>
    </w:p>
  </w:footnote>
  <w:footnote w:id="10">
    <w:p w14:paraId="0D04BE68" w14:textId="6813EFA3" w:rsidR="009A4A93" w:rsidRPr="00147761" w:rsidRDefault="009A4A93" w:rsidP="00147761">
      <w:pPr>
        <w:pStyle w:val="FootnoteText"/>
        <w:rPr>
          <w:lang w:val="es-US"/>
        </w:rPr>
      </w:pPr>
      <w:r>
        <w:rPr>
          <w:rStyle w:val="FootnoteReference"/>
        </w:rPr>
        <w:footnoteRef/>
      </w:r>
      <w:r w:rsidRPr="00147761">
        <w:rPr>
          <w:lang w:val="es-US"/>
        </w:rPr>
        <w:t xml:space="preserve"> </w:t>
      </w:r>
      <w:r w:rsidRPr="00147761">
        <w:rPr>
          <w:i/>
          <w:lang w:val="es-US"/>
        </w:rPr>
        <w:t>La clave del tablero para este objetivo se aplica solo a la puntuación compuesta. Para la puntuación del componente, consulte el Protocolo básico para obtener una guía de puntuación.</w:t>
      </w:r>
    </w:p>
  </w:footnote>
  <w:footnote w:id="11">
    <w:p w14:paraId="52C48B94" w14:textId="4FFA4859" w:rsidR="009A4A93" w:rsidRPr="005E35AA" w:rsidRDefault="009A4A93" w:rsidP="00503F3B">
      <w:pPr>
        <w:pStyle w:val="FootnoteText"/>
        <w:jc w:val="both"/>
        <w:rPr>
          <w:lang w:val="es-ES_tradnl"/>
        </w:rPr>
      </w:pPr>
      <w:r w:rsidRPr="006C5426">
        <w:rPr>
          <w:rStyle w:val="FootnoteReference"/>
          <w:lang w:val="en-US"/>
        </w:rPr>
        <w:footnoteRef/>
      </w:r>
      <w:r w:rsidRPr="00147761">
        <w:rPr>
          <w:lang w:val="es-US"/>
        </w:rPr>
        <w:t xml:space="preserve"> </w:t>
      </w:r>
      <w:r w:rsidRPr="005E35AA">
        <w:rPr>
          <w:lang w:val="es-ES_tradnl"/>
        </w:rPr>
        <w:t>La puntuación compuesta para el Objetivo 3 es una suma de los cuatro indicadores que lo componen, no un promedio.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6FC"/>
    <w:multiLevelType w:val="multilevel"/>
    <w:tmpl w:val="C74AF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5A23B2"/>
    <w:multiLevelType w:val="hybridMultilevel"/>
    <w:tmpl w:val="0FC6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47140"/>
    <w:multiLevelType w:val="multilevel"/>
    <w:tmpl w:val="704224A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0655216E"/>
    <w:multiLevelType w:val="multilevel"/>
    <w:tmpl w:val="704224A6"/>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0CEF65E1"/>
    <w:multiLevelType w:val="hybridMultilevel"/>
    <w:tmpl w:val="D34EE712"/>
    <w:lvl w:ilvl="0" w:tplc="B8BA4558">
      <w:numFmt w:val="bullet"/>
      <w:lvlText w:val=""/>
      <w:lvlJc w:val="left"/>
      <w:pPr>
        <w:ind w:left="720" w:hanging="360"/>
      </w:pPr>
      <w:rPr>
        <w:rFonts w:ascii="Symbol" w:eastAsiaTheme="majorEastAsia"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EE0EF6"/>
    <w:multiLevelType w:val="hybridMultilevel"/>
    <w:tmpl w:val="6A64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3D88"/>
    <w:multiLevelType w:val="multilevel"/>
    <w:tmpl w:val="A1F4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EC3F17"/>
    <w:multiLevelType w:val="hybridMultilevel"/>
    <w:tmpl w:val="3BCA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E21A3"/>
    <w:multiLevelType w:val="multilevel"/>
    <w:tmpl w:val="3598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A63A9D"/>
    <w:multiLevelType w:val="hybridMultilevel"/>
    <w:tmpl w:val="6D0A7064"/>
    <w:lvl w:ilvl="0" w:tplc="74E25CFA">
      <w:numFmt w:val="bullet"/>
      <w:lvlText w:val=""/>
      <w:lvlJc w:val="left"/>
      <w:pPr>
        <w:ind w:left="720" w:hanging="360"/>
      </w:pPr>
      <w:rPr>
        <w:rFonts w:ascii="Symbol" w:eastAsiaTheme="minorHAnsi" w:hAnsi="Symbol" w:cstheme="minorBidi" w:hint="default"/>
      </w:rPr>
    </w:lvl>
    <w:lvl w:ilvl="1" w:tplc="18387432">
      <w:numFmt w:val="bullet"/>
      <w:lvlText w:val="-"/>
      <w:lvlJc w:val="left"/>
      <w:pPr>
        <w:ind w:left="1440" w:hanging="360"/>
      </w:pPr>
      <w:rPr>
        <w:rFonts w:ascii="Calibri" w:eastAsiaTheme="majorEastAsia"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0133E19"/>
    <w:multiLevelType w:val="multilevel"/>
    <w:tmpl w:val="FB324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2E4954"/>
    <w:multiLevelType w:val="hybridMultilevel"/>
    <w:tmpl w:val="D1623074"/>
    <w:lvl w:ilvl="0" w:tplc="5768B49A">
      <w:start w:val="1"/>
      <w:numFmt w:val="bullet"/>
      <w:lvlText w:val=""/>
      <w:lvlJc w:val="left"/>
      <w:pPr>
        <w:tabs>
          <w:tab w:val="num" w:pos="720"/>
        </w:tabs>
        <w:ind w:left="720" w:hanging="360"/>
      </w:pPr>
      <w:rPr>
        <w:rFonts w:ascii="Wingdings" w:hAnsi="Wingdings" w:hint="default"/>
      </w:rPr>
    </w:lvl>
    <w:lvl w:ilvl="1" w:tplc="2918DB96">
      <w:start w:val="1"/>
      <w:numFmt w:val="bullet"/>
      <w:lvlText w:val=""/>
      <w:lvlJc w:val="left"/>
      <w:pPr>
        <w:tabs>
          <w:tab w:val="num" w:pos="1440"/>
        </w:tabs>
        <w:ind w:left="1440" w:hanging="360"/>
      </w:pPr>
      <w:rPr>
        <w:rFonts w:ascii="Wingdings" w:hAnsi="Wingdings" w:hint="default"/>
      </w:rPr>
    </w:lvl>
    <w:lvl w:ilvl="2" w:tplc="A2B68B4C">
      <w:start w:val="1"/>
      <w:numFmt w:val="bullet"/>
      <w:lvlText w:val=""/>
      <w:lvlJc w:val="left"/>
      <w:pPr>
        <w:tabs>
          <w:tab w:val="num" w:pos="2160"/>
        </w:tabs>
        <w:ind w:left="2160" w:hanging="360"/>
      </w:pPr>
      <w:rPr>
        <w:rFonts w:ascii="Wingdings" w:hAnsi="Wingdings" w:hint="default"/>
      </w:rPr>
    </w:lvl>
    <w:lvl w:ilvl="3" w:tplc="8936594A">
      <w:start w:val="217"/>
      <w:numFmt w:val="bullet"/>
      <w:lvlText w:val=""/>
      <w:lvlJc w:val="left"/>
      <w:pPr>
        <w:tabs>
          <w:tab w:val="num" w:pos="2880"/>
        </w:tabs>
        <w:ind w:left="2880" w:hanging="360"/>
      </w:pPr>
      <w:rPr>
        <w:rFonts w:ascii="Wingdings" w:hAnsi="Wingdings" w:hint="default"/>
      </w:rPr>
    </w:lvl>
    <w:lvl w:ilvl="4" w:tplc="CD889442" w:tentative="1">
      <w:start w:val="1"/>
      <w:numFmt w:val="bullet"/>
      <w:lvlText w:val=""/>
      <w:lvlJc w:val="left"/>
      <w:pPr>
        <w:tabs>
          <w:tab w:val="num" w:pos="3600"/>
        </w:tabs>
        <w:ind w:left="3600" w:hanging="360"/>
      </w:pPr>
      <w:rPr>
        <w:rFonts w:ascii="Wingdings" w:hAnsi="Wingdings" w:hint="default"/>
      </w:rPr>
    </w:lvl>
    <w:lvl w:ilvl="5" w:tplc="56FEA77E" w:tentative="1">
      <w:start w:val="1"/>
      <w:numFmt w:val="bullet"/>
      <w:lvlText w:val=""/>
      <w:lvlJc w:val="left"/>
      <w:pPr>
        <w:tabs>
          <w:tab w:val="num" w:pos="4320"/>
        </w:tabs>
        <w:ind w:left="4320" w:hanging="360"/>
      </w:pPr>
      <w:rPr>
        <w:rFonts w:ascii="Wingdings" w:hAnsi="Wingdings" w:hint="default"/>
      </w:rPr>
    </w:lvl>
    <w:lvl w:ilvl="6" w:tplc="0D2A4178" w:tentative="1">
      <w:start w:val="1"/>
      <w:numFmt w:val="bullet"/>
      <w:lvlText w:val=""/>
      <w:lvlJc w:val="left"/>
      <w:pPr>
        <w:tabs>
          <w:tab w:val="num" w:pos="5040"/>
        </w:tabs>
        <w:ind w:left="5040" w:hanging="360"/>
      </w:pPr>
      <w:rPr>
        <w:rFonts w:ascii="Wingdings" w:hAnsi="Wingdings" w:hint="default"/>
      </w:rPr>
    </w:lvl>
    <w:lvl w:ilvl="7" w:tplc="2232277C" w:tentative="1">
      <w:start w:val="1"/>
      <w:numFmt w:val="bullet"/>
      <w:lvlText w:val=""/>
      <w:lvlJc w:val="left"/>
      <w:pPr>
        <w:tabs>
          <w:tab w:val="num" w:pos="5760"/>
        </w:tabs>
        <w:ind w:left="5760" w:hanging="360"/>
      </w:pPr>
      <w:rPr>
        <w:rFonts w:ascii="Wingdings" w:hAnsi="Wingdings" w:hint="default"/>
      </w:rPr>
    </w:lvl>
    <w:lvl w:ilvl="8" w:tplc="1B2CB1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C5ED0"/>
    <w:multiLevelType w:val="hybridMultilevel"/>
    <w:tmpl w:val="340C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03E35"/>
    <w:multiLevelType w:val="multilevel"/>
    <w:tmpl w:val="853CEC1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4" w15:restartNumberingAfterBreak="0">
    <w:nsid w:val="46950CED"/>
    <w:multiLevelType w:val="hybridMultilevel"/>
    <w:tmpl w:val="EF74E2BC"/>
    <w:lvl w:ilvl="0" w:tplc="595EC908">
      <w:start w:val="310"/>
      <w:numFmt w:val="bullet"/>
      <w:lvlText w:val=""/>
      <w:lvlJc w:val="left"/>
      <w:pPr>
        <w:ind w:left="720" w:hanging="360"/>
      </w:pPr>
      <w:rPr>
        <w:rFonts w:ascii="Symbol" w:eastAsiaTheme="minorHAnsi" w:hAnsi="Symbol"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4E6425AE"/>
    <w:multiLevelType w:val="hybridMultilevel"/>
    <w:tmpl w:val="66EA9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E1362"/>
    <w:multiLevelType w:val="multilevel"/>
    <w:tmpl w:val="6F323A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21053A0"/>
    <w:multiLevelType w:val="multilevel"/>
    <w:tmpl w:val="B06A883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4C64477"/>
    <w:multiLevelType w:val="hybridMultilevel"/>
    <w:tmpl w:val="63A087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65BA646B"/>
    <w:multiLevelType w:val="hybridMultilevel"/>
    <w:tmpl w:val="4912C4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84203D1"/>
    <w:multiLevelType w:val="hybridMultilevel"/>
    <w:tmpl w:val="DEB2F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F27942"/>
    <w:multiLevelType w:val="hybridMultilevel"/>
    <w:tmpl w:val="258CE4E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020589"/>
    <w:multiLevelType w:val="hybridMultilevel"/>
    <w:tmpl w:val="D45C80E2"/>
    <w:lvl w:ilvl="0" w:tplc="04090001">
      <w:start w:val="1"/>
      <w:numFmt w:val="bullet"/>
      <w:lvlText w:val=""/>
      <w:lvlJc w:val="left"/>
      <w:pPr>
        <w:ind w:left="770" w:hanging="360"/>
      </w:pPr>
      <w:rPr>
        <w:rFonts w:ascii="Symbol" w:hAnsi="Symbol" w:hint="default"/>
      </w:rPr>
    </w:lvl>
    <w:lvl w:ilvl="1" w:tplc="0809000B">
      <w:start w:val="1"/>
      <w:numFmt w:val="bullet"/>
      <w:lvlText w:val=""/>
      <w:lvlJc w:val="left"/>
      <w:pPr>
        <w:ind w:left="1490" w:hanging="360"/>
      </w:pPr>
      <w:rPr>
        <w:rFonts w:ascii="Wingdings" w:hAnsi="Wingdings" w:hint="default"/>
      </w:rPr>
    </w:lvl>
    <w:lvl w:ilvl="2" w:tplc="C8B0934A">
      <w:numFmt w:val="bullet"/>
      <w:lvlText w:val="-"/>
      <w:lvlJc w:val="left"/>
      <w:pPr>
        <w:ind w:left="2210" w:hanging="360"/>
      </w:pPr>
      <w:rPr>
        <w:rFonts w:ascii="Calibri" w:eastAsia="Calibri" w:hAnsi="Calibri" w:cs="Calibri"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72AB4D31"/>
    <w:multiLevelType w:val="multilevel"/>
    <w:tmpl w:val="14B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BD2E8E"/>
    <w:multiLevelType w:val="hybridMultilevel"/>
    <w:tmpl w:val="51DE1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0"/>
  </w:num>
  <w:num w:numId="4">
    <w:abstractNumId w:val="6"/>
  </w:num>
  <w:num w:numId="5">
    <w:abstractNumId w:val="11"/>
  </w:num>
  <w:num w:numId="6">
    <w:abstractNumId w:val="10"/>
    <w:lvlOverride w:ilvl="0">
      <w:startOverride w:val="1"/>
    </w:lvlOverride>
  </w:num>
  <w:num w:numId="7">
    <w:abstractNumId w:val="8"/>
    <w:lvlOverride w:ilvl="0">
      <w:startOverride w:val="1"/>
    </w:lvlOverride>
  </w:num>
  <w:num w:numId="8">
    <w:abstractNumId w:val="23"/>
  </w:num>
  <w:num w:numId="9">
    <w:abstractNumId w:val="15"/>
  </w:num>
  <w:num w:numId="10">
    <w:abstractNumId w:val="4"/>
  </w:num>
  <w:num w:numId="11">
    <w:abstractNumId w:val="12"/>
  </w:num>
  <w:num w:numId="12">
    <w:abstractNumId w:val="24"/>
  </w:num>
  <w:num w:numId="13">
    <w:abstractNumId w:val="5"/>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2"/>
  </w:num>
  <w:num w:numId="17">
    <w:abstractNumId w:val="7"/>
  </w:num>
  <w:num w:numId="18">
    <w:abstractNumId w:val="21"/>
  </w:num>
  <w:num w:numId="19">
    <w:abstractNumId w:val="14"/>
  </w:num>
  <w:num w:numId="20">
    <w:abstractNumId w:val="20"/>
  </w:num>
  <w:num w:numId="21">
    <w:abstractNumId w:val="1"/>
  </w:num>
  <w:num w:numId="22">
    <w:abstractNumId w:val="9"/>
  </w:num>
  <w:num w:numId="23">
    <w:abstractNumId w:val="19"/>
  </w:num>
  <w:num w:numId="24">
    <w:abstractNumId w:val="18"/>
  </w:num>
  <w:num w:numId="25">
    <w:abstractNumId w:val="22"/>
  </w:num>
  <w:num w:numId="26">
    <w:abstractNumId w:val="0"/>
  </w:num>
  <w:num w:numId="27">
    <w:abstractNumId w:val="6"/>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lerie W">
    <w15:presenceInfo w15:providerId="None" w15:userId="Valerie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ES_tradnl" w:vendorID="64" w:dllVersion="131078" w:nlCheck="1" w:checkStyle="0"/>
  <w:activeWritingStyle w:appName="MSWord" w:lang="en-US" w:vendorID="64" w:dllVersion="131078" w:nlCheck="1" w:checkStyle="1"/>
  <w:activeWritingStyle w:appName="MSWord" w:lang="es-US" w:vendorID="64" w:dllVersion="131078" w:nlCheck="1" w:checkStyle="0"/>
  <w:activeWritingStyle w:appName="MSWord" w:lang="en-AU" w:vendorID="64" w:dllVersion="131078" w:nlCheck="1" w:checkStyle="1"/>
  <w:activeWritingStyle w:appName="MSWord" w:lang="es-ES" w:vendorID="64" w:dllVersion="131078" w:nlCheck="1" w:checkStyle="0"/>
  <w:activeWritingStyle w:appName="MSWord" w:lang="es-HN"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1A0"/>
    <w:rsid w:val="0000214C"/>
    <w:rsid w:val="00027508"/>
    <w:rsid w:val="00040780"/>
    <w:rsid w:val="000631A7"/>
    <w:rsid w:val="00072F38"/>
    <w:rsid w:val="00096259"/>
    <w:rsid w:val="000A1D9C"/>
    <w:rsid w:val="000A1DD4"/>
    <w:rsid w:val="000A4808"/>
    <w:rsid w:val="000A56D9"/>
    <w:rsid w:val="000B0017"/>
    <w:rsid w:val="000B2FE4"/>
    <w:rsid w:val="000C0F5B"/>
    <w:rsid w:val="000C5ACD"/>
    <w:rsid w:val="000D2B2F"/>
    <w:rsid w:val="000D4966"/>
    <w:rsid w:val="000D71C4"/>
    <w:rsid w:val="000E541D"/>
    <w:rsid w:val="00106BAB"/>
    <w:rsid w:val="0011597F"/>
    <w:rsid w:val="001302EC"/>
    <w:rsid w:val="0013370B"/>
    <w:rsid w:val="0013448B"/>
    <w:rsid w:val="00147761"/>
    <w:rsid w:val="0015207B"/>
    <w:rsid w:val="00165B5E"/>
    <w:rsid w:val="00167493"/>
    <w:rsid w:val="001716D4"/>
    <w:rsid w:val="00174C7E"/>
    <w:rsid w:val="00184970"/>
    <w:rsid w:val="00195EE8"/>
    <w:rsid w:val="001972F3"/>
    <w:rsid w:val="001A32CC"/>
    <w:rsid w:val="001A3756"/>
    <w:rsid w:val="001B2A25"/>
    <w:rsid w:val="001C51BB"/>
    <w:rsid w:val="001D488B"/>
    <w:rsid w:val="001F6E0F"/>
    <w:rsid w:val="002136F3"/>
    <w:rsid w:val="00216226"/>
    <w:rsid w:val="0022699D"/>
    <w:rsid w:val="002276CB"/>
    <w:rsid w:val="00232C05"/>
    <w:rsid w:val="00243E31"/>
    <w:rsid w:val="002445F3"/>
    <w:rsid w:val="00261AAF"/>
    <w:rsid w:val="00264C4D"/>
    <w:rsid w:val="002734BF"/>
    <w:rsid w:val="0027664F"/>
    <w:rsid w:val="00282C8D"/>
    <w:rsid w:val="00290C19"/>
    <w:rsid w:val="00296C0E"/>
    <w:rsid w:val="002A27C2"/>
    <w:rsid w:val="002A6517"/>
    <w:rsid w:val="002A7D46"/>
    <w:rsid w:val="002B000A"/>
    <w:rsid w:val="002B1670"/>
    <w:rsid w:val="002B6C38"/>
    <w:rsid w:val="002C0C1B"/>
    <w:rsid w:val="002C2B32"/>
    <w:rsid w:val="002C31A4"/>
    <w:rsid w:val="002D2AC7"/>
    <w:rsid w:val="002F3B7C"/>
    <w:rsid w:val="002F6C02"/>
    <w:rsid w:val="00300144"/>
    <w:rsid w:val="00304C89"/>
    <w:rsid w:val="003147E3"/>
    <w:rsid w:val="003168D3"/>
    <w:rsid w:val="00320DF5"/>
    <w:rsid w:val="00321290"/>
    <w:rsid w:val="00330C74"/>
    <w:rsid w:val="003341A0"/>
    <w:rsid w:val="00337329"/>
    <w:rsid w:val="00345C86"/>
    <w:rsid w:val="00350F47"/>
    <w:rsid w:val="00353904"/>
    <w:rsid w:val="003637A1"/>
    <w:rsid w:val="00365301"/>
    <w:rsid w:val="003877D9"/>
    <w:rsid w:val="003A6296"/>
    <w:rsid w:val="003B25E2"/>
    <w:rsid w:val="003B2657"/>
    <w:rsid w:val="003B5ECD"/>
    <w:rsid w:val="003C4EC6"/>
    <w:rsid w:val="003C6851"/>
    <w:rsid w:val="003C6A32"/>
    <w:rsid w:val="003D7B1A"/>
    <w:rsid w:val="003E78F0"/>
    <w:rsid w:val="003F39AD"/>
    <w:rsid w:val="00404AB2"/>
    <w:rsid w:val="00410051"/>
    <w:rsid w:val="0041054C"/>
    <w:rsid w:val="0041672E"/>
    <w:rsid w:val="00445D57"/>
    <w:rsid w:val="004534CE"/>
    <w:rsid w:val="004538AB"/>
    <w:rsid w:val="00453B71"/>
    <w:rsid w:val="00460210"/>
    <w:rsid w:val="004728A5"/>
    <w:rsid w:val="00477A44"/>
    <w:rsid w:val="00482B21"/>
    <w:rsid w:val="00483B86"/>
    <w:rsid w:val="0048422D"/>
    <w:rsid w:val="004936C4"/>
    <w:rsid w:val="004A3412"/>
    <w:rsid w:val="004B2F3F"/>
    <w:rsid w:val="004B3528"/>
    <w:rsid w:val="004B35EB"/>
    <w:rsid w:val="004B6E61"/>
    <w:rsid w:val="004C0BB2"/>
    <w:rsid w:val="004D410B"/>
    <w:rsid w:val="004E6E74"/>
    <w:rsid w:val="00503DEB"/>
    <w:rsid w:val="00503F3B"/>
    <w:rsid w:val="005055AC"/>
    <w:rsid w:val="005072BF"/>
    <w:rsid w:val="00512C1B"/>
    <w:rsid w:val="005336A6"/>
    <w:rsid w:val="005402CE"/>
    <w:rsid w:val="0054322E"/>
    <w:rsid w:val="00543596"/>
    <w:rsid w:val="00563485"/>
    <w:rsid w:val="005660A4"/>
    <w:rsid w:val="00593736"/>
    <w:rsid w:val="00593E0E"/>
    <w:rsid w:val="00594A8A"/>
    <w:rsid w:val="005B76A9"/>
    <w:rsid w:val="005C1183"/>
    <w:rsid w:val="005C1890"/>
    <w:rsid w:val="005D3854"/>
    <w:rsid w:val="005E35AA"/>
    <w:rsid w:val="005E4B6F"/>
    <w:rsid w:val="005F222C"/>
    <w:rsid w:val="005F63B6"/>
    <w:rsid w:val="00606698"/>
    <w:rsid w:val="0061307E"/>
    <w:rsid w:val="0063429B"/>
    <w:rsid w:val="006428BF"/>
    <w:rsid w:val="00652E09"/>
    <w:rsid w:val="006546B1"/>
    <w:rsid w:val="00665932"/>
    <w:rsid w:val="00670819"/>
    <w:rsid w:val="006744E2"/>
    <w:rsid w:val="00680A78"/>
    <w:rsid w:val="00683B19"/>
    <w:rsid w:val="00693433"/>
    <w:rsid w:val="00693551"/>
    <w:rsid w:val="006953CB"/>
    <w:rsid w:val="0069546B"/>
    <w:rsid w:val="006A031D"/>
    <w:rsid w:val="006A2C93"/>
    <w:rsid w:val="006A6E68"/>
    <w:rsid w:val="006B2A8D"/>
    <w:rsid w:val="006B3A8A"/>
    <w:rsid w:val="006B7F6B"/>
    <w:rsid w:val="006C5426"/>
    <w:rsid w:val="006C6BC6"/>
    <w:rsid w:val="006E03D3"/>
    <w:rsid w:val="006F32B9"/>
    <w:rsid w:val="006F483F"/>
    <w:rsid w:val="006F4FD3"/>
    <w:rsid w:val="006F7A29"/>
    <w:rsid w:val="00714D1F"/>
    <w:rsid w:val="00750B4D"/>
    <w:rsid w:val="007543A0"/>
    <w:rsid w:val="0075670C"/>
    <w:rsid w:val="00766E3B"/>
    <w:rsid w:val="00773E63"/>
    <w:rsid w:val="00776F2E"/>
    <w:rsid w:val="0078725C"/>
    <w:rsid w:val="00787F59"/>
    <w:rsid w:val="007927C3"/>
    <w:rsid w:val="007A768B"/>
    <w:rsid w:val="007B5697"/>
    <w:rsid w:val="007C0BEB"/>
    <w:rsid w:val="007C7356"/>
    <w:rsid w:val="007D18BC"/>
    <w:rsid w:val="007D28A0"/>
    <w:rsid w:val="007E0564"/>
    <w:rsid w:val="007E0736"/>
    <w:rsid w:val="0080562F"/>
    <w:rsid w:val="00825A69"/>
    <w:rsid w:val="00827BE2"/>
    <w:rsid w:val="008369AC"/>
    <w:rsid w:val="0085736C"/>
    <w:rsid w:val="0085786A"/>
    <w:rsid w:val="0087005E"/>
    <w:rsid w:val="00872A9E"/>
    <w:rsid w:val="00872FAC"/>
    <w:rsid w:val="00882311"/>
    <w:rsid w:val="00882C55"/>
    <w:rsid w:val="008932C6"/>
    <w:rsid w:val="008A3DD2"/>
    <w:rsid w:val="008B248C"/>
    <w:rsid w:val="008E2E4D"/>
    <w:rsid w:val="00905A9C"/>
    <w:rsid w:val="009138BA"/>
    <w:rsid w:val="00943294"/>
    <w:rsid w:val="00947EFC"/>
    <w:rsid w:val="009521F9"/>
    <w:rsid w:val="00961B1B"/>
    <w:rsid w:val="00964EB0"/>
    <w:rsid w:val="0097517B"/>
    <w:rsid w:val="00981E65"/>
    <w:rsid w:val="009820CB"/>
    <w:rsid w:val="00997E91"/>
    <w:rsid w:val="009A0B65"/>
    <w:rsid w:val="009A4A93"/>
    <w:rsid w:val="009A59ED"/>
    <w:rsid w:val="009B2FCF"/>
    <w:rsid w:val="009D6FAD"/>
    <w:rsid w:val="009E7FB0"/>
    <w:rsid w:val="009F1A90"/>
    <w:rsid w:val="009F2189"/>
    <w:rsid w:val="00A04FE2"/>
    <w:rsid w:val="00A05C56"/>
    <w:rsid w:val="00A157D9"/>
    <w:rsid w:val="00A32DC4"/>
    <w:rsid w:val="00A463AD"/>
    <w:rsid w:val="00A47F01"/>
    <w:rsid w:val="00A518CE"/>
    <w:rsid w:val="00A52906"/>
    <w:rsid w:val="00A61B0A"/>
    <w:rsid w:val="00A7115B"/>
    <w:rsid w:val="00A96806"/>
    <w:rsid w:val="00A97B1D"/>
    <w:rsid w:val="00AA11BA"/>
    <w:rsid w:val="00AA352A"/>
    <w:rsid w:val="00AA3F5A"/>
    <w:rsid w:val="00AB6DD1"/>
    <w:rsid w:val="00AC4CDC"/>
    <w:rsid w:val="00AD1911"/>
    <w:rsid w:val="00AD1F0C"/>
    <w:rsid w:val="00AD7966"/>
    <w:rsid w:val="00AE12A2"/>
    <w:rsid w:val="00AE3A94"/>
    <w:rsid w:val="00AE4C8D"/>
    <w:rsid w:val="00AF6084"/>
    <w:rsid w:val="00AF61DF"/>
    <w:rsid w:val="00B032C2"/>
    <w:rsid w:val="00B04430"/>
    <w:rsid w:val="00B238CA"/>
    <w:rsid w:val="00B32441"/>
    <w:rsid w:val="00B36025"/>
    <w:rsid w:val="00B4240C"/>
    <w:rsid w:val="00B44187"/>
    <w:rsid w:val="00B51E56"/>
    <w:rsid w:val="00B61752"/>
    <w:rsid w:val="00B7762B"/>
    <w:rsid w:val="00B872A3"/>
    <w:rsid w:val="00B92526"/>
    <w:rsid w:val="00B95BD7"/>
    <w:rsid w:val="00BA2CB5"/>
    <w:rsid w:val="00BC3841"/>
    <w:rsid w:val="00BC77EA"/>
    <w:rsid w:val="00BD46CA"/>
    <w:rsid w:val="00BE7DD0"/>
    <w:rsid w:val="00BF36D9"/>
    <w:rsid w:val="00C033A0"/>
    <w:rsid w:val="00C06AA1"/>
    <w:rsid w:val="00C35668"/>
    <w:rsid w:val="00C37931"/>
    <w:rsid w:val="00C627C1"/>
    <w:rsid w:val="00C707B0"/>
    <w:rsid w:val="00C72571"/>
    <w:rsid w:val="00C816C5"/>
    <w:rsid w:val="00C83A4D"/>
    <w:rsid w:val="00C9648E"/>
    <w:rsid w:val="00CB081A"/>
    <w:rsid w:val="00CB285B"/>
    <w:rsid w:val="00CB378C"/>
    <w:rsid w:val="00CB5827"/>
    <w:rsid w:val="00CB7227"/>
    <w:rsid w:val="00CF5C73"/>
    <w:rsid w:val="00D004DC"/>
    <w:rsid w:val="00D13428"/>
    <w:rsid w:val="00D151A9"/>
    <w:rsid w:val="00D32C1B"/>
    <w:rsid w:val="00D34716"/>
    <w:rsid w:val="00D37ABC"/>
    <w:rsid w:val="00D42DAF"/>
    <w:rsid w:val="00D441DE"/>
    <w:rsid w:val="00D44421"/>
    <w:rsid w:val="00D7093F"/>
    <w:rsid w:val="00D93C2E"/>
    <w:rsid w:val="00D93C5D"/>
    <w:rsid w:val="00DA1C30"/>
    <w:rsid w:val="00DB2E29"/>
    <w:rsid w:val="00DC294F"/>
    <w:rsid w:val="00DC36DE"/>
    <w:rsid w:val="00DE370B"/>
    <w:rsid w:val="00DF0FA7"/>
    <w:rsid w:val="00DF491F"/>
    <w:rsid w:val="00E0433B"/>
    <w:rsid w:val="00E111C7"/>
    <w:rsid w:val="00E11DD2"/>
    <w:rsid w:val="00E12234"/>
    <w:rsid w:val="00E2174D"/>
    <w:rsid w:val="00E231FB"/>
    <w:rsid w:val="00E61E3A"/>
    <w:rsid w:val="00E65B7B"/>
    <w:rsid w:val="00E76FF7"/>
    <w:rsid w:val="00E815CF"/>
    <w:rsid w:val="00E84DA1"/>
    <w:rsid w:val="00E860D0"/>
    <w:rsid w:val="00E9239B"/>
    <w:rsid w:val="00EA6B13"/>
    <w:rsid w:val="00EB5A9E"/>
    <w:rsid w:val="00EC506B"/>
    <w:rsid w:val="00EC559D"/>
    <w:rsid w:val="00EE0F21"/>
    <w:rsid w:val="00EE3AEC"/>
    <w:rsid w:val="00EE4E32"/>
    <w:rsid w:val="00EE623D"/>
    <w:rsid w:val="00F03F64"/>
    <w:rsid w:val="00F05747"/>
    <w:rsid w:val="00F061A0"/>
    <w:rsid w:val="00F433E9"/>
    <w:rsid w:val="00F434EB"/>
    <w:rsid w:val="00F52BCD"/>
    <w:rsid w:val="00F8135C"/>
    <w:rsid w:val="00F81456"/>
    <w:rsid w:val="00F86812"/>
    <w:rsid w:val="00FA4D00"/>
    <w:rsid w:val="00FA5313"/>
    <w:rsid w:val="00FB0B72"/>
    <w:rsid w:val="00FB3358"/>
    <w:rsid w:val="00FB3A04"/>
    <w:rsid w:val="00FB4D20"/>
    <w:rsid w:val="00FB5AE9"/>
    <w:rsid w:val="00FB6209"/>
    <w:rsid w:val="00FC1736"/>
    <w:rsid w:val="00FD09A9"/>
    <w:rsid w:val="00FE5C9C"/>
    <w:rsid w:val="00FF38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71D5"/>
  <w15:docId w15:val="{5AB59988-CDA1-AB42-AAB6-C329447E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zh-CN" w:bidi="ar-SA"/>
      </w:rPr>
    </w:rPrDefault>
    <w:pPrDefault>
      <w:pPr>
        <w:spacing w:after="20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color w:val="2C4F8E"/>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b/>
      <w:color w:val="4472C4"/>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b/>
      <w:color w:val="4472C4"/>
    </w:rPr>
  </w:style>
  <w:style w:type="paragraph" w:styleId="Heading4">
    <w:name w:val="heading 4"/>
    <w:basedOn w:val="Normal"/>
    <w:next w:val="Normal"/>
    <w:link w:val="Heading4Char"/>
    <w:uiPriority w:val="9"/>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link w:val="Heading6Char"/>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A3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F5A"/>
  </w:style>
  <w:style w:type="character" w:styleId="CommentReference">
    <w:name w:val="annotation reference"/>
    <w:basedOn w:val="DefaultParagraphFont"/>
    <w:uiPriority w:val="99"/>
    <w:semiHidden/>
    <w:unhideWhenUsed/>
    <w:rsid w:val="00DA1C30"/>
    <w:rPr>
      <w:sz w:val="16"/>
      <w:szCs w:val="16"/>
    </w:rPr>
  </w:style>
  <w:style w:type="paragraph" w:styleId="CommentText">
    <w:name w:val="annotation text"/>
    <w:basedOn w:val="Normal"/>
    <w:link w:val="CommentTextChar"/>
    <w:uiPriority w:val="99"/>
    <w:unhideWhenUsed/>
    <w:rsid w:val="00DA1C30"/>
    <w:pPr>
      <w:spacing w:line="240" w:lineRule="auto"/>
    </w:pPr>
    <w:rPr>
      <w:sz w:val="20"/>
      <w:szCs w:val="20"/>
    </w:rPr>
  </w:style>
  <w:style w:type="character" w:customStyle="1" w:styleId="CommentTextChar">
    <w:name w:val="Comment Text Char"/>
    <w:basedOn w:val="DefaultParagraphFont"/>
    <w:link w:val="CommentText"/>
    <w:uiPriority w:val="99"/>
    <w:rsid w:val="00DA1C30"/>
    <w:rPr>
      <w:sz w:val="20"/>
      <w:szCs w:val="20"/>
    </w:rPr>
  </w:style>
  <w:style w:type="paragraph" w:styleId="CommentSubject">
    <w:name w:val="annotation subject"/>
    <w:basedOn w:val="CommentText"/>
    <w:next w:val="CommentText"/>
    <w:link w:val="CommentSubjectChar"/>
    <w:uiPriority w:val="99"/>
    <w:semiHidden/>
    <w:unhideWhenUsed/>
    <w:rsid w:val="00DA1C30"/>
    <w:rPr>
      <w:b/>
      <w:bCs/>
    </w:rPr>
  </w:style>
  <w:style w:type="character" w:customStyle="1" w:styleId="CommentSubjectChar">
    <w:name w:val="Comment Subject Char"/>
    <w:basedOn w:val="CommentTextChar"/>
    <w:link w:val="CommentSubject"/>
    <w:uiPriority w:val="99"/>
    <w:semiHidden/>
    <w:rsid w:val="00DA1C30"/>
    <w:rPr>
      <w:b/>
      <w:bCs/>
      <w:sz w:val="20"/>
      <w:szCs w:val="20"/>
    </w:rPr>
  </w:style>
  <w:style w:type="paragraph" w:styleId="BalloonText">
    <w:name w:val="Balloon Text"/>
    <w:basedOn w:val="Normal"/>
    <w:link w:val="BalloonTextChar"/>
    <w:uiPriority w:val="99"/>
    <w:semiHidden/>
    <w:unhideWhenUsed/>
    <w:rsid w:val="00DA1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C30"/>
    <w:rPr>
      <w:rFonts w:ascii="Segoe UI" w:hAnsi="Segoe UI" w:cs="Segoe UI"/>
      <w:sz w:val="18"/>
      <w:szCs w:val="18"/>
    </w:rPr>
  </w:style>
  <w:style w:type="table" w:styleId="TableGrid">
    <w:name w:val="Table Grid"/>
    <w:basedOn w:val="TableNormal"/>
    <w:uiPriority w:val="59"/>
    <w:rsid w:val="008B2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B248C"/>
    <w:pPr>
      <w:spacing w:after="0" w:line="240" w:lineRule="auto"/>
    </w:pPr>
  </w:style>
  <w:style w:type="paragraph" w:styleId="NormalWeb">
    <w:name w:val="Normal (Web)"/>
    <w:basedOn w:val="Normal"/>
    <w:uiPriority w:val="99"/>
    <w:unhideWhenUsed/>
    <w:rsid w:val="0088231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E231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1FB"/>
    <w:rPr>
      <w:sz w:val="20"/>
      <w:szCs w:val="20"/>
    </w:rPr>
  </w:style>
  <w:style w:type="character" w:styleId="FootnoteReference">
    <w:name w:val="footnote reference"/>
    <w:basedOn w:val="DefaultParagraphFont"/>
    <w:uiPriority w:val="99"/>
    <w:unhideWhenUsed/>
    <w:rsid w:val="00E231FB"/>
    <w:rPr>
      <w:vertAlign w:val="superscript"/>
    </w:rPr>
  </w:style>
  <w:style w:type="paragraph" w:styleId="ListParagraph">
    <w:name w:val="List Paragraph"/>
    <w:aliases w:val="References,Bullet 1,Paragraphe de liste1,List Paragraph1,Liste couleur - Accent 11,Liste couleur - Accent 111,Bullets,List bullet,Bioforce zListePuce"/>
    <w:basedOn w:val="Normal"/>
    <w:link w:val="ListParagraphChar"/>
    <w:uiPriority w:val="34"/>
    <w:qFormat/>
    <w:rsid w:val="005402CE"/>
    <w:pPr>
      <w:ind w:left="720"/>
      <w:contextualSpacing/>
    </w:pPr>
  </w:style>
  <w:style w:type="table" w:customStyle="1" w:styleId="TableGrid1">
    <w:name w:val="Table Grid1"/>
    <w:basedOn w:val="TableNormal"/>
    <w:next w:val="TableGrid"/>
    <w:uiPriority w:val="59"/>
    <w:rsid w:val="003D7B1A"/>
    <w:pPr>
      <w:spacing w:after="0" w:line="240" w:lineRule="auto"/>
    </w:pPr>
    <w:rPr>
      <w:rFonts w:eastAsia="MS Mincho"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84DA1"/>
  </w:style>
  <w:style w:type="paragraph" w:customStyle="1" w:styleId="Normal1">
    <w:name w:val="Normal1"/>
    <w:qFormat/>
    <w:rsid w:val="00E84DA1"/>
    <w:rPr>
      <w:rFonts w:ascii="Calibri Light" w:eastAsia="MS Gothic" w:hAnsi="Calibri Light" w:cs="Times New Roman"/>
      <w:lang w:val="en-US" w:eastAsia="en-US"/>
    </w:rPr>
  </w:style>
  <w:style w:type="table" w:customStyle="1" w:styleId="TableGrid2">
    <w:name w:val="Table Grid2"/>
    <w:basedOn w:val="TableNormal"/>
    <w:next w:val="TableGrid"/>
    <w:uiPriority w:val="59"/>
    <w:rsid w:val="00E84DA1"/>
    <w:pPr>
      <w:spacing w:after="0" w:line="240" w:lineRule="auto"/>
    </w:pPr>
    <w:rPr>
      <w:rFonts w:eastAsia="MS Mincho"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ferences Char,Bullet 1 Char,Paragraphe de liste1 Char,List Paragraph1 Char,Liste couleur - Accent 11 Char,Liste couleur - Accent 111 Char,Bullets Char,List bullet Char,Bioforce zListePuce Char"/>
    <w:basedOn w:val="DefaultParagraphFont"/>
    <w:link w:val="ListParagraph"/>
    <w:uiPriority w:val="34"/>
    <w:locked/>
    <w:rsid w:val="00E84DA1"/>
  </w:style>
  <w:style w:type="character" w:customStyle="1" w:styleId="apple-converted-space">
    <w:name w:val="apple-converted-space"/>
    <w:basedOn w:val="DefaultParagraphFont"/>
    <w:rsid w:val="00E84DA1"/>
  </w:style>
  <w:style w:type="paragraph" w:customStyle="1" w:styleId="NoSpacing1">
    <w:name w:val="No Spacing1"/>
    <w:next w:val="NoSpacing"/>
    <w:link w:val="NoSpacingChar"/>
    <w:uiPriority w:val="1"/>
    <w:qFormat/>
    <w:rsid w:val="00E84DA1"/>
    <w:pPr>
      <w:spacing w:after="0" w:line="240" w:lineRule="auto"/>
    </w:pPr>
    <w:rPr>
      <w:rFonts w:ascii="Calibri Light" w:eastAsia="MS Gothic" w:hAnsi="Calibri Light" w:cs="Times New Roman"/>
      <w:lang w:val="en-US" w:eastAsia="en-US"/>
    </w:rPr>
  </w:style>
  <w:style w:type="paragraph" w:styleId="Footer">
    <w:name w:val="footer"/>
    <w:basedOn w:val="Normal"/>
    <w:link w:val="FooterChar"/>
    <w:uiPriority w:val="99"/>
    <w:unhideWhenUsed/>
    <w:rsid w:val="00E84DA1"/>
    <w:pPr>
      <w:tabs>
        <w:tab w:val="center" w:pos="4680"/>
        <w:tab w:val="right" w:pos="9360"/>
      </w:tabs>
      <w:spacing w:after="0" w:line="240" w:lineRule="auto"/>
    </w:pPr>
    <w:rPr>
      <w:rFonts w:ascii="Calibri Light" w:eastAsia="MS Gothic" w:hAnsi="Calibri Light" w:cs="Times New Roman"/>
      <w:lang w:val="en-US" w:eastAsia="en-US"/>
    </w:rPr>
  </w:style>
  <w:style w:type="character" w:customStyle="1" w:styleId="FooterChar">
    <w:name w:val="Footer Char"/>
    <w:basedOn w:val="DefaultParagraphFont"/>
    <w:link w:val="Footer"/>
    <w:uiPriority w:val="99"/>
    <w:rsid w:val="00E84DA1"/>
    <w:rPr>
      <w:rFonts w:ascii="Calibri Light" w:eastAsia="MS Gothic" w:hAnsi="Calibri Light" w:cs="Times New Roman"/>
      <w:lang w:val="en-US" w:eastAsia="en-US"/>
    </w:rPr>
  </w:style>
  <w:style w:type="character" w:customStyle="1" w:styleId="Heading1Char">
    <w:name w:val="Heading 1 Char"/>
    <w:basedOn w:val="DefaultParagraphFont"/>
    <w:link w:val="Heading1"/>
    <w:uiPriority w:val="9"/>
    <w:rsid w:val="00E84DA1"/>
    <w:rPr>
      <w:b/>
      <w:color w:val="2C4F8E"/>
      <w:sz w:val="32"/>
      <w:szCs w:val="32"/>
    </w:rPr>
  </w:style>
  <w:style w:type="character" w:customStyle="1" w:styleId="Heading2Char">
    <w:name w:val="Heading 2 Char"/>
    <w:basedOn w:val="DefaultParagraphFont"/>
    <w:link w:val="Heading2"/>
    <w:uiPriority w:val="9"/>
    <w:rsid w:val="00E84DA1"/>
    <w:rPr>
      <w:b/>
      <w:color w:val="4472C4"/>
      <w:sz w:val="26"/>
      <w:szCs w:val="26"/>
    </w:rPr>
  </w:style>
  <w:style w:type="character" w:styleId="PageNumber">
    <w:name w:val="page number"/>
    <w:basedOn w:val="DefaultParagraphFont"/>
    <w:uiPriority w:val="99"/>
    <w:semiHidden/>
    <w:unhideWhenUsed/>
    <w:rsid w:val="00E84DA1"/>
  </w:style>
  <w:style w:type="paragraph" w:customStyle="1" w:styleId="TOCHeading1">
    <w:name w:val="TOC Heading1"/>
    <w:basedOn w:val="Heading1"/>
    <w:next w:val="Normal"/>
    <w:uiPriority w:val="39"/>
    <w:unhideWhenUsed/>
    <w:qFormat/>
    <w:rsid w:val="00E84DA1"/>
    <w:pPr>
      <w:spacing w:line="276" w:lineRule="auto"/>
      <w:outlineLvl w:val="9"/>
    </w:pPr>
    <w:rPr>
      <w:rFonts w:ascii="Calibri Light" w:eastAsia="MS Gothic" w:hAnsi="Calibri Light" w:cs="Times New Roman"/>
      <w:bCs/>
      <w:color w:val="2F5496"/>
      <w:sz w:val="28"/>
      <w:szCs w:val="28"/>
      <w:lang w:val="en-US" w:eastAsia="en-US"/>
    </w:rPr>
  </w:style>
  <w:style w:type="paragraph" w:customStyle="1" w:styleId="TOC11">
    <w:name w:val="TOC 11"/>
    <w:basedOn w:val="Normal"/>
    <w:next w:val="Normal"/>
    <w:autoRedefine/>
    <w:uiPriority w:val="39"/>
    <w:unhideWhenUsed/>
    <w:rsid w:val="00E84DA1"/>
    <w:pPr>
      <w:tabs>
        <w:tab w:val="right" w:leader="dot" w:pos="9016"/>
      </w:tabs>
      <w:spacing w:before="120" w:after="0"/>
    </w:pPr>
    <w:rPr>
      <w:rFonts w:eastAsia="MS Gothic" w:cs="Times New Roman"/>
      <w:b/>
      <w:sz w:val="24"/>
      <w:szCs w:val="24"/>
      <w:lang w:val="en-US" w:eastAsia="en-US"/>
    </w:rPr>
  </w:style>
  <w:style w:type="paragraph" w:customStyle="1" w:styleId="TOC21">
    <w:name w:val="TOC 21"/>
    <w:basedOn w:val="Normal"/>
    <w:next w:val="Normal"/>
    <w:autoRedefine/>
    <w:uiPriority w:val="39"/>
    <w:unhideWhenUsed/>
    <w:rsid w:val="00E84DA1"/>
    <w:pPr>
      <w:spacing w:after="0"/>
      <w:ind w:left="220"/>
    </w:pPr>
    <w:rPr>
      <w:rFonts w:eastAsia="MS Gothic" w:cs="Times New Roman"/>
      <w:b/>
      <w:lang w:val="en-US" w:eastAsia="en-US"/>
    </w:rPr>
  </w:style>
  <w:style w:type="paragraph" w:customStyle="1" w:styleId="TOC31">
    <w:name w:val="TOC 31"/>
    <w:basedOn w:val="Normal"/>
    <w:next w:val="Normal"/>
    <w:autoRedefine/>
    <w:uiPriority w:val="39"/>
    <w:unhideWhenUsed/>
    <w:rsid w:val="00E84DA1"/>
    <w:pPr>
      <w:spacing w:after="0"/>
      <w:ind w:left="440"/>
    </w:pPr>
    <w:rPr>
      <w:rFonts w:eastAsia="MS Gothic" w:cs="Times New Roman"/>
      <w:lang w:val="en-US" w:eastAsia="en-US"/>
    </w:rPr>
  </w:style>
  <w:style w:type="paragraph" w:customStyle="1" w:styleId="TOC41">
    <w:name w:val="TOC 41"/>
    <w:basedOn w:val="Normal"/>
    <w:next w:val="Normal"/>
    <w:autoRedefine/>
    <w:uiPriority w:val="39"/>
    <w:semiHidden/>
    <w:unhideWhenUsed/>
    <w:rsid w:val="00E84DA1"/>
    <w:pPr>
      <w:spacing w:after="0"/>
      <w:ind w:left="660"/>
    </w:pPr>
    <w:rPr>
      <w:rFonts w:eastAsia="MS Gothic" w:cs="Times New Roman"/>
      <w:sz w:val="20"/>
      <w:szCs w:val="20"/>
      <w:lang w:val="en-US" w:eastAsia="en-US"/>
    </w:rPr>
  </w:style>
  <w:style w:type="paragraph" w:customStyle="1" w:styleId="TOC51">
    <w:name w:val="TOC 51"/>
    <w:basedOn w:val="Normal"/>
    <w:next w:val="Normal"/>
    <w:autoRedefine/>
    <w:uiPriority w:val="39"/>
    <w:semiHidden/>
    <w:unhideWhenUsed/>
    <w:rsid w:val="00E84DA1"/>
    <w:pPr>
      <w:spacing w:after="0"/>
      <w:ind w:left="880"/>
    </w:pPr>
    <w:rPr>
      <w:rFonts w:eastAsia="MS Gothic" w:cs="Times New Roman"/>
      <w:sz w:val="20"/>
      <w:szCs w:val="20"/>
      <w:lang w:val="en-US" w:eastAsia="en-US"/>
    </w:rPr>
  </w:style>
  <w:style w:type="paragraph" w:customStyle="1" w:styleId="TOC61">
    <w:name w:val="TOC 61"/>
    <w:basedOn w:val="Normal"/>
    <w:next w:val="Normal"/>
    <w:autoRedefine/>
    <w:uiPriority w:val="39"/>
    <w:semiHidden/>
    <w:unhideWhenUsed/>
    <w:rsid w:val="00E84DA1"/>
    <w:pPr>
      <w:spacing w:after="0"/>
      <w:ind w:left="1100"/>
    </w:pPr>
    <w:rPr>
      <w:rFonts w:eastAsia="MS Gothic" w:cs="Times New Roman"/>
      <w:sz w:val="20"/>
      <w:szCs w:val="20"/>
      <w:lang w:val="en-US" w:eastAsia="en-US"/>
    </w:rPr>
  </w:style>
  <w:style w:type="paragraph" w:customStyle="1" w:styleId="TOC71">
    <w:name w:val="TOC 71"/>
    <w:basedOn w:val="Normal"/>
    <w:next w:val="Normal"/>
    <w:autoRedefine/>
    <w:uiPriority w:val="39"/>
    <w:semiHidden/>
    <w:unhideWhenUsed/>
    <w:rsid w:val="00E84DA1"/>
    <w:pPr>
      <w:spacing w:after="0"/>
      <w:ind w:left="1320"/>
    </w:pPr>
    <w:rPr>
      <w:rFonts w:eastAsia="MS Gothic" w:cs="Times New Roman"/>
      <w:sz w:val="20"/>
      <w:szCs w:val="20"/>
      <w:lang w:val="en-US" w:eastAsia="en-US"/>
    </w:rPr>
  </w:style>
  <w:style w:type="paragraph" w:customStyle="1" w:styleId="TOC81">
    <w:name w:val="TOC 81"/>
    <w:basedOn w:val="Normal"/>
    <w:next w:val="Normal"/>
    <w:autoRedefine/>
    <w:uiPriority w:val="39"/>
    <w:semiHidden/>
    <w:unhideWhenUsed/>
    <w:rsid w:val="00E84DA1"/>
    <w:pPr>
      <w:spacing w:after="0"/>
      <w:ind w:left="1540"/>
    </w:pPr>
    <w:rPr>
      <w:rFonts w:eastAsia="MS Gothic" w:cs="Times New Roman"/>
      <w:sz w:val="20"/>
      <w:szCs w:val="20"/>
      <w:lang w:val="en-US" w:eastAsia="en-US"/>
    </w:rPr>
  </w:style>
  <w:style w:type="paragraph" w:customStyle="1" w:styleId="TOC91">
    <w:name w:val="TOC 91"/>
    <w:basedOn w:val="Normal"/>
    <w:next w:val="Normal"/>
    <w:autoRedefine/>
    <w:uiPriority w:val="39"/>
    <w:semiHidden/>
    <w:unhideWhenUsed/>
    <w:rsid w:val="00E84DA1"/>
    <w:pPr>
      <w:spacing w:after="0"/>
      <w:ind w:left="1760"/>
    </w:pPr>
    <w:rPr>
      <w:rFonts w:eastAsia="MS Gothic" w:cs="Times New Roman"/>
      <w:sz w:val="20"/>
      <w:szCs w:val="20"/>
      <w:lang w:val="en-US" w:eastAsia="en-US"/>
    </w:rPr>
  </w:style>
  <w:style w:type="character" w:customStyle="1" w:styleId="Hyperlink1">
    <w:name w:val="Hyperlink1"/>
    <w:basedOn w:val="DefaultParagraphFont"/>
    <w:uiPriority w:val="99"/>
    <w:unhideWhenUsed/>
    <w:rsid w:val="00E84DA1"/>
    <w:rPr>
      <w:color w:val="0563C1"/>
      <w:u w:val="single"/>
    </w:rPr>
  </w:style>
  <w:style w:type="paragraph" w:customStyle="1" w:styleId="Style1">
    <w:name w:val="Style1"/>
    <w:basedOn w:val="Heading1"/>
    <w:autoRedefine/>
    <w:qFormat/>
    <w:rsid w:val="00E84DA1"/>
    <w:pPr>
      <w:keepNext w:val="0"/>
      <w:keepLines w:val="0"/>
      <w:pBdr>
        <w:top w:val="single" w:sz="24" w:space="0" w:color="3494BA"/>
        <w:left w:val="single" w:sz="24" w:space="0" w:color="3494BA"/>
        <w:bottom w:val="single" w:sz="24" w:space="0" w:color="3494BA"/>
        <w:right w:val="single" w:sz="24" w:space="0" w:color="3494BA"/>
      </w:pBdr>
      <w:shd w:val="clear" w:color="auto" w:fill="3494BA"/>
      <w:spacing w:before="200" w:line="276" w:lineRule="auto"/>
      <w:ind w:left="360" w:hanging="360"/>
      <w:outlineLvl w:val="9"/>
    </w:pPr>
    <w:rPr>
      <w:rFonts w:eastAsia="MS Mincho"/>
      <w:bCs/>
      <w:caps/>
      <w:noProof/>
      <w:color w:val="FFFFFF"/>
      <w:spacing w:val="15"/>
      <w:sz w:val="20"/>
      <w:szCs w:val="20"/>
      <w:lang w:val="en-US" w:eastAsia="en-AU"/>
    </w:rPr>
  </w:style>
  <w:style w:type="character" w:customStyle="1" w:styleId="Heading3Char">
    <w:name w:val="Heading 3 Char"/>
    <w:basedOn w:val="DefaultParagraphFont"/>
    <w:link w:val="Heading3"/>
    <w:uiPriority w:val="9"/>
    <w:rsid w:val="00E84DA1"/>
    <w:rPr>
      <w:b/>
      <w:color w:val="4472C4"/>
    </w:rPr>
  </w:style>
  <w:style w:type="character" w:customStyle="1" w:styleId="Heading4Char">
    <w:name w:val="Heading 4 Char"/>
    <w:basedOn w:val="DefaultParagraphFont"/>
    <w:link w:val="Heading4"/>
    <w:uiPriority w:val="9"/>
    <w:rsid w:val="00E84DA1"/>
    <w:rPr>
      <w:i/>
      <w:color w:val="2F5496"/>
    </w:rPr>
  </w:style>
  <w:style w:type="character" w:customStyle="1" w:styleId="NoSpacingChar">
    <w:name w:val="No Spacing Char"/>
    <w:link w:val="NoSpacing1"/>
    <w:uiPriority w:val="1"/>
    <w:rsid w:val="00E84DA1"/>
    <w:rPr>
      <w:rFonts w:ascii="Calibri Light" w:eastAsia="MS Gothic" w:hAnsi="Calibri Light" w:cs="Times New Roman"/>
      <w:sz w:val="22"/>
      <w:szCs w:val="22"/>
    </w:rPr>
  </w:style>
  <w:style w:type="paragraph" w:customStyle="1" w:styleId="Default">
    <w:name w:val="Default"/>
    <w:rsid w:val="00E84DA1"/>
    <w:pPr>
      <w:autoSpaceDE w:val="0"/>
      <w:autoSpaceDN w:val="0"/>
      <w:adjustRightInd w:val="0"/>
      <w:spacing w:after="0" w:line="240" w:lineRule="auto"/>
    </w:pPr>
    <w:rPr>
      <w:rFonts w:ascii="Arial" w:hAnsi="Arial" w:cs="Arial"/>
      <w:color w:val="000000"/>
      <w:sz w:val="24"/>
      <w:szCs w:val="24"/>
      <w:lang w:val="es-ES" w:eastAsia="en-US"/>
    </w:rPr>
  </w:style>
  <w:style w:type="character" w:customStyle="1" w:styleId="st">
    <w:name w:val="st"/>
    <w:basedOn w:val="DefaultParagraphFont"/>
    <w:rsid w:val="00E84DA1"/>
  </w:style>
  <w:style w:type="character" w:styleId="Emphasis">
    <w:name w:val="Emphasis"/>
    <w:basedOn w:val="DefaultParagraphFont"/>
    <w:uiPriority w:val="20"/>
    <w:qFormat/>
    <w:rsid w:val="00E84DA1"/>
    <w:rPr>
      <w:i/>
      <w:iCs/>
    </w:rPr>
  </w:style>
  <w:style w:type="numbering" w:customStyle="1" w:styleId="Sinlista1">
    <w:name w:val="Sin lista1"/>
    <w:next w:val="NoList"/>
    <w:uiPriority w:val="99"/>
    <w:semiHidden/>
    <w:unhideWhenUsed/>
    <w:rsid w:val="00E84DA1"/>
  </w:style>
  <w:style w:type="table" w:customStyle="1" w:styleId="Tablaconcuadrcula1">
    <w:name w:val="Tabla con cuadrícula1"/>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DefaultParagraphFont"/>
    <w:uiPriority w:val="99"/>
    <w:semiHidden/>
    <w:unhideWhenUsed/>
    <w:rsid w:val="00E84DA1"/>
    <w:rPr>
      <w:color w:val="605E5C"/>
      <w:shd w:val="clear" w:color="auto" w:fill="E1DFDD"/>
    </w:rPr>
  </w:style>
  <w:style w:type="paragraph" w:customStyle="1" w:styleId="Ttulo1">
    <w:name w:val="Título1"/>
    <w:basedOn w:val="Normal"/>
    <w:next w:val="Normal"/>
    <w:uiPriority w:val="10"/>
    <w:qFormat/>
    <w:rsid w:val="00E84DA1"/>
    <w:pPr>
      <w:spacing w:after="0" w:line="240" w:lineRule="auto"/>
      <w:contextualSpacing/>
    </w:pPr>
    <w:rPr>
      <w:rFonts w:ascii="Calibri Light" w:eastAsia="MS Gothic" w:hAnsi="Calibri Light" w:cs="Times New Roman"/>
      <w:spacing w:val="-10"/>
      <w:kern w:val="28"/>
      <w:sz w:val="56"/>
      <w:szCs w:val="56"/>
      <w:lang w:val="es-HN" w:eastAsia="en-US"/>
    </w:rPr>
  </w:style>
  <w:style w:type="character" w:customStyle="1" w:styleId="TitleChar">
    <w:name w:val="Title Char"/>
    <w:basedOn w:val="DefaultParagraphFont"/>
    <w:link w:val="Title"/>
    <w:uiPriority w:val="10"/>
    <w:rsid w:val="00E84DA1"/>
    <w:rPr>
      <w:b/>
      <w:sz w:val="72"/>
      <w:szCs w:val="72"/>
    </w:rPr>
  </w:style>
  <w:style w:type="character" w:customStyle="1" w:styleId="TtuloCar1">
    <w:name w:val="Título Car1"/>
    <w:basedOn w:val="DefaultParagraphFont"/>
    <w:uiPriority w:val="10"/>
    <w:rsid w:val="00E84DA1"/>
    <w:rPr>
      <w:rFonts w:ascii="Calibri Light" w:eastAsia="MS Gothic" w:hAnsi="Calibri Light" w:cs="Times New Roman"/>
      <w:spacing w:val="-10"/>
      <w:kern w:val="28"/>
      <w:sz w:val="56"/>
      <w:szCs w:val="56"/>
    </w:rPr>
  </w:style>
  <w:style w:type="table" w:customStyle="1" w:styleId="Tablaconcuadrcula2">
    <w:name w:val="Tabla con cuadrícula2"/>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E84DA1"/>
    <w:pPr>
      <w:spacing w:after="0" w:line="240" w:lineRule="auto"/>
    </w:pPr>
    <w:rPr>
      <w:rFonts w:cs="Times New Roman"/>
      <w:lang w:val="es-H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E84DA1"/>
    <w:rPr>
      <w:b/>
      <w:sz w:val="20"/>
      <w:szCs w:val="20"/>
    </w:rPr>
  </w:style>
  <w:style w:type="character" w:customStyle="1" w:styleId="UnresolvedMention1">
    <w:name w:val="Unresolved Mention1"/>
    <w:basedOn w:val="DefaultParagraphFont"/>
    <w:uiPriority w:val="99"/>
    <w:semiHidden/>
    <w:unhideWhenUsed/>
    <w:rsid w:val="00E84DA1"/>
    <w:rPr>
      <w:color w:val="605E5C"/>
      <w:shd w:val="clear" w:color="auto" w:fill="E1DFDD"/>
    </w:rPr>
  </w:style>
  <w:style w:type="character" w:styleId="Strong">
    <w:name w:val="Strong"/>
    <w:basedOn w:val="DefaultParagraphFont"/>
    <w:uiPriority w:val="22"/>
    <w:qFormat/>
    <w:rsid w:val="00E84DA1"/>
    <w:rPr>
      <w:b/>
      <w:bCs/>
    </w:rPr>
  </w:style>
  <w:style w:type="character" w:customStyle="1" w:styleId="IntenseEmphasis1">
    <w:name w:val="Intense Emphasis1"/>
    <w:basedOn w:val="DefaultParagraphFont"/>
    <w:uiPriority w:val="21"/>
    <w:qFormat/>
    <w:rsid w:val="00E84DA1"/>
    <w:rPr>
      <w:i/>
      <w:iCs/>
      <w:color w:val="4472C4"/>
    </w:rPr>
  </w:style>
  <w:style w:type="character" w:customStyle="1" w:styleId="FollowedHyperlink1">
    <w:name w:val="FollowedHyperlink1"/>
    <w:basedOn w:val="DefaultParagraphFont"/>
    <w:uiPriority w:val="99"/>
    <w:semiHidden/>
    <w:unhideWhenUsed/>
    <w:rsid w:val="00E84DA1"/>
    <w:rPr>
      <w:color w:val="954F72"/>
      <w:u w:val="single"/>
    </w:rPr>
  </w:style>
  <w:style w:type="character" w:customStyle="1" w:styleId="UnresolvedMention2">
    <w:name w:val="Unresolved Mention2"/>
    <w:basedOn w:val="DefaultParagraphFont"/>
    <w:uiPriority w:val="99"/>
    <w:semiHidden/>
    <w:unhideWhenUsed/>
    <w:rsid w:val="00E84DA1"/>
    <w:rPr>
      <w:color w:val="605E5C"/>
      <w:shd w:val="clear" w:color="auto" w:fill="E1DFDD"/>
    </w:rPr>
  </w:style>
  <w:style w:type="paragraph" w:styleId="NoSpacing">
    <w:name w:val="No Spacing"/>
    <w:uiPriority w:val="1"/>
    <w:qFormat/>
    <w:rsid w:val="00E84DA1"/>
    <w:pPr>
      <w:spacing w:after="0" w:line="240" w:lineRule="auto"/>
    </w:pPr>
  </w:style>
  <w:style w:type="character" w:styleId="Hyperlink">
    <w:name w:val="Hyperlink"/>
    <w:basedOn w:val="DefaultParagraphFont"/>
    <w:uiPriority w:val="99"/>
    <w:unhideWhenUsed/>
    <w:rsid w:val="00E84DA1"/>
    <w:rPr>
      <w:color w:val="0000FF" w:themeColor="hyperlink"/>
      <w:u w:val="single"/>
    </w:rPr>
  </w:style>
  <w:style w:type="character" w:styleId="IntenseEmphasis">
    <w:name w:val="Intense Emphasis"/>
    <w:basedOn w:val="DefaultParagraphFont"/>
    <w:uiPriority w:val="21"/>
    <w:qFormat/>
    <w:rsid w:val="00E84DA1"/>
    <w:rPr>
      <w:i/>
      <w:iCs/>
      <w:color w:val="4F81BD" w:themeColor="accent1"/>
    </w:rPr>
  </w:style>
  <w:style w:type="character" w:styleId="FollowedHyperlink">
    <w:name w:val="FollowedHyperlink"/>
    <w:basedOn w:val="DefaultParagraphFont"/>
    <w:uiPriority w:val="99"/>
    <w:semiHidden/>
    <w:unhideWhenUsed/>
    <w:rsid w:val="00E84DA1"/>
    <w:rPr>
      <w:color w:val="800080" w:themeColor="followedHyperlink"/>
      <w:u w:val="single"/>
    </w:rPr>
  </w:style>
  <w:style w:type="table" w:customStyle="1" w:styleId="TableGrid3">
    <w:name w:val="Table Grid3"/>
    <w:basedOn w:val="TableNormal"/>
    <w:next w:val="TableGrid"/>
    <w:uiPriority w:val="59"/>
    <w:rsid w:val="00B04430"/>
    <w:pPr>
      <w:spacing w:after="0" w:line="240" w:lineRule="auto"/>
    </w:pPr>
    <w:rPr>
      <w:rFonts w:eastAsia="MS Mincho"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935">
      <w:bodyDiv w:val="1"/>
      <w:marLeft w:val="0"/>
      <w:marRight w:val="0"/>
      <w:marTop w:val="0"/>
      <w:marBottom w:val="0"/>
      <w:divBdr>
        <w:top w:val="none" w:sz="0" w:space="0" w:color="auto"/>
        <w:left w:val="none" w:sz="0" w:space="0" w:color="auto"/>
        <w:bottom w:val="none" w:sz="0" w:space="0" w:color="auto"/>
        <w:right w:val="none" w:sz="0" w:space="0" w:color="auto"/>
      </w:divBdr>
    </w:div>
    <w:div w:id="74742252">
      <w:bodyDiv w:val="1"/>
      <w:marLeft w:val="0"/>
      <w:marRight w:val="0"/>
      <w:marTop w:val="0"/>
      <w:marBottom w:val="0"/>
      <w:divBdr>
        <w:top w:val="none" w:sz="0" w:space="0" w:color="auto"/>
        <w:left w:val="none" w:sz="0" w:space="0" w:color="auto"/>
        <w:bottom w:val="none" w:sz="0" w:space="0" w:color="auto"/>
        <w:right w:val="none" w:sz="0" w:space="0" w:color="auto"/>
      </w:divBdr>
    </w:div>
    <w:div w:id="238446263">
      <w:bodyDiv w:val="1"/>
      <w:marLeft w:val="0"/>
      <w:marRight w:val="0"/>
      <w:marTop w:val="0"/>
      <w:marBottom w:val="0"/>
      <w:divBdr>
        <w:top w:val="none" w:sz="0" w:space="0" w:color="auto"/>
        <w:left w:val="none" w:sz="0" w:space="0" w:color="auto"/>
        <w:bottom w:val="none" w:sz="0" w:space="0" w:color="auto"/>
        <w:right w:val="none" w:sz="0" w:space="0" w:color="auto"/>
      </w:divBdr>
    </w:div>
    <w:div w:id="293298683">
      <w:bodyDiv w:val="1"/>
      <w:marLeft w:val="0"/>
      <w:marRight w:val="0"/>
      <w:marTop w:val="0"/>
      <w:marBottom w:val="0"/>
      <w:divBdr>
        <w:top w:val="none" w:sz="0" w:space="0" w:color="auto"/>
        <w:left w:val="none" w:sz="0" w:space="0" w:color="auto"/>
        <w:bottom w:val="none" w:sz="0" w:space="0" w:color="auto"/>
        <w:right w:val="none" w:sz="0" w:space="0" w:color="auto"/>
      </w:divBdr>
    </w:div>
    <w:div w:id="450706039">
      <w:bodyDiv w:val="1"/>
      <w:marLeft w:val="0"/>
      <w:marRight w:val="0"/>
      <w:marTop w:val="0"/>
      <w:marBottom w:val="0"/>
      <w:divBdr>
        <w:top w:val="none" w:sz="0" w:space="0" w:color="auto"/>
        <w:left w:val="none" w:sz="0" w:space="0" w:color="auto"/>
        <w:bottom w:val="none" w:sz="0" w:space="0" w:color="auto"/>
        <w:right w:val="none" w:sz="0" w:space="0" w:color="auto"/>
      </w:divBdr>
    </w:div>
    <w:div w:id="480775033">
      <w:bodyDiv w:val="1"/>
      <w:marLeft w:val="0"/>
      <w:marRight w:val="0"/>
      <w:marTop w:val="0"/>
      <w:marBottom w:val="0"/>
      <w:divBdr>
        <w:top w:val="none" w:sz="0" w:space="0" w:color="auto"/>
        <w:left w:val="none" w:sz="0" w:space="0" w:color="auto"/>
        <w:bottom w:val="none" w:sz="0" w:space="0" w:color="auto"/>
        <w:right w:val="none" w:sz="0" w:space="0" w:color="auto"/>
      </w:divBdr>
    </w:div>
    <w:div w:id="489295833">
      <w:bodyDiv w:val="1"/>
      <w:marLeft w:val="0"/>
      <w:marRight w:val="0"/>
      <w:marTop w:val="0"/>
      <w:marBottom w:val="0"/>
      <w:divBdr>
        <w:top w:val="none" w:sz="0" w:space="0" w:color="auto"/>
        <w:left w:val="none" w:sz="0" w:space="0" w:color="auto"/>
        <w:bottom w:val="none" w:sz="0" w:space="0" w:color="auto"/>
        <w:right w:val="none" w:sz="0" w:space="0" w:color="auto"/>
      </w:divBdr>
    </w:div>
    <w:div w:id="510920346">
      <w:bodyDiv w:val="1"/>
      <w:marLeft w:val="0"/>
      <w:marRight w:val="0"/>
      <w:marTop w:val="0"/>
      <w:marBottom w:val="0"/>
      <w:divBdr>
        <w:top w:val="none" w:sz="0" w:space="0" w:color="auto"/>
        <w:left w:val="none" w:sz="0" w:space="0" w:color="auto"/>
        <w:bottom w:val="none" w:sz="0" w:space="0" w:color="auto"/>
        <w:right w:val="none" w:sz="0" w:space="0" w:color="auto"/>
      </w:divBdr>
    </w:div>
    <w:div w:id="544172386">
      <w:bodyDiv w:val="1"/>
      <w:marLeft w:val="0"/>
      <w:marRight w:val="0"/>
      <w:marTop w:val="0"/>
      <w:marBottom w:val="0"/>
      <w:divBdr>
        <w:top w:val="none" w:sz="0" w:space="0" w:color="auto"/>
        <w:left w:val="none" w:sz="0" w:space="0" w:color="auto"/>
        <w:bottom w:val="none" w:sz="0" w:space="0" w:color="auto"/>
        <w:right w:val="none" w:sz="0" w:space="0" w:color="auto"/>
      </w:divBdr>
    </w:div>
    <w:div w:id="586614599">
      <w:bodyDiv w:val="1"/>
      <w:marLeft w:val="0"/>
      <w:marRight w:val="0"/>
      <w:marTop w:val="0"/>
      <w:marBottom w:val="0"/>
      <w:divBdr>
        <w:top w:val="none" w:sz="0" w:space="0" w:color="auto"/>
        <w:left w:val="none" w:sz="0" w:space="0" w:color="auto"/>
        <w:bottom w:val="none" w:sz="0" w:space="0" w:color="auto"/>
        <w:right w:val="none" w:sz="0" w:space="0" w:color="auto"/>
      </w:divBdr>
    </w:div>
    <w:div w:id="682558225">
      <w:bodyDiv w:val="1"/>
      <w:marLeft w:val="0"/>
      <w:marRight w:val="0"/>
      <w:marTop w:val="0"/>
      <w:marBottom w:val="0"/>
      <w:divBdr>
        <w:top w:val="none" w:sz="0" w:space="0" w:color="auto"/>
        <w:left w:val="none" w:sz="0" w:space="0" w:color="auto"/>
        <w:bottom w:val="none" w:sz="0" w:space="0" w:color="auto"/>
        <w:right w:val="none" w:sz="0" w:space="0" w:color="auto"/>
      </w:divBdr>
    </w:div>
    <w:div w:id="1432780553">
      <w:bodyDiv w:val="1"/>
      <w:marLeft w:val="0"/>
      <w:marRight w:val="0"/>
      <w:marTop w:val="0"/>
      <w:marBottom w:val="0"/>
      <w:divBdr>
        <w:top w:val="none" w:sz="0" w:space="0" w:color="auto"/>
        <w:left w:val="none" w:sz="0" w:space="0" w:color="auto"/>
        <w:bottom w:val="none" w:sz="0" w:space="0" w:color="auto"/>
        <w:right w:val="none" w:sz="0" w:space="0" w:color="auto"/>
      </w:divBdr>
    </w:div>
    <w:div w:id="1441414074">
      <w:bodyDiv w:val="1"/>
      <w:marLeft w:val="0"/>
      <w:marRight w:val="0"/>
      <w:marTop w:val="0"/>
      <w:marBottom w:val="0"/>
      <w:divBdr>
        <w:top w:val="none" w:sz="0" w:space="0" w:color="auto"/>
        <w:left w:val="none" w:sz="0" w:space="0" w:color="auto"/>
        <w:bottom w:val="none" w:sz="0" w:space="0" w:color="auto"/>
        <w:right w:val="none" w:sz="0" w:space="0" w:color="auto"/>
      </w:divBdr>
    </w:div>
    <w:div w:id="1461993623">
      <w:bodyDiv w:val="1"/>
      <w:marLeft w:val="0"/>
      <w:marRight w:val="0"/>
      <w:marTop w:val="0"/>
      <w:marBottom w:val="0"/>
      <w:divBdr>
        <w:top w:val="none" w:sz="0" w:space="0" w:color="auto"/>
        <w:left w:val="none" w:sz="0" w:space="0" w:color="auto"/>
        <w:bottom w:val="none" w:sz="0" w:space="0" w:color="auto"/>
        <w:right w:val="none" w:sz="0" w:space="0" w:color="auto"/>
      </w:divBdr>
    </w:div>
    <w:div w:id="1493570223">
      <w:bodyDiv w:val="1"/>
      <w:marLeft w:val="0"/>
      <w:marRight w:val="0"/>
      <w:marTop w:val="0"/>
      <w:marBottom w:val="0"/>
      <w:divBdr>
        <w:top w:val="none" w:sz="0" w:space="0" w:color="auto"/>
        <w:left w:val="none" w:sz="0" w:space="0" w:color="auto"/>
        <w:bottom w:val="none" w:sz="0" w:space="0" w:color="auto"/>
        <w:right w:val="none" w:sz="0" w:space="0" w:color="auto"/>
      </w:divBdr>
      <w:divsChild>
        <w:div w:id="386345906">
          <w:marLeft w:val="446"/>
          <w:marRight w:val="0"/>
          <w:marTop w:val="0"/>
          <w:marBottom w:val="0"/>
          <w:divBdr>
            <w:top w:val="none" w:sz="0" w:space="0" w:color="auto"/>
            <w:left w:val="none" w:sz="0" w:space="0" w:color="auto"/>
            <w:bottom w:val="none" w:sz="0" w:space="0" w:color="auto"/>
            <w:right w:val="none" w:sz="0" w:space="0" w:color="auto"/>
          </w:divBdr>
        </w:div>
        <w:div w:id="1710031115">
          <w:marLeft w:val="864"/>
          <w:marRight w:val="0"/>
          <w:marTop w:val="0"/>
          <w:marBottom w:val="0"/>
          <w:divBdr>
            <w:top w:val="none" w:sz="0" w:space="0" w:color="auto"/>
            <w:left w:val="none" w:sz="0" w:space="0" w:color="auto"/>
            <w:bottom w:val="none" w:sz="0" w:space="0" w:color="auto"/>
            <w:right w:val="none" w:sz="0" w:space="0" w:color="auto"/>
          </w:divBdr>
        </w:div>
        <w:div w:id="608006687">
          <w:marLeft w:val="864"/>
          <w:marRight w:val="0"/>
          <w:marTop w:val="0"/>
          <w:marBottom w:val="0"/>
          <w:divBdr>
            <w:top w:val="none" w:sz="0" w:space="0" w:color="auto"/>
            <w:left w:val="none" w:sz="0" w:space="0" w:color="auto"/>
            <w:bottom w:val="none" w:sz="0" w:space="0" w:color="auto"/>
            <w:right w:val="none" w:sz="0" w:space="0" w:color="auto"/>
          </w:divBdr>
        </w:div>
        <w:div w:id="1812208239">
          <w:marLeft w:val="864"/>
          <w:marRight w:val="0"/>
          <w:marTop w:val="0"/>
          <w:marBottom w:val="0"/>
          <w:divBdr>
            <w:top w:val="none" w:sz="0" w:space="0" w:color="auto"/>
            <w:left w:val="none" w:sz="0" w:space="0" w:color="auto"/>
            <w:bottom w:val="none" w:sz="0" w:space="0" w:color="auto"/>
            <w:right w:val="none" w:sz="0" w:space="0" w:color="auto"/>
          </w:divBdr>
        </w:div>
        <w:div w:id="744113688">
          <w:marLeft w:val="864"/>
          <w:marRight w:val="0"/>
          <w:marTop w:val="0"/>
          <w:marBottom w:val="0"/>
          <w:divBdr>
            <w:top w:val="none" w:sz="0" w:space="0" w:color="auto"/>
            <w:left w:val="none" w:sz="0" w:space="0" w:color="auto"/>
            <w:bottom w:val="none" w:sz="0" w:space="0" w:color="auto"/>
            <w:right w:val="none" w:sz="0" w:space="0" w:color="auto"/>
          </w:divBdr>
        </w:div>
        <w:div w:id="1454404684">
          <w:marLeft w:val="864"/>
          <w:marRight w:val="0"/>
          <w:marTop w:val="0"/>
          <w:marBottom w:val="0"/>
          <w:divBdr>
            <w:top w:val="none" w:sz="0" w:space="0" w:color="auto"/>
            <w:left w:val="none" w:sz="0" w:space="0" w:color="auto"/>
            <w:bottom w:val="none" w:sz="0" w:space="0" w:color="auto"/>
            <w:right w:val="none" w:sz="0" w:space="0" w:color="auto"/>
          </w:divBdr>
        </w:div>
        <w:div w:id="1341739729">
          <w:marLeft w:val="864"/>
          <w:marRight w:val="0"/>
          <w:marTop w:val="0"/>
          <w:marBottom w:val="0"/>
          <w:divBdr>
            <w:top w:val="none" w:sz="0" w:space="0" w:color="auto"/>
            <w:left w:val="none" w:sz="0" w:space="0" w:color="auto"/>
            <w:bottom w:val="none" w:sz="0" w:space="0" w:color="auto"/>
            <w:right w:val="none" w:sz="0" w:space="0" w:color="auto"/>
          </w:divBdr>
        </w:div>
        <w:div w:id="1222717623">
          <w:marLeft w:val="864"/>
          <w:marRight w:val="0"/>
          <w:marTop w:val="0"/>
          <w:marBottom w:val="0"/>
          <w:divBdr>
            <w:top w:val="none" w:sz="0" w:space="0" w:color="auto"/>
            <w:left w:val="none" w:sz="0" w:space="0" w:color="auto"/>
            <w:bottom w:val="none" w:sz="0" w:space="0" w:color="auto"/>
            <w:right w:val="none" w:sz="0" w:space="0" w:color="auto"/>
          </w:divBdr>
        </w:div>
        <w:div w:id="1130051817">
          <w:marLeft w:val="864"/>
          <w:marRight w:val="0"/>
          <w:marTop w:val="0"/>
          <w:marBottom w:val="0"/>
          <w:divBdr>
            <w:top w:val="none" w:sz="0" w:space="0" w:color="auto"/>
            <w:left w:val="none" w:sz="0" w:space="0" w:color="auto"/>
            <w:bottom w:val="none" w:sz="0" w:space="0" w:color="auto"/>
            <w:right w:val="none" w:sz="0" w:space="0" w:color="auto"/>
          </w:divBdr>
        </w:div>
      </w:divsChild>
    </w:div>
    <w:div w:id="1513491135">
      <w:bodyDiv w:val="1"/>
      <w:marLeft w:val="0"/>
      <w:marRight w:val="0"/>
      <w:marTop w:val="0"/>
      <w:marBottom w:val="0"/>
      <w:divBdr>
        <w:top w:val="none" w:sz="0" w:space="0" w:color="auto"/>
        <w:left w:val="none" w:sz="0" w:space="0" w:color="auto"/>
        <w:bottom w:val="none" w:sz="0" w:space="0" w:color="auto"/>
        <w:right w:val="none" w:sz="0" w:space="0" w:color="auto"/>
      </w:divBdr>
    </w:div>
    <w:div w:id="1677150014">
      <w:bodyDiv w:val="1"/>
      <w:marLeft w:val="0"/>
      <w:marRight w:val="0"/>
      <w:marTop w:val="0"/>
      <w:marBottom w:val="0"/>
      <w:divBdr>
        <w:top w:val="none" w:sz="0" w:space="0" w:color="auto"/>
        <w:left w:val="none" w:sz="0" w:space="0" w:color="auto"/>
        <w:bottom w:val="none" w:sz="0" w:space="0" w:color="auto"/>
        <w:right w:val="none" w:sz="0" w:space="0" w:color="auto"/>
      </w:divBdr>
    </w:div>
    <w:div w:id="1828667040">
      <w:bodyDiv w:val="1"/>
      <w:marLeft w:val="0"/>
      <w:marRight w:val="0"/>
      <w:marTop w:val="0"/>
      <w:marBottom w:val="0"/>
      <w:divBdr>
        <w:top w:val="none" w:sz="0" w:space="0" w:color="auto"/>
        <w:left w:val="none" w:sz="0" w:space="0" w:color="auto"/>
        <w:bottom w:val="none" w:sz="0" w:space="0" w:color="auto"/>
        <w:right w:val="none" w:sz="0" w:space="0" w:color="auto"/>
      </w:divBdr>
    </w:div>
    <w:div w:id="2036423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4.jpeg"/><Relationship Id="rId26" Type="http://schemas.openxmlformats.org/officeDocument/2006/relationships/customXml" Target="../customXml/item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3.jpeg"/><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rive.google.com/drive/u/1/folders/1DFveiGt_gAAHsQ91-wTooBb_uUY3ur7u" TargetMode="External"/><Relationship Id="rId20" Type="http://schemas.openxmlformats.org/officeDocument/2006/relationships/fontTable" Target="fontTable.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1/folders/1DFveiGt_gAAHsQ91-wTooBb_uUY3ur7u" TargetMode="External"/><Relationship Id="rId5" Type="http://schemas.openxmlformats.org/officeDocument/2006/relationships/webSettings" Target="webSettings.xml"/><Relationship Id="rId15" Type="http://schemas.openxmlformats.org/officeDocument/2006/relationships/hyperlink" Target="https://www.theglobalfund.org/en/portfolio/country/?k=38565614-b542-4558-96f5-6c0ab3e36f97&amp;loc=HND" TargetMode="External"/><Relationship Id="rId28"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 Id="rId27" Type="http://schemas.openxmlformats.org/officeDocument/2006/relationships/customXml" Target="../customXml/item3.xml"/><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orking Document" ma:contentTypeID="0x01010014768F94803F42BEA62C5B7969543DC7008B7A57E5DE90614098D159175272FAFE" ma:contentTypeVersion="125" ma:contentTypeDescription="A work in progress document. &#10;Retention period upon archiving: 0 years." ma:contentTypeScope="" ma:versionID="7985a9beb6646101d4d1f3509a7ca991">
  <xsd:schema xmlns:xsd="http://www.w3.org/2001/XMLSchema" xmlns:xs="http://www.w3.org/2001/XMLSchema" xmlns:p="http://schemas.microsoft.com/office/2006/metadata/properties" xmlns:ns2="d3a87529-1e04-4d9d-b564-768a36fca9e7" xmlns:ns3="fa473315-44a4-4518-8a4f-31f7017f3642" targetNamespace="http://schemas.microsoft.com/office/2006/metadata/properties" ma:root="true" ma:fieldsID="16fe53979ea7b0b4b34fc8f6c8306733" ns2:_="" ns3:_="">
    <xsd:import namespace="d3a87529-1e04-4d9d-b564-768a36fca9e7"/>
    <xsd:import namespace="fa473315-44a4-4518-8a4f-31f7017f3642"/>
    <xsd:element name="properties">
      <xsd:complexType>
        <xsd:sequence>
          <xsd:element name="documentManagement">
            <xsd:complexType>
              <xsd:all>
                <xsd:element ref="ns2:Grant_x0020_Name" minOccurs="0"/>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87529-1e04-4d9d-b564-768a36fca9e7" elementFormDefault="qualified">
    <xsd:import namespace="http://schemas.microsoft.com/office/2006/documentManagement/types"/>
    <xsd:import namespace="http://schemas.microsoft.com/office/infopath/2007/PartnerControls"/>
    <xsd:element name="Grant_x0020_Name" ma:index="5" nillable="true" ma:displayName="Grant Name" ma:internalName="Grant_x0020_Name" ma:readOnly="fals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473315-44a4-4518-8a4f-31f7017f364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97f1e6-5941-48e7-ac45-8c5509127d4f" ContentTypeId="0x01010014768F94803F42BEA62C5B7969543DC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fa473315-44a4-4518-8a4f-31f7017f3642">HHFFXVFNZ7RQ-260380143-11967</_dlc_DocId>
    <_dlc_DocIdUrl xmlns="fa473315-44a4-4518-8a4f-31f7017f3642">
      <Url>https://tgf.sharepoint.com/sites/TSGMT10/HND3/_layouts/15/DocIdRedir.aspx?ID=HHFFXVFNZ7RQ-260380143-11967</Url>
      <Description>HHFFXVFNZ7RQ-260380143-11967</Description>
    </_dlc_DocIdUrl>
    <Grant_x0020_Name xmlns="d3a87529-1e04-4d9d-b564-768a36fca9e7" xsi:nil="true"/>
  </documentManagement>
</p:properties>
</file>

<file path=customXml/itemProps1.xml><?xml version="1.0" encoding="utf-8"?>
<ds:datastoreItem xmlns:ds="http://schemas.openxmlformats.org/officeDocument/2006/customXml" ds:itemID="{A8F20911-2910-4905-961B-51A75DEE6165}">
  <ds:schemaRefs>
    <ds:schemaRef ds:uri="http://schemas.openxmlformats.org/officeDocument/2006/bibliography"/>
  </ds:schemaRefs>
</ds:datastoreItem>
</file>

<file path=customXml/itemProps2.xml><?xml version="1.0" encoding="utf-8"?>
<ds:datastoreItem xmlns:ds="http://schemas.openxmlformats.org/officeDocument/2006/customXml" ds:itemID="{F3476809-7085-476E-9D97-23D48F314269}"/>
</file>

<file path=customXml/itemProps3.xml><?xml version="1.0" encoding="utf-8"?>
<ds:datastoreItem xmlns:ds="http://schemas.openxmlformats.org/officeDocument/2006/customXml" ds:itemID="{79540587-95D3-4AEA-87B3-732C43021A1B}"/>
</file>

<file path=customXml/itemProps4.xml><?xml version="1.0" encoding="utf-8"?>
<ds:datastoreItem xmlns:ds="http://schemas.openxmlformats.org/officeDocument/2006/customXml" ds:itemID="{E79E37DE-360A-4D9B-962E-9C7F969DA7B8}"/>
</file>

<file path=customXml/itemProps5.xml><?xml version="1.0" encoding="utf-8"?>
<ds:datastoreItem xmlns:ds="http://schemas.openxmlformats.org/officeDocument/2006/customXml" ds:itemID="{17DA5421-5193-4374-903A-9873E2DBE9B1}"/>
</file>

<file path=customXml/itemProps6.xml><?xml version="1.0" encoding="utf-8"?>
<ds:datastoreItem xmlns:ds="http://schemas.openxmlformats.org/officeDocument/2006/customXml" ds:itemID="{BBB7FC5A-FB28-43CA-BB6E-FDB5CB4D8D9E}"/>
</file>

<file path=docProps/app.xml><?xml version="1.0" encoding="utf-8"?>
<Properties xmlns="http://schemas.openxmlformats.org/officeDocument/2006/extended-properties" xmlns:vt="http://schemas.openxmlformats.org/officeDocument/2006/docPropsVTypes">
  <Template>Normal</Template>
  <TotalTime>285</TotalTime>
  <Pages>49</Pages>
  <Words>19728</Words>
  <Characters>112451</Characters>
  <Application>Microsoft Office Word</Application>
  <DocSecurity>0</DocSecurity>
  <Lines>937</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Halmo</dc:creator>
  <cp:lastModifiedBy>Valerie W</cp:lastModifiedBy>
  <cp:revision>26</cp:revision>
  <dcterms:created xsi:type="dcterms:W3CDTF">2019-05-15T20:14:00Z</dcterms:created>
  <dcterms:modified xsi:type="dcterms:W3CDTF">2019-05-31T18:25:00Z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0x01010014768F94803F42BEA62C5B7969543DC7008B7A57E5DE90614098D159175272FAFE</vt:lpwstr>
  </property>
  <property fmtid="{D5CDD505-2E9C-101B-9397-08002B2CF9AE}" pid="3" name="_dlc_DocIdItemGuid">
    <vt:lpwstr>26446e02-8af6-4856-9a96-6a8ffc82d9bb</vt:lpwstr>
  </property>
</Properties>
</file>