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29372443"/>
    <w:p w14:paraId="382F34E1" w14:textId="12252B79" w:rsidR="00443979" w:rsidRPr="001872A3" w:rsidRDefault="00443979" w:rsidP="00F948D1">
      <w:pPr>
        <w:ind w:firstLine="0"/>
        <w:rPr>
          <w:lang w:val="es-GT"/>
        </w:rPr>
      </w:pPr>
      <w:r w:rsidRPr="001872A3">
        <w:rPr>
          <w:noProof/>
          <w:lang w:val="es-HN" w:eastAsia="es-HN"/>
        </w:rPr>
        <mc:AlternateContent>
          <mc:Choice Requires="wps">
            <w:drawing>
              <wp:anchor distT="0" distB="0" distL="114300" distR="114300" simplePos="0" relativeHeight="251659264" behindDoc="1" locked="0" layoutInCell="1" allowOverlap="1" wp14:anchorId="5D1A6D5E" wp14:editId="4C6408F0">
                <wp:simplePos x="0" y="0"/>
                <wp:positionH relativeFrom="page">
                  <wp:posOffset>19050</wp:posOffset>
                </wp:positionH>
                <wp:positionV relativeFrom="paragraph">
                  <wp:posOffset>-904875</wp:posOffset>
                </wp:positionV>
                <wp:extent cx="7753350" cy="10115550"/>
                <wp:effectExtent l="0" t="0" r="19050" b="19050"/>
                <wp:wrapNone/>
                <wp:docPr id="706" name="Rectangle 706"/>
                <wp:cNvGraphicFramePr/>
                <a:graphic xmlns:a="http://schemas.openxmlformats.org/drawingml/2006/main">
                  <a:graphicData uri="http://schemas.microsoft.com/office/word/2010/wordprocessingShape">
                    <wps:wsp>
                      <wps:cNvSpPr/>
                      <wps:spPr>
                        <a:xfrm>
                          <a:off x="0" y="0"/>
                          <a:ext cx="7753350" cy="101155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B8B78" id="Rectangle 706" o:spid="_x0000_s1026" style="position:absolute;margin-left:1.5pt;margin-top:-71.25pt;width:610.5pt;height:79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" fillcolor="#002060" strokecolor="#1f4d78 [1604]" strokeweight="1pt">
                <w10:wrap anchorx="page"/>
              </v:rect>
            </w:pict>
          </mc:Fallback>
        </mc:AlternateContent>
      </w:r>
    </w:p>
    <w:p w14:paraId="060C6938" w14:textId="77777777" w:rsidR="00443979" w:rsidRPr="00F60B50" w:rsidRDefault="00443979" w:rsidP="00F948D1">
      <w:pPr>
        <w:ind w:firstLine="0"/>
        <w:rPr>
          <w:rFonts w:ascii="Tahoma" w:hAnsi="Tahoma" w:cs="Tahoma"/>
          <w:b/>
          <w:color w:val="FFFFFF"/>
          <w:sz w:val="44"/>
          <w:szCs w:val="44"/>
        </w:rPr>
      </w:pPr>
    </w:p>
    <w:p w14:paraId="428576D0" w14:textId="77777777" w:rsidR="006427B4" w:rsidRDefault="00C450C3" w:rsidP="00F948D1">
      <w:pPr>
        <w:ind w:firstLine="0"/>
        <w:jc w:val="right"/>
        <w:rPr>
          <w:rFonts w:ascii="Tahoma" w:hAnsi="Tahoma" w:cs="Tahoma"/>
          <w:b/>
          <w:color w:val="FFFFFF"/>
          <w:sz w:val="44"/>
          <w:szCs w:val="44"/>
        </w:rPr>
      </w:pPr>
      <w:r>
        <w:rPr>
          <w:rFonts w:ascii="Tahoma" w:hAnsi="Tahoma" w:cs="Tahoma"/>
          <w:b/>
          <w:color w:val="FFFFFF"/>
          <w:sz w:val="44"/>
          <w:szCs w:val="44"/>
        </w:rPr>
        <w:t>ESTRATEGIA DE</w:t>
      </w:r>
      <w:r w:rsidR="007E3363" w:rsidRPr="00F60B50">
        <w:rPr>
          <w:rFonts w:ascii="Tahoma" w:hAnsi="Tahoma" w:cs="Tahoma"/>
          <w:b/>
          <w:color w:val="FFFFFF"/>
          <w:sz w:val="44"/>
          <w:szCs w:val="44"/>
        </w:rPr>
        <w:t xml:space="preserve"> LA</w:t>
      </w:r>
      <w:r w:rsidR="00443979" w:rsidRPr="00F60B50">
        <w:rPr>
          <w:rFonts w:ascii="Tahoma" w:hAnsi="Tahoma" w:cs="Tahoma"/>
          <w:b/>
          <w:color w:val="FFFFFF"/>
          <w:sz w:val="44"/>
          <w:szCs w:val="44"/>
        </w:rPr>
        <w:t xml:space="preserve"> </w:t>
      </w:r>
      <w:r w:rsidR="0044113C" w:rsidRPr="00F60B50">
        <w:rPr>
          <w:rFonts w:ascii="Tahoma" w:hAnsi="Tahoma" w:cs="Tahoma"/>
          <w:b/>
          <w:color w:val="FFFFFF"/>
          <w:sz w:val="44"/>
          <w:szCs w:val="44"/>
        </w:rPr>
        <w:t>SOSTENIBILIDAD</w:t>
      </w:r>
      <w:r w:rsidR="006427B4">
        <w:rPr>
          <w:rFonts w:ascii="Tahoma" w:hAnsi="Tahoma" w:cs="Tahoma"/>
          <w:b/>
          <w:color w:val="FFFFFF"/>
          <w:sz w:val="44"/>
          <w:szCs w:val="44"/>
        </w:rPr>
        <w:t xml:space="preserve"> </w:t>
      </w:r>
    </w:p>
    <w:p w14:paraId="50860F2A" w14:textId="77777777" w:rsidR="006427B4" w:rsidRDefault="006427B4" w:rsidP="00F948D1">
      <w:pPr>
        <w:ind w:firstLine="0"/>
        <w:jc w:val="right"/>
        <w:rPr>
          <w:rFonts w:ascii="Tahoma" w:hAnsi="Tahoma" w:cs="Tahoma"/>
          <w:b/>
          <w:color w:val="FFFFFF"/>
          <w:sz w:val="44"/>
          <w:szCs w:val="44"/>
        </w:rPr>
      </w:pPr>
      <w:r>
        <w:rPr>
          <w:rFonts w:ascii="Tahoma" w:hAnsi="Tahoma" w:cs="Tahoma"/>
          <w:b/>
          <w:color w:val="FFFFFF"/>
          <w:sz w:val="44"/>
          <w:szCs w:val="44"/>
        </w:rPr>
        <w:t xml:space="preserve">DE LA RESPUESTA NACIONAL </w:t>
      </w:r>
    </w:p>
    <w:p w14:paraId="252D35C7" w14:textId="152BE893" w:rsidR="00443979" w:rsidRPr="00F60B50" w:rsidRDefault="006427B4" w:rsidP="00F948D1">
      <w:pPr>
        <w:ind w:firstLine="0"/>
        <w:jc w:val="right"/>
        <w:rPr>
          <w:rFonts w:ascii="Tahoma" w:hAnsi="Tahoma" w:cs="Tahoma"/>
          <w:b/>
          <w:color w:val="FFFFFF"/>
          <w:sz w:val="44"/>
          <w:szCs w:val="44"/>
        </w:rPr>
      </w:pPr>
      <w:r>
        <w:rPr>
          <w:rFonts w:ascii="Tahoma" w:hAnsi="Tahoma" w:cs="Tahoma"/>
          <w:b/>
          <w:color w:val="FFFFFF"/>
          <w:sz w:val="44"/>
          <w:szCs w:val="44"/>
        </w:rPr>
        <w:t>AL VIH Y A LA TB</w:t>
      </w:r>
    </w:p>
    <w:p w14:paraId="5274E21E" w14:textId="3F45F332" w:rsidR="00443979" w:rsidRDefault="00040478" w:rsidP="00F948D1">
      <w:pPr>
        <w:ind w:firstLine="0"/>
        <w:jc w:val="right"/>
        <w:rPr>
          <w:rFonts w:ascii="Tahoma" w:hAnsi="Tahoma" w:cs="Tahoma"/>
          <w:b/>
          <w:color w:val="FFFFFF"/>
          <w:sz w:val="44"/>
          <w:szCs w:val="44"/>
        </w:rPr>
      </w:pPr>
      <w:r>
        <w:rPr>
          <w:rFonts w:ascii="Tahoma" w:hAnsi="Tahoma" w:cs="Tahoma"/>
          <w:b/>
          <w:color w:val="FFFFFF"/>
          <w:sz w:val="44"/>
          <w:szCs w:val="44"/>
        </w:rPr>
        <w:t>HONDURAS</w:t>
      </w:r>
    </w:p>
    <w:p w14:paraId="72FCCD62" w14:textId="77777777" w:rsidR="004127B3" w:rsidRPr="004127B3" w:rsidRDefault="004127B3" w:rsidP="00F948D1">
      <w:pPr>
        <w:ind w:firstLine="0"/>
        <w:jc w:val="right"/>
        <w:rPr>
          <w:rFonts w:ascii="Tahoma" w:hAnsi="Tahoma" w:cs="Tahoma"/>
          <w:color w:val="FFFFFF"/>
          <w:sz w:val="44"/>
          <w:szCs w:val="44"/>
        </w:rPr>
      </w:pPr>
      <w:r w:rsidRPr="004127B3">
        <w:rPr>
          <w:rFonts w:ascii="Tahoma" w:hAnsi="Tahoma" w:cs="Tahoma"/>
          <w:color w:val="FFFFFF"/>
          <w:sz w:val="44"/>
          <w:szCs w:val="44"/>
        </w:rPr>
        <w:t>Ruta Crítica del Plan de Trabajo</w:t>
      </w:r>
    </w:p>
    <w:p w14:paraId="798F8DD7" w14:textId="38B42BB0" w:rsidR="004127B3" w:rsidRPr="004127B3" w:rsidRDefault="004127B3" w:rsidP="00F948D1">
      <w:pPr>
        <w:ind w:firstLine="0"/>
        <w:jc w:val="right"/>
        <w:rPr>
          <w:rFonts w:ascii="Tahoma" w:hAnsi="Tahoma" w:cs="Tahoma"/>
          <w:color w:val="FFFFFF"/>
          <w:sz w:val="44"/>
          <w:szCs w:val="44"/>
        </w:rPr>
      </w:pPr>
      <w:r w:rsidRPr="004127B3">
        <w:rPr>
          <w:rFonts w:ascii="Tahoma" w:hAnsi="Tahoma" w:cs="Tahoma"/>
          <w:color w:val="FFFFFF"/>
          <w:sz w:val="44"/>
          <w:szCs w:val="44"/>
        </w:rPr>
        <w:t xml:space="preserve"> para la Sostenibilidad</w:t>
      </w:r>
    </w:p>
    <w:p w14:paraId="69137608" w14:textId="3EE95484" w:rsidR="00443979" w:rsidRPr="004127B3" w:rsidRDefault="00782E5F" w:rsidP="00F948D1">
      <w:pPr>
        <w:ind w:firstLine="0"/>
        <w:jc w:val="right"/>
        <w:rPr>
          <w:rFonts w:ascii="Tahoma" w:hAnsi="Tahoma" w:cs="Tahoma"/>
          <w:color w:val="FFFFFF"/>
          <w:sz w:val="40"/>
          <w:szCs w:val="44"/>
        </w:rPr>
      </w:pPr>
      <w:r>
        <w:rPr>
          <w:rFonts w:ascii="Tahoma" w:hAnsi="Tahoma" w:cs="Tahoma"/>
          <w:color w:val="FFFFFF"/>
          <w:sz w:val="40"/>
          <w:szCs w:val="44"/>
        </w:rPr>
        <w:t>10</w:t>
      </w:r>
      <w:r w:rsidR="006427B4" w:rsidRPr="004127B3">
        <w:rPr>
          <w:rFonts w:ascii="Tahoma" w:hAnsi="Tahoma" w:cs="Tahoma"/>
          <w:color w:val="FFFFFF"/>
          <w:sz w:val="40"/>
          <w:szCs w:val="44"/>
        </w:rPr>
        <w:t xml:space="preserve"> de </w:t>
      </w:r>
      <w:r w:rsidR="001B315E" w:rsidRPr="004127B3">
        <w:rPr>
          <w:rFonts w:ascii="Tahoma" w:hAnsi="Tahoma" w:cs="Tahoma"/>
          <w:color w:val="FFFFFF"/>
          <w:sz w:val="40"/>
          <w:szCs w:val="44"/>
        </w:rPr>
        <w:t>ma</w:t>
      </w:r>
      <w:r w:rsidR="00FF6BEA">
        <w:rPr>
          <w:rFonts w:ascii="Tahoma" w:hAnsi="Tahoma" w:cs="Tahoma"/>
          <w:color w:val="FFFFFF"/>
          <w:sz w:val="40"/>
          <w:szCs w:val="44"/>
        </w:rPr>
        <w:t>y</w:t>
      </w:r>
      <w:r w:rsidR="001B315E" w:rsidRPr="004127B3">
        <w:rPr>
          <w:rFonts w:ascii="Tahoma" w:hAnsi="Tahoma" w:cs="Tahoma"/>
          <w:color w:val="FFFFFF"/>
          <w:sz w:val="40"/>
          <w:szCs w:val="44"/>
        </w:rPr>
        <w:t>o</w:t>
      </w:r>
      <w:r w:rsidR="0044113C" w:rsidRPr="004127B3">
        <w:rPr>
          <w:rFonts w:ascii="Tahoma" w:hAnsi="Tahoma" w:cs="Tahoma"/>
          <w:color w:val="FFFFFF"/>
          <w:sz w:val="40"/>
          <w:szCs w:val="44"/>
        </w:rPr>
        <w:t xml:space="preserve"> de</w:t>
      </w:r>
      <w:r w:rsidR="00443979" w:rsidRPr="004127B3">
        <w:rPr>
          <w:rFonts w:ascii="Tahoma" w:hAnsi="Tahoma" w:cs="Tahoma"/>
          <w:color w:val="FFFFFF"/>
          <w:sz w:val="40"/>
          <w:szCs w:val="44"/>
        </w:rPr>
        <w:t xml:space="preserve"> 201</w:t>
      </w:r>
      <w:r w:rsidR="0044113C" w:rsidRPr="004127B3">
        <w:rPr>
          <w:rFonts w:ascii="Tahoma" w:hAnsi="Tahoma" w:cs="Tahoma"/>
          <w:color w:val="FFFFFF"/>
          <w:sz w:val="40"/>
          <w:szCs w:val="44"/>
        </w:rPr>
        <w:t>9</w:t>
      </w:r>
    </w:p>
    <w:p w14:paraId="2AA408A5" w14:textId="77777777" w:rsidR="00443979" w:rsidRPr="001872A3" w:rsidRDefault="00443979" w:rsidP="00F948D1">
      <w:pPr>
        <w:ind w:firstLine="0"/>
        <w:rPr>
          <w:lang w:val="es-GT"/>
        </w:rPr>
      </w:pPr>
    </w:p>
    <w:p w14:paraId="71EC5F74" w14:textId="77777777" w:rsidR="00443979" w:rsidRPr="001872A3" w:rsidRDefault="00443979" w:rsidP="00F948D1">
      <w:pPr>
        <w:ind w:firstLine="0"/>
        <w:rPr>
          <w:lang w:val="es-GT"/>
        </w:rPr>
      </w:pPr>
    </w:p>
    <w:p w14:paraId="1416EA37" w14:textId="77777777" w:rsidR="00443979" w:rsidRPr="001872A3" w:rsidRDefault="00443979" w:rsidP="00F948D1">
      <w:pPr>
        <w:ind w:firstLine="0"/>
        <w:rPr>
          <w:lang w:val="es-GT"/>
        </w:rPr>
      </w:pPr>
    </w:p>
    <w:p w14:paraId="4E240A3C" w14:textId="77777777" w:rsidR="00443979" w:rsidRPr="001872A3" w:rsidRDefault="00443979" w:rsidP="00F948D1">
      <w:pPr>
        <w:ind w:firstLine="0"/>
        <w:rPr>
          <w:lang w:val="es-GT"/>
        </w:rPr>
      </w:pPr>
    </w:p>
    <w:p w14:paraId="57A979DC" w14:textId="77777777" w:rsidR="00443979" w:rsidRPr="001872A3" w:rsidRDefault="00443979" w:rsidP="00F948D1">
      <w:pPr>
        <w:ind w:firstLine="0"/>
        <w:rPr>
          <w:lang w:val="es-GT"/>
        </w:rPr>
      </w:pPr>
    </w:p>
    <w:p w14:paraId="1BB4D380" w14:textId="77777777" w:rsidR="00443979" w:rsidRPr="001872A3" w:rsidRDefault="00443979" w:rsidP="00F948D1">
      <w:pPr>
        <w:ind w:firstLine="0"/>
        <w:rPr>
          <w:lang w:val="es-GT"/>
        </w:rPr>
      </w:pPr>
    </w:p>
    <w:p w14:paraId="0322A288" w14:textId="77777777" w:rsidR="00443979" w:rsidRPr="001872A3" w:rsidRDefault="00443979" w:rsidP="00F948D1">
      <w:pPr>
        <w:ind w:firstLine="0"/>
        <w:rPr>
          <w:lang w:val="es-GT"/>
        </w:rPr>
      </w:pPr>
    </w:p>
    <w:p w14:paraId="62C1E464" w14:textId="77777777" w:rsidR="00443979" w:rsidRPr="001872A3" w:rsidRDefault="00443979" w:rsidP="00F948D1">
      <w:pPr>
        <w:ind w:firstLine="0"/>
        <w:rPr>
          <w:lang w:val="es-GT"/>
        </w:rPr>
      </w:pPr>
    </w:p>
    <w:p w14:paraId="4363B7E2" w14:textId="77777777" w:rsidR="00443979" w:rsidRPr="001872A3" w:rsidRDefault="00443979" w:rsidP="00F948D1">
      <w:pPr>
        <w:ind w:firstLine="0"/>
        <w:rPr>
          <w:lang w:val="es-GT"/>
        </w:rPr>
      </w:pPr>
    </w:p>
    <w:p w14:paraId="639224A1" w14:textId="77777777" w:rsidR="00443979" w:rsidRPr="001872A3" w:rsidRDefault="00443979" w:rsidP="00F948D1">
      <w:pPr>
        <w:ind w:firstLine="0"/>
        <w:rPr>
          <w:lang w:val="es-GT"/>
        </w:rPr>
      </w:pPr>
    </w:p>
    <w:p w14:paraId="789411EC" w14:textId="77777777" w:rsidR="00443979" w:rsidRPr="001872A3" w:rsidRDefault="00443979" w:rsidP="00F948D1">
      <w:pPr>
        <w:ind w:firstLine="0"/>
        <w:rPr>
          <w:lang w:val="es-GT"/>
        </w:rPr>
      </w:pPr>
    </w:p>
    <w:p w14:paraId="638077FA" w14:textId="77777777" w:rsidR="00443979" w:rsidRPr="001872A3" w:rsidRDefault="00443979" w:rsidP="00F948D1">
      <w:pPr>
        <w:ind w:firstLine="0"/>
        <w:rPr>
          <w:lang w:val="es-GT"/>
        </w:rPr>
      </w:pPr>
    </w:p>
    <w:p w14:paraId="5287ABBA" w14:textId="77777777" w:rsidR="00443979" w:rsidRPr="001872A3" w:rsidRDefault="00443979" w:rsidP="00F948D1">
      <w:pPr>
        <w:ind w:firstLine="0"/>
        <w:rPr>
          <w:lang w:val="es-GT"/>
        </w:rPr>
      </w:pPr>
    </w:p>
    <w:p w14:paraId="39D3ECB7" w14:textId="77777777" w:rsidR="00443979" w:rsidRPr="001872A3" w:rsidRDefault="00443979" w:rsidP="00F948D1">
      <w:pPr>
        <w:ind w:firstLine="0"/>
        <w:rPr>
          <w:lang w:val="es-GT"/>
        </w:rPr>
      </w:pPr>
    </w:p>
    <w:p w14:paraId="122D02C6" w14:textId="77777777" w:rsidR="00443979" w:rsidRPr="001872A3" w:rsidRDefault="00443979" w:rsidP="00F948D1">
      <w:pPr>
        <w:ind w:firstLine="0"/>
        <w:rPr>
          <w:lang w:val="es-GT"/>
        </w:rPr>
      </w:pPr>
      <w:r w:rsidRPr="001872A3">
        <w:rPr>
          <w:lang w:val="es-GT"/>
        </w:rPr>
        <w:t xml:space="preserve">       </w:t>
      </w:r>
    </w:p>
    <w:tbl>
      <w:tblPr>
        <w:tblW w:w="0" w:type="auto"/>
        <w:tblLook w:val="04A0" w:firstRow="1" w:lastRow="0" w:firstColumn="1" w:lastColumn="0" w:noHBand="0" w:noVBand="1"/>
      </w:tblPr>
      <w:tblGrid>
        <w:gridCol w:w="3116"/>
        <w:gridCol w:w="3117"/>
        <w:gridCol w:w="3117"/>
      </w:tblGrid>
      <w:tr w:rsidR="00F60B50" w:rsidRPr="00C96E9C" w14:paraId="5E073DDB" w14:textId="77777777" w:rsidTr="00F60B50">
        <w:tc>
          <w:tcPr>
            <w:tcW w:w="3116" w:type="dxa"/>
            <w:shd w:val="clear" w:color="auto" w:fill="auto"/>
            <w:vAlign w:val="center"/>
          </w:tcPr>
          <w:p w14:paraId="63D014AF" w14:textId="3C5C56E6" w:rsidR="00F60B50" w:rsidRPr="00F60B50" w:rsidRDefault="00F60B50" w:rsidP="00F948D1">
            <w:pPr>
              <w:pStyle w:val="Figura"/>
            </w:pPr>
          </w:p>
        </w:tc>
        <w:tc>
          <w:tcPr>
            <w:tcW w:w="3117" w:type="dxa"/>
            <w:shd w:val="clear" w:color="auto" w:fill="auto"/>
            <w:vAlign w:val="center"/>
          </w:tcPr>
          <w:p w14:paraId="40B6649A" w14:textId="3D7E7C83" w:rsidR="00F60B50" w:rsidRPr="00C96E9C" w:rsidRDefault="00F60B50" w:rsidP="00F948D1">
            <w:pPr>
              <w:pStyle w:val="Figura"/>
            </w:pPr>
          </w:p>
        </w:tc>
        <w:tc>
          <w:tcPr>
            <w:tcW w:w="3117" w:type="dxa"/>
            <w:shd w:val="clear" w:color="auto" w:fill="auto"/>
            <w:vAlign w:val="center"/>
          </w:tcPr>
          <w:p w14:paraId="303E386B" w14:textId="154F6B0A" w:rsidR="00F60B50" w:rsidRPr="00C96E9C" w:rsidRDefault="00F60B50" w:rsidP="00F948D1">
            <w:pPr>
              <w:pStyle w:val="Figura"/>
            </w:pPr>
          </w:p>
        </w:tc>
      </w:tr>
    </w:tbl>
    <w:p w14:paraId="56DCE45B" w14:textId="77777777" w:rsidR="00443979" w:rsidRPr="001872A3" w:rsidRDefault="00443979" w:rsidP="00F948D1">
      <w:pPr>
        <w:ind w:firstLine="0"/>
        <w:rPr>
          <w:lang w:val="es-GT"/>
        </w:rPr>
      </w:pPr>
    </w:p>
    <w:p w14:paraId="7331632D" w14:textId="77777777" w:rsidR="00047098" w:rsidRDefault="00F4142B" w:rsidP="00F948D1">
      <w:pPr>
        <w:autoSpaceDN/>
        <w:spacing w:before="0" w:after="160" w:line="259" w:lineRule="auto"/>
        <w:ind w:firstLine="0"/>
        <w:jc w:val="left"/>
        <w:textAlignment w:val="auto"/>
        <w:rPr>
          <w:lang w:val="es-GT"/>
        </w:rPr>
        <w:sectPr w:rsidR="00047098" w:rsidSect="00047098">
          <w:headerReference w:type="default" r:id="rId8"/>
          <w:footerReference w:type="default" r:id="rId9"/>
          <w:pgSz w:w="12240" w:h="15840"/>
          <w:pgMar w:top="1440" w:right="1440" w:bottom="1440" w:left="1440" w:header="720" w:footer="720" w:gutter="0"/>
          <w:pgNumType w:fmt="lowerRoman" w:start="1"/>
          <w:cols w:space="720"/>
          <w:docGrid w:linePitch="360"/>
        </w:sectPr>
      </w:pPr>
      <w:r>
        <w:rPr>
          <w:lang w:val="es-GT"/>
        </w:rPr>
        <w:br w:type="page"/>
      </w:r>
    </w:p>
    <w:p w14:paraId="48B6B9AC" w14:textId="64A4678B" w:rsidR="00F4142B" w:rsidRPr="00C96E9C" w:rsidRDefault="00F4142B" w:rsidP="00F948D1">
      <w:pPr>
        <w:pStyle w:val="Title"/>
      </w:pPr>
      <w:bookmarkStart w:id="1" w:name="_Hlk529372330"/>
      <w:bookmarkEnd w:id="1"/>
      <w:r w:rsidRPr="00C96E9C">
        <w:lastRenderedPageBreak/>
        <w:t>Prefacio</w:t>
      </w:r>
    </w:p>
    <w:p w14:paraId="24FDCCEF" w14:textId="23116C8E" w:rsidR="00F4142B" w:rsidRPr="002645D2" w:rsidRDefault="0009297B" w:rsidP="00F948D1">
      <w:pPr>
        <w:ind w:firstLine="0"/>
      </w:pPr>
      <w:r w:rsidRPr="002645D2">
        <w:t xml:space="preserve">La política de Sostenibilidad, Transición y Cofinanciamiento del Fondo Mundial (FM) recomienda a todos los países </w:t>
      </w:r>
      <w:r w:rsidR="00881B27" w:rsidRPr="002645D2">
        <w:t xml:space="preserve">apoyados por esa organización </w:t>
      </w:r>
      <w:r w:rsidRPr="002645D2">
        <w:t>que incluyan la planificación de la sostenibilidad en el diseño de sus programas y subvenciones.</w:t>
      </w:r>
      <w:r w:rsidR="00F4142B" w:rsidRPr="002645D2">
        <w:t xml:space="preserve"> En el contexto de</w:t>
      </w:r>
      <w:r w:rsidR="00881B27" w:rsidRPr="002645D2">
        <w:t xml:space="preserve"> la asistencia</w:t>
      </w:r>
      <w:r w:rsidR="00F4142B" w:rsidRPr="002645D2">
        <w:t xml:space="preserve"> que le brinda a</w:t>
      </w:r>
      <w:r w:rsidRPr="002645D2">
        <w:t xml:space="preserve"> </w:t>
      </w:r>
      <w:r w:rsidR="00763D9C">
        <w:t>Honduras</w:t>
      </w:r>
      <w:r w:rsidRPr="002645D2">
        <w:t xml:space="preserve"> </w:t>
      </w:r>
      <w:r w:rsidR="00F4142B" w:rsidRPr="002645D2">
        <w:t xml:space="preserve">en su respuesta al VIH/sida, el FM encargó a los consultores de las empresas </w:t>
      </w:r>
      <w:r w:rsidR="00F4142B" w:rsidRPr="002645D2">
        <w:rPr>
          <w:i/>
          <w:lang w:val="es-ES"/>
        </w:rPr>
        <w:t xml:space="preserve">Pharos Global </w:t>
      </w:r>
      <w:proofErr w:type="spellStart"/>
      <w:r w:rsidR="00F4142B" w:rsidRPr="002645D2">
        <w:rPr>
          <w:i/>
          <w:lang w:val="es-ES"/>
        </w:rPr>
        <w:t>Health</w:t>
      </w:r>
      <w:proofErr w:type="spellEnd"/>
      <w:r w:rsidR="00F4142B" w:rsidRPr="002645D2">
        <w:rPr>
          <w:i/>
          <w:lang w:val="es-ES"/>
        </w:rPr>
        <w:t xml:space="preserve"> </w:t>
      </w:r>
      <w:proofErr w:type="spellStart"/>
      <w:r w:rsidR="00F4142B" w:rsidRPr="002645D2">
        <w:rPr>
          <w:i/>
          <w:lang w:val="es-ES"/>
        </w:rPr>
        <w:t>Advisors</w:t>
      </w:r>
      <w:proofErr w:type="spellEnd"/>
      <w:r w:rsidR="00F4142B" w:rsidRPr="002645D2">
        <w:t xml:space="preserve"> y </w:t>
      </w:r>
      <w:proofErr w:type="spellStart"/>
      <w:r w:rsidR="00F4142B" w:rsidRPr="002645D2">
        <w:rPr>
          <w:i/>
        </w:rPr>
        <w:t>Bitrán</w:t>
      </w:r>
      <w:proofErr w:type="spellEnd"/>
      <w:r w:rsidR="00F4142B" w:rsidRPr="002645D2">
        <w:rPr>
          <w:i/>
        </w:rPr>
        <w:t xml:space="preserve"> y Asociados</w:t>
      </w:r>
      <w:r w:rsidR="00DD1AEE">
        <w:rPr>
          <w:i/>
        </w:rPr>
        <w:t xml:space="preserve">, </w:t>
      </w:r>
      <w:r w:rsidR="00DD1AEE">
        <w:t xml:space="preserve">en asociación con </w:t>
      </w:r>
      <w:r w:rsidR="00DD1AEE" w:rsidRPr="00DD1AEE">
        <w:rPr>
          <w:i/>
        </w:rPr>
        <w:t>APMG</w:t>
      </w:r>
      <w:r w:rsidR="00DD1AEE">
        <w:rPr>
          <w:i/>
        </w:rPr>
        <w:t xml:space="preserve"> </w:t>
      </w:r>
      <w:proofErr w:type="spellStart"/>
      <w:r w:rsidR="00DD1AEE">
        <w:rPr>
          <w:i/>
        </w:rPr>
        <w:t>Health</w:t>
      </w:r>
      <w:proofErr w:type="spellEnd"/>
      <w:r w:rsidR="00DD1AEE">
        <w:t>,</w:t>
      </w:r>
      <w:r w:rsidR="00F4142B" w:rsidRPr="002645D2">
        <w:t xml:space="preserve"> </w:t>
      </w:r>
      <w:r w:rsidR="009E0CEE" w:rsidRPr="002645D2">
        <w:t xml:space="preserve">facilitar la </w:t>
      </w:r>
      <w:proofErr w:type="spellStart"/>
      <w:r w:rsidR="009E0CEE" w:rsidRPr="002645D2">
        <w:t>elaboraci</w:t>
      </w:r>
      <w:r w:rsidR="009E0CEE" w:rsidRPr="002645D2">
        <w:rPr>
          <w:lang w:val="es-MX"/>
        </w:rPr>
        <w:t>ón</w:t>
      </w:r>
      <w:proofErr w:type="spellEnd"/>
      <w:r w:rsidR="009E0CEE" w:rsidRPr="002645D2">
        <w:rPr>
          <w:lang w:val="es-MX"/>
        </w:rPr>
        <w:t xml:space="preserve"> de </w:t>
      </w:r>
      <w:r w:rsidR="009E0CEE" w:rsidRPr="002645D2">
        <w:t xml:space="preserve">la Estrategia Nacional de </w:t>
      </w:r>
      <w:r w:rsidR="00E77184">
        <w:t xml:space="preserve">la </w:t>
      </w:r>
      <w:r w:rsidR="009E0CEE" w:rsidRPr="002645D2">
        <w:t>Sostenibilidad de la Respuesta Nacional al VIH</w:t>
      </w:r>
      <w:r w:rsidR="00D20FE5">
        <w:t>/sida</w:t>
      </w:r>
      <w:r w:rsidR="009E0CEE" w:rsidRPr="002645D2">
        <w:t xml:space="preserve"> y a la </w:t>
      </w:r>
      <w:r w:rsidR="00D20FE5">
        <w:t>Tuberculosis (TB)</w:t>
      </w:r>
      <w:r w:rsidR="009E0CEE" w:rsidRPr="002645D2">
        <w:t>, la cual comprende</w:t>
      </w:r>
      <w:r w:rsidR="00F4142B" w:rsidRPr="002645D2">
        <w:t xml:space="preserve"> dos productos: (1) </w:t>
      </w:r>
      <w:bookmarkStart w:id="2" w:name="_Hlk536799131"/>
      <w:r w:rsidR="009D7223" w:rsidRPr="002645D2">
        <w:t>Un análisis de riesgos a la sostenibilidad (APS)</w:t>
      </w:r>
      <w:r w:rsidR="00F4142B" w:rsidRPr="002645D2">
        <w:t xml:space="preserve"> </w:t>
      </w:r>
      <w:bookmarkEnd w:id="2"/>
      <w:r w:rsidR="00F4142B" w:rsidRPr="002645D2">
        <w:t xml:space="preserve">y (2) </w:t>
      </w:r>
      <w:r w:rsidR="009E0CEE" w:rsidRPr="002645D2">
        <w:t>La</w:t>
      </w:r>
      <w:r w:rsidR="00F4142B" w:rsidRPr="002645D2">
        <w:t xml:space="preserve"> Ruta Crítica del Plan de Trabajo para la </w:t>
      </w:r>
      <w:r w:rsidR="00881B27" w:rsidRPr="002645D2">
        <w:t>Sostenibilidad</w:t>
      </w:r>
      <w:r w:rsidR="00F4142B" w:rsidRPr="002645D2">
        <w:t xml:space="preserve"> (PT</w:t>
      </w:r>
      <w:r w:rsidR="00881B27" w:rsidRPr="002645D2">
        <w:t>S</w:t>
      </w:r>
      <w:r w:rsidR="00F4142B" w:rsidRPr="002645D2">
        <w:t xml:space="preserve">).  </w:t>
      </w:r>
      <w:r w:rsidR="00BC7A9C" w:rsidRPr="002645D2">
        <w:t>El produ</w:t>
      </w:r>
      <w:r w:rsidR="00F4142B" w:rsidRPr="002645D2">
        <w:t xml:space="preserve">cto (1), identifica y propone soluciones a los mayores problemas que enfrenta el país y que ponen en riesgo su </w:t>
      </w:r>
      <w:r w:rsidR="00881B27" w:rsidRPr="002645D2">
        <w:t>sostenibilidad</w:t>
      </w:r>
      <w:r w:rsidR="00F4142B" w:rsidRPr="002645D2">
        <w:t xml:space="preserve"> en el ámbito del VIH/sida.</w:t>
      </w:r>
      <w:r w:rsidR="00D14104" w:rsidRPr="002645D2">
        <w:rPr>
          <w:rStyle w:val="FootnoteReference"/>
        </w:rPr>
        <w:footnoteReference w:id="1"/>
      </w:r>
      <w:r w:rsidR="00F4142B" w:rsidRPr="002645D2">
        <w:t xml:space="preserve"> Los principales hallazgos de ese informe son resumidos en este segundo documento, que corresponde al producto (2). Est</w:t>
      </w:r>
      <w:r w:rsidR="00A02233" w:rsidRPr="002645D2">
        <w:t>e sintetiza l</w:t>
      </w:r>
      <w:r w:rsidR="00F4142B" w:rsidRPr="002645D2">
        <w:t>a</w:t>
      </w:r>
      <w:r w:rsidR="00915FE6" w:rsidRPr="002645D2">
        <w:t>s estrategias recomendadas para</w:t>
      </w:r>
      <w:r w:rsidR="00F4142B" w:rsidRPr="002645D2">
        <w:t xml:space="preserve"> </w:t>
      </w:r>
      <w:r w:rsidR="00915FE6" w:rsidRPr="002645D2">
        <w:t>la</w:t>
      </w:r>
      <w:r w:rsidR="00F4142B" w:rsidRPr="002645D2">
        <w:t xml:space="preserve"> </w:t>
      </w:r>
      <w:r w:rsidR="00881B27" w:rsidRPr="002645D2">
        <w:t>sostenibilidad</w:t>
      </w:r>
      <w:r w:rsidR="00F4142B" w:rsidRPr="002645D2">
        <w:t xml:space="preserve"> y un plan de acción para que en los próximos años el país </w:t>
      </w:r>
      <w:r w:rsidR="00182762">
        <w:t>cuente</w:t>
      </w:r>
      <w:r w:rsidR="00D636AB" w:rsidRPr="002645D2">
        <w:t xml:space="preserve"> con la capacidad para controlar la epid</w:t>
      </w:r>
      <w:r w:rsidR="009E0CEE" w:rsidRPr="002645D2">
        <w:t>e</w:t>
      </w:r>
      <w:r w:rsidR="00D636AB" w:rsidRPr="002645D2">
        <w:t>mi</w:t>
      </w:r>
      <w:r w:rsidR="009E0CEE" w:rsidRPr="002645D2">
        <w:t>a</w:t>
      </w:r>
      <w:r w:rsidR="00D636AB" w:rsidRPr="002645D2">
        <w:t xml:space="preserve"> del VIH</w:t>
      </w:r>
      <w:r w:rsidR="009E0CEE" w:rsidRPr="002645D2">
        <w:t xml:space="preserve"> y TB</w:t>
      </w:r>
      <w:r w:rsidR="00D636AB" w:rsidRPr="002645D2">
        <w:t>, independientemente del nivel de financiamiento externo disponible</w:t>
      </w:r>
      <w:r w:rsidR="00F4142B" w:rsidRPr="002645D2">
        <w:t xml:space="preserve">. </w:t>
      </w:r>
    </w:p>
    <w:p w14:paraId="23D12783" w14:textId="3B82E8EF" w:rsidR="00E31C9D" w:rsidRDefault="00E31C9D" w:rsidP="00F948D1">
      <w:pPr>
        <w:ind w:firstLine="0"/>
      </w:pPr>
    </w:p>
    <w:p w14:paraId="29E5A322" w14:textId="77777777" w:rsidR="00F60B50" w:rsidRPr="00C96E9C" w:rsidRDefault="00F60B50" w:rsidP="00F948D1">
      <w:pPr>
        <w:pStyle w:val="Title"/>
      </w:pPr>
      <w:r>
        <w:br w:type="page"/>
      </w:r>
      <w:r w:rsidRPr="00C96E9C">
        <w:lastRenderedPageBreak/>
        <w:t>Agradecimientos</w:t>
      </w:r>
    </w:p>
    <w:p w14:paraId="69B02152" w14:textId="3A2CD716" w:rsidR="003B3915" w:rsidRPr="001E7945" w:rsidRDefault="003B3915" w:rsidP="00F948D1">
      <w:pPr>
        <w:ind w:firstLine="0"/>
      </w:pPr>
      <w:bookmarkStart w:id="3" w:name="_Hlk105361"/>
      <w:r w:rsidRPr="001E7945">
        <w:t xml:space="preserve">Esta estrategia de país ha sido preparada por un equipo técnico de las empresas consultoras </w:t>
      </w:r>
      <w:r w:rsidRPr="001E7945">
        <w:rPr>
          <w:i/>
        </w:rPr>
        <w:t xml:space="preserve">Pharos </w:t>
      </w:r>
      <w:r w:rsidRPr="001E7945">
        <w:rPr>
          <w:i/>
          <w:lang w:val="es-ES"/>
        </w:rPr>
        <w:t xml:space="preserve">Global </w:t>
      </w:r>
      <w:proofErr w:type="spellStart"/>
      <w:r w:rsidRPr="001E7945">
        <w:rPr>
          <w:i/>
          <w:lang w:val="es-ES"/>
        </w:rPr>
        <w:t>Health</w:t>
      </w:r>
      <w:proofErr w:type="spellEnd"/>
      <w:r w:rsidRPr="001E7945">
        <w:rPr>
          <w:i/>
          <w:lang w:val="es-ES"/>
        </w:rPr>
        <w:t xml:space="preserve"> </w:t>
      </w:r>
      <w:proofErr w:type="spellStart"/>
      <w:r w:rsidRPr="001E7945">
        <w:rPr>
          <w:i/>
          <w:lang w:val="es-ES"/>
        </w:rPr>
        <w:t>Advisors</w:t>
      </w:r>
      <w:proofErr w:type="spellEnd"/>
      <w:r w:rsidRPr="001E7945">
        <w:t xml:space="preserve"> (Pharos) y </w:t>
      </w:r>
      <w:proofErr w:type="spellStart"/>
      <w:r w:rsidRPr="00C41040">
        <w:rPr>
          <w:i/>
        </w:rPr>
        <w:t>Bitrán</w:t>
      </w:r>
      <w:proofErr w:type="spellEnd"/>
      <w:r w:rsidRPr="00C41040">
        <w:rPr>
          <w:i/>
        </w:rPr>
        <w:t xml:space="preserve"> y Asociados</w:t>
      </w:r>
      <w:r w:rsidRPr="001E7945">
        <w:t xml:space="preserve"> (</w:t>
      </w:r>
      <w:proofErr w:type="spellStart"/>
      <w:r w:rsidRPr="001E7945">
        <w:t>ByA</w:t>
      </w:r>
      <w:proofErr w:type="spellEnd"/>
      <w:r w:rsidRPr="001E7945">
        <w:t xml:space="preserve">), con el apoyo financiero del Fondo Mundial (FM) a través de la Iniciativa Estratégica de Sostenibilidad, Transición y Eficiencia. El equipo consultor estuvo conformado por </w:t>
      </w:r>
      <w:r w:rsidR="000C1223" w:rsidRPr="001E7945">
        <w:t xml:space="preserve">Robert </w:t>
      </w:r>
      <w:proofErr w:type="spellStart"/>
      <w:r w:rsidR="000C1223" w:rsidRPr="001E7945">
        <w:t>Hecht</w:t>
      </w:r>
      <w:proofErr w:type="spellEnd"/>
      <w:r w:rsidR="000C1223" w:rsidRPr="001E7945">
        <w:t>, Hernán Fuenzalida</w:t>
      </w:r>
      <w:r w:rsidR="00806834">
        <w:t xml:space="preserve"> (Consultor de APMG</w:t>
      </w:r>
      <w:r w:rsidR="00F4749F">
        <w:t xml:space="preserve"> </w:t>
      </w:r>
      <w:proofErr w:type="spellStart"/>
      <w:r w:rsidR="00F4749F">
        <w:t>Health</w:t>
      </w:r>
      <w:proofErr w:type="spellEnd"/>
      <w:r w:rsidR="00806834">
        <w:t>)</w:t>
      </w:r>
      <w:r w:rsidR="000C1223" w:rsidRPr="001E7945">
        <w:t xml:space="preserve">, Claudia Valdez, Karla Zepeda (consultora local), Hannah </w:t>
      </w:r>
      <w:proofErr w:type="spellStart"/>
      <w:r w:rsidR="000C1223" w:rsidRPr="001E7945">
        <w:t>Rees</w:t>
      </w:r>
      <w:proofErr w:type="spellEnd"/>
      <w:r w:rsidR="000C1223" w:rsidRPr="001E7945">
        <w:t xml:space="preserve"> y Diana Gonzalez</w:t>
      </w:r>
      <w:r w:rsidRPr="001E7945">
        <w:t>.</w:t>
      </w:r>
      <w:r w:rsidR="000C1223" w:rsidRPr="001E7945">
        <w:rPr>
          <w:rStyle w:val="FootnoteReference"/>
          <w:rFonts w:ascii="Arial" w:hAnsi="Arial" w:cs="Arial"/>
          <w:lang w:val="es-MX"/>
        </w:rPr>
        <w:footnoteReference w:id="2"/>
      </w:r>
      <w:r w:rsidRPr="001E7945">
        <w:t xml:space="preserve"> Estos autores agradecen a </w:t>
      </w:r>
      <w:r w:rsidR="000C1223" w:rsidRPr="001E7945">
        <w:t>Paul Bonilla</w:t>
      </w:r>
      <w:r w:rsidRPr="001E7945">
        <w:t xml:space="preserve"> y </w:t>
      </w:r>
      <w:proofErr w:type="spellStart"/>
      <w:r w:rsidR="000C1223" w:rsidRPr="001E7945">
        <w:t>Delphine</w:t>
      </w:r>
      <w:proofErr w:type="spellEnd"/>
      <w:r w:rsidR="000C1223" w:rsidRPr="001E7945">
        <w:t xml:space="preserve"> de Quina</w:t>
      </w:r>
      <w:r w:rsidR="001E7945" w:rsidRPr="001E7945">
        <w:t xml:space="preserve"> </w:t>
      </w:r>
      <w:r w:rsidRPr="001E7945">
        <w:t>de</w:t>
      </w:r>
      <w:r w:rsidR="001E7945" w:rsidRPr="001E7945">
        <w:t>l</w:t>
      </w:r>
      <w:r w:rsidRPr="001E7945">
        <w:t xml:space="preserve"> FM, por su orientación</w:t>
      </w:r>
      <w:r w:rsidR="00D14104" w:rsidRPr="001E7945">
        <w:t xml:space="preserve"> y</w:t>
      </w:r>
      <w:r w:rsidRPr="001E7945">
        <w:t xml:space="preserve"> </w:t>
      </w:r>
      <w:r w:rsidR="001E7945" w:rsidRPr="001E7945">
        <w:t>valiosos comentarios técnicos</w:t>
      </w:r>
      <w:r w:rsidRPr="001E7945">
        <w:t xml:space="preserve"> en la preparación de este documento.</w:t>
      </w:r>
    </w:p>
    <w:p w14:paraId="2F9E8909" w14:textId="3207B91F" w:rsidR="000C1223" w:rsidRDefault="003B3915" w:rsidP="00F948D1">
      <w:pPr>
        <w:ind w:firstLine="0"/>
      </w:pPr>
      <w:r w:rsidRPr="00F121F0">
        <w:t xml:space="preserve">De igual manera, </w:t>
      </w:r>
      <w:r w:rsidR="001E7945" w:rsidRPr="00F121F0">
        <w:t xml:space="preserve">se </w:t>
      </w:r>
      <w:r w:rsidRPr="00F121F0">
        <w:t>agradec</w:t>
      </w:r>
      <w:r w:rsidR="001E7945" w:rsidRPr="00F121F0">
        <w:t>e</w:t>
      </w:r>
      <w:r w:rsidRPr="00F121F0">
        <w:t xml:space="preserve"> a los funcionarios y colegas de las organizaciones nacionales e internacionales que participaron en reuniones como informantes respecto de la situación actual de la respuesta nacional al VIH/sida</w:t>
      </w:r>
      <w:r w:rsidR="001E7945" w:rsidRPr="00F121F0">
        <w:t xml:space="preserve"> y</w:t>
      </w:r>
      <w:r w:rsidR="00ED737B">
        <w:t xml:space="preserve"> a la</w:t>
      </w:r>
      <w:r w:rsidR="001E7945" w:rsidRPr="00F121F0">
        <w:t xml:space="preserve"> T</w:t>
      </w:r>
      <w:r w:rsidR="00D20FE5">
        <w:t>u</w:t>
      </w:r>
      <w:r w:rsidR="00ED737B">
        <w:t>berculosis</w:t>
      </w:r>
      <w:r w:rsidR="001E7945" w:rsidRPr="00F121F0">
        <w:t xml:space="preserve">, en particular </w:t>
      </w:r>
      <w:r w:rsidR="00BB7B10" w:rsidRPr="00F121F0">
        <w:t xml:space="preserve">a </w:t>
      </w:r>
      <w:r w:rsidR="00320BB4">
        <w:t xml:space="preserve">la Lic. Zoila Cruz, </w:t>
      </w:r>
      <w:r w:rsidR="00320BB4" w:rsidRPr="00320BB4">
        <w:t>Coordinadora General de Gobierno Adjunta en el Gabinete Social</w:t>
      </w:r>
      <w:r w:rsidR="00320BB4">
        <w:t>,</w:t>
      </w:r>
      <w:r w:rsidR="00AB43D3">
        <w:t xml:space="preserve"> </w:t>
      </w:r>
      <w:r w:rsidR="00AB43D3" w:rsidRPr="00F121F0">
        <w:t>la Dra. Elvia Ardón</w:t>
      </w:r>
      <w:r w:rsidR="00AB43D3">
        <w:t>,</w:t>
      </w:r>
      <w:r w:rsidR="00AB43D3" w:rsidRPr="00F121F0">
        <w:t xml:space="preserve"> líder del Mecanismo Coordinador de País y CONASIDA técnico, la Dra. Norma Artiles</w:t>
      </w:r>
      <w:r w:rsidR="00AB43D3">
        <w:t>,</w:t>
      </w:r>
      <w:r w:rsidR="00AB43D3" w:rsidRPr="00F121F0">
        <w:t xml:space="preserve"> punto focal </w:t>
      </w:r>
      <w:r w:rsidR="00AB43D3">
        <w:t>en</w:t>
      </w:r>
      <w:r w:rsidR="00AB43D3" w:rsidRPr="00F121F0">
        <w:t xml:space="preserve"> TB, </w:t>
      </w:r>
      <w:r w:rsidR="00AB43D3">
        <w:t xml:space="preserve">la </w:t>
      </w:r>
      <w:r w:rsidR="00AB43D3" w:rsidRPr="00F121F0">
        <w:t>Dra. Sandra Lorenzana</w:t>
      </w:r>
      <w:r w:rsidR="00AB43D3">
        <w:t>, punto focal en VIH</w:t>
      </w:r>
      <w:r w:rsidR="00AB43D3" w:rsidRPr="00F121F0">
        <w:t>,</w:t>
      </w:r>
      <w:r w:rsidR="00F121F0" w:rsidRPr="00F121F0">
        <w:t xml:space="preserve"> la </w:t>
      </w:r>
      <w:proofErr w:type="spellStart"/>
      <w:r w:rsidR="00ED737B">
        <w:t>MSc</w:t>
      </w:r>
      <w:proofErr w:type="spellEnd"/>
      <w:r w:rsidR="00BB7B10" w:rsidRPr="00F121F0">
        <w:t>. Piedad Huerta</w:t>
      </w:r>
      <w:r w:rsidR="00ED737B">
        <w:t>, Representante de</w:t>
      </w:r>
      <w:r w:rsidR="00BB7B10" w:rsidRPr="00F121F0">
        <w:t xml:space="preserve"> la OPS</w:t>
      </w:r>
      <w:r w:rsidR="00ED737B">
        <w:t>/OMS en Honduras</w:t>
      </w:r>
      <w:r w:rsidR="00920DBC">
        <w:t>,</w:t>
      </w:r>
      <w:r w:rsidR="00BB7B10" w:rsidRPr="00F121F0">
        <w:t xml:space="preserve"> y </w:t>
      </w:r>
      <w:r w:rsidR="00920DBC">
        <w:t>a</w:t>
      </w:r>
      <w:r w:rsidR="001E7945" w:rsidRPr="00F121F0">
        <w:t xml:space="preserve">l equipo de PEPFAR-USAID (Lic. </w:t>
      </w:r>
      <w:proofErr w:type="spellStart"/>
      <w:r w:rsidR="001E7945" w:rsidRPr="00F121F0">
        <w:t>Nassim</w:t>
      </w:r>
      <w:proofErr w:type="spellEnd"/>
      <w:r w:rsidR="001E7945" w:rsidRPr="00F121F0">
        <w:t xml:space="preserve"> </w:t>
      </w:r>
      <w:proofErr w:type="spellStart"/>
      <w:r w:rsidR="001E7945" w:rsidRPr="00F121F0">
        <w:t>Farach</w:t>
      </w:r>
      <w:proofErr w:type="spellEnd"/>
      <w:r w:rsidR="001E7945" w:rsidRPr="00F121F0">
        <w:t xml:space="preserve"> y al Lic. Daniel </w:t>
      </w:r>
      <w:proofErr w:type="spellStart"/>
      <w:r w:rsidR="001E7945" w:rsidRPr="00F121F0">
        <w:t>Muralles</w:t>
      </w:r>
      <w:proofErr w:type="spellEnd"/>
      <w:r w:rsidR="001E7945" w:rsidRPr="00F121F0">
        <w:t>)</w:t>
      </w:r>
      <w:r w:rsidR="00BB7B10" w:rsidRPr="00F121F0">
        <w:t>.</w:t>
      </w:r>
    </w:p>
    <w:p w14:paraId="412F74AB" w14:textId="5D3277B8" w:rsidR="00F56598" w:rsidRDefault="000C1223" w:rsidP="002915AC">
      <w:pPr>
        <w:ind w:firstLine="0"/>
      </w:pPr>
      <w:r w:rsidRPr="002915AC">
        <w:t>Finalmente, agradecemos a</w:t>
      </w:r>
      <w:r w:rsidR="00BB7B10" w:rsidRPr="002915AC">
        <w:t xml:space="preserve"> la Dra.</w:t>
      </w:r>
      <w:r w:rsidRPr="002915AC">
        <w:t xml:space="preserve"> Cinthia Valladares</w:t>
      </w:r>
      <w:r w:rsidR="00F121F0" w:rsidRPr="002915AC">
        <w:t xml:space="preserve">, </w:t>
      </w:r>
      <w:r w:rsidRPr="002915AC">
        <w:t>al Dr. Eduardo Retes</w:t>
      </w:r>
      <w:r w:rsidR="00F121F0" w:rsidRPr="002915AC">
        <w:t xml:space="preserve"> (Plan Internacional-USAID)</w:t>
      </w:r>
      <w:r w:rsidRPr="002915AC">
        <w:t xml:space="preserve"> y a los Receptores Principales del FM (Global </w:t>
      </w:r>
      <w:proofErr w:type="spellStart"/>
      <w:r w:rsidRPr="002915AC">
        <w:t>Communities</w:t>
      </w:r>
      <w:proofErr w:type="spellEnd"/>
      <w:r w:rsidRPr="002915AC">
        <w:t xml:space="preserve"> y</w:t>
      </w:r>
      <w:r w:rsidR="00062033">
        <w:t xml:space="preserve"> la</w:t>
      </w:r>
      <w:r w:rsidRPr="002915AC">
        <w:t xml:space="preserve"> U</w:t>
      </w:r>
      <w:r w:rsidR="00CA7604">
        <w:t>nidad Administradora de Fondos de Cooperación Externos</w:t>
      </w:r>
      <w:r w:rsidRPr="002915AC">
        <w:t xml:space="preserve">) por su valioso apoyo logístico sin el cual hubiera sido imposible la organización de numerosas entrevistas y talleres. </w:t>
      </w:r>
    </w:p>
    <w:p w14:paraId="553BA2D3" w14:textId="41201089" w:rsidR="00F4142B" w:rsidRPr="00F56598" w:rsidRDefault="000C1223" w:rsidP="00F948D1">
      <w:pPr>
        <w:ind w:firstLine="0"/>
      </w:pPr>
      <w:r w:rsidRPr="002915AC">
        <w:t>Gracias a</w:t>
      </w:r>
      <w:r w:rsidR="002915AC" w:rsidRPr="002915AC">
        <w:t xml:space="preserve"> la amplia apertura y participación multisectorial,</w:t>
      </w:r>
      <w:r w:rsidRPr="002915AC">
        <w:t xml:space="preserve"> Honduras contará con una Estrategia que refleja la visión del país</w:t>
      </w:r>
      <w:r w:rsidR="003E099F">
        <w:t xml:space="preserve"> y acciones concretas para encaminar el trabajo hacia la sostenibilidad</w:t>
      </w:r>
      <w:r w:rsidRPr="002915AC">
        <w:t>. Para el listado completo de participantes en las entrevistas iniciales y en las jornadas consultivas por favor referirse al Anexo 1.</w:t>
      </w:r>
      <w:bookmarkEnd w:id="3"/>
    </w:p>
    <w:p w14:paraId="6BE26C44" w14:textId="77777777" w:rsidR="00443979" w:rsidRPr="001872A3" w:rsidRDefault="00443979" w:rsidP="00F948D1">
      <w:pPr>
        <w:ind w:firstLine="0"/>
        <w:rPr>
          <w:lang w:val="es-GT"/>
        </w:rPr>
      </w:pPr>
    </w:p>
    <w:p w14:paraId="686050F4" w14:textId="77777777" w:rsidR="00443979" w:rsidRPr="001872A3" w:rsidRDefault="00443979" w:rsidP="005515C6">
      <w:pPr>
        <w:pStyle w:val="Heading2"/>
        <w:ind w:left="90" w:firstLine="0"/>
        <w:sectPr w:rsidR="00443979" w:rsidRPr="001872A3" w:rsidSect="00047098">
          <w:pgSz w:w="12240" w:h="15840"/>
          <w:pgMar w:top="1440" w:right="1440" w:bottom="1440" w:left="1440" w:header="720" w:footer="720" w:gutter="0"/>
          <w:pgNumType w:fmt="lowerRoman" w:start="1"/>
          <w:cols w:space="720"/>
          <w:docGrid w:linePitch="360"/>
        </w:sectPr>
      </w:pPr>
    </w:p>
    <w:bookmarkStart w:id="4" w:name="_Toc134576" w:displacedByCustomXml="next"/>
    <w:sdt>
      <w:sdtPr>
        <w:rPr>
          <w:rFonts w:ascii="Times New Roman" w:eastAsiaTheme="minorHAnsi" w:hAnsi="Times New Roman" w:cs="Times New Roman"/>
          <w:b w:val="0"/>
          <w:color w:val="auto"/>
          <w:sz w:val="22"/>
          <w:szCs w:val="24"/>
          <w:lang w:val="es-GT" w:eastAsia="es-ES"/>
        </w:rPr>
        <w:id w:val="1258719610"/>
        <w:docPartObj>
          <w:docPartGallery w:val="Table of Contents"/>
          <w:docPartUnique/>
        </w:docPartObj>
      </w:sdtPr>
      <w:sdtEndPr>
        <w:rPr>
          <w:rFonts w:eastAsia="Times New Roman"/>
          <w:bCs/>
        </w:rPr>
      </w:sdtEndPr>
      <w:sdtContent>
        <w:bookmarkEnd w:id="4" w:displacedByCustomXml="prev"/>
        <w:p w14:paraId="520EA257" w14:textId="77777777" w:rsidR="000540A7" w:rsidRPr="008E7E88" w:rsidRDefault="005C7E91" w:rsidP="00F948D1">
          <w:pPr>
            <w:pStyle w:val="Title"/>
            <w:rPr>
              <w:rStyle w:val="TitleChar"/>
              <w:rFonts w:ascii="Times New Roman" w:hAnsi="Times New Roman" w:cs="Times New Roman"/>
              <w:b/>
            </w:rPr>
          </w:pPr>
          <w:r w:rsidRPr="008E7E88">
            <w:rPr>
              <w:rFonts w:ascii="Times New Roman" w:eastAsiaTheme="minorHAnsi" w:hAnsi="Times New Roman" w:cs="Times New Roman"/>
              <w:lang w:val="es-GT"/>
            </w:rPr>
            <w:t>Contenido</w:t>
          </w:r>
        </w:p>
        <w:p w14:paraId="4740A2C0" w14:textId="19050111" w:rsidR="00A22CB6" w:rsidRPr="008E7E88" w:rsidRDefault="000540A7">
          <w:pPr>
            <w:pStyle w:val="TOC1"/>
            <w:rPr>
              <w:rFonts w:ascii="Times New Roman" w:eastAsiaTheme="minorEastAsia" w:hAnsi="Times New Roman"/>
              <w:b w:val="0"/>
              <w:sz w:val="22"/>
              <w:szCs w:val="22"/>
              <w:lang w:val="en-US" w:eastAsia="en-US"/>
            </w:rPr>
          </w:pPr>
          <w:r w:rsidRPr="008E7E88">
            <w:rPr>
              <w:rFonts w:ascii="Times New Roman" w:hAnsi="Times New Roman"/>
              <w:lang w:val="es-GT"/>
            </w:rPr>
            <w:fldChar w:fldCharType="begin"/>
          </w:r>
          <w:r w:rsidRPr="008E7E88">
            <w:rPr>
              <w:rFonts w:ascii="Times New Roman" w:hAnsi="Times New Roman"/>
              <w:lang w:val="es-GT"/>
            </w:rPr>
            <w:instrText xml:space="preserve"> TOC \o "1-2" \h \z \u </w:instrText>
          </w:r>
          <w:r w:rsidRPr="008E7E88">
            <w:rPr>
              <w:rFonts w:ascii="Times New Roman" w:hAnsi="Times New Roman"/>
              <w:lang w:val="es-GT"/>
            </w:rPr>
            <w:fldChar w:fldCharType="separate"/>
          </w:r>
          <w:hyperlink w:anchor="_Toc8381154" w:history="1">
            <w:r w:rsidR="00A22CB6" w:rsidRPr="008E7E88">
              <w:rPr>
                <w:rStyle w:val="Hyperlink"/>
                <w:rFonts w:ascii="Times New Roman" w:hAnsi="Times New Roman"/>
              </w:rPr>
              <w:t>1.</w:t>
            </w:r>
            <w:r w:rsidR="00A22CB6" w:rsidRPr="008E7E88">
              <w:rPr>
                <w:rFonts w:ascii="Times New Roman" w:eastAsiaTheme="minorEastAsia" w:hAnsi="Times New Roman"/>
                <w:b w:val="0"/>
                <w:sz w:val="22"/>
                <w:szCs w:val="22"/>
                <w:lang w:val="en-US" w:eastAsia="en-US"/>
              </w:rPr>
              <w:tab/>
            </w:r>
            <w:r w:rsidR="00A22CB6" w:rsidRPr="008E7E88">
              <w:rPr>
                <w:rStyle w:val="Hyperlink"/>
                <w:rFonts w:ascii="Times New Roman" w:hAnsi="Times New Roman"/>
              </w:rPr>
              <w:t>Objetivos del Plan de Trabajo para la Sostenibilidad</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_Toc8381154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1</w:t>
            </w:r>
            <w:r w:rsidR="00A22CB6" w:rsidRPr="008E7E88">
              <w:rPr>
                <w:rFonts w:ascii="Times New Roman" w:hAnsi="Times New Roman"/>
                <w:webHidden/>
              </w:rPr>
              <w:fldChar w:fldCharType="end"/>
            </w:r>
          </w:hyperlink>
        </w:p>
        <w:p w14:paraId="15B07CAA" w14:textId="5F66F697" w:rsidR="00A22CB6" w:rsidRPr="008E7E88" w:rsidRDefault="004B64A9">
          <w:pPr>
            <w:pStyle w:val="TOC1"/>
            <w:rPr>
              <w:rFonts w:ascii="Times New Roman" w:eastAsiaTheme="minorEastAsia" w:hAnsi="Times New Roman"/>
              <w:b w:val="0"/>
              <w:sz w:val="22"/>
              <w:szCs w:val="22"/>
              <w:lang w:val="en-US" w:eastAsia="en-US"/>
            </w:rPr>
          </w:pPr>
          <w:hyperlink w:anchor="_Toc8381155" w:history="1">
            <w:r w:rsidR="00A22CB6" w:rsidRPr="008E7E88">
              <w:rPr>
                <w:rStyle w:val="Hyperlink"/>
                <w:rFonts w:ascii="Times New Roman" w:hAnsi="Times New Roman"/>
              </w:rPr>
              <w:t>2.</w:t>
            </w:r>
            <w:r w:rsidR="00A22CB6" w:rsidRPr="008E7E88">
              <w:rPr>
                <w:rFonts w:ascii="Times New Roman" w:eastAsiaTheme="minorEastAsia" w:hAnsi="Times New Roman"/>
                <w:b w:val="0"/>
                <w:sz w:val="22"/>
                <w:szCs w:val="22"/>
                <w:lang w:val="en-US" w:eastAsia="en-US"/>
              </w:rPr>
              <w:tab/>
            </w:r>
            <w:r w:rsidR="00A22CB6" w:rsidRPr="008E7E88">
              <w:rPr>
                <w:rStyle w:val="Hyperlink"/>
                <w:rFonts w:ascii="Times New Roman" w:hAnsi="Times New Roman"/>
              </w:rPr>
              <w:t>Metodología</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_Toc8381155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2</w:t>
            </w:r>
            <w:r w:rsidR="00A22CB6" w:rsidRPr="008E7E88">
              <w:rPr>
                <w:rFonts w:ascii="Times New Roman" w:hAnsi="Times New Roman"/>
                <w:webHidden/>
              </w:rPr>
              <w:fldChar w:fldCharType="end"/>
            </w:r>
          </w:hyperlink>
        </w:p>
        <w:p w14:paraId="2EAB423A" w14:textId="1C1480D8" w:rsidR="00A22CB6" w:rsidRPr="008E7E88" w:rsidRDefault="004B64A9">
          <w:pPr>
            <w:pStyle w:val="TOC1"/>
            <w:rPr>
              <w:rFonts w:ascii="Times New Roman" w:eastAsiaTheme="minorEastAsia" w:hAnsi="Times New Roman"/>
              <w:b w:val="0"/>
              <w:sz w:val="22"/>
              <w:szCs w:val="22"/>
              <w:lang w:val="en-US" w:eastAsia="en-US"/>
            </w:rPr>
          </w:pPr>
          <w:hyperlink w:anchor="_Toc8381156" w:history="1">
            <w:r w:rsidR="00A22CB6" w:rsidRPr="008E7E88">
              <w:rPr>
                <w:rStyle w:val="Hyperlink"/>
                <w:rFonts w:ascii="Times New Roman" w:hAnsi="Times New Roman"/>
              </w:rPr>
              <w:t>3.</w:t>
            </w:r>
            <w:r w:rsidR="00A22CB6" w:rsidRPr="008E7E88">
              <w:rPr>
                <w:rFonts w:ascii="Times New Roman" w:eastAsiaTheme="minorEastAsia" w:hAnsi="Times New Roman"/>
                <w:b w:val="0"/>
                <w:sz w:val="22"/>
                <w:szCs w:val="22"/>
                <w:lang w:val="en-US" w:eastAsia="en-US"/>
              </w:rPr>
              <w:tab/>
            </w:r>
            <w:r w:rsidR="00A22CB6" w:rsidRPr="008E7E88">
              <w:rPr>
                <w:rStyle w:val="Hyperlink"/>
                <w:rFonts w:ascii="Times New Roman" w:hAnsi="Times New Roman"/>
              </w:rPr>
              <w:t>Situación epidemiológica del VIH y TB en Honduras</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_Toc8381156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3</w:t>
            </w:r>
            <w:r w:rsidR="00A22CB6" w:rsidRPr="008E7E88">
              <w:rPr>
                <w:rFonts w:ascii="Times New Roman" w:hAnsi="Times New Roman"/>
                <w:webHidden/>
              </w:rPr>
              <w:fldChar w:fldCharType="end"/>
            </w:r>
          </w:hyperlink>
        </w:p>
        <w:p w14:paraId="7B1874F2" w14:textId="129BDC8F" w:rsidR="00A22CB6" w:rsidRPr="008E7E88" w:rsidRDefault="004B64A9">
          <w:pPr>
            <w:pStyle w:val="TOC1"/>
            <w:rPr>
              <w:rFonts w:ascii="Times New Roman" w:eastAsiaTheme="minorEastAsia" w:hAnsi="Times New Roman"/>
              <w:b w:val="0"/>
              <w:sz w:val="22"/>
              <w:szCs w:val="22"/>
              <w:lang w:val="en-US" w:eastAsia="en-US"/>
            </w:rPr>
          </w:pPr>
          <w:hyperlink w:anchor="_Toc8381157" w:history="1">
            <w:r w:rsidR="00A22CB6" w:rsidRPr="008E7E88">
              <w:rPr>
                <w:rStyle w:val="Hyperlink"/>
                <w:rFonts w:ascii="Times New Roman" w:hAnsi="Times New Roman"/>
              </w:rPr>
              <w:t>4.</w:t>
            </w:r>
            <w:r w:rsidR="00A22CB6" w:rsidRPr="008E7E88">
              <w:rPr>
                <w:rFonts w:ascii="Times New Roman" w:eastAsiaTheme="minorEastAsia" w:hAnsi="Times New Roman"/>
                <w:b w:val="0"/>
                <w:sz w:val="22"/>
                <w:szCs w:val="22"/>
                <w:lang w:val="en-US" w:eastAsia="en-US"/>
              </w:rPr>
              <w:tab/>
            </w:r>
            <w:r w:rsidR="00A22CB6" w:rsidRPr="008E7E88">
              <w:rPr>
                <w:rStyle w:val="Hyperlink"/>
                <w:rFonts w:ascii="Times New Roman" w:hAnsi="Times New Roman"/>
              </w:rPr>
              <w:t>Principales hallazgos en la elaboración de la Estrategia de Sostenibilidad (ES)</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_Toc8381157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6</w:t>
            </w:r>
            <w:r w:rsidR="00A22CB6" w:rsidRPr="008E7E88">
              <w:rPr>
                <w:rFonts w:ascii="Times New Roman" w:hAnsi="Times New Roman"/>
                <w:webHidden/>
              </w:rPr>
              <w:fldChar w:fldCharType="end"/>
            </w:r>
          </w:hyperlink>
        </w:p>
        <w:p w14:paraId="744B6BDC" w14:textId="6A9988F9" w:rsidR="00A22CB6" w:rsidRPr="008E7E88" w:rsidRDefault="004B64A9">
          <w:pPr>
            <w:pStyle w:val="TOC1"/>
            <w:rPr>
              <w:rFonts w:ascii="Times New Roman" w:eastAsiaTheme="minorEastAsia" w:hAnsi="Times New Roman"/>
              <w:b w:val="0"/>
              <w:sz w:val="22"/>
              <w:szCs w:val="22"/>
              <w:lang w:val="en-US" w:eastAsia="en-US"/>
            </w:rPr>
          </w:pPr>
          <w:hyperlink w:anchor="_Toc8381158" w:history="1">
            <w:r w:rsidR="00A22CB6" w:rsidRPr="008E7E88">
              <w:rPr>
                <w:rStyle w:val="Hyperlink"/>
                <w:rFonts w:ascii="Times New Roman" w:hAnsi="Times New Roman"/>
                <w:lang w:val="es-GT"/>
              </w:rPr>
              <w:t>5.</w:t>
            </w:r>
            <w:r w:rsidR="00A22CB6" w:rsidRPr="008E7E88">
              <w:rPr>
                <w:rFonts w:ascii="Times New Roman" w:eastAsiaTheme="minorEastAsia" w:hAnsi="Times New Roman"/>
                <w:b w:val="0"/>
                <w:sz w:val="22"/>
                <w:szCs w:val="22"/>
                <w:lang w:val="en-US" w:eastAsia="en-US"/>
              </w:rPr>
              <w:tab/>
            </w:r>
            <w:r w:rsidR="00A22CB6" w:rsidRPr="008E7E88">
              <w:rPr>
                <w:rStyle w:val="Hyperlink"/>
                <w:rFonts w:ascii="Times New Roman" w:hAnsi="Times New Roman"/>
                <w:lang w:val="es-GT"/>
              </w:rPr>
              <w:t>Principales recomendaciones en el Plan de Trabajo para la Sostenibilidad</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_Toc8381158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10</w:t>
            </w:r>
            <w:r w:rsidR="00A22CB6" w:rsidRPr="008E7E88">
              <w:rPr>
                <w:rFonts w:ascii="Times New Roman" w:hAnsi="Times New Roman"/>
                <w:webHidden/>
              </w:rPr>
              <w:fldChar w:fldCharType="end"/>
            </w:r>
          </w:hyperlink>
        </w:p>
        <w:p w14:paraId="0C75D22F" w14:textId="104B0AC2" w:rsidR="00A22CB6" w:rsidRPr="008E7E88" w:rsidRDefault="004B64A9">
          <w:pPr>
            <w:pStyle w:val="TOC2"/>
            <w:rPr>
              <w:rFonts w:ascii="Times New Roman" w:eastAsiaTheme="minorEastAsia" w:hAnsi="Times New Roman"/>
              <w:sz w:val="22"/>
              <w:szCs w:val="22"/>
              <w:lang w:val="en-US" w:eastAsia="en-US"/>
            </w:rPr>
          </w:pPr>
          <w:hyperlink w:anchor="_Toc8381159" w:history="1">
            <w:r w:rsidR="00A22CB6" w:rsidRPr="008E7E88">
              <w:rPr>
                <w:rStyle w:val="Hyperlink"/>
                <w:rFonts w:ascii="Times New Roman" w:hAnsi="Times New Roman"/>
              </w:rPr>
              <w:t>5.1.</w:t>
            </w:r>
            <w:r w:rsidR="00A22CB6" w:rsidRPr="008E7E88">
              <w:rPr>
                <w:rFonts w:ascii="Times New Roman" w:eastAsiaTheme="minorEastAsia" w:hAnsi="Times New Roman"/>
                <w:sz w:val="22"/>
                <w:szCs w:val="22"/>
                <w:lang w:val="en-US" w:eastAsia="en-US"/>
              </w:rPr>
              <w:tab/>
            </w:r>
            <w:r w:rsidR="00A22CB6" w:rsidRPr="008E7E88">
              <w:rPr>
                <w:rStyle w:val="Hyperlink"/>
                <w:rFonts w:ascii="Times New Roman" w:hAnsi="Times New Roman"/>
                <w:lang w:val="es-ES"/>
              </w:rPr>
              <w:t>Correspondencia</w:t>
            </w:r>
            <w:r w:rsidR="00A22CB6" w:rsidRPr="008E7E88">
              <w:rPr>
                <w:rStyle w:val="Hyperlink"/>
                <w:rFonts w:ascii="Times New Roman" w:hAnsi="Times New Roman"/>
              </w:rPr>
              <w:t xml:space="preserve"> entre riesgos de sostenibilidad y objetivos del PTS</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_Toc8381159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10</w:t>
            </w:r>
            <w:r w:rsidR="00A22CB6" w:rsidRPr="008E7E88">
              <w:rPr>
                <w:rFonts w:ascii="Times New Roman" w:hAnsi="Times New Roman"/>
                <w:webHidden/>
              </w:rPr>
              <w:fldChar w:fldCharType="end"/>
            </w:r>
          </w:hyperlink>
        </w:p>
        <w:p w14:paraId="1F0D00E9" w14:textId="05F0101D" w:rsidR="00A22CB6" w:rsidRPr="008E7E88" w:rsidRDefault="004B64A9">
          <w:pPr>
            <w:pStyle w:val="TOC2"/>
            <w:rPr>
              <w:rFonts w:ascii="Times New Roman" w:eastAsiaTheme="minorEastAsia" w:hAnsi="Times New Roman"/>
              <w:sz w:val="22"/>
              <w:szCs w:val="22"/>
              <w:lang w:val="en-US" w:eastAsia="en-US"/>
            </w:rPr>
          </w:pPr>
          <w:hyperlink w:anchor="_Toc8381160" w:history="1">
            <w:r w:rsidR="00A22CB6" w:rsidRPr="008E7E88">
              <w:rPr>
                <w:rStyle w:val="Hyperlink"/>
                <w:rFonts w:ascii="Times New Roman" w:hAnsi="Times New Roman"/>
                <w:lang w:val="es-ES"/>
              </w:rPr>
              <w:t>5.2.</w:t>
            </w:r>
            <w:r w:rsidR="00A22CB6" w:rsidRPr="008E7E88">
              <w:rPr>
                <w:rFonts w:ascii="Times New Roman" w:eastAsiaTheme="minorEastAsia" w:hAnsi="Times New Roman"/>
                <w:sz w:val="22"/>
                <w:szCs w:val="22"/>
                <w:lang w:val="en-US" w:eastAsia="en-US"/>
              </w:rPr>
              <w:tab/>
            </w:r>
            <w:r w:rsidR="00A22CB6" w:rsidRPr="008E7E88">
              <w:rPr>
                <w:rStyle w:val="Hyperlink"/>
                <w:rFonts w:ascii="Times New Roman" w:hAnsi="Times New Roman"/>
              </w:rPr>
              <w:t xml:space="preserve">Objetivo 1. </w:t>
            </w:r>
            <w:r w:rsidR="00A22CB6" w:rsidRPr="008E7E88">
              <w:rPr>
                <w:rStyle w:val="Hyperlink"/>
                <w:rFonts w:ascii="Times New Roman" w:hAnsi="Times New Roman"/>
                <w:lang w:val="es-ES"/>
              </w:rPr>
              <w:t>Fortalecer la vigilancia y monitoreo de la resistencia a medicamentos de VIH y TB y migración a esquemas de menor costo y baja toxicidad, así como actividades que favorecen el control de la TB-MDR.</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_Toc8381160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13</w:t>
            </w:r>
            <w:r w:rsidR="00A22CB6" w:rsidRPr="008E7E88">
              <w:rPr>
                <w:rFonts w:ascii="Times New Roman" w:hAnsi="Times New Roman"/>
                <w:webHidden/>
              </w:rPr>
              <w:fldChar w:fldCharType="end"/>
            </w:r>
          </w:hyperlink>
        </w:p>
        <w:p w14:paraId="50E8A816" w14:textId="06B4B0FA" w:rsidR="00A22CB6" w:rsidRPr="008E7E88" w:rsidRDefault="004B64A9">
          <w:pPr>
            <w:pStyle w:val="TOC2"/>
            <w:rPr>
              <w:rFonts w:ascii="Times New Roman" w:eastAsiaTheme="minorEastAsia" w:hAnsi="Times New Roman"/>
              <w:sz w:val="22"/>
              <w:szCs w:val="22"/>
              <w:lang w:val="en-US" w:eastAsia="en-US"/>
            </w:rPr>
          </w:pPr>
          <w:hyperlink w:anchor="_Toc8381161" w:history="1">
            <w:r w:rsidR="00A22CB6" w:rsidRPr="008E7E88">
              <w:rPr>
                <w:rStyle w:val="Hyperlink"/>
                <w:rFonts w:ascii="Times New Roman" w:hAnsi="Times New Roman"/>
                <w:lang w:val="es-ES"/>
              </w:rPr>
              <w:t>5.3.</w:t>
            </w:r>
            <w:r w:rsidR="00A22CB6" w:rsidRPr="008E7E88">
              <w:rPr>
                <w:rFonts w:ascii="Times New Roman" w:eastAsiaTheme="minorEastAsia" w:hAnsi="Times New Roman"/>
                <w:sz w:val="22"/>
                <w:szCs w:val="22"/>
                <w:lang w:val="en-US" w:eastAsia="en-US"/>
              </w:rPr>
              <w:tab/>
            </w:r>
            <w:r w:rsidR="00A22CB6" w:rsidRPr="008E7E88">
              <w:rPr>
                <w:rStyle w:val="Hyperlink"/>
                <w:rFonts w:ascii="Times New Roman" w:hAnsi="Times New Roman"/>
              </w:rPr>
              <w:t>Objetivo 2. Fortalecimiento de los</w:t>
            </w:r>
            <w:r w:rsidR="00A22CB6" w:rsidRPr="008E7E88">
              <w:rPr>
                <w:rStyle w:val="Hyperlink"/>
                <w:rFonts w:ascii="Times New Roman" w:hAnsi="Times New Roman"/>
                <w:lang w:val="es-ES"/>
              </w:rPr>
              <w:t xml:space="preserve"> Recursos Humanos dedicados a VIH y TB a través de su contratación regular, certificación, desarrollo profesional y asignación eficiente</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_Toc8381161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16</w:t>
            </w:r>
            <w:r w:rsidR="00A22CB6" w:rsidRPr="008E7E88">
              <w:rPr>
                <w:rFonts w:ascii="Times New Roman" w:hAnsi="Times New Roman"/>
                <w:webHidden/>
              </w:rPr>
              <w:fldChar w:fldCharType="end"/>
            </w:r>
          </w:hyperlink>
        </w:p>
        <w:p w14:paraId="08852BBD" w14:textId="16D38B5B" w:rsidR="00A22CB6" w:rsidRPr="008E7E88" w:rsidRDefault="004B64A9">
          <w:pPr>
            <w:pStyle w:val="TOC2"/>
            <w:rPr>
              <w:rFonts w:ascii="Times New Roman" w:eastAsiaTheme="minorEastAsia" w:hAnsi="Times New Roman"/>
              <w:sz w:val="22"/>
              <w:szCs w:val="22"/>
              <w:lang w:val="en-US" w:eastAsia="en-US"/>
            </w:rPr>
          </w:pPr>
          <w:hyperlink w:anchor="_Toc8381162" w:history="1">
            <w:r w:rsidR="00A22CB6" w:rsidRPr="008E7E88">
              <w:rPr>
                <w:rStyle w:val="Hyperlink"/>
                <w:rFonts w:ascii="Times New Roman" w:hAnsi="Times New Roman"/>
                <w:lang w:val="es-ES"/>
              </w:rPr>
              <w:t>5.4.</w:t>
            </w:r>
            <w:r w:rsidR="00A22CB6" w:rsidRPr="008E7E88">
              <w:rPr>
                <w:rFonts w:ascii="Times New Roman" w:eastAsiaTheme="minorEastAsia" w:hAnsi="Times New Roman"/>
                <w:sz w:val="22"/>
                <w:szCs w:val="22"/>
                <w:lang w:val="en-US" w:eastAsia="en-US"/>
              </w:rPr>
              <w:tab/>
            </w:r>
            <w:r w:rsidR="00A22CB6" w:rsidRPr="008E7E88">
              <w:rPr>
                <w:rStyle w:val="Hyperlink"/>
                <w:rFonts w:ascii="Times New Roman" w:hAnsi="Times New Roman"/>
                <w:lang w:val="es-ES"/>
              </w:rPr>
              <w:t>Objetivo 3. Asegurar la sostenibilidad de la adquisición de insumos incluyendo ARV, pruebas de carga viral, e insumos para el diagnóstico de VIH y TB a través de fuentes públicas</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_Toc8381162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18</w:t>
            </w:r>
            <w:r w:rsidR="00A22CB6" w:rsidRPr="008E7E88">
              <w:rPr>
                <w:rFonts w:ascii="Times New Roman" w:hAnsi="Times New Roman"/>
                <w:webHidden/>
              </w:rPr>
              <w:fldChar w:fldCharType="end"/>
            </w:r>
          </w:hyperlink>
        </w:p>
        <w:p w14:paraId="77EB99AB" w14:textId="01AE2540" w:rsidR="00A22CB6" w:rsidRPr="008E7E88" w:rsidRDefault="004B64A9">
          <w:pPr>
            <w:pStyle w:val="TOC2"/>
            <w:rPr>
              <w:rFonts w:ascii="Times New Roman" w:eastAsiaTheme="minorEastAsia" w:hAnsi="Times New Roman"/>
              <w:sz w:val="22"/>
              <w:szCs w:val="22"/>
              <w:lang w:val="en-US" w:eastAsia="en-US"/>
            </w:rPr>
          </w:pPr>
          <w:hyperlink w:anchor="_Toc8381163" w:history="1">
            <w:r w:rsidR="00A22CB6" w:rsidRPr="008E7E88">
              <w:rPr>
                <w:rStyle w:val="Hyperlink"/>
                <w:rFonts w:ascii="Times New Roman" w:hAnsi="Times New Roman"/>
                <w:lang w:val="es-ES"/>
              </w:rPr>
              <w:t>5.5.</w:t>
            </w:r>
            <w:r w:rsidR="00A22CB6" w:rsidRPr="008E7E88">
              <w:rPr>
                <w:rFonts w:ascii="Times New Roman" w:eastAsiaTheme="minorEastAsia" w:hAnsi="Times New Roman"/>
                <w:sz w:val="22"/>
                <w:szCs w:val="22"/>
                <w:lang w:val="en-US" w:eastAsia="en-US"/>
              </w:rPr>
              <w:tab/>
            </w:r>
            <w:r w:rsidR="00A22CB6" w:rsidRPr="008E7E88">
              <w:rPr>
                <w:rStyle w:val="Hyperlink"/>
                <w:rFonts w:ascii="Times New Roman" w:hAnsi="Times New Roman"/>
                <w:lang w:val="es-ES"/>
              </w:rPr>
              <w:t>Objetivo 4. Incrementar el financiamiento de fuentes nacionales destinadas a prevención de VIH y TB</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_Toc8381163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20</w:t>
            </w:r>
            <w:r w:rsidR="00A22CB6" w:rsidRPr="008E7E88">
              <w:rPr>
                <w:rFonts w:ascii="Times New Roman" w:hAnsi="Times New Roman"/>
                <w:webHidden/>
              </w:rPr>
              <w:fldChar w:fldCharType="end"/>
            </w:r>
          </w:hyperlink>
        </w:p>
        <w:p w14:paraId="2473352D" w14:textId="22B88BA1" w:rsidR="00A22CB6" w:rsidRPr="008E7E88" w:rsidRDefault="004B64A9">
          <w:pPr>
            <w:pStyle w:val="TOC2"/>
            <w:rPr>
              <w:rFonts w:ascii="Times New Roman" w:eastAsiaTheme="minorEastAsia" w:hAnsi="Times New Roman"/>
              <w:sz w:val="22"/>
              <w:szCs w:val="22"/>
              <w:lang w:val="en-US" w:eastAsia="en-US"/>
            </w:rPr>
          </w:pPr>
          <w:hyperlink w:anchor="_Toc8381164" w:history="1">
            <w:r w:rsidR="00A22CB6" w:rsidRPr="008E7E88">
              <w:rPr>
                <w:rStyle w:val="Hyperlink"/>
                <w:rFonts w:ascii="Times New Roman" w:hAnsi="Times New Roman"/>
                <w:lang w:val="es-ES"/>
              </w:rPr>
              <w:t>5.6.</w:t>
            </w:r>
            <w:r w:rsidR="00A22CB6" w:rsidRPr="008E7E88">
              <w:rPr>
                <w:rFonts w:ascii="Times New Roman" w:eastAsiaTheme="minorEastAsia" w:hAnsi="Times New Roman"/>
                <w:sz w:val="22"/>
                <w:szCs w:val="22"/>
                <w:lang w:val="en-US" w:eastAsia="en-US"/>
              </w:rPr>
              <w:tab/>
            </w:r>
            <w:r w:rsidR="00A22CB6" w:rsidRPr="008E7E88">
              <w:rPr>
                <w:rStyle w:val="Hyperlink"/>
                <w:rFonts w:ascii="Times New Roman" w:hAnsi="Times New Roman"/>
                <w:lang w:val="es-ES"/>
              </w:rPr>
              <w:t>Objetivo 5. Reducir el estigma y la discriminación de la población clave</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_Toc8381164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21</w:t>
            </w:r>
            <w:r w:rsidR="00A22CB6" w:rsidRPr="008E7E88">
              <w:rPr>
                <w:rFonts w:ascii="Times New Roman" w:hAnsi="Times New Roman"/>
                <w:webHidden/>
              </w:rPr>
              <w:fldChar w:fldCharType="end"/>
            </w:r>
          </w:hyperlink>
        </w:p>
        <w:p w14:paraId="72CBC328" w14:textId="58FCB99C" w:rsidR="00A22CB6" w:rsidRPr="008E7E88" w:rsidRDefault="004B64A9">
          <w:pPr>
            <w:pStyle w:val="TOC2"/>
            <w:rPr>
              <w:rFonts w:ascii="Times New Roman" w:eastAsiaTheme="minorEastAsia" w:hAnsi="Times New Roman"/>
              <w:sz w:val="22"/>
              <w:szCs w:val="22"/>
              <w:lang w:val="en-US" w:eastAsia="en-US"/>
            </w:rPr>
          </w:pPr>
          <w:hyperlink w:anchor="_Toc8381165" w:history="1">
            <w:r w:rsidR="00A22CB6" w:rsidRPr="008E7E88">
              <w:rPr>
                <w:rStyle w:val="Hyperlink"/>
                <w:rFonts w:ascii="Times New Roman" w:hAnsi="Times New Roman"/>
                <w:lang w:val="es-ES"/>
              </w:rPr>
              <w:t>5.7.</w:t>
            </w:r>
            <w:r w:rsidR="00A22CB6" w:rsidRPr="008E7E88">
              <w:rPr>
                <w:rFonts w:ascii="Times New Roman" w:eastAsiaTheme="minorEastAsia" w:hAnsi="Times New Roman"/>
                <w:sz w:val="22"/>
                <w:szCs w:val="22"/>
                <w:lang w:val="en-US" w:eastAsia="en-US"/>
              </w:rPr>
              <w:tab/>
            </w:r>
            <w:r w:rsidR="00A22CB6" w:rsidRPr="008E7E88">
              <w:rPr>
                <w:rStyle w:val="Hyperlink"/>
                <w:rFonts w:ascii="Times New Roman" w:hAnsi="Times New Roman"/>
                <w:lang w:val="es-ES"/>
              </w:rPr>
              <w:t>Objetivo 6. Fortalecimiento financiero y operativo de las OSC trabajando en VIH y TB</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_Toc8381165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23</w:t>
            </w:r>
            <w:r w:rsidR="00A22CB6" w:rsidRPr="008E7E88">
              <w:rPr>
                <w:rFonts w:ascii="Times New Roman" w:hAnsi="Times New Roman"/>
                <w:webHidden/>
              </w:rPr>
              <w:fldChar w:fldCharType="end"/>
            </w:r>
          </w:hyperlink>
        </w:p>
        <w:p w14:paraId="0E0ABE22" w14:textId="5CF62EF2" w:rsidR="00A22CB6" w:rsidRPr="008E7E88" w:rsidRDefault="004B64A9">
          <w:pPr>
            <w:pStyle w:val="TOC2"/>
            <w:rPr>
              <w:rFonts w:ascii="Times New Roman" w:eastAsiaTheme="minorEastAsia" w:hAnsi="Times New Roman"/>
              <w:sz w:val="22"/>
              <w:szCs w:val="22"/>
              <w:lang w:val="en-US" w:eastAsia="en-US"/>
            </w:rPr>
          </w:pPr>
          <w:hyperlink w:anchor="_Toc8381166" w:history="1">
            <w:r w:rsidR="00A22CB6" w:rsidRPr="008E7E88">
              <w:rPr>
                <w:rStyle w:val="Hyperlink"/>
                <w:rFonts w:ascii="Times New Roman" w:hAnsi="Times New Roman"/>
                <w:lang w:val="es-ES"/>
              </w:rPr>
              <w:t>5.8.</w:t>
            </w:r>
            <w:r w:rsidR="00A22CB6" w:rsidRPr="008E7E88">
              <w:rPr>
                <w:rFonts w:ascii="Times New Roman" w:eastAsiaTheme="minorEastAsia" w:hAnsi="Times New Roman"/>
                <w:sz w:val="22"/>
                <w:szCs w:val="22"/>
                <w:lang w:val="en-US" w:eastAsia="en-US"/>
              </w:rPr>
              <w:tab/>
            </w:r>
            <w:r w:rsidR="00A22CB6" w:rsidRPr="008E7E88">
              <w:rPr>
                <w:rStyle w:val="Hyperlink"/>
                <w:rFonts w:ascii="Times New Roman" w:hAnsi="Times New Roman"/>
                <w:lang w:val="es-ES"/>
              </w:rPr>
              <w:t>Objetivo 7. Mejorar la rendición de cuentas y capacidad técnica de alto nivel para los servicios de VIH y TB</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_Toc8381166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25</w:t>
            </w:r>
            <w:r w:rsidR="00A22CB6" w:rsidRPr="008E7E88">
              <w:rPr>
                <w:rFonts w:ascii="Times New Roman" w:hAnsi="Times New Roman"/>
                <w:webHidden/>
              </w:rPr>
              <w:fldChar w:fldCharType="end"/>
            </w:r>
          </w:hyperlink>
        </w:p>
        <w:p w14:paraId="4D2CE7B5" w14:textId="76C63968" w:rsidR="00A22CB6" w:rsidRPr="008E7E88" w:rsidRDefault="004B64A9">
          <w:pPr>
            <w:pStyle w:val="TOC1"/>
            <w:rPr>
              <w:rFonts w:ascii="Times New Roman" w:eastAsiaTheme="minorEastAsia" w:hAnsi="Times New Roman"/>
              <w:b w:val="0"/>
              <w:sz w:val="22"/>
              <w:szCs w:val="22"/>
              <w:lang w:val="en-US" w:eastAsia="en-US"/>
            </w:rPr>
          </w:pPr>
          <w:hyperlink w:anchor="_Toc8381167" w:history="1">
            <w:r w:rsidR="00A22CB6" w:rsidRPr="008E7E88">
              <w:rPr>
                <w:rStyle w:val="Hyperlink"/>
                <w:rFonts w:ascii="Times New Roman" w:hAnsi="Times New Roman"/>
                <w:lang w:val="es-GT"/>
              </w:rPr>
              <w:t>6.</w:t>
            </w:r>
            <w:r w:rsidR="00A22CB6" w:rsidRPr="008E7E88">
              <w:rPr>
                <w:rFonts w:ascii="Times New Roman" w:eastAsiaTheme="minorEastAsia" w:hAnsi="Times New Roman"/>
                <w:b w:val="0"/>
                <w:sz w:val="22"/>
                <w:szCs w:val="22"/>
                <w:lang w:val="en-US" w:eastAsia="en-US"/>
              </w:rPr>
              <w:tab/>
            </w:r>
            <w:r w:rsidR="00A22CB6" w:rsidRPr="008E7E88">
              <w:rPr>
                <w:rStyle w:val="Hyperlink"/>
                <w:rFonts w:ascii="Times New Roman" w:hAnsi="Times New Roman"/>
                <w:lang w:val="es-GT"/>
              </w:rPr>
              <w:t>Plan de Trabajo para la Sostenibilidad</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_Toc8381167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28</w:t>
            </w:r>
            <w:r w:rsidR="00A22CB6" w:rsidRPr="008E7E88">
              <w:rPr>
                <w:rFonts w:ascii="Times New Roman" w:hAnsi="Times New Roman"/>
                <w:webHidden/>
              </w:rPr>
              <w:fldChar w:fldCharType="end"/>
            </w:r>
          </w:hyperlink>
        </w:p>
        <w:p w14:paraId="4EC1DDEC" w14:textId="0B96F2BC" w:rsidR="00A22CB6" w:rsidRPr="008E7E88" w:rsidRDefault="004B64A9">
          <w:pPr>
            <w:pStyle w:val="TOC1"/>
            <w:rPr>
              <w:rFonts w:ascii="Times New Roman" w:eastAsiaTheme="minorEastAsia" w:hAnsi="Times New Roman"/>
              <w:b w:val="0"/>
              <w:sz w:val="22"/>
              <w:szCs w:val="22"/>
              <w:lang w:val="en-US" w:eastAsia="en-US"/>
            </w:rPr>
          </w:pPr>
          <w:hyperlink w:anchor="_Toc8381168" w:history="1">
            <w:r w:rsidR="00A22CB6" w:rsidRPr="008E7E88">
              <w:rPr>
                <w:rStyle w:val="Hyperlink"/>
                <w:rFonts w:ascii="Times New Roman" w:hAnsi="Times New Roman"/>
                <w:lang w:val="es-GT"/>
              </w:rPr>
              <w:t>7.</w:t>
            </w:r>
            <w:r w:rsidR="00A22CB6" w:rsidRPr="008E7E88">
              <w:rPr>
                <w:rFonts w:ascii="Times New Roman" w:eastAsiaTheme="minorEastAsia" w:hAnsi="Times New Roman"/>
                <w:b w:val="0"/>
                <w:sz w:val="22"/>
                <w:szCs w:val="22"/>
                <w:lang w:val="en-US" w:eastAsia="en-US"/>
              </w:rPr>
              <w:tab/>
            </w:r>
            <w:r w:rsidR="00A22CB6" w:rsidRPr="008E7E88">
              <w:rPr>
                <w:rStyle w:val="Hyperlink"/>
                <w:rFonts w:ascii="Times New Roman" w:hAnsi="Times New Roman"/>
                <w:lang w:val="es-GT"/>
              </w:rPr>
              <w:t>Recomendaciones de monitoreo de la sostenibilidad</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_Toc8381168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41</w:t>
            </w:r>
            <w:r w:rsidR="00A22CB6" w:rsidRPr="008E7E88">
              <w:rPr>
                <w:rFonts w:ascii="Times New Roman" w:hAnsi="Times New Roman"/>
                <w:webHidden/>
              </w:rPr>
              <w:fldChar w:fldCharType="end"/>
            </w:r>
          </w:hyperlink>
        </w:p>
        <w:p w14:paraId="7E6B9866" w14:textId="6F3ACC83" w:rsidR="00A22CB6" w:rsidRPr="008E7E88" w:rsidRDefault="004B64A9">
          <w:pPr>
            <w:pStyle w:val="TOC1"/>
            <w:rPr>
              <w:rFonts w:ascii="Times New Roman" w:eastAsiaTheme="minorEastAsia" w:hAnsi="Times New Roman"/>
              <w:b w:val="0"/>
              <w:sz w:val="22"/>
              <w:szCs w:val="22"/>
              <w:lang w:val="en-US" w:eastAsia="en-US"/>
            </w:rPr>
          </w:pPr>
          <w:hyperlink w:anchor="_Toc8381169" w:history="1">
            <w:r w:rsidR="00A22CB6" w:rsidRPr="008E7E88">
              <w:rPr>
                <w:rStyle w:val="Hyperlink"/>
                <w:rFonts w:ascii="Times New Roman" w:hAnsi="Times New Roman"/>
                <w:lang w:val="es-GT"/>
              </w:rPr>
              <w:t>8.</w:t>
            </w:r>
            <w:r w:rsidR="00A22CB6" w:rsidRPr="008E7E88">
              <w:rPr>
                <w:rFonts w:ascii="Times New Roman" w:eastAsiaTheme="minorEastAsia" w:hAnsi="Times New Roman"/>
                <w:b w:val="0"/>
                <w:sz w:val="22"/>
                <w:szCs w:val="22"/>
                <w:lang w:val="en-US" w:eastAsia="en-US"/>
              </w:rPr>
              <w:tab/>
            </w:r>
            <w:r w:rsidR="00A22CB6" w:rsidRPr="008E7E88">
              <w:rPr>
                <w:rStyle w:val="Hyperlink"/>
                <w:rFonts w:ascii="Times New Roman" w:hAnsi="Times New Roman"/>
                <w:lang w:val="es-GT"/>
              </w:rPr>
              <w:t>Bibliografía</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_Toc8381169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42</w:t>
            </w:r>
            <w:r w:rsidR="00A22CB6" w:rsidRPr="008E7E88">
              <w:rPr>
                <w:rFonts w:ascii="Times New Roman" w:hAnsi="Times New Roman"/>
                <w:webHidden/>
              </w:rPr>
              <w:fldChar w:fldCharType="end"/>
            </w:r>
          </w:hyperlink>
        </w:p>
        <w:p w14:paraId="00C26FF4" w14:textId="2172461F" w:rsidR="00A22CB6" w:rsidRPr="008E7E88" w:rsidRDefault="004B64A9">
          <w:pPr>
            <w:pStyle w:val="TOC1"/>
            <w:rPr>
              <w:rFonts w:ascii="Times New Roman" w:eastAsiaTheme="minorEastAsia" w:hAnsi="Times New Roman"/>
              <w:b w:val="0"/>
              <w:sz w:val="22"/>
              <w:szCs w:val="22"/>
              <w:lang w:val="en-US" w:eastAsia="en-US"/>
            </w:rPr>
          </w:pPr>
          <w:hyperlink w:anchor="_Toc8381170" w:history="1">
            <w:r w:rsidR="00A22CB6" w:rsidRPr="008E7E88">
              <w:rPr>
                <w:rStyle w:val="Hyperlink"/>
                <w:rFonts w:ascii="Times New Roman" w:hAnsi="Times New Roman"/>
                <w:lang w:val="es-GT"/>
              </w:rPr>
              <w:t>9.</w:t>
            </w:r>
            <w:r w:rsidR="00A22CB6" w:rsidRPr="008E7E88">
              <w:rPr>
                <w:rFonts w:ascii="Times New Roman" w:eastAsiaTheme="minorEastAsia" w:hAnsi="Times New Roman"/>
                <w:b w:val="0"/>
                <w:sz w:val="22"/>
                <w:szCs w:val="22"/>
                <w:lang w:val="en-US" w:eastAsia="en-US"/>
              </w:rPr>
              <w:tab/>
            </w:r>
            <w:r w:rsidR="00A22CB6" w:rsidRPr="008E7E88">
              <w:rPr>
                <w:rStyle w:val="Hyperlink"/>
                <w:rFonts w:ascii="Times New Roman" w:hAnsi="Times New Roman"/>
                <w:lang w:val="es-GT"/>
              </w:rPr>
              <w:t>Anexos</w:t>
            </w:r>
            <w:r w:rsidR="00A22CB6" w:rsidRPr="008E7E88">
              <w:rPr>
                <w:rFonts w:ascii="Times New Roman" w:hAnsi="Times New Roman"/>
                <w:webHidden/>
              </w:rPr>
              <w:tab/>
            </w:r>
            <w:r w:rsidR="00A22CB6" w:rsidRPr="008E7E88">
              <w:rPr>
                <w:rFonts w:ascii="Times New Roman" w:hAnsi="Times New Roman"/>
                <w:webHidden/>
              </w:rPr>
              <w:fldChar w:fldCharType="begin"/>
            </w:r>
            <w:r w:rsidR="00A22CB6" w:rsidRPr="008E7E88">
              <w:rPr>
                <w:rFonts w:ascii="Times New Roman" w:hAnsi="Times New Roman"/>
                <w:webHidden/>
              </w:rPr>
              <w:instrText xml:space="preserve"> PAGEREF _Toc8381170 \h </w:instrText>
            </w:r>
            <w:r w:rsidR="00A22CB6" w:rsidRPr="008E7E88">
              <w:rPr>
                <w:rFonts w:ascii="Times New Roman" w:hAnsi="Times New Roman"/>
                <w:webHidden/>
              </w:rPr>
            </w:r>
            <w:r w:rsidR="00A22CB6" w:rsidRPr="008E7E88">
              <w:rPr>
                <w:rFonts w:ascii="Times New Roman" w:hAnsi="Times New Roman"/>
                <w:webHidden/>
              </w:rPr>
              <w:fldChar w:fldCharType="separate"/>
            </w:r>
            <w:r w:rsidR="00A22CB6" w:rsidRPr="008E7E88">
              <w:rPr>
                <w:rFonts w:ascii="Times New Roman" w:hAnsi="Times New Roman"/>
                <w:webHidden/>
              </w:rPr>
              <w:t>43</w:t>
            </w:r>
            <w:r w:rsidR="00A22CB6" w:rsidRPr="008E7E88">
              <w:rPr>
                <w:rFonts w:ascii="Times New Roman" w:hAnsi="Times New Roman"/>
                <w:webHidden/>
              </w:rPr>
              <w:fldChar w:fldCharType="end"/>
            </w:r>
          </w:hyperlink>
        </w:p>
        <w:p w14:paraId="740CE2A9" w14:textId="3C5C9804" w:rsidR="000540A7" w:rsidRPr="008E7E88" w:rsidRDefault="000540A7" w:rsidP="00F948D1">
          <w:pPr>
            <w:ind w:firstLine="0"/>
            <w:rPr>
              <w:b/>
              <w:bCs/>
              <w:lang w:val="es-GT"/>
            </w:rPr>
          </w:pPr>
          <w:r w:rsidRPr="008E7E88">
            <w:rPr>
              <w:sz w:val="20"/>
              <w:szCs w:val="20"/>
              <w:lang w:val="es-GT"/>
            </w:rPr>
            <w:fldChar w:fldCharType="end"/>
          </w:r>
        </w:p>
      </w:sdtContent>
    </w:sdt>
    <w:p w14:paraId="2D606176" w14:textId="77777777" w:rsidR="000540A7" w:rsidRPr="008E7E88" w:rsidRDefault="000540A7" w:rsidP="00F948D1">
      <w:pPr>
        <w:ind w:firstLine="0"/>
        <w:rPr>
          <w:lang w:val="es-GT"/>
        </w:rPr>
      </w:pPr>
    </w:p>
    <w:p w14:paraId="214A5E09" w14:textId="4B71EB09" w:rsidR="00E31C9D" w:rsidRPr="008E7E88" w:rsidRDefault="003B1367" w:rsidP="006A4339">
      <w:pPr>
        <w:autoSpaceDN/>
        <w:spacing w:before="0" w:after="160" w:line="259" w:lineRule="auto"/>
        <w:ind w:firstLine="0"/>
        <w:jc w:val="left"/>
        <w:textAlignment w:val="auto"/>
      </w:pPr>
      <w:r w:rsidRPr="008E7E88">
        <w:br w:type="page"/>
      </w:r>
    </w:p>
    <w:p w14:paraId="3D06482D" w14:textId="7A5D5FF1" w:rsidR="00E31C9D" w:rsidRDefault="00E31C9D" w:rsidP="00F948D1">
      <w:pPr>
        <w:pStyle w:val="Title"/>
      </w:pPr>
      <w:r>
        <w:lastRenderedPageBreak/>
        <w:t>Lista de tablas</w:t>
      </w:r>
    </w:p>
    <w:p w14:paraId="07ACB3AA" w14:textId="4D6A0F86" w:rsidR="00180A13" w:rsidRPr="00F8407D" w:rsidRDefault="00E31C9D">
      <w:pPr>
        <w:pStyle w:val="TableofFigures"/>
        <w:tabs>
          <w:tab w:val="right" w:leader="dot" w:pos="9350"/>
        </w:tabs>
        <w:rPr>
          <w:rFonts w:ascii="Times New Roman" w:eastAsiaTheme="minorEastAsia" w:hAnsi="Times New Roman"/>
          <w:noProof/>
          <w:sz w:val="22"/>
          <w:szCs w:val="22"/>
          <w:lang w:val="en-US" w:eastAsia="en-US"/>
        </w:rPr>
      </w:pPr>
      <w:r w:rsidRPr="00F8407D">
        <w:rPr>
          <w:rFonts w:ascii="Times New Roman" w:hAnsi="Times New Roman"/>
          <w:highlight w:val="yellow"/>
        </w:rPr>
        <w:fldChar w:fldCharType="begin"/>
      </w:r>
      <w:r w:rsidRPr="00F8407D">
        <w:rPr>
          <w:rFonts w:ascii="Times New Roman" w:hAnsi="Times New Roman"/>
          <w:highlight w:val="yellow"/>
        </w:rPr>
        <w:instrText xml:space="preserve"> TOC \h \z \c "Tabla" </w:instrText>
      </w:r>
      <w:r w:rsidRPr="00F8407D">
        <w:rPr>
          <w:rFonts w:ascii="Times New Roman" w:hAnsi="Times New Roman"/>
          <w:highlight w:val="yellow"/>
        </w:rPr>
        <w:fldChar w:fldCharType="separate"/>
      </w:r>
      <w:hyperlink w:anchor="_Toc1408546" w:history="1">
        <w:r w:rsidR="00180A13" w:rsidRPr="00F8407D">
          <w:rPr>
            <w:rStyle w:val="Hyperlink"/>
            <w:rFonts w:ascii="Times New Roman" w:hAnsi="Times New Roman"/>
            <w:noProof/>
          </w:rPr>
          <w:t>Tabla 1 Principales riesgos de sostenibilidad</w:t>
        </w:r>
        <w:r w:rsidR="00180A13" w:rsidRPr="00F8407D">
          <w:rPr>
            <w:rFonts w:ascii="Times New Roman" w:hAnsi="Times New Roman"/>
            <w:noProof/>
            <w:webHidden/>
          </w:rPr>
          <w:tab/>
        </w:r>
        <w:r w:rsidR="00180A13" w:rsidRPr="00F8407D">
          <w:rPr>
            <w:rFonts w:ascii="Times New Roman" w:hAnsi="Times New Roman"/>
            <w:noProof/>
            <w:webHidden/>
          </w:rPr>
          <w:fldChar w:fldCharType="begin"/>
        </w:r>
        <w:r w:rsidR="00180A13" w:rsidRPr="00F8407D">
          <w:rPr>
            <w:rFonts w:ascii="Times New Roman" w:hAnsi="Times New Roman"/>
            <w:noProof/>
            <w:webHidden/>
          </w:rPr>
          <w:instrText xml:space="preserve"> PAGEREF _Toc1408546 \h </w:instrText>
        </w:r>
        <w:r w:rsidR="00180A13" w:rsidRPr="00F8407D">
          <w:rPr>
            <w:rFonts w:ascii="Times New Roman" w:hAnsi="Times New Roman"/>
            <w:noProof/>
            <w:webHidden/>
          </w:rPr>
        </w:r>
        <w:r w:rsidR="00180A13" w:rsidRPr="00F8407D">
          <w:rPr>
            <w:rFonts w:ascii="Times New Roman" w:hAnsi="Times New Roman"/>
            <w:noProof/>
            <w:webHidden/>
          </w:rPr>
          <w:fldChar w:fldCharType="separate"/>
        </w:r>
        <w:r w:rsidR="0094614E">
          <w:rPr>
            <w:rFonts w:ascii="Times New Roman" w:hAnsi="Times New Roman"/>
            <w:noProof/>
            <w:webHidden/>
          </w:rPr>
          <w:t>6</w:t>
        </w:r>
        <w:r w:rsidR="00180A13" w:rsidRPr="00F8407D">
          <w:rPr>
            <w:rFonts w:ascii="Times New Roman" w:hAnsi="Times New Roman"/>
            <w:noProof/>
            <w:webHidden/>
          </w:rPr>
          <w:fldChar w:fldCharType="end"/>
        </w:r>
      </w:hyperlink>
    </w:p>
    <w:p w14:paraId="3AF8133B" w14:textId="6839632B" w:rsidR="00F23940" w:rsidRPr="00F23940" w:rsidRDefault="004B64A9" w:rsidP="00F23940">
      <w:pPr>
        <w:pStyle w:val="TableofFigures"/>
        <w:tabs>
          <w:tab w:val="right" w:leader="dot" w:pos="9350"/>
        </w:tabs>
        <w:rPr>
          <w:rFonts w:ascii="Times New Roman" w:hAnsi="Times New Roman"/>
          <w:noProof/>
        </w:rPr>
      </w:pPr>
      <w:hyperlink w:anchor="_Toc1408547" w:history="1">
        <w:r w:rsidR="00180A13" w:rsidRPr="00F8407D">
          <w:rPr>
            <w:rStyle w:val="Hyperlink"/>
            <w:rFonts w:ascii="Times New Roman" w:hAnsi="Times New Roman"/>
            <w:noProof/>
          </w:rPr>
          <w:t>Tabla 2 Objetivos y principales acciones recomendadas</w:t>
        </w:r>
        <w:r w:rsidR="00180A13" w:rsidRPr="00F8407D">
          <w:rPr>
            <w:rFonts w:ascii="Times New Roman" w:hAnsi="Times New Roman"/>
            <w:noProof/>
            <w:webHidden/>
          </w:rPr>
          <w:tab/>
        </w:r>
        <w:r w:rsidR="00180A13" w:rsidRPr="00F8407D">
          <w:rPr>
            <w:rFonts w:ascii="Times New Roman" w:hAnsi="Times New Roman"/>
            <w:noProof/>
            <w:webHidden/>
          </w:rPr>
          <w:fldChar w:fldCharType="begin"/>
        </w:r>
        <w:r w:rsidR="00180A13" w:rsidRPr="00F8407D">
          <w:rPr>
            <w:rFonts w:ascii="Times New Roman" w:hAnsi="Times New Roman"/>
            <w:noProof/>
            <w:webHidden/>
          </w:rPr>
          <w:instrText xml:space="preserve"> PAGEREF _Toc1408547 \h </w:instrText>
        </w:r>
        <w:r w:rsidR="00180A13" w:rsidRPr="00F8407D">
          <w:rPr>
            <w:rFonts w:ascii="Times New Roman" w:hAnsi="Times New Roman"/>
            <w:noProof/>
            <w:webHidden/>
          </w:rPr>
        </w:r>
        <w:r w:rsidR="00180A13" w:rsidRPr="00F8407D">
          <w:rPr>
            <w:rFonts w:ascii="Times New Roman" w:hAnsi="Times New Roman"/>
            <w:noProof/>
            <w:webHidden/>
          </w:rPr>
          <w:fldChar w:fldCharType="separate"/>
        </w:r>
        <w:r w:rsidR="0094614E">
          <w:rPr>
            <w:rFonts w:ascii="Times New Roman" w:hAnsi="Times New Roman"/>
            <w:noProof/>
            <w:webHidden/>
          </w:rPr>
          <w:t>10</w:t>
        </w:r>
        <w:r w:rsidR="00180A13" w:rsidRPr="00F8407D">
          <w:rPr>
            <w:rFonts w:ascii="Times New Roman" w:hAnsi="Times New Roman"/>
            <w:noProof/>
            <w:webHidden/>
          </w:rPr>
          <w:fldChar w:fldCharType="end"/>
        </w:r>
      </w:hyperlink>
    </w:p>
    <w:p w14:paraId="3D12D913" w14:textId="57239030" w:rsidR="00E31C9D" w:rsidRPr="00F462EE" w:rsidRDefault="00E31C9D" w:rsidP="00F462EE">
      <w:pPr>
        <w:pStyle w:val="TableofFigures"/>
        <w:tabs>
          <w:tab w:val="right" w:leader="dot" w:pos="9350"/>
        </w:tabs>
        <w:rPr>
          <w:rFonts w:ascii="Arial" w:hAnsi="Arial" w:cs="Arial"/>
          <w:b/>
          <w:szCs w:val="20"/>
        </w:rPr>
      </w:pPr>
      <w:r w:rsidRPr="00F8407D">
        <w:rPr>
          <w:rFonts w:ascii="Times New Roman" w:hAnsi="Times New Roman"/>
          <w:highlight w:val="yellow"/>
        </w:rPr>
        <w:fldChar w:fldCharType="end"/>
      </w:r>
    </w:p>
    <w:p w14:paraId="171E7816" w14:textId="77777777" w:rsidR="00B201B5" w:rsidRPr="0095779C" w:rsidRDefault="007E5FF0" w:rsidP="00F948D1">
      <w:pPr>
        <w:pStyle w:val="Title"/>
      </w:pPr>
      <w:r w:rsidRPr="0095779C">
        <w:t>Acrónimos</w:t>
      </w:r>
      <w:r w:rsidR="00B201B5" w:rsidRPr="0095779C">
        <w:t xml:space="preserve"> </w:t>
      </w:r>
    </w:p>
    <w:p w14:paraId="440AC92F" w14:textId="4AF0A2E3" w:rsidR="004D64F2" w:rsidRPr="0095779C" w:rsidRDefault="004D64F2" w:rsidP="00536995">
      <w:pPr>
        <w:spacing w:before="0" w:after="240" w:line="336" w:lineRule="auto"/>
        <w:ind w:firstLine="0"/>
        <w:contextualSpacing/>
        <w:rPr>
          <w:bCs/>
          <w:sz w:val="20"/>
          <w:szCs w:val="19"/>
          <w:lang w:val="es-419"/>
        </w:rPr>
      </w:pPr>
      <w:bookmarkStart w:id="5" w:name="_Hlk10548690"/>
      <w:r w:rsidRPr="0095779C">
        <w:rPr>
          <w:bCs/>
          <w:sz w:val="20"/>
          <w:szCs w:val="19"/>
          <w:lang w:val="es-419"/>
        </w:rPr>
        <w:t>AMHON</w:t>
      </w:r>
      <w:r w:rsidRPr="0095779C">
        <w:rPr>
          <w:bCs/>
          <w:sz w:val="20"/>
          <w:szCs w:val="19"/>
          <w:lang w:val="es-419"/>
        </w:rPr>
        <w:tab/>
        <w:t xml:space="preserve">Asociación de Municipios de Honduras </w:t>
      </w:r>
    </w:p>
    <w:bookmarkEnd w:id="5"/>
    <w:p w14:paraId="001159B3" w14:textId="4A1CBB82" w:rsidR="005A726C" w:rsidRDefault="005A726C" w:rsidP="00536995">
      <w:pPr>
        <w:spacing w:before="0" w:after="240" w:line="336" w:lineRule="auto"/>
        <w:ind w:firstLine="0"/>
        <w:contextualSpacing/>
        <w:rPr>
          <w:bCs/>
          <w:sz w:val="20"/>
          <w:szCs w:val="19"/>
          <w:lang w:val="es-419"/>
        </w:rPr>
      </w:pPr>
      <w:r w:rsidRPr="0095779C">
        <w:rPr>
          <w:bCs/>
          <w:sz w:val="20"/>
          <w:szCs w:val="19"/>
          <w:lang w:val="es-419"/>
        </w:rPr>
        <w:t>ARV</w:t>
      </w:r>
      <w:r w:rsidRPr="0095779C">
        <w:rPr>
          <w:bCs/>
          <w:sz w:val="20"/>
          <w:szCs w:val="19"/>
          <w:lang w:val="es-419"/>
        </w:rPr>
        <w:tab/>
      </w:r>
      <w:r w:rsidR="003A687E" w:rsidRPr="0095779C">
        <w:rPr>
          <w:bCs/>
          <w:sz w:val="20"/>
          <w:szCs w:val="19"/>
          <w:lang w:val="es-419"/>
        </w:rPr>
        <w:tab/>
      </w:r>
      <w:r w:rsidRPr="0095779C">
        <w:rPr>
          <w:bCs/>
          <w:sz w:val="20"/>
          <w:szCs w:val="19"/>
          <w:lang w:val="es-419"/>
        </w:rPr>
        <w:t xml:space="preserve">Antirretrovirales </w:t>
      </w:r>
    </w:p>
    <w:p w14:paraId="4B524424" w14:textId="5E33A985" w:rsidR="00392453" w:rsidRPr="0095779C" w:rsidRDefault="00392453" w:rsidP="00536995">
      <w:pPr>
        <w:spacing w:before="0" w:after="240" w:line="336" w:lineRule="auto"/>
        <w:ind w:firstLine="0"/>
        <w:contextualSpacing/>
        <w:rPr>
          <w:bCs/>
          <w:sz w:val="20"/>
          <w:szCs w:val="19"/>
          <w:lang w:val="es-419"/>
        </w:rPr>
      </w:pPr>
      <w:proofErr w:type="spellStart"/>
      <w:r>
        <w:rPr>
          <w:bCs/>
          <w:sz w:val="20"/>
          <w:szCs w:val="19"/>
          <w:lang w:val="es-419"/>
        </w:rPr>
        <w:t>ByA</w:t>
      </w:r>
      <w:proofErr w:type="spellEnd"/>
      <w:r>
        <w:rPr>
          <w:bCs/>
          <w:sz w:val="20"/>
          <w:szCs w:val="19"/>
          <w:lang w:val="es-419"/>
        </w:rPr>
        <w:tab/>
      </w:r>
      <w:r>
        <w:rPr>
          <w:bCs/>
          <w:sz w:val="20"/>
          <w:szCs w:val="19"/>
          <w:lang w:val="es-419"/>
        </w:rPr>
        <w:tab/>
      </w:r>
      <w:proofErr w:type="spellStart"/>
      <w:r>
        <w:rPr>
          <w:bCs/>
          <w:sz w:val="20"/>
          <w:szCs w:val="19"/>
          <w:lang w:val="es-419"/>
        </w:rPr>
        <w:t>Bitrán</w:t>
      </w:r>
      <w:proofErr w:type="spellEnd"/>
      <w:r>
        <w:rPr>
          <w:bCs/>
          <w:sz w:val="20"/>
          <w:szCs w:val="19"/>
          <w:lang w:val="es-419"/>
        </w:rPr>
        <w:t xml:space="preserve"> y Asociados</w:t>
      </w:r>
    </w:p>
    <w:p w14:paraId="34AADC7A" w14:textId="4D818845" w:rsidR="005A726C" w:rsidRDefault="005A726C" w:rsidP="00536995">
      <w:pPr>
        <w:spacing w:before="0" w:after="240" w:line="336" w:lineRule="auto"/>
        <w:ind w:firstLine="0"/>
        <w:contextualSpacing/>
        <w:rPr>
          <w:bCs/>
          <w:sz w:val="20"/>
          <w:szCs w:val="19"/>
          <w:lang w:val="es-419"/>
        </w:rPr>
      </w:pPr>
      <w:r w:rsidRPr="0095779C">
        <w:rPr>
          <w:bCs/>
          <w:sz w:val="20"/>
          <w:szCs w:val="19"/>
          <w:lang w:val="es-419"/>
        </w:rPr>
        <w:t>CDC</w:t>
      </w:r>
      <w:r w:rsidR="003A687E" w:rsidRPr="0095779C">
        <w:rPr>
          <w:bCs/>
          <w:sz w:val="20"/>
          <w:szCs w:val="19"/>
          <w:lang w:val="es-419"/>
        </w:rPr>
        <w:tab/>
      </w:r>
      <w:r w:rsidR="003A687E" w:rsidRPr="0095779C">
        <w:rPr>
          <w:bCs/>
          <w:sz w:val="20"/>
          <w:szCs w:val="19"/>
          <w:lang w:val="es-419"/>
        </w:rPr>
        <w:tab/>
      </w:r>
      <w:r w:rsidRPr="0095779C">
        <w:rPr>
          <w:bCs/>
          <w:sz w:val="20"/>
          <w:szCs w:val="19"/>
          <w:lang w:val="es-419"/>
        </w:rPr>
        <w:t xml:space="preserve">Centros de Control y Prevención de Enfermedades </w:t>
      </w:r>
    </w:p>
    <w:p w14:paraId="7D559827" w14:textId="0F0DC864" w:rsidR="00214709" w:rsidRPr="0095779C" w:rsidRDefault="00214709" w:rsidP="00536995">
      <w:pPr>
        <w:spacing w:before="0" w:after="240" w:line="336" w:lineRule="auto"/>
        <w:ind w:firstLine="0"/>
        <w:contextualSpacing/>
        <w:rPr>
          <w:bCs/>
          <w:sz w:val="20"/>
          <w:szCs w:val="19"/>
          <w:lang w:val="es-419"/>
        </w:rPr>
      </w:pPr>
      <w:r>
        <w:rPr>
          <w:bCs/>
          <w:sz w:val="20"/>
          <w:szCs w:val="19"/>
          <w:lang w:val="es-419"/>
        </w:rPr>
        <w:t>CENEMEC</w:t>
      </w:r>
      <w:r>
        <w:rPr>
          <w:bCs/>
          <w:sz w:val="20"/>
          <w:szCs w:val="19"/>
          <w:lang w:val="es-419"/>
        </w:rPr>
        <w:tab/>
        <w:t>Centro Nacional de Educación Médica Continua</w:t>
      </w:r>
    </w:p>
    <w:p w14:paraId="43AC7D05" w14:textId="06D044ED" w:rsidR="00451469" w:rsidRDefault="00451469" w:rsidP="00536995">
      <w:pPr>
        <w:spacing w:before="0" w:after="240" w:line="336" w:lineRule="auto"/>
        <w:ind w:firstLine="0"/>
        <w:contextualSpacing/>
        <w:rPr>
          <w:bCs/>
          <w:sz w:val="20"/>
          <w:szCs w:val="19"/>
          <w:lang w:val="es-MX"/>
        </w:rPr>
      </w:pPr>
      <w:r w:rsidRPr="00484620">
        <w:rPr>
          <w:bCs/>
          <w:sz w:val="20"/>
          <w:szCs w:val="19"/>
          <w:lang w:val="es-MX"/>
        </w:rPr>
        <w:t xml:space="preserve">CEPROSAF </w:t>
      </w:r>
      <w:r w:rsidRPr="00484620">
        <w:rPr>
          <w:bCs/>
          <w:sz w:val="20"/>
          <w:szCs w:val="19"/>
          <w:lang w:val="es-MX"/>
        </w:rPr>
        <w:tab/>
      </w:r>
      <w:r w:rsidRPr="0095779C">
        <w:rPr>
          <w:bCs/>
          <w:sz w:val="20"/>
          <w:szCs w:val="19"/>
          <w:lang w:val="es-MX"/>
        </w:rPr>
        <w:t>Centro de Promoción en Salud y Asistencia Familiar</w:t>
      </w:r>
    </w:p>
    <w:p w14:paraId="5BA1E6BE" w14:textId="69CD625D" w:rsidR="00824A7F" w:rsidRPr="00824A7F" w:rsidRDefault="00484620" w:rsidP="00536995">
      <w:pPr>
        <w:spacing w:before="0" w:after="240" w:line="336" w:lineRule="auto"/>
        <w:ind w:firstLine="0"/>
        <w:contextualSpacing/>
        <w:rPr>
          <w:bCs/>
          <w:sz w:val="20"/>
          <w:szCs w:val="19"/>
          <w:lang w:val="en-US"/>
        </w:rPr>
      </w:pPr>
      <w:r w:rsidRPr="00B347D8">
        <w:rPr>
          <w:bCs/>
          <w:sz w:val="20"/>
          <w:szCs w:val="19"/>
          <w:lang w:val="en-US"/>
        </w:rPr>
        <w:t>CHAI</w:t>
      </w:r>
      <w:r w:rsidRPr="00B347D8">
        <w:rPr>
          <w:bCs/>
          <w:sz w:val="20"/>
          <w:szCs w:val="19"/>
          <w:lang w:val="en-US"/>
        </w:rPr>
        <w:tab/>
      </w:r>
      <w:r w:rsidRPr="00B347D8">
        <w:rPr>
          <w:bCs/>
          <w:sz w:val="20"/>
          <w:szCs w:val="19"/>
          <w:lang w:val="en-US"/>
        </w:rPr>
        <w:tab/>
        <w:t>Clinton Health Access Initiative (CHAI)</w:t>
      </w:r>
    </w:p>
    <w:p w14:paraId="7D3E8837" w14:textId="6DD94803" w:rsidR="005A726C" w:rsidRPr="00484620" w:rsidRDefault="005A726C" w:rsidP="00536995">
      <w:pPr>
        <w:spacing w:before="0" w:after="240" w:line="336" w:lineRule="auto"/>
        <w:ind w:firstLine="0"/>
        <w:contextualSpacing/>
        <w:rPr>
          <w:bCs/>
          <w:sz w:val="20"/>
          <w:szCs w:val="19"/>
          <w:lang w:val="es-MX"/>
        </w:rPr>
      </w:pPr>
      <w:r w:rsidRPr="00484620">
        <w:rPr>
          <w:bCs/>
          <w:sz w:val="20"/>
          <w:szCs w:val="19"/>
          <w:lang w:val="es-MX"/>
        </w:rPr>
        <w:t xml:space="preserve">CONADEH </w:t>
      </w:r>
      <w:r w:rsidRPr="00484620">
        <w:rPr>
          <w:bCs/>
          <w:sz w:val="20"/>
          <w:szCs w:val="19"/>
          <w:lang w:val="es-MX"/>
        </w:rPr>
        <w:tab/>
        <w:t xml:space="preserve">Comisionado Nacional de los Derechos Humanos </w:t>
      </w:r>
    </w:p>
    <w:p w14:paraId="62FCA1E9" w14:textId="07438BF0" w:rsidR="005A726C" w:rsidRDefault="005A726C" w:rsidP="00536995">
      <w:pPr>
        <w:spacing w:before="0" w:after="240" w:line="336" w:lineRule="auto"/>
        <w:ind w:firstLine="0"/>
        <w:contextualSpacing/>
        <w:rPr>
          <w:bCs/>
          <w:sz w:val="20"/>
          <w:szCs w:val="19"/>
          <w:lang w:val="es-419"/>
        </w:rPr>
      </w:pPr>
      <w:r w:rsidRPr="0095779C">
        <w:rPr>
          <w:bCs/>
          <w:sz w:val="20"/>
          <w:szCs w:val="19"/>
          <w:lang w:val="es-419"/>
        </w:rPr>
        <w:t xml:space="preserve">CONASIDA </w:t>
      </w:r>
      <w:r w:rsidRPr="0095779C">
        <w:rPr>
          <w:bCs/>
          <w:sz w:val="20"/>
          <w:szCs w:val="19"/>
          <w:lang w:val="es-419"/>
        </w:rPr>
        <w:tab/>
        <w:t>Comisión Nacional de Sida</w:t>
      </w:r>
    </w:p>
    <w:p w14:paraId="455C3D38" w14:textId="30E4BC07" w:rsidR="00824A7F" w:rsidRPr="0095779C" w:rsidRDefault="00824A7F" w:rsidP="00536995">
      <w:pPr>
        <w:spacing w:before="0" w:after="240" w:line="336" w:lineRule="auto"/>
        <w:ind w:firstLine="0"/>
        <w:contextualSpacing/>
        <w:rPr>
          <w:bCs/>
          <w:sz w:val="20"/>
          <w:szCs w:val="19"/>
          <w:lang w:val="es-419"/>
        </w:rPr>
      </w:pPr>
      <w:bookmarkStart w:id="6" w:name="_Hlk10548934"/>
      <w:r>
        <w:rPr>
          <w:bCs/>
          <w:sz w:val="20"/>
          <w:szCs w:val="19"/>
          <w:lang w:val="es-419"/>
        </w:rPr>
        <w:t>CP</w:t>
      </w:r>
      <w:r>
        <w:rPr>
          <w:bCs/>
          <w:sz w:val="20"/>
          <w:szCs w:val="19"/>
          <w:lang w:val="es-419"/>
        </w:rPr>
        <w:tab/>
      </w:r>
      <w:r>
        <w:rPr>
          <w:bCs/>
          <w:sz w:val="20"/>
          <w:szCs w:val="19"/>
          <w:lang w:val="es-419"/>
        </w:rPr>
        <w:tab/>
        <w:t>Centros Penales</w:t>
      </w:r>
    </w:p>
    <w:p w14:paraId="713A3C9B" w14:textId="594C1CF7" w:rsidR="002B5A36" w:rsidRDefault="002B5A36" w:rsidP="00536995">
      <w:pPr>
        <w:spacing w:before="0" w:after="240" w:line="336" w:lineRule="auto"/>
        <w:ind w:firstLine="0"/>
        <w:contextualSpacing/>
        <w:rPr>
          <w:bCs/>
          <w:sz w:val="20"/>
          <w:szCs w:val="19"/>
          <w:lang w:val="es-419"/>
        </w:rPr>
      </w:pPr>
      <w:r w:rsidRPr="0095779C">
        <w:rPr>
          <w:bCs/>
          <w:sz w:val="20"/>
          <w:szCs w:val="19"/>
          <w:lang w:val="es-419"/>
        </w:rPr>
        <w:t xml:space="preserve">CV </w:t>
      </w:r>
      <w:r w:rsidRPr="0095779C">
        <w:rPr>
          <w:bCs/>
          <w:sz w:val="20"/>
          <w:szCs w:val="19"/>
          <w:lang w:val="es-419"/>
        </w:rPr>
        <w:tab/>
      </w:r>
      <w:r w:rsidRPr="0095779C">
        <w:rPr>
          <w:bCs/>
          <w:sz w:val="20"/>
          <w:szCs w:val="19"/>
          <w:lang w:val="es-419"/>
        </w:rPr>
        <w:tab/>
        <w:t xml:space="preserve">Carga viral </w:t>
      </w:r>
    </w:p>
    <w:p w14:paraId="5800266A" w14:textId="3383B678" w:rsidR="00AC698B" w:rsidRDefault="00AC698B" w:rsidP="00536995">
      <w:pPr>
        <w:spacing w:before="0" w:after="240" w:line="336" w:lineRule="auto"/>
        <w:ind w:firstLine="0"/>
        <w:contextualSpacing/>
        <w:rPr>
          <w:bCs/>
          <w:sz w:val="20"/>
          <w:szCs w:val="19"/>
          <w:lang w:val="es-419"/>
        </w:rPr>
      </w:pPr>
      <w:r>
        <w:rPr>
          <w:bCs/>
          <w:sz w:val="20"/>
          <w:szCs w:val="19"/>
          <w:lang w:val="es-419"/>
        </w:rPr>
        <w:t>DDHH</w:t>
      </w:r>
      <w:r>
        <w:rPr>
          <w:bCs/>
          <w:sz w:val="20"/>
          <w:szCs w:val="19"/>
          <w:lang w:val="es-419"/>
        </w:rPr>
        <w:tab/>
      </w:r>
      <w:r>
        <w:rPr>
          <w:bCs/>
          <w:sz w:val="20"/>
          <w:szCs w:val="19"/>
          <w:lang w:val="es-419"/>
        </w:rPr>
        <w:tab/>
        <w:t>Derechos Humanos</w:t>
      </w:r>
    </w:p>
    <w:bookmarkEnd w:id="6"/>
    <w:p w14:paraId="5EFBFA06" w14:textId="135208C9" w:rsidR="004A6BAA" w:rsidRDefault="004A6BAA" w:rsidP="00536995">
      <w:pPr>
        <w:spacing w:before="0" w:after="240" w:line="336" w:lineRule="auto"/>
        <w:ind w:firstLine="0"/>
        <w:contextualSpacing/>
        <w:rPr>
          <w:bCs/>
          <w:sz w:val="20"/>
          <w:szCs w:val="19"/>
          <w:lang w:val="es-419"/>
        </w:rPr>
      </w:pPr>
      <w:r>
        <w:rPr>
          <w:bCs/>
          <w:sz w:val="20"/>
          <w:szCs w:val="19"/>
          <w:lang w:val="es-419"/>
        </w:rPr>
        <w:t>DGVMN</w:t>
      </w:r>
      <w:r>
        <w:rPr>
          <w:bCs/>
          <w:sz w:val="20"/>
          <w:szCs w:val="19"/>
          <w:lang w:val="es-419"/>
        </w:rPr>
        <w:tab/>
        <w:t>Dirección General de Vigilancia del Marco Normativo</w:t>
      </w:r>
    </w:p>
    <w:p w14:paraId="4D27C343" w14:textId="51722818" w:rsidR="004A6BAA" w:rsidRDefault="004A6BAA" w:rsidP="00536995">
      <w:pPr>
        <w:spacing w:before="0" w:after="240" w:line="336" w:lineRule="auto"/>
        <w:ind w:firstLine="0"/>
        <w:contextualSpacing/>
        <w:rPr>
          <w:bCs/>
          <w:sz w:val="20"/>
          <w:szCs w:val="19"/>
          <w:lang w:val="es-419"/>
        </w:rPr>
      </w:pPr>
      <w:r>
        <w:rPr>
          <w:bCs/>
          <w:sz w:val="20"/>
          <w:szCs w:val="19"/>
          <w:lang w:val="es-419"/>
        </w:rPr>
        <w:t>DGN</w:t>
      </w:r>
      <w:r>
        <w:rPr>
          <w:bCs/>
          <w:sz w:val="20"/>
          <w:szCs w:val="19"/>
          <w:lang w:val="es-419"/>
        </w:rPr>
        <w:tab/>
      </w:r>
      <w:r>
        <w:rPr>
          <w:bCs/>
          <w:sz w:val="20"/>
          <w:szCs w:val="19"/>
          <w:lang w:val="es-419"/>
        </w:rPr>
        <w:tab/>
        <w:t>Dirección General de Normalización</w:t>
      </w:r>
    </w:p>
    <w:p w14:paraId="23791130" w14:textId="63190398" w:rsidR="00FD51F8" w:rsidRPr="0095779C" w:rsidRDefault="00FD51F8" w:rsidP="00536995">
      <w:pPr>
        <w:spacing w:before="0" w:after="240" w:line="336" w:lineRule="auto"/>
        <w:ind w:firstLine="0"/>
        <w:contextualSpacing/>
        <w:rPr>
          <w:bCs/>
          <w:sz w:val="20"/>
          <w:szCs w:val="19"/>
          <w:lang w:val="es-419"/>
        </w:rPr>
      </w:pPr>
      <w:r>
        <w:rPr>
          <w:bCs/>
          <w:sz w:val="20"/>
          <w:szCs w:val="19"/>
          <w:lang w:val="es-419"/>
        </w:rPr>
        <w:t>DGRISS</w:t>
      </w:r>
      <w:r>
        <w:rPr>
          <w:bCs/>
          <w:sz w:val="20"/>
          <w:szCs w:val="19"/>
          <w:lang w:val="es-419"/>
        </w:rPr>
        <w:tab/>
      </w:r>
      <w:r>
        <w:rPr>
          <w:bCs/>
          <w:sz w:val="20"/>
          <w:szCs w:val="19"/>
          <w:lang w:val="es-419"/>
        </w:rPr>
        <w:tab/>
        <w:t>Dirección General de Redes Integradas de Servicios de Salud</w:t>
      </w:r>
    </w:p>
    <w:p w14:paraId="05EDA6B0" w14:textId="13F9B935" w:rsidR="009D33C6" w:rsidRDefault="009D33C6" w:rsidP="00536995">
      <w:pPr>
        <w:spacing w:before="0" w:after="240" w:line="336" w:lineRule="auto"/>
        <w:ind w:firstLine="0"/>
        <w:contextualSpacing/>
        <w:rPr>
          <w:bCs/>
          <w:sz w:val="20"/>
          <w:szCs w:val="19"/>
        </w:rPr>
      </w:pPr>
      <w:r w:rsidRPr="0095779C">
        <w:rPr>
          <w:bCs/>
          <w:sz w:val="20"/>
          <w:szCs w:val="19"/>
          <w:lang w:val="es-419"/>
        </w:rPr>
        <w:t>DO</w:t>
      </w:r>
      <w:r w:rsidRPr="0095779C">
        <w:rPr>
          <w:bCs/>
          <w:sz w:val="20"/>
          <w:szCs w:val="19"/>
          <w:lang w:val="es-419"/>
        </w:rPr>
        <w:tab/>
      </w:r>
      <w:r w:rsidRPr="0095779C">
        <w:rPr>
          <w:bCs/>
          <w:sz w:val="20"/>
          <w:szCs w:val="19"/>
          <w:lang w:val="es-419"/>
        </w:rPr>
        <w:tab/>
      </w:r>
      <w:r w:rsidRPr="0095779C">
        <w:rPr>
          <w:bCs/>
          <w:sz w:val="20"/>
          <w:szCs w:val="19"/>
        </w:rPr>
        <w:t>Desarrollo Organizacional</w:t>
      </w:r>
    </w:p>
    <w:p w14:paraId="6E42EC89" w14:textId="4BD2FB90" w:rsidR="005E2814" w:rsidRPr="0095779C" w:rsidRDefault="005E2814" w:rsidP="00536995">
      <w:pPr>
        <w:spacing w:before="0" w:after="240" w:line="336" w:lineRule="auto"/>
        <w:ind w:firstLine="0"/>
        <w:contextualSpacing/>
        <w:rPr>
          <w:bCs/>
          <w:sz w:val="20"/>
          <w:szCs w:val="19"/>
          <w:lang w:val="es-419"/>
        </w:rPr>
      </w:pPr>
      <w:bookmarkStart w:id="7" w:name="_Hlk10548970"/>
      <w:r>
        <w:rPr>
          <w:bCs/>
          <w:sz w:val="20"/>
          <w:szCs w:val="19"/>
        </w:rPr>
        <w:t>EFV</w:t>
      </w:r>
      <w:r>
        <w:rPr>
          <w:bCs/>
          <w:sz w:val="20"/>
          <w:szCs w:val="19"/>
        </w:rPr>
        <w:tab/>
      </w:r>
      <w:r>
        <w:rPr>
          <w:bCs/>
          <w:sz w:val="20"/>
          <w:szCs w:val="19"/>
        </w:rPr>
        <w:tab/>
        <w:t>Efavirenz</w:t>
      </w:r>
    </w:p>
    <w:bookmarkEnd w:id="7"/>
    <w:p w14:paraId="295B8C5B" w14:textId="61C96326" w:rsidR="00DD4676" w:rsidRPr="0095779C" w:rsidRDefault="00DD4676" w:rsidP="00536995">
      <w:pPr>
        <w:spacing w:before="0" w:after="240" w:line="336" w:lineRule="auto"/>
        <w:ind w:firstLine="0"/>
        <w:contextualSpacing/>
        <w:rPr>
          <w:bCs/>
          <w:sz w:val="20"/>
          <w:szCs w:val="19"/>
          <w:lang w:val="es-419"/>
        </w:rPr>
      </w:pPr>
      <w:r w:rsidRPr="0095779C">
        <w:rPr>
          <w:bCs/>
          <w:sz w:val="20"/>
          <w:szCs w:val="19"/>
          <w:lang w:val="es-419"/>
        </w:rPr>
        <w:t>ES</w:t>
      </w:r>
      <w:r w:rsidRPr="0095779C">
        <w:rPr>
          <w:bCs/>
          <w:sz w:val="20"/>
          <w:szCs w:val="19"/>
          <w:lang w:val="es-419"/>
        </w:rPr>
        <w:tab/>
      </w:r>
      <w:r w:rsidRPr="0095779C">
        <w:rPr>
          <w:bCs/>
          <w:sz w:val="20"/>
          <w:szCs w:val="19"/>
          <w:lang w:val="es-419"/>
        </w:rPr>
        <w:tab/>
        <w:t xml:space="preserve">Estrategia de Sostenibilidad </w:t>
      </w:r>
    </w:p>
    <w:p w14:paraId="6F4CE6BF" w14:textId="5CE7854D" w:rsidR="005A726C" w:rsidRDefault="005A726C" w:rsidP="00536995">
      <w:pPr>
        <w:spacing w:before="0" w:after="240" w:line="336" w:lineRule="auto"/>
        <w:ind w:firstLine="0"/>
        <w:contextualSpacing/>
        <w:rPr>
          <w:bCs/>
          <w:sz w:val="20"/>
          <w:szCs w:val="19"/>
          <w:lang w:val="es-419"/>
        </w:rPr>
      </w:pPr>
      <w:r w:rsidRPr="0095779C">
        <w:rPr>
          <w:bCs/>
          <w:sz w:val="20"/>
          <w:szCs w:val="19"/>
          <w:lang w:val="es-419"/>
        </w:rPr>
        <w:t>FM</w:t>
      </w:r>
      <w:r w:rsidRPr="0095779C">
        <w:rPr>
          <w:bCs/>
          <w:sz w:val="20"/>
          <w:szCs w:val="19"/>
          <w:lang w:val="es-419"/>
        </w:rPr>
        <w:tab/>
      </w:r>
      <w:r w:rsidRPr="0095779C">
        <w:rPr>
          <w:bCs/>
          <w:sz w:val="20"/>
          <w:szCs w:val="19"/>
          <w:lang w:val="es-419"/>
        </w:rPr>
        <w:tab/>
        <w:t xml:space="preserve">Fundo Mundial </w:t>
      </w:r>
    </w:p>
    <w:p w14:paraId="38F1B38A" w14:textId="223CDD12" w:rsidR="005E2814" w:rsidRPr="0095779C" w:rsidRDefault="005E2814" w:rsidP="00536995">
      <w:pPr>
        <w:spacing w:before="0" w:after="240" w:line="336" w:lineRule="auto"/>
        <w:ind w:firstLine="0"/>
        <w:contextualSpacing/>
        <w:rPr>
          <w:bCs/>
          <w:sz w:val="20"/>
          <w:szCs w:val="19"/>
          <w:lang w:val="es-419"/>
        </w:rPr>
      </w:pPr>
      <w:bookmarkStart w:id="8" w:name="_Hlk10548989"/>
      <w:r>
        <w:rPr>
          <w:bCs/>
          <w:sz w:val="20"/>
          <w:szCs w:val="19"/>
          <w:lang w:val="es-419"/>
        </w:rPr>
        <w:t>FTC</w:t>
      </w:r>
      <w:r>
        <w:rPr>
          <w:bCs/>
          <w:sz w:val="20"/>
          <w:szCs w:val="19"/>
          <w:lang w:val="es-419"/>
        </w:rPr>
        <w:tab/>
      </w:r>
      <w:r>
        <w:rPr>
          <w:bCs/>
          <w:sz w:val="20"/>
          <w:szCs w:val="19"/>
          <w:lang w:val="es-419"/>
        </w:rPr>
        <w:tab/>
      </w:r>
      <w:proofErr w:type="spellStart"/>
      <w:r>
        <w:rPr>
          <w:bCs/>
          <w:sz w:val="20"/>
          <w:szCs w:val="19"/>
          <w:lang w:val="es-419"/>
        </w:rPr>
        <w:t>Emtricitabina</w:t>
      </w:r>
      <w:proofErr w:type="spellEnd"/>
    </w:p>
    <w:bookmarkEnd w:id="8"/>
    <w:p w14:paraId="743D2ABD" w14:textId="0F646DAC" w:rsidR="005A726C" w:rsidRDefault="005A726C" w:rsidP="00536995">
      <w:pPr>
        <w:spacing w:before="0" w:after="240" w:line="336" w:lineRule="auto"/>
        <w:ind w:firstLine="0"/>
        <w:contextualSpacing/>
        <w:rPr>
          <w:bCs/>
          <w:sz w:val="20"/>
          <w:szCs w:val="19"/>
          <w:lang w:val="es-DO"/>
        </w:rPr>
      </w:pPr>
      <w:r w:rsidRPr="0095779C">
        <w:rPr>
          <w:bCs/>
          <w:sz w:val="20"/>
          <w:szCs w:val="19"/>
          <w:lang w:val="es-419"/>
        </w:rPr>
        <w:t>HSH</w:t>
      </w:r>
      <w:r w:rsidRPr="0095779C">
        <w:rPr>
          <w:bCs/>
          <w:sz w:val="20"/>
          <w:szCs w:val="19"/>
          <w:lang w:val="es-419"/>
        </w:rPr>
        <w:tab/>
      </w:r>
      <w:r w:rsidRPr="0095779C">
        <w:rPr>
          <w:bCs/>
          <w:sz w:val="20"/>
          <w:szCs w:val="19"/>
          <w:lang w:val="es-419"/>
        </w:rPr>
        <w:tab/>
        <w:t>H</w:t>
      </w:r>
      <w:proofErr w:type="spellStart"/>
      <w:r w:rsidRPr="0095779C">
        <w:rPr>
          <w:bCs/>
          <w:sz w:val="20"/>
          <w:szCs w:val="19"/>
          <w:lang w:val="es-DO"/>
        </w:rPr>
        <w:t>ombres</w:t>
      </w:r>
      <w:proofErr w:type="spellEnd"/>
      <w:r w:rsidRPr="0095779C">
        <w:rPr>
          <w:bCs/>
          <w:sz w:val="20"/>
          <w:szCs w:val="19"/>
          <w:lang w:val="es-DO"/>
        </w:rPr>
        <w:t xml:space="preserve"> que tienen sexo con hombres</w:t>
      </w:r>
    </w:p>
    <w:p w14:paraId="1AD01F40" w14:textId="1A9687C2" w:rsidR="002F7851" w:rsidRDefault="002F7851" w:rsidP="00536995">
      <w:pPr>
        <w:spacing w:before="0" w:after="240" w:line="336" w:lineRule="auto"/>
        <w:ind w:firstLine="0"/>
        <w:contextualSpacing/>
        <w:rPr>
          <w:bCs/>
          <w:sz w:val="20"/>
          <w:szCs w:val="19"/>
          <w:lang w:val="es-DO"/>
        </w:rPr>
      </w:pPr>
      <w:bookmarkStart w:id="9" w:name="_Hlk10549020"/>
      <w:r>
        <w:rPr>
          <w:bCs/>
          <w:sz w:val="20"/>
          <w:szCs w:val="19"/>
          <w:lang w:val="es-DO"/>
        </w:rPr>
        <w:t>IC</w:t>
      </w:r>
      <w:r>
        <w:rPr>
          <w:bCs/>
          <w:sz w:val="20"/>
          <w:szCs w:val="19"/>
          <w:lang w:val="es-DO"/>
        </w:rPr>
        <w:tab/>
      </w:r>
      <w:r>
        <w:rPr>
          <w:bCs/>
          <w:sz w:val="20"/>
          <w:szCs w:val="19"/>
          <w:lang w:val="es-DO"/>
        </w:rPr>
        <w:tab/>
        <w:t>Intervalo de confianza</w:t>
      </w:r>
    </w:p>
    <w:p w14:paraId="035EE149" w14:textId="1BE2D6A6" w:rsidR="008553E3" w:rsidRDefault="008553E3" w:rsidP="00536995">
      <w:pPr>
        <w:spacing w:before="0" w:after="240" w:line="336" w:lineRule="auto"/>
        <w:ind w:firstLine="0"/>
        <w:contextualSpacing/>
        <w:rPr>
          <w:bCs/>
          <w:sz w:val="20"/>
          <w:szCs w:val="19"/>
          <w:lang w:val="es-DO"/>
        </w:rPr>
      </w:pPr>
      <w:r>
        <w:rPr>
          <w:bCs/>
          <w:sz w:val="20"/>
          <w:szCs w:val="19"/>
          <w:lang w:val="es-DO"/>
        </w:rPr>
        <w:t>INNTI</w:t>
      </w:r>
      <w:r>
        <w:rPr>
          <w:bCs/>
          <w:sz w:val="20"/>
          <w:szCs w:val="19"/>
          <w:lang w:val="es-DO"/>
        </w:rPr>
        <w:tab/>
      </w:r>
      <w:r>
        <w:rPr>
          <w:bCs/>
          <w:sz w:val="20"/>
          <w:szCs w:val="19"/>
          <w:lang w:val="es-DO"/>
        </w:rPr>
        <w:tab/>
        <w:t xml:space="preserve">Inhibidores No </w:t>
      </w:r>
      <w:proofErr w:type="spellStart"/>
      <w:r>
        <w:rPr>
          <w:bCs/>
          <w:sz w:val="20"/>
          <w:szCs w:val="19"/>
          <w:lang w:val="es-DO"/>
        </w:rPr>
        <w:t>Nucleosídicos</w:t>
      </w:r>
      <w:proofErr w:type="spellEnd"/>
      <w:r>
        <w:rPr>
          <w:bCs/>
          <w:sz w:val="20"/>
          <w:szCs w:val="19"/>
          <w:lang w:val="es-DO"/>
        </w:rPr>
        <w:t xml:space="preserve"> de la Transcriptasa Inversa</w:t>
      </w:r>
    </w:p>
    <w:p w14:paraId="2DE842CC" w14:textId="185522D8" w:rsidR="008553E3" w:rsidRPr="008553E3" w:rsidRDefault="008553E3" w:rsidP="00536995">
      <w:pPr>
        <w:spacing w:before="0" w:after="240" w:line="336" w:lineRule="auto"/>
        <w:ind w:firstLine="0"/>
        <w:contextualSpacing/>
        <w:rPr>
          <w:bCs/>
          <w:sz w:val="20"/>
          <w:szCs w:val="19"/>
          <w:lang w:val="es-DO"/>
        </w:rPr>
      </w:pPr>
      <w:r w:rsidRPr="008553E3">
        <w:rPr>
          <w:bCs/>
          <w:sz w:val="20"/>
          <w:szCs w:val="19"/>
          <w:lang w:val="es-MX"/>
        </w:rPr>
        <w:t>IN(t)TI</w:t>
      </w:r>
      <w:r w:rsidRPr="008553E3">
        <w:rPr>
          <w:bCs/>
          <w:sz w:val="20"/>
          <w:szCs w:val="19"/>
          <w:lang w:val="es-MX"/>
        </w:rPr>
        <w:tab/>
      </w:r>
      <w:r w:rsidRPr="008553E3">
        <w:rPr>
          <w:bCs/>
          <w:sz w:val="20"/>
          <w:szCs w:val="19"/>
          <w:lang w:val="es-MX"/>
        </w:rPr>
        <w:tab/>
      </w:r>
      <w:r>
        <w:rPr>
          <w:bCs/>
          <w:sz w:val="20"/>
          <w:szCs w:val="19"/>
          <w:lang w:val="es-DO"/>
        </w:rPr>
        <w:t xml:space="preserve">Inhibidores </w:t>
      </w:r>
      <w:proofErr w:type="spellStart"/>
      <w:r>
        <w:rPr>
          <w:bCs/>
          <w:sz w:val="20"/>
          <w:szCs w:val="19"/>
          <w:lang w:val="es-DO"/>
        </w:rPr>
        <w:t>Nucleosídicos</w:t>
      </w:r>
      <w:proofErr w:type="spellEnd"/>
      <w:r>
        <w:rPr>
          <w:bCs/>
          <w:sz w:val="20"/>
          <w:szCs w:val="19"/>
          <w:lang w:val="es-DO"/>
        </w:rPr>
        <w:t xml:space="preserve"> e Inhibidores Nucleotídicos de la Transcriptasa Inversa</w:t>
      </w:r>
    </w:p>
    <w:p w14:paraId="3C6BA7D9" w14:textId="6851687B" w:rsidR="00DD4676" w:rsidRDefault="00DD4676" w:rsidP="00536995">
      <w:pPr>
        <w:spacing w:before="0" w:after="240" w:line="336" w:lineRule="auto"/>
        <w:ind w:firstLine="0"/>
        <w:contextualSpacing/>
        <w:rPr>
          <w:bCs/>
          <w:sz w:val="20"/>
          <w:szCs w:val="19"/>
          <w:lang w:val="es-DO"/>
        </w:rPr>
      </w:pPr>
      <w:bookmarkStart w:id="10" w:name="_Hlk10549044"/>
      <w:bookmarkEnd w:id="9"/>
      <w:r w:rsidRPr="0095779C">
        <w:rPr>
          <w:bCs/>
          <w:sz w:val="20"/>
          <w:szCs w:val="19"/>
          <w:lang w:val="es-DO"/>
        </w:rPr>
        <w:t xml:space="preserve">IO </w:t>
      </w:r>
      <w:r w:rsidRPr="0095779C">
        <w:rPr>
          <w:bCs/>
          <w:sz w:val="20"/>
          <w:szCs w:val="19"/>
          <w:lang w:val="es-DO"/>
        </w:rPr>
        <w:tab/>
      </w:r>
      <w:r w:rsidRPr="0095779C">
        <w:rPr>
          <w:bCs/>
          <w:sz w:val="20"/>
          <w:szCs w:val="19"/>
          <w:lang w:val="es-DO"/>
        </w:rPr>
        <w:tab/>
        <w:t xml:space="preserve">Infección oportunista </w:t>
      </w:r>
    </w:p>
    <w:p w14:paraId="16223025" w14:textId="1C1BAF1F" w:rsidR="002F7851" w:rsidRDefault="002F7851" w:rsidP="00536995">
      <w:pPr>
        <w:spacing w:before="0" w:after="240" w:line="336" w:lineRule="auto"/>
        <w:ind w:firstLine="0"/>
        <w:contextualSpacing/>
        <w:rPr>
          <w:bCs/>
          <w:sz w:val="20"/>
          <w:szCs w:val="19"/>
          <w:lang w:val="es-DO"/>
        </w:rPr>
      </w:pPr>
      <w:r>
        <w:rPr>
          <w:bCs/>
          <w:sz w:val="20"/>
          <w:szCs w:val="19"/>
          <w:lang w:val="es-DO"/>
        </w:rPr>
        <w:t>IP</w:t>
      </w:r>
      <w:r>
        <w:rPr>
          <w:bCs/>
          <w:sz w:val="20"/>
          <w:szCs w:val="19"/>
          <w:lang w:val="es-DO"/>
        </w:rPr>
        <w:tab/>
      </w:r>
      <w:r>
        <w:rPr>
          <w:bCs/>
          <w:sz w:val="20"/>
          <w:szCs w:val="19"/>
          <w:lang w:val="es-DO"/>
        </w:rPr>
        <w:tab/>
        <w:t>Inhibidores de la Proteasa</w:t>
      </w:r>
    </w:p>
    <w:p w14:paraId="6D1A0789" w14:textId="11332364" w:rsidR="00DE385A" w:rsidRPr="0095779C" w:rsidRDefault="00DE385A" w:rsidP="00536995">
      <w:pPr>
        <w:spacing w:before="0" w:after="240" w:line="336" w:lineRule="auto"/>
        <w:ind w:firstLine="0"/>
        <w:contextualSpacing/>
        <w:rPr>
          <w:bCs/>
          <w:sz w:val="20"/>
          <w:szCs w:val="19"/>
          <w:lang w:val="es-DO"/>
        </w:rPr>
      </w:pPr>
      <w:r>
        <w:rPr>
          <w:bCs/>
          <w:sz w:val="20"/>
          <w:szCs w:val="19"/>
          <w:lang w:val="es-DO"/>
        </w:rPr>
        <w:t>ITS</w:t>
      </w:r>
      <w:r>
        <w:rPr>
          <w:bCs/>
          <w:sz w:val="20"/>
          <w:szCs w:val="19"/>
          <w:lang w:val="es-DO"/>
        </w:rPr>
        <w:tab/>
      </w:r>
      <w:r>
        <w:rPr>
          <w:bCs/>
          <w:sz w:val="20"/>
          <w:szCs w:val="19"/>
          <w:lang w:val="es-DO"/>
        </w:rPr>
        <w:tab/>
        <w:t>Infecciones de Transmisión Sexual</w:t>
      </w:r>
    </w:p>
    <w:p w14:paraId="0F05A55D" w14:textId="4A73C2BD" w:rsidR="00555ED8" w:rsidRPr="0095779C" w:rsidRDefault="00555ED8" w:rsidP="00536995">
      <w:pPr>
        <w:spacing w:before="0" w:after="240" w:line="336" w:lineRule="auto"/>
        <w:ind w:firstLine="0"/>
        <w:contextualSpacing/>
        <w:rPr>
          <w:bCs/>
          <w:sz w:val="20"/>
          <w:szCs w:val="19"/>
          <w:lang w:val="es-DO"/>
        </w:rPr>
      </w:pPr>
      <w:bookmarkStart w:id="11" w:name="_Hlk10549092"/>
      <w:bookmarkEnd w:id="10"/>
      <w:r w:rsidRPr="0095779C">
        <w:rPr>
          <w:bCs/>
          <w:sz w:val="20"/>
          <w:szCs w:val="19"/>
          <w:lang w:val="es-HN"/>
        </w:rPr>
        <w:t>LNVTB</w:t>
      </w:r>
      <w:r w:rsidRPr="0095779C">
        <w:rPr>
          <w:bCs/>
          <w:sz w:val="20"/>
          <w:szCs w:val="19"/>
          <w:lang w:val="es-HN"/>
        </w:rPr>
        <w:tab/>
      </w:r>
      <w:r w:rsidRPr="0095779C">
        <w:rPr>
          <w:bCs/>
          <w:sz w:val="20"/>
          <w:szCs w:val="19"/>
          <w:lang w:val="es-HN"/>
        </w:rPr>
        <w:tab/>
        <w:t>Laboratorio Nacional de Vigilancia de la TB</w:t>
      </w:r>
    </w:p>
    <w:bookmarkEnd w:id="11"/>
    <w:p w14:paraId="5CBDFB88" w14:textId="425697AD" w:rsidR="005A726C" w:rsidRPr="0095779C" w:rsidRDefault="005A726C" w:rsidP="00536995">
      <w:pPr>
        <w:spacing w:before="0" w:after="240" w:line="336" w:lineRule="auto"/>
        <w:ind w:firstLine="0"/>
        <w:contextualSpacing/>
        <w:rPr>
          <w:bCs/>
          <w:sz w:val="20"/>
          <w:szCs w:val="19"/>
          <w:lang w:val="es-DO"/>
        </w:rPr>
      </w:pPr>
      <w:r w:rsidRPr="0095779C">
        <w:rPr>
          <w:bCs/>
          <w:sz w:val="20"/>
          <w:szCs w:val="19"/>
          <w:lang w:val="es-DO"/>
        </w:rPr>
        <w:t>MCP</w:t>
      </w:r>
      <w:r w:rsidRPr="0095779C">
        <w:rPr>
          <w:bCs/>
          <w:sz w:val="20"/>
          <w:szCs w:val="19"/>
          <w:lang w:val="es-DO"/>
        </w:rPr>
        <w:tab/>
        <w:t xml:space="preserve"> </w:t>
      </w:r>
      <w:r w:rsidRPr="0095779C">
        <w:rPr>
          <w:bCs/>
          <w:sz w:val="20"/>
          <w:szCs w:val="19"/>
          <w:lang w:val="es-DO"/>
        </w:rPr>
        <w:tab/>
      </w:r>
      <w:r w:rsidRPr="0095779C">
        <w:rPr>
          <w:bCs/>
          <w:sz w:val="20"/>
          <w:szCs w:val="19"/>
          <w:lang w:val="es-ES"/>
        </w:rPr>
        <w:t>Mecanismo Coordinador del País</w:t>
      </w:r>
    </w:p>
    <w:p w14:paraId="192EFFCE" w14:textId="6F1D3023" w:rsidR="00DC3E24" w:rsidRPr="0095779C" w:rsidRDefault="00DC3E24" w:rsidP="00536995">
      <w:pPr>
        <w:spacing w:before="0" w:after="240" w:line="336" w:lineRule="auto"/>
        <w:ind w:firstLine="0"/>
        <w:contextualSpacing/>
        <w:rPr>
          <w:bCs/>
          <w:sz w:val="20"/>
          <w:szCs w:val="19"/>
          <w:lang w:val="es-DO"/>
        </w:rPr>
      </w:pPr>
      <w:bookmarkStart w:id="12" w:name="_Hlk10549111"/>
      <w:r w:rsidRPr="0095779C">
        <w:rPr>
          <w:bCs/>
          <w:sz w:val="20"/>
          <w:szCs w:val="19"/>
          <w:lang w:val="es-419"/>
        </w:rPr>
        <w:t xml:space="preserve">MEGAS </w:t>
      </w:r>
      <w:r w:rsidRPr="0095779C">
        <w:rPr>
          <w:bCs/>
          <w:sz w:val="20"/>
          <w:szCs w:val="19"/>
          <w:lang w:val="es-419"/>
        </w:rPr>
        <w:tab/>
        <w:t xml:space="preserve">Estudio de </w:t>
      </w:r>
      <w:r w:rsidR="006F0B5C" w:rsidRPr="0095779C">
        <w:rPr>
          <w:bCs/>
          <w:sz w:val="20"/>
          <w:szCs w:val="19"/>
          <w:lang w:val="es-419"/>
        </w:rPr>
        <w:t>Medición</w:t>
      </w:r>
      <w:r w:rsidRPr="0095779C">
        <w:rPr>
          <w:bCs/>
          <w:sz w:val="20"/>
          <w:szCs w:val="19"/>
          <w:lang w:val="es-419"/>
        </w:rPr>
        <w:t xml:space="preserve"> del Gasto en Sida</w:t>
      </w:r>
    </w:p>
    <w:bookmarkEnd w:id="12"/>
    <w:p w14:paraId="7F67799A" w14:textId="3E38840F" w:rsidR="005A726C" w:rsidRPr="0095779C" w:rsidRDefault="005A726C" w:rsidP="00536995">
      <w:pPr>
        <w:spacing w:before="0" w:after="240" w:line="336" w:lineRule="auto"/>
        <w:ind w:firstLine="0"/>
        <w:contextualSpacing/>
        <w:rPr>
          <w:bCs/>
          <w:sz w:val="20"/>
          <w:szCs w:val="19"/>
          <w:lang w:val="es-419"/>
        </w:rPr>
      </w:pPr>
      <w:r w:rsidRPr="0095779C">
        <w:rPr>
          <w:bCs/>
          <w:sz w:val="20"/>
          <w:szCs w:val="19"/>
          <w:lang w:val="es-DO"/>
        </w:rPr>
        <w:t>MTS</w:t>
      </w:r>
      <w:r w:rsidRPr="0095779C">
        <w:rPr>
          <w:bCs/>
          <w:sz w:val="20"/>
          <w:szCs w:val="19"/>
          <w:lang w:val="es-DO"/>
        </w:rPr>
        <w:tab/>
      </w:r>
      <w:r w:rsidRPr="0095779C">
        <w:rPr>
          <w:bCs/>
          <w:sz w:val="20"/>
          <w:szCs w:val="19"/>
          <w:lang w:val="es-DO"/>
        </w:rPr>
        <w:tab/>
        <w:t xml:space="preserve">Mujeres trabajadoras sexuales </w:t>
      </w:r>
    </w:p>
    <w:p w14:paraId="3FB10A0C" w14:textId="77777777" w:rsidR="005A726C" w:rsidRPr="0095779C" w:rsidRDefault="005A726C" w:rsidP="00536995">
      <w:pPr>
        <w:spacing w:before="0" w:after="240" w:line="336" w:lineRule="auto"/>
        <w:ind w:firstLine="0"/>
        <w:contextualSpacing/>
        <w:rPr>
          <w:bCs/>
          <w:sz w:val="20"/>
          <w:szCs w:val="19"/>
          <w:lang w:val="es-419"/>
        </w:rPr>
      </w:pPr>
      <w:r w:rsidRPr="0095779C">
        <w:rPr>
          <w:bCs/>
          <w:sz w:val="20"/>
          <w:szCs w:val="19"/>
          <w:lang w:val="es-419"/>
        </w:rPr>
        <w:t>ONUSIDA</w:t>
      </w:r>
      <w:r w:rsidRPr="0095779C">
        <w:rPr>
          <w:bCs/>
          <w:sz w:val="20"/>
          <w:szCs w:val="19"/>
          <w:lang w:val="es-419"/>
        </w:rPr>
        <w:tab/>
        <w:t>Programa Conjunto de las Naciones Unidas sobre el VIH/SIDA</w:t>
      </w:r>
    </w:p>
    <w:p w14:paraId="05DB4701" w14:textId="77777777" w:rsidR="005A726C" w:rsidRPr="0095779C" w:rsidRDefault="005A726C" w:rsidP="00536995">
      <w:pPr>
        <w:spacing w:before="0" w:after="240" w:line="336" w:lineRule="auto"/>
        <w:ind w:firstLine="0"/>
        <w:contextualSpacing/>
        <w:rPr>
          <w:bCs/>
          <w:sz w:val="20"/>
          <w:szCs w:val="19"/>
          <w:lang w:val="es-419"/>
        </w:rPr>
      </w:pPr>
      <w:r w:rsidRPr="0095779C">
        <w:rPr>
          <w:bCs/>
          <w:sz w:val="20"/>
          <w:szCs w:val="19"/>
          <w:lang w:val="es-419"/>
        </w:rPr>
        <w:t>OMS</w:t>
      </w:r>
      <w:r w:rsidRPr="0095779C">
        <w:rPr>
          <w:bCs/>
          <w:sz w:val="20"/>
          <w:szCs w:val="19"/>
          <w:lang w:val="es-419"/>
        </w:rPr>
        <w:tab/>
      </w:r>
      <w:r w:rsidRPr="0095779C">
        <w:rPr>
          <w:bCs/>
          <w:sz w:val="20"/>
          <w:szCs w:val="19"/>
          <w:lang w:val="es-419"/>
        </w:rPr>
        <w:tab/>
        <w:t xml:space="preserve">Organización Mundial de Salud </w:t>
      </w:r>
    </w:p>
    <w:p w14:paraId="483FA045" w14:textId="77777777" w:rsidR="005A726C" w:rsidRPr="0095779C" w:rsidRDefault="005A726C" w:rsidP="00536995">
      <w:pPr>
        <w:spacing w:before="0" w:after="240" w:line="336" w:lineRule="auto"/>
        <w:ind w:firstLine="0"/>
        <w:contextualSpacing/>
        <w:rPr>
          <w:bCs/>
          <w:sz w:val="20"/>
          <w:szCs w:val="19"/>
          <w:lang w:val="es-419"/>
        </w:rPr>
      </w:pPr>
      <w:r w:rsidRPr="0095779C">
        <w:rPr>
          <w:bCs/>
          <w:sz w:val="20"/>
          <w:szCs w:val="19"/>
          <w:lang w:val="es-419"/>
        </w:rPr>
        <w:t xml:space="preserve">OPS </w:t>
      </w:r>
      <w:r w:rsidRPr="0095779C">
        <w:rPr>
          <w:bCs/>
          <w:sz w:val="20"/>
          <w:szCs w:val="19"/>
          <w:lang w:val="es-419"/>
        </w:rPr>
        <w:tab/>
      </w:r>
      <w:r w:rsidRPr="0095779C">
        <w:rPr>
          <w:bCs/>
          <w:sz w:val="20"/>
          <w:szCs w:val="19"/>
          <w:lang w:val="es-419"/>
        </w:rPr>
        <w:tab/>
        <w:t xml:space="preserve">Organización Panamericana de la Salud </w:t>
      </w:r>
    </w:p>
    <w:p w14:paraId="4BF445AA" w14:textId="77777777" w:rsidR="005A726C" w:rsidRPr="0095779C" w:rsidRDefault="005A726C" w:rsidP="00536995">
      <w:pPr>
        <w:spacing w:before="0" w:after="240" w:line="336" w:lineRule="auto"/>
        <w:ind w:firstLine="0"/>
        <w:contextualSpacing/>
        <w:rPr>
          <w:bCs/>
          <w:sz w:val="20"/>
          <w:szCs w:val="19"/>
          <w:lang w:val="es-419"/>
        </w:rPr>
      </w:pPr>
      <w:r w:rsidRPr="0095779C">
        <w:rPr>
          <w:bCs/>
          <w:sz w:val="20"/>
          <w:szCs w:val="19"/>
          <w:lang w:val="es-419"/>
        </w:rPr>
        <w:t xml:space="preserve">OSC </w:t>
      </w:r>
      <w:r w:rsidRPr="0095779C">
        <w:rPr>
          <w:bCs/>
          <w:sz w:val="20"/>
          <w:szCs w:val="19"/>
          <w:lang w:val="es-419"/>
        </w:rPr>
        <w:tab/>
      </w:r>
      <w:r w:rsidRPr="0095779C">
        <w:rPr>
          <w:bCs/>
          <w:sz w:val="20"/>
          <w:szCs w:val="19"/>
          <w:lang w:val="es-419"/>
        </w:rPr>
        <w:tab/>
        <w:t xml:space="preserve">Organización de sociedad civil </w:t>
      </w:r>
    </w:p>
    <w:p w14:paraId="383F7880" w14:textId="6BB72383" w:rsidR="004D64F2" w:rsidRPr="0095779C" w:rsidRDefault="005A726C" w:rsidP="00536995">
      <w:pPr>
        <w:spacing w:before="0" w:after="240" w:line="336" w:lineRule="auto"/>
        <w:ind w:firstLine="0"/>
        <w:contextualSpacing/>
        <w:rPr>
          <w:bCs/>
          <w:sz w:val="20"/>
          <w:szCs w:val="19"/>
          <w:lang w:val="es-419"/>
        </w:rPr>
      </w:pPr>
      <w:r w:rsidRPr="0095779C">
        <w:rPr>
          <w:bCs/>
          <w:sz w:val="20"/>
          <w:szCs w:val="19"/>
          <w:lang w:val="es-419"/>
        </w:rPr>
        <w:lastRenderedPageBreak/>
        <w:t xml:space="preserve">PENSIDA </w:t>
      </w:r>
      <w:r w:rsidRPr="0095779C">
        <w:rPr>
          <w:bCs/>
          <w:sz w:val="20"/>
          <w:szCs w:val="19"/>
          <w:lang w:val="es-419"/>
        </w:rPr>
        <w:tab/>
      </w:r>
      <w:r w:rsidRPr="0095779C">
        <w:rPr>
          <w:bCs/>
          <w:sz w:val="20"/>
          <w:szCs w:val="19"/>
          <w:lang w:val="es-DO"/>
        </w:rPr>
        <w:t>Plan Estratégico Nacional de Respuesta al VIH y al Sida</w:t>
      </w:r>
    </w:p>
    <w:p w14:paraId="09083259" w14:textId="5C068807" w:rsidR="002A1AEB" w:rsidRPr="0095779C" w:rsidRDefault="002A1AEB" w:rsidP="00536995">
      <w:pPr>
        <w:spacing w:before="0" w:after="240" w:line="336" w:lineRule="auto"/>
        <w:ind w:firstLine="0"/>
        <w:contextualSpacing/>
        <w:rPr>
          <w:bCs/>
          <w:sz w:val="20"/>
          <w:szCs w:val="19"/>
          <w:lang w:val="es-DO"/>
        </w:rPr>
      </w:pPr>
      <w:r w:rsidRPr="0095779C">
        <w:rPr>
          <w:bCs/>
          <w:sz w:val="20"/>
          <w:szCs w:val="19"/>
          <w:lang w:val="es-DO"/>
        </w:rPr>
        <w:t>PMA</w:t>
      </w:r>
      <w:r w:rsidRPr="0095779C">
        <w:rPr>
          <w:bCs/>
          <w:sz w:val="20"/>
          <w:szCs w:val="19"/>
          <w:lang w:val="es-DO"/>
        </w:rPr>
        <w:tab/>
      </w:r>
      <w:r w:rsidRPr="0095779C">
        <w:rPr>
          <w:bCs/>
          <w:sz w:val="20"/>
          <w:szCs w:val="19"/>
          <w:lang w:val="es-DO"/>
        </w:rPr>
        <w:tab/>
        <w:t xml:space="preserve">Programa Mundial de Alimentos </w:t>
      </w:r>
    </w:p>
    <w:p w14:paraId="4A745394" w14:textId="41197772" w:rsidR="004D64F2" w:rsidRPr="0095779C" w:rsidRDefault="004D64F2" w:rsidP="00536995">
      <w:pPr>
        <w:spacing w:before="0" w:after="240" w:line="336" w:lineRule="auto"/>
        <w:ind w:firstLine="0"/>
        <w:contextualSpacing/>
        <w:rPr>
          <w:bCs/>
          <w:sz w:val="20"/>
          <w:szCs w:val="19"/>
          <w:lang w:val="es-DO"/>
        </w:rPr>
      </w:pPr>
      <w:r w:rsidRPr="0095779C">
        <w:rPr>
          <w:bCs/>
          <w:sz w:val="20"/>
          <w:szCs w:val="19"/>
          <w:lang w:val="es-DO"/>
        </w:rPr>
        <w:t>PNADH</w:t>
      </w:r>
      <w:r w:rsidRPr="0095779C">
        <w:rPr>
          <w:bCs/>
          <w:sz w:val="20"/>
          <w:szCs w:val="19"/>
          <w:lang w:val="es-DO"/>
        </w:rPr>
        <w:tab/>
      </w:r>
      <w:r w:rsidRPr="0095779C">
        <w:rPr>
          <w:bCs/>
          <w:sz w:val="20"/>
          <w:szCs w:val="19"/>
          <w:lang w:val="es-DO"/>
        </w:rPr>
        <w:tab/>
      </w:r>
      <w:r w:rsidRPr="0095779C">
        <w:rPr>
          <w:bCs/>
          <w:sz w:val="20"/>
          <w:szCs w:val="19"/>
          <w:lang w:val="es-CO"/>
        </w:rPr>
        <w:t>Plan Nacional de Acción en Derechos Humanos</w:t>
      </w:r>
    </w:p>
    <w:p w14:paraId="5E1C62A0" w14:textId="79AF0589" w:rsidR="005A726C" w:rsidRPr="0095779C" w:rsidRDefault="005A726C" w:rsidP="00536995">
      <w:pPr>
        <w:spacing w:before="0" w:after="240" w:line="336" w:lineRule="auto"/>
        <w:ind w:firstLine="0"/>
        <w:contextualSpacing/>
        <w:rPr>
          <w:bCs/>
          <w:sz w:val="20"/>
          <w:szCs w:val="19"/>
          <w:lang w:val="es-DO"/>
        </w:rPr>
      </w:pPr>
      <w:r w:rsidRPr="0095779C">
        <w:rPr>
          <w:bCs/>
          <w:sz w:val="20"/>
          <w:szCs w:val="19"/>
          <w:lang w:val="es-DO"/>
        </w:rPr>
        <w:t>PENTB</w:t>
      </w:r>
      <w:r w:rsidRPr="0095779C">
        <w:rPr>
          <w:bCs/>
          <w:sz w:val="20"/>
          <w:szCs w:val="19"/>
          <w:lang w:val="es-DO"/>
        </w:rPr>
        <w:tab/>
      </w:r>
      <w:r w:rsidR="003A687E" w:rsidRPr="0095779C">
        <w:rPr>
          <w:bCs/>
          <w:sz w:val="20"/>
          <w:szCs w:val="19"/>
          <w:lang w:val="es-DO"/>
        </w:rPr>
        <w:tab/>
      </w:r>
      <w:r w:rsidRPr="0095779C">
        <w:rPr>
          <w:bCs/>
          <w:sz w:val="20"/>
          <w:szCs w:val="19"/>
          <w:lang w:val="es-419"/>
        </w:rPr>
        <w:t xml:space="preserve">Plan Estratégico Nacional de Tuberculosis </w:t>
      </w:r>
    </w:p>
    <w:p w14:paraId="5C7A0946" w14:textId="38607346" w:rsidR="002A1AEB" w:rsidRPr="00326B68" w:rsidRDefault="002A1AEB" w:rsidP="00536995">
      <w:pPr>
        <w:spacing w:before="0" w:after="240" w:line="336" w:lineRule="auto"/>
        <w:ind w:firstLine="0"/>
        <w:contextualSpacing/>
        <w:rPr>
          <w:bCs/>
          <w:sz w:val="20"/>
          <w:szCs w:val="19"/>
          <w:lang w:val="en-US"/>
        </w:rPr>
      </w:pPr>
      <w:r w:rsidRPr="00326B68">
        <w:rPr>
          <w:bCs/>
          <w:sz w:val="20"/>
          <w:szCs w:val="19"/>
          <w:lang w:val="en-US"/>
        </w:rPr>
        <w:t>PEPFAR</w:t>
      </w:r>
      <w:r w:rsidRPr="00326B68">
        <w:rPr>
          <w:bCs/>
          <w:sz w:val="20"/>
          <w:szCs w:val="19"/>
          <w:lang w:val="en-US"/>
        </w:rPr>
        <w:tab/>
        <w:t xml:space="preserve">President’s Emergency Plan for AIDS Relief </w:t>
      </w:r>
    </w:p>
    <w:p w14:paraId="68C93B05" w14:textId="67332349" w:rsidR="00555ED8" w:rsidRDefault="00555ED8" w:rsidP="00536995">
      <w:pPr>
        <w:spacing w:before="0" w:after="240" w:line="336" w:lineRule="auto"/>
        <w:ind w:firstLine="0"/>
        <w:contextualSpacing/>
        <w:rPr>
          <w:bCs/>
          <w:sz w:val="20"/>
          <w:szCs w:val="19"/>
          <w:lang w:val="es-ES"/>
        </w:rPr>
      </w:pPr>
      <w:r w:rsidRPr="0095779C">
        <w:rPr>
          <w:bCs/>
          <w:sz w:val="20"/>
          <w:szCs w:val="19"/>
          <w:lang w:val="es-DO"/>
        </w:rPr>
        <w:t xml:space="preserve">PSD </w:t>
      </w:r>
      <w:r w:rsidRPr="0095779C">
        <w:rPr>
          <w:bCs/>
          <w:sz w:val="20"/>
          <w:szCs w:val="19"/>
          <w:lang w:val="es-DO"/>
        </w:rPr>
        <w:tab/>
      </w:r>
      <w:r w:rsidRPr="0095779C">
        <w:rPr>
          <w:bCs/>
          <w:sz w:val="20"/>
          <w:szCs w:val="19"/>
          <w:lang w:val="es-DO"/>
        </w:rPr>
        <w:tab/>
      </w:r>
      <w:r w:rsidRPr="0095779C">
        <w:rPr>
          <w:bCs/>
          <w:sz w:val="20"/>
          <w:szCs w:val="19"/>
          <w:lang w:val="es-ES"/>
        </w:rPr>
        <w:t>Pruebas de Sensibilidad</w:t>
      </w:r>
    </w:p>
    <w:p w14:paraId="2FDDA613" w14:textId="64C9D9FE" w:rsidR="00F17E4E" w:rsidRPr="0095779C" w:rsidRDefault="00F17E4E" w:rsidP="00536995">
      <w:pPr>
        <w:spacing w:before="0" w:after="240" w:line="336" w:lineRule="auto"/>
        <w:ind w:firstLine="0"/>
        <w:contextualSpacing/>
        <w:rPr>
          <w:bCs/>
          <w:sz w:val="20"/>
          <w:szCs w:val="19"/>
          <w:lang w:val="es-DO"/>
        </w:rPr>
      </w:pPr>
      <w:r>
        <w:rPr>
          <w:bCs/>
          <w:sz w:val="20"/>
          <w:szCs w:val="19"/>
          <w:lang w:val="es-ES"/>
        </w:rPr>
        <w:t>PTS</w:t>
      </w:r>
      <w:r>
        <w:rPr>
          <w:bCs/>
          <w:sz w:val="20"/>
          <w:szCs w:val="19"/>
          <w:lang w:val="es-ES"/>
        </w:rPr>
        <w:tab/>
      </w:r>
      <w:r>
        <w:rPr>
          <w:bCs/>
          <w:sz w:val="20"/>
          <w:szCs w:val="19"/>
          <w:lang w:val="es-ES"/>
        </w:rPr>
        <w:tab/>
        <w:t>Plan de Trabajo para la Sostenibilidad</w:t>
      </w:r>
    </w:p>
    <w:p w14:paraId="5FC9E8F4" w14:textId="5624D456" w:rsidR="003E4ADA" w:rsidRPr="003E4ADA" w:rsidRDefault="005A726C" w:rsidP="00536995">
      <w:pPr>
        <w:spacing w:before="0" w:after="240" w:line="336" w:lineRule="auto"/>
        <w:ind w:firstLine="0"/>
        <w:contextualSpacing/>
        <w:rPr>
          <w:bCs/>
          <w:sz w:val="20"/>
          <w:szCs w:val="19"/>
          <w:lang w:val="es-DO"/>
        </w:rPr>
      </w:pPr>
      <w:r w:rsidRPr="0095779C">
        <w:rPr>
          <w:bCs/>
          <w:sz w:val="20"/>
          <w:szCs w:val="19"/>
          <w:lang w:val="es-DO"/>
        </w:rPr>
        <w:t>PVIH</w:t>
      </w:r>
      <w:r w:rsidRPr="0095779C">
        <w:rPr>
          <w:bCs/>
          <w:sz w:val="20"/>
          <w:szCs w:val="19"/>
          <w:lang w:val="es-DO"/>
        </w:rPr>
        <w:tab/>
      </w:r>
      <w:r w:rsidRPr="0095779C">
        <w:rPr>
          <w:bCs/>
          <w:sz w:val="20"/>
          <w:szCs w:val="19"/>
          <w:lang w:val="es-DO"/>
        </w:rPr>
        <w:tab/>
        <w:t>Personas con VIH</w:t>
      </w:r>
    </w:p>
    <w:p w14:paraId="2163ED58" w14:textId="274DAD7B" w:rsidR="005A726C" w:rsidRPr="0095779C" w:rsidRDefault="005A726C" w:rsidP="00536995">
      <w:pPr>
        <w:spacing w:before="0" w:after="240" w:line="336" w:lineRule="auto"/>
        <w:ind w:firstLine="0"/>
        <w:contextualSpacing/>
        <w:rPr>
          <w:bCs/>
          <w:sz w:val="20"/>
          <w:szCs w:val="19"/>
          <w:lang w:val="es-419"/>
        </w:rPr>
      </w:pPr>
      <w:r w:rsidRPr="0095779C">
        <w:rPr>
          <w:bCs/>
          <w:sz w:val="20"/>
          <w:szCs w:val="19"/>
          <w:lang w:val="es-419"/>
        </w:rPr>
        <w:t>R</w:t>
      </w:r>
      <w:r w:rsidR="00177BC4" w:rsidRPr="0095779C">
        <w:rPr>
          <w:bCs/>
          <w:sz w:val="20"/>
          <w:szCs w:val="19"/>
          <w:lang w:val="es-419"/>
        </w:rPr>
        <w:t>R</w:t>
      </w:r>
      <w:r w:rsidRPr="0095779C">
        <w:rPr>
          <w:bCs/>
          <w:sz w:val="20"/>
          <w:szCs w:val="19"/>
          <w:lang w:val="es-419"/>
        </w:rPr>
        <w:t>H</w:t>
      </w:r>
      <w:r w:rsidR="00177BC4" w:rsidRPr="0095779C">
        <w:rPr>
          <w:bCs/>
          <w:sz w:val="20"/>
          <w:szCs w:val="19"/>
          <w:lang w:val="es-419"/>
        </w:rPr>
        <w:t>H</w:t>
      </w:r>
      <w:r w:rsidRPr="0095779C">
        <w:rPr>
          <w:bCs/>
          <w:sz w:val="20"/>
          <w:szCs w:val="19"/>
          <w:lang w:val="es-419"/>
        </w:rPr>
        <w:t xml:space="preserve"> </w:t>
      </w:r>
      <w:r w:rsidRPr="0095779C">
        <w:rPr>
          <w:bCs/>
          <w:sz w:val="20"/>
          <w:szCs w:val="19"/>
          <w:lang w:val="es-419"/>
        </w:rPr>
        <w:tab/>
      </w:r>
      <w:r w:rsidRPr="0095779C">
        <w:rPr>
          <w:bCs/>
          <w:sz w:val="20"/>
          <w:szCs w:val="19"/>
          <w:lang w:val="es-419"/>
        </w:rPr>
        <w:tab/>
        <w:t xml:space="preserve">Recursos humanos </w:t>
      </w:r>
    </w:p>
    <w:p w14:paraId="151BDEBD" w14:textId="08B60E7F" w:rsidR="009E79CA" w:rsidRPr="0095779C" w:rsidRDefault="009E79CA" w:rsidP="00536995">
      <w:pPr>
        <w:spacing w:before="0" w:after="240" w:line="336" w:lineRule="auto"/>
        <w:ind w:firstLine="0"/>
        <w:contextualSpacing/>
        <w:rPr>
          <w:bCs/>
          <w:sz w:val="20"/>
          <w:szCs w:val="19"/>
          <w:lang w:val="es-419"/>
        </w:rPr>
      </w:pPr>
      <w:r w:rsidRPr="0095779C">
        <w:rPr>
          <w:bCs/>
          <w:sz w:val="20"/>
          <w:szCs w:val="19"/>
          <w:lang w:val="es-419"/>
        </w:rPr>
        <w:t xml:space="preserve">RS </w:t>
      </w:r>
      <w:r w:rsidRPr="0095779C">
        <w:rPr>
          <w:bCs/>
          <w:sz w:val="20"/>
          <w:szCs w:val="19"/>
          <w:lang w:val="es-419"/>
        </w:rPr>
        <w:tab/>
      </w:r>
      <w:r w:rsidRPr="0095779C">
        <w:rPr>
          <w:bCs/>
          <w:sz w:val="20"/>
          <w:szCs w:val="19"/>
          <w:lang w:val="es-419"/>
        </w:rPr>
        <w:tab/>
        <w:t xml:space="preserve">Regiones Sanitarias </w:t>
      </w:r>
    </w:p>
    <w:p w14:paraId="11951A92" w14:textId="12F67CBB" w:rsidR="005A726C" w:rsidRPr="0095779C" w:rsidRDefault="005A726C" w:rsidP="00536995">
      <w:pPr>
        <w:spacing w:before="0" w:after="240" w:line="336" w:lineRule="auto"/>
        <w:ind w:firstLine="0"/>
        <w:contextualSpacing/>
        <w:rPr>
          <w:bCs/>
          <w:sz w:val="20"/>
          <w:szCs w:val="19"/>
          <w:lang w:val="es-419"/>
        </w:rPr>
      </w:pPr>
      <w:r w:rsidRPr="0095779C">
        <w:rPr>
          <w:bCs/>
          <w:sz w:val="20"/>
          <w:szCs w:val="19"/>
          <w:lang w:val="es-419"/>
        </w:rPr>
        <w:t xml:space="preserve">RP </w:t>
      </w:r>
      <w:r w:rsidRPr="0095779C">
        <w:rPr>
          <w:bCs/>
          <w:sz w:val="20"/>
          <w:szCs w:val="19"/>
          <w:lang w:val="es-419"/>
        </w:rPr>
        <w:tab/>
      </w:r>
      <w:r w:rsidRPr="0095779C">
        <w:rPr>
          <w:bCs/>
          <w:sz w:val="20"/>
          <w:szCs w:val="19"/>
          <w:lang w:val="es-419"/>
        </w:rPr>
        <w:tab/>
        <w:t xml:space="preserve">Receptor Principal </w:t>
      </w:r>
    </w:p>
    <w:p w14:paraId="7D9A063C" w14:textId="3386DB70" w:rsidR="00A76045" w:rsidRPr="0095779C" w:rsidRDefault="00A76045" w:rsidP="00536995">
      <w:pPr>
        <w:spacing w:before="0" w:after="240" w:line="336" w:lineRule="auto"/>
        <w:ind w:firstLine="0"/>
        <w:contextualSpacing/>
        <w:rPr>
          <w:bCs/>
          <w:sz w:val="20"/>
          <w:szCs w:val="19"/>
          <w:lang w:val="es-419"/>
        </w:rPr>
      </w:pPr>
      <w:r w:rsidRPr="0095779C">
        <w:rPr>
          <w:bCs/>
          <w:sz w:val="20"/>
          <w:szCs w:val="19"/>
          <w:lang w:val="es-419"/>
        </w:rPr>
        <w:t>RR</w:t>
      </w:r>
      <w:r w:rsidRPr="0095779C">
        <w:rPr>
          <w:bCs/>
          <w:sz w:val="20"/>
          <w:szCs w:val="19"/>
          <w:lang w:val="es-419"/>
        </w:rPr>
        <w:tab/>
      </w:r>
      <w:r w:rsidRPr="0095779C">
        <w:rPr>
          <w:bCs/>
          <w:sz w:val="20"/>
          <w:szCs w:val="19"/>
          <w:lang w:val="es-419"/>
        </w:rPr>
        <w:tab/>
        <w:t xml:space="preserve">Resistencia a rifampicina </w:t>
      </w:r>
    </w:p>
    <w:p w14:paraId="120D18BA" w14:textId="61A98932" w:rsidR="00290393" w:rsidRDefault="00290393" w:rsidP="00536995">
      <w:pPr>
        <w:spacing w:before="0" w:after="240" w:line="336" w:lineRule="auto"/>
        <w:ind w:firstLine="0"/>
        <w:contextualSpacing/>
        <w:rPr>
          <w:bCs/>
          <w:sz w:val="20"/>
          <w:szCs w:val="19"/>
          <w:lang w:val="es-DO"/>
        </w:rPr>
      </w:pPr>
      <w:r w:rsidRPr="0095779C">
        <w:rPr>
          <w:bCs/>
          <w:sz w:val="20"/>
          <w:szCs w:val="19"/>
          <w:lang w:val="es-419"/>
        </w:rPr>
        <w:t xml:space="preserve">SAI </w:t>
      </w:r>
      <w:r w:rsidRPr="0095779C">
        <w:rPr>
          <w:bCs/>
          <w:sz w:val="20"/>
          <w:szCs w:val="19"/>
          <w:lang w:val="es-419"/>
        </w:rPr>
        <w:tab/>
      </w:r>
      <w:r w:rsidRPr="0095779C">
        <w:rPr>
          <w:bCs/>
          <w:sz w:val="20"/>
          <w:szCs w:val="19"/>
          <w:lang w:val="es-419"/>
        </w:rPr>
        <w:tab/>
      </w:r>
      <w:r w:rsidRPr="0095779C">
        <w:rPr>
          <w:bCs/>
          <w:sz w:val="20"/>
          <w:szCs w:val="19"/>
          <w:lang w:val="es-DO"/>
        </w:rPr>
        <w:t>Servicios de Atención Integral para Personas con VIH</w:t>
      </w:r>
    </w:p>
    <w:p w14:paraId="4001270B" w14:textId="713381FB" w:rsidR="00FC581F" w:rsidRDefault="00FC581F" w:rsidP="00536995">
      <w:pPr>
        <w:spacing w:before="0" w:after="240" w:line="336" w:lineRule="auto"/>
        <w:ind w:firstLine="0"/>
        <w:contextualSpacing/>
        <w:rPr>
          <w:bCs/>
          <w:sz w:val="20"/>
          <w:szCs w:val="19"/>
          <w:lang w:val="es-DO"/>
        </w:rPr>
      </w:pPr>
      <w:r>
        <w:rPr>
          <w:bCs/>
          <w:sz w:val="20"/>
          <w:szCs w:val="19"/>
          <w:lang w:val="es-DO"/>
        </w:rPr>
        <w:t>SAR</w:t>
      </w:r>
      <w:r>
        <w:rPr>
          <w:bCs/>
          <w:sz w:val="20"/>
          <w:szCs w:val="19"/>
          <w:lang w:val="es-DO"/>
        </w:rPr>
        <w:tab/>
      </w:r>
      <w:r>
        <w:rPr>
          <w:bCs/>
          <w:sz w:val="20"/>
          <w:szCs w:val="19"/>
          <w:lang w:val="es-DO"/>
        </w:rPr>
        <w:tab/>
        <w:t>Servicio de Administración de Rentas en Honduras</w:t>
      </w:r>
    </w:p>
    <w:p w14:paraId="3F3009B3" w14:textId="579AE73B" w:rsidR="0009383D" w:rsidRPr="0095779C" w:rsidRDefault="0009383D" w:rsidP="00536995">
      <w:pPr>
        <w:spacing w:before="0" w:after="240" w:line="336" w:lineRule="auto"/>
        <w:ind w:firstLine="0"/>
        <w:contextualSpacing/>
        <w:rPr>
          <w:bCs/>
          <w:sz w:val="20"/>
          <w:szCs w:val="19"/>
          <w:lang w:val="es-419"/>
        </w:rPr>
      </w:pPr>
      <w:r>
        <w:rPr>
          <w:bCs/>
          <w:sz w:val="20"/>
          <w:szCs w:val="19"/>
          <w:lang w:val="es-DO"/>
        </w:rPr>
        <w:t>SCGG</w:t>
      </w:r>
      <w:r>
        <w:rPr>
          <w:bCs/>
          <w:sz w:val="20"/>
          <w:szCs w:val="19"/>
          <w:lang w:val="es-DO"/>
        </w:rPr>
        <w:tab/>
      </w:r>
      <w:r>
        <w:rPr>
          <w:bCs/>
          <w:sz w:val="20"/>
          <w:szCs w:val="19"/>
          <w:lang w:val="es-DO"/>
        </w:rPr>
        <w:tab/>
        <w:t>Secretaría de Coordinación General de Gobierno</w:t>
      </w:r>
    </w:p>
    <w:p w14:paraId="662E1687" w14:textId="55254677" w:rsidR="00143981" w:rsidRPr="0095779C" w:rsidRDefault="00143981" w:rsidP="00536995">
      <w:pPr>
        <w:spacing w:before="0" w:after="240" w:line="336" w:lineRule="auto"/>
        <w:ind w:firstLine="0"/>
        <w:contextualSpacing/>
        <w:rPr>
          <w:bCs/>
          <w:sz w:val="20"/>
          <w:szCs w:val="19"/>
          <w:lang w:val="es-419"/>
        </w:rPr>
      </w:pPr>
      <w:r w:rsidRPr="0095779C">
        <w:rPr>
          <w:bCs/>
          <w:sz w:val="20"/>
          <w:szCs w:val="19"/>
          <w:lang w:val="es-419"/>
        </w:rPr>
        <w:t>SEDH</w:t>
      </w:r>
      <w:r w:rsidRPr="0095779C">
        <w:rPr>
          <w:bCs/>
          <w:sz w:val="20"/>
          <w:szCs w:val="19"/>
          <w:lang w:val="es-419"/>
        </w:rPr>
        <w:tab/>
      </w:r>
      <w:r w:rsidRPr="0095779C">
        <w:rPr>
          <w:bCs/>
          <w:sz w:val="20"/>
          <w:szCs w:val="19"/>
          <w:lang w:val="es-419"/>
        </w:rPr>
        <w:tab/>
        <w:t xml:space="preserve">Secretaria de Derechos Humanos </w:t>
      </w:r>
    </w:p>
    <w:p w14:paraId="1DDCF1AA" w14:textId="476224A0" w:rsidR="00143981" w:rsidRPr="0095779C" w:rsidRDefault="00143981" w:rsidP="00536995">
      <w:pPr>
        <w:spacing w:before="0" w:after="240" w:line="336" w:lineRule="auto"/>
        <w:ind w:firstLine="0"/>
        <w:contextualSpacing/>
        <w:rPr>
          <w:bCs/>
          <w:sz w:val="20"/>
          <w:szCs w:val="19"/>
          <w:lang w:val="es-419"/>
        </w:rPr>
      </w:pPr>
      <w:r w:rsidRPr="0095779C">
        <w:rPr>
          <w:bCs/>
          <w:sz w:val="20"/>
          <w:szCs w:val="19"/>
          <w:lang w:val="es-419"/>
        </w:rPr>
        <w:t>SEDIS</w:t>
      </w:r>
      <w:r w:rsidRPr="0095779C">
        <w:rPr>
          <w:bCs/>
          <w:sz w:val="20"/>
          <w:szCs w:val="19"/>
          <w:lang w:val="es-419"/>
        </w:rPr>
        <w:tab/>
      </w:r>
      <w:r w:rsidRPr="0095779C">
        <w:rPr>
          <w:bCs/>
          <w:sz w:val="20"/>
          <w:szCs w:val="19"/>
          <w:lang w:val="es-419"/>
        </w:rPr>
        <w:tab/>
        <w:t xml:space="preserve">Secretaria de Desarrollo e Inclusión Social </w:t>
      </w:r>
    </w:p>
    <w:p w14:paraId="5159FA5A" w14:textId="6B07801E" w:rsidR="000B4037" w:rsidRPr="0095779C" w:rsidRDefault="000B4037" w:rsidP="00536995">
      <w:pPr>
        <w:spacing w:before="0" w:after="240" w:line="336" w:lineRule="auto"/>
        <w:ind w:firstLine="0"/>
        <w:contextualSpacing/>
        <w:rPr>
          <w:bCs/>
          <w:sz w:val="20"/>
          <w:szCs w:val="19"/>
          <w:lang w:val="es-419"/>
        </w:rPr>
      </w:pPr>
      <w:r w:rsidRPr="0095779C">
        <w:rPr>
          <w:bCs/>
          <w:sz w:val="20"/>
          <w:szCs w:val="19"/>
          <w:lang w:val="es-419"/>
        </w:rPr>
        <w:t xml:space="preserve">SEFIN </w:t>
      </w:r>
      <w:r w:rsidRPr="0095779C">
        <w:rPr>
          <w:bCs/>
          <w:sz w:val="20"/>
          <w:szCs w:val="19"/>
          <w:lang w:val="es-419"/>
        </w:rPr>
        <w:tab/>
      </w:r>
      <w:r w:rsidRPr="0095779C">
        <w:rPr>
          <w:bCs/>
          <w:sz w:val="20"/>
          <w:szCs w:val="19"/>
          <w:lang w:val="es-419"/>
        </w:rPr>
        <w:tab/>
        <w:t xml:space="preserve">Secretaria de Finanzas </w:t>
      </w:r>
    </w:p>
    <w:p w14:paraId="5FCF346D" w14:textId="69C6F1F0" w:rsidR="005A726C" w:rsidRDefault="005A726C" w:rsidP="00536995">
      <w:pPr>
        <w:spacing w:before="0" w:after="240" w:line="336" w:lineRule="auto"/>
        <w:ind w:firstLine="0"/>
        <w:contextualSpacing/>
        <w:rPr>
          <w:bCs/>
          <w:sz w:val="20"/>
          <w:szCs w:val="19"/>
          <w:lang w:val="es-419"/>
        </w:rPr>
      </w:pPr>
      <w:r w:rsidRPr="0095779C">
        <w:rPr>
          <w:bCs/>
          <w:sz w:val="20"/>
          <w:szCs w:val="19"/>
          <w:lang w:val="es-419"/>
        </w:rPr>
        <w:t xml:space="preserve">SESAL </w:t>
      </w:r>
      <w:r w:rsidRPr="0095779C">
        <w:rPr>
          <w:bCs/>
          <w:sz w:val="20"/>
          <w:szCs w:val="19"/>
          <w:lang w:val="es-419"/>
        </w:rPr>
        <w:tab/>
      </w:r>
      <w:r w:rsidR="003A687E" w:rsidRPr="0095779C">
        <w:rPr>
          <w:bCs/>
          <w:sz w:val="20"/>
          <w:szCs w:val="19"/>
          <w:lang w:val="es-419"/>
        </w:rPr>
        <w:tab/>
      </w:r>
      <w:r w:rsidRPr="0095779C">
        <w:rPr>
          <w:bCs/>
          <w:sz w:val="20"/>
          <w:szCs w:val="19"/>
          <w:lang w:val="es-419"/>
        </w:rPr>
        <w:t xml:space="preserve">Secretaría de Salud de Honduras </w:t>
      </w:r>
    </w:p>
    <w:p w14:paraId="103C85E4" w14:textId="3CB276BC" w:rsidR="008553E3" w:rsidRPr="0095779C" w:rsidRDefault="008553E3" w:rsidP="00536995">
      <w:pPr>
        <w:spacing w:before="0" w:after="240" w:line="336" w:lineRule="auto"/>
        <w:ind w:firstLine="0"/>
        <w:contextualSpacing/>
        <w:rPr>
          <w:bCs/>
          <w:sz w:val="20"/>
          <w:szCs w:val="19"/>
          <w:lang w:val="es-419"/>
        </w:rPr>
      </w:pPr>
      <w:r>
        <w:rPr>
          <w:bCs/>
          <w:sz w:val="20"/>
          <w:szCs w:val="19"/>
          <w:lang w:val="es-419"/>
        </w:rPr>
        <w:t>SIIS</w:t>
      </w:r>
      <w:r>
        <w:rPr>
          <w:bCs/>
          <w:sz w:val="20"/>
          <w:szCs w:val="19"/>
          <w:lang w:val="es-419"/>
        </w:rPr>
        <w:tab/>
      </w:r>
      <w:r>
        <w:rPr>
          <w:bCs/>
          <w:sz w:val="20"/>
          <w:szCs w:val="19"/>
          <w:lang w:val="es-419"/>
        </w:rPr>
        <w:tab/>
      </w:r>
      <w:r w:rsidRPr="008553E3">
        <w:rPr>
          <w:bCs/>
          <w:sz w:val="20"/>
          <w:szCs w:val="19"/>
          <w:lang w:val="es-419"/>
        </w:rPr>
        <w:t>Sistema Integrado de Información en Salud</w:t>
      </w:r>
    </w:p>
    <w:p w14:paraId="4C5A781B" w14:textId="77777777" w:rsidR="005A726C" w:rsidRPr="0095779C" w:rsidRDefault="005A726C" w:rsidP="00536995">
      <w:pPr>
        <w:spacing w:before="0" w:after="240" w:line="336" w:lineRule="auto"/>
        <w:ind w:firstLine="0"/>
        <w:contextualSpacing/>
        <w:rPr>
          <w:bCs/>
          <w:sz w:val="20"/>
          <w:szCs w:val="19"/>
          <w:lang w:val="es-419"/>
        </w:rPr>
      </w:pPr>
      <w:r w:rsidRPr="0095779C">
        <w:rPr>
          <w:bCs/>
          <w:sz w:val="20"/>
          <w:szCs w:val="19"/>
          <w:lang w:val="es-419"/>
        </w:rPr>
        <w:t>TAR</w:t>
      </w:r>
      <w:r w:rsidRPr="0095779C">
        <w:rPr>
          <w:bCs/>
          <w:sz w:val="20"/>
          <w:szCs w:val="19"/>
          <w:lang w:val="es-419"/>
        </w:rPr>
        <w:tab/>
      </w:r>
      <w:r w:rsidRPr="0095779C">
        <w:rPr>
          <w:bCs/>
          <w:sz w:val="20"/>
          <w:szCs w:val="19"/>
          <w:lang w:val="es-419"/>
        </w:rPr>
        <w:tab/>
        <w:t xml:space="preserve">Tratamiento antirretroviral </w:t>
      </w:r>
    </w:p>
    <w:p w14:paraId="45BE72EF" w14:textId="77777777" w:rsidR="005A726C" w:rsidRPr="0095779C" w:rsidRDefault="005A726C" w:rsidP="00536995">
      <w:pPr>
        <w:spacing w:before="0" w:after="240" w:line="336" w:lineRule="auto"/>
        <w:ind w:firstLine="0"/>
        <w:contextualSpacing/>
        <w:rPr>
          <w:bCs/>
          <w:sz w:val="20"/>
          <w:szCs w:val="19"/>
          <w:lang w:val="es-419"/>
        </w:rPr>
      </w:pPr>
      <w:r w:rsidRPr="0095779C">
        <w:rPr>
          <w:bCs/>
          <w:sz w:val="20"/>
          <w:szCs w:val="19"/>
          <w:lang w:val="es-419"/>
        </w:rPr>
        <w:t>TB</w:t>
      </w:r>
      <w:r w:rsidRPr="0095779C">
        <w:rPr>
          <w:bCs/>
          <w:sz w:val="20"/>
          <w:szCs w:val="19"/>
          <w:lang w:val="es-419"/>
        </w:rPr>
        <w:tab/>
      </w:r>
      <w:r w:rsidRPr="0095779C">
        <w:rPr>
          <w:bCs/>
          <w:sz w:val="20"/>
          <w:szCs w:val="19"/>
          <w:lang w:val="es-419"/>
        </w:rPr>
        <w:tab/>
        <w:t xml:space="preserve">Tuberculosis </w:t>
      </w:r>
    </w:p>
    <w:p w14:paraId="1C18A3C9" w14:textId="636CEC15" w:rsidR="00E23F96" w:rsidRDefault="00E23F96" w:rsidP="00536995">
      <w:pPr>
        <w:spacing w:before="0" w:after="240" w:line="336" w:lineRule="auto"/>
        <w:ind w:firstLine="0"/>
        <w:contextualSpacing/>
        <w:rPr>
          <w:sz w:val="20"/>
          <w:lang w:val="es-MX"/>
        </w:rPr>
      </w:pPr>
      <w:r w:rsidRPr="000C7A9B">
        <w:rPr>
          <w:sz w:val="20"/>
          <w:lang w:val="es-MX"/>
        </w:rPr>
        <w:t xml:space="preserve">TB-MDR </w:t>
      </w:r>
      <w:r w:rsidRPr="000C7A9B">
        <w:rPr>
          <w:sz w:val="20"/>
          <w:lang w:val="es-MX"/>
        </w:rPr>
        <w:tab/>
        <w:t>Tuberculosis resistente al tratamiento de primera línea</w:t>
      </w:r>
    </w:p>
    <w:p w14:paraId="64A9C249" w14:textId="59CE2E3F" w:rsidR="004B64A9" w:rsidRPr="004B64A9" w:rsidRDefault="004B64A9" w:rsidP="00536995">
      <w:pPr>
        <w:spacing w:before="0" w:after="240" w:line="336" w:lineRule="auto"/>
        <w:ind w:firstLine="0"/>
        <w:contextualSpacing/>
        <w:rPr>
          <w:sz w:val="20"/>
          <w:lang w:val="es-419"/>
        </w:rPr>
      </w:pPr>
      <w:r w:rsidRPr="004B64A9">
        <w:rPr>
          <w:sz w:val="20"/>
          <w:lang w:val="es-419"/>
        </w:rPr>
        <w:t>TB-RR</w:t>
      </w:r>
      <w:r w:rsidRPr="004B64A9">
        <w:rPr>
          <w:sz w:val="20"/>
          <w:lang w:val="es-419"/>
        </w:rPr>
        <w:tab/>
      </w:r>
      <w:r w:rsidRPr="004B64A9">
        <w:rPr>
          <w:sz w:val="20"/>
          <w:lang w:val="es-419"/>
        </w:rPr>
        <w:tab/>
        <w:t>Tuberculosis resistente a la rifampicina</w:t>
      </w:r>
    </w:p>
    <w:p w14:paraId="164C4E02" w14:textId="587BA467" w:rsidR="00682B0B" w:rsidRPr="000C7A9B" w:rsidRDefault="00682B0B" w:rsidP="00536995">
      <w:pPr>
        <w:spacing w:before="0" w:after="240" w:line="336" w:lineRule="auto"/>
        <w:ind w:firstLine="0"/>
        <w:contextualSpacing/>
        <w:rPr>
          <w:sz w:val="20"/>
          <w:lang w:val="es-MX"/>
        </w:rPr>
      </w:pPr>
      <w:r>
        <w:rPr>
          <w:sz w:val="20"/>
          <w:lang w:val="es-MX"/>
        </w:rPr>
        <w:t>TBTF</w:t>
      </w:r>
      <w:r>
        <w:rPr>
          <w:sz w:val="20"/>
          <w:lang w:val="es-MX"/>
        </w:rPr>
        <w:tab/>
      </w:r>
      <w:r>
        <w:rPr>
          <w:sz w:val="20"/>
          <w:lang w:val="es-MX"/>
        </w:rPr>
        <w:tab/>
        <w:t xml:space="preserve">Tuberculosis </w:t>
      </w:r>
      <w:r w:rsidR="004B64A9">
        <w:rPr>
          <w:sz w:val="20"/>
          <w:lang w:val="es-MX"/>
        </w:rPr>
        <w:t>en todas las</w:t>
      </w:r>
      <w:r>
        <w:rPr>
          <w:sz w:val="20"/>
          <w:lang w:val="es-MX"/>
        </w:rPr>
        <w:t xml:space="preserve"> formas</w:t>
      </w:r>
    </w:p>
    <w:p w14:paraId="4385FE27" w14:textId="40AC91EB" w:rsidR="00E23F96" w:rsidRDefault="00E23F96" w:rsidP="00536995">
      <w:pPr>
        <w:spacing w:before="0" w:after="240" w:line="336" w:lineRule="auto"/>
        <w:ind w:firstLine="0"/>
        <w:contextualSpacing/>
        <w:rPr>
          <w:sz w:val="20"/>
          <w:lang w:val="es-HN"/>
        </w:rPr>
      </w:pPr>
      <w:bookmarkStart w:id="13" w:name="_Hlk10549366"/>
      <w:r w:rsidRPr="000C7A9B">
        <w:rPr>
          <w:sz w:val="20"/>
          <w:lang w:val="es-MX"/>
        </w:rPr>
        <w:t xml:space="preserve">TB-XDR </w:t>
      </w:r>
      <w:r w:rsidRPr="000C7A9B">
        <w:rPr>
          <w:sz w:val="20"/>
          <w:lang w:val="es-MX"/>
        </w:rPr>
        <w:tab/>
      </w:r>
      <w:r w:rsidRPr="000C7A9B">
        <w:rPr>
          <w:sz w:val="20"/>
          <w:lang w:val="es-HN"/>
        </w:rPr>
        <w:t>Tuberculosis resistente a isoniazida y rifampicina</w:t>
      </w:r>
    </w:p>
    <w:p w14:paraId="39EF760A" w14:textId="77777777" w:rsidR="00F17E4E" w:rsidRDefault="005E2814" w:rsidP="00536995">
      <w:pPr>
        <w:spacing w:before="0" w:after="240" w:line="336" w:lineRule="auto"/>
        <w:ind w:firstLine="0"/>
        <w:contextualSpacing/>
        <w:rPr>
          <w:bCs/>
          <w:color w:val="000000"/>
          <w:sz w:val="20"/>
          <w:szCs w:val="20"/>
          <w:lang w:val="es-ES" w:eastAsia="fr-FR"/>
        </w:rPr>
      </w:pPr>
      <w:r>
        <w:rPr>
          <w:sz w:val="20"/>
          <w:lang w:val="es-HN"/>
        </w:rPr>
        <w:t>TDF</w:t>
      </w:r>
      <w:r>
        <w:rPr>
          <w:sz w:val="20"/>
          <w:lang w:val="es-HN"/>
        </w:rPr>
        <w:tab/>
      </w:r>
      <w:r>
        <w:rPr>
          <w:sz w:val="20"/>
          <w:lang w:val="es-HN"/>
        </w:rPr>
        <w:tab/>
      </w:r>
      <w:proofErr w:type="spellStart"/>
      <w:r>
        <w:rPr>
          <w:sz w:val="20"/>
          <w:lang w:val="es-HN"/>
        </w:rPr>
        <w:t>Tenofovir</w:t>
      </w:r>
      <w:proofErr w:type="spellEnd"/>
      <w:r w:rsidR="00F17E4E" w:rsidRPr="00F17E4E">
        <w:rPr>
          <w:bCs/>
          <w:color w:val="000000"/>
          <w:sz w:val="20"/>
          <w:szCs w:val="20"/>
          <w:lang w:val="es-ES" w:eastAsia="fr-FR"/>
        </w:rPr>
        <w:t xml:space="preserve"> </w:t>
      </w:r>
    </w:p>
    <w:p w14:paraId="3766AB67" w14:textId="3C820640" w:rsidR="005E2814" w:rsidRPr="000C7A9B" w:rsidRDefault="00F17E4E" w:rsidP="00536995">
      <w:pPr>
        <w:spacing w:before="0" w:after="240" w:line="336" w:lineRule="auto"/>
        <w:ind w:firstLine="0"/>
        <w:contextualSpacing/>
        <w:rPr>
          <w:bCs/>
          <w:sz w:val="18"/>
          <w:szCs w:val="19"/>
          <w:lang w:val="es-419"/>
        </w:rPr>
      </w:pPr>
      <w:r w:rsidRPr="006F74B6">
        <w:rPr>
          <w:bCs/>
          <w:color w:val="000000"/>
          <w:sz w:val="20"/>
          <w:szCs w:val="20"/>
          <w:lang w:val="es-ES" w:eastAsia="fr-FR"/>
        </w:rPr>
        <w:t>TLD</w:t>
      </w:r>
      <w:r>
        <w:rPr>
          <w:bCs/>
          <w:color w:val="000000"/>
          <w:sz w:val="20"/>
          <w:szCs w:val="20"/>
          <w:lang w:val="es-ES" w:eastAsia="fr-FR"/>
        </w:rPr>
        <w:tab/>
      </w:r>
      <w:r>
        <w:rPr>
          <w:bCs/>
          <w:color w:val="000000"/>
          <w:sz w:val="20"/>
          <w:szCs w:val="20"/>
          <w:lang w:val="es-ES" w:eastAsia="fr-FR"/>
        </w:rPr>
        <w:tab/>
        <w:t xml:space="preserve">Dosis diaria fija que combina </w:t>
      </w:r>
      <w:proofErr w:type="spellStart"/>
      <w:r>
        <w:rPr>
          <w:bCs/>
          <w:color w:val="000000"/>
          <w:sz w:val="20"/>
          <w:szCs w:val="20"/>
          <w:lang w:val="es-ES" w:eastAsia="fr-FR"/>
        </w:rPr>
        <w:t>Tenofovir</w:t>
      </w:r>
      <w:proofErr w:type="spellEnd"/>
      <w:r>
        <w:rPr>
          <w:bCs/>
          <w:color w:val="000000"/>
          <w:sz w:val="20"/>
          <w:szCs w:val="20"/>
          <w:lang w:val="es-ES" w:eastAsia="fr-FR"/>
        </w:rPr>
        <w:t xml:space="preserve">, </w:t>
      </w:r>
      <w:proofErr w:type="spellStart"/>
      <w:r>
        <w:rPr>
          <w:bCs/>
          <w:color w:val="000000"/>
          <w:sz w:val="20"/>
          <w:szCs w:val="20"/>
          <w:lang w:val="es-ES" w:eastAsia="fr-FR"/>
        </w:rPr>
        <w:t>Disoproxilo</w:t>
      </w:r>
      <w:proofErr w:type="spellEnd"/>
      <w:r>
        <w:rPr>
          <w:bCs/>
          <w:color w:val="000000"/>
          <w:sz w:val="20"/>
          <w:szCs w:val="20"/>
          <w:lang w:val="es-ES" w:eastAsia="fr-FR"/>
        </w:rPr>
        <w:t xml:space="preserve"> fumarato, </w:t>
      </w:r>
      <w:proofErr w:type="spellStart"/>
      <w:r>
        <w:rPr>
          <w:bCs/>
          <w:color w:val="000000"/>
          <w:sz w:val="20"/>
          <w:szCs w:val="20"/>
          <w:lang w:val="es-ES" w:eastAsia="fr-FR"/>
        </w:rPr>
        <w:t>Lamivudina</w:t>
      </w:r>
      <w:proofErr w:type="spellEnd"/>
      <w:r>
        <w:rPr>
          <w:bCs/>
          <w:color w:val="000000"/>
          <w:sz w:val="20"/>
          <w:szCs w:val="20"/>
          <w:lang w:val="es-ES" w:eastAsia="fr-FR"/>
        </w:rPr>
        <w:t xml:space="preserve"> y </w:t>
      </w:r>
      <w:proofErr w:type="spellStart"/>
      <w:r>
        <w:rPr>
          <w:bCs/>
          <w:color w:val="000000"/>
          <w:sz w:val="20"/>
          <w:szCs w:val="20"/>
          <w:lang w:val="es-ES" w:eastAsia="fr-FR"/>
        </w:rPr>
        <w:t>Dolutegravir</w:t>
      </w:r>
      <w:proofErr w:type="spellEnd"/>
    </w:p>
    <w:bookmarkEnd w:id="13"/>
    <w:p w14:paraId="1EAD9BD9" w14:textId="406920B5" w:rsidR="005A726C" w:rsidRPr="0095779C" w:rsidRDefault="005A726C" w:rsidP="00536995">
      <w:pPr>
        <w:spacing w:before="0" w:after="240" w:line="336" w:lineRule="auto"/>
        <w:ind w:firstLine="0"/>
        <w:contextualSpacing/>
        <w:rPr>
          <w:bCs/>
          <w:sz w:val="20"/>
          <w:szCs w:val="19"/>
          <w:lang w:val="es-419"/>
        </w:rPr>
      </w:pPr>
      <w:r w:rsidRPr="0095779C">
        <w:rPr>
          <w:bCs/>
          <w:sz w:val="20"/>
          <w:szCs w:val="19"/>
          <w:lang w:val="es-419"/>
        </w:rPr>
        <w:t>TRANS</w:t>
      </w:r>
      <w:r w:rsidRPr="0095779C">
        <w:rPr>
          <w:bCs/>
          <w:sz w:val="20"/>
          <w:szCs w:val="19"/>
          <w:lang w:val="es-419"/>
        </w:rPr>
        <w:tab/>
      </w:r>
      <w:r w:rsidR="00E23F96" w:rsidRPr="0095779C">
        <w:rPr>
          <w:bCs/>
          <w:sz w:val="20"/>
          <w:szCs w:val="19"/>
          <w:lang w:val="es-419"/>
        </w:rPr>
        <w:tab/>
      </w:r>
      <w:r w:rsidRPr="0095779C">
        <w:rPr>
          <w:bCs/>
          <w:sz w:val="20"/>
          <w:szCs w:val="19"/>
          <w:lang w:val="es-419"/>
        </w:rPr>
        <w:t xml:space="preserve">Mujeres trans </w:t>
      </w:r>
    </w:p>
    <w:p w14:paraId="054092DA" w14:textId="259F3DD9" w:rsidR="005A726C" w:rsidRDefault="005A726C" w:rsidP="00536995">
      <w:pPr>
        <w:spacing w:before="0" w:after="240" w:line="336" w:lineRule="auto"/>
        <w:ind w:firstLine="0"/>
        <w:contextualSpacing/>
        <w:rPr>
          <w:bCs/>
          <w:sz w:val="20"/>
          <w:szCs w:val="19"/>
          <w:lang w:val="es-419"/>
        </w:rPr>
      </w:pPr>
      <w:r w:rsidRPr="0095779C">
        <w:rPr>
          <w:bCs/>
          <w:sz w:val="20"/>
          <w:szCs w:val="19"/>
          <w:lang w:val="es-DO"/>
        </w:rPr>
        <w:t xml:space="preserve">UAFCE </w:t>
      </w:r>
      <w:r w:rsidR="003A687E" w:rsidRPr="0095779C">
        <w:rPr>
          <w:bCs/>
          <w:sz w:val="20"/>
          <w:szCs w:val="19"/>
          <w:lang w:val="es-DO"/>
        </w:rPr>
        <w:tab/>
      </w:r>
      <w:r w:rsidRPr="0095779C">
        <w:rPr>
          <w:bCs/>
          <w:sz w:val="20"/>
          <w:szCs w:val="19"/>
          <w:lang w:val="es-DO"/>
        </w:rPr>
        <w:tab/>
      </w:r>
      <w:r w:rsidRPr="0095779C">
        <w:rPr>
          <w:bCs/>
          <w:sz w:val="20"/>
          <w:szCs w:val="19"/>
          <w:lang w:val="es-419"/>
        </w:rPr>
        <w:t>Unidad Administradora de Fondos de Cooperación Externos</w:t>
      </w:r>
    </w:p>
    <w:p w14:paraId="6914673A" w14:textId="1ECD7BB0" w:rsidR="0003215E" w:rsidRPr="0095779C" w:rsidRDefault="0003215E" w:rsidP="00536995">
      <w:pPr>
        <w:spacing w:before="0" w:after="240" w:line="336" w:lineRule="auto"/>
        <w:ind w:firstLine="0"/>
        <w:contextualSpacing/>
        <w:rPr>
          <w:bCs/>
          <w:sz w:val="20"/>
          <w:szCs w:val="19"/>
          <w:lang w:val="es-419"/>
        </w:rPr>
      </w:pPr>
      <w:bookmarkStart w:id="14" w:name="_Hlk10552541"/>
      <w:r>
        <w:rPr>
          <w:bCs/>
          <w:sz w:val="20"/>
          <w:szCs w:val="19"/>
          <w:lang w:val="es-419"/>
        </w:rPr>
        <w:t>UGI</w:t>
      </w:r>
      <w:r>
        <w:rPr>
          <w:bCs/>
          <w:sz w:val="20"/>
          <w:szCs w:val="19"/>
          <w:lang w:val="es-419"/>
        </w:rPr>
        <w:tab/>
      </w:r>
      <w:r>
        <w:rPr>
          <w:bCs/>
          <w:sz w:val="20"/>
          <w:szCs w:val="19"/>
          <w:lang w:val="es-419"/>
        </w:rPr>
        <w:tab/>
        <w:t>Unidad de Gestión de la Información</w:t>
      </w:r>
    </w:p>
    <w:p w14:paraId="5C701A2B" w14:textId="69C9AAF5" w:rsidR="00034C2A" w:rsidRPr="0095779C" w:rsidRDefault="00034C2A" w:rsidP="00536995">
      <w:pPr>
        <w:spacing w:before="0" w:after="240" w:line="336" w:lineRule="auto"/>
        <w:ind w:firstLine="0"/>
        <w:contextualSpacing/>
        <w:rPr>
          <w:bCs/>
          <w:sz w:val="20"/>
          <w:szCs w:val="19"/>
          <w:lang w:val="es-419"/>
        </w:rPr>
      </w:pPr>
      <w:r w:rsidRPr="0095779C">
        <w:rPr>
          <w:bCs/>
          <w:sz w:val="20"/>
          <w:szCs w:val="19"/>
          <w:lang w:val="es-419"/>
        </w:rPr>
        <w:t xml:space="preserve">ULMIE </w:t>
      </w:r>
      <w:r w:rsidRPr="0095779C">
        <w:rPr>
          <w:bCs/>
          <w:sz w:val="20"/>
          <w:szCs w:val="19"/>
          <w:lang w:val="es-419"/>
        </w:rPr>
        <w:tab/>
      </w:r>
      <w:r w:rsidRPr="0095779C">
        <w:rPr>
          <w:bCs/>
          <w:sz w:val="20"/>
          <w:szCs w:val="19"/>
          <w:lang w:val="es-419"/>
        </w:rPr>
        <w:tab/>
        <w:t xml:space="preserve">Unidad de Logística de Medicamentos, Insumos y Equipamiento </w:t>
      </w:r>
    </w:p>
    <w:p w14:paraId="227F8C6A" w14:textId="74414DF1" w:rsidR="00F50007" w:rsidRPr="0095779C" w:rsidRDefault="00F50007" w:rsidP="00536995">
      <w:pPr>
        <w:spacing w:before="0" w:after="240" w:line="336" w:lineRule="auto"/>
        <w:ind w:firstLine="0"/>
        <w:contextualSpacing/>
        <w:rPr>
          <w:bCs/>
          <w:sz w:val="20"/>
          <w:szCs w:val="19"/>
          <w:lang w:val="es-419"/>
        </w:rPr>
      </w:pPr>
      <w:r w:rsidRPr="0095779C">
        <w:rPr>
          <w:bCs/>
          <w:sz w:val="20"/>
          <w:szCs w:val="19"/>
          <w:lang w:val="es-419"/>
        </w:rPr>
        <w:t xml:space="preserve">UPEG </w:t>
      </w:r>
      <w:r w:rsidRPr="0095779C">
        <w:rPr>
          <w:bCs/>
          <w:sz w:val="20"/>
          <w:szCs w:val="19"/>
          <w:lang w:val="es-419"/>
        </w:rPr>
        <w:tab/>
      </w:r>
      <w:r w:rsidRPr="0095779C">
        <w:rPr>
          <w:bCs/>
          <w:sz w:val="20"/>
          <w:szCs w:val="19"/>
          <w:lang w:val="es-419"/>
        </w:rPr>
        <w:tab/>
        <w:t xml:space="preserve">Unidad de Planeamiento y Evaluación de Gestión </w:t>
      </w:r>
    </w:p>
    <w:bookmarkEnd w:id="14"/>
    <w:p w14:paraId="194E5F75" w14:textId="152E1C78" w:rsidR="005A726C" w:rsidRDefault="005A726C" w:rsidP="00536995">
      <w:pPr>
        <w:spacing w:before="0" w:after="240" w:line="336" w:lineRule="auto"/>
        <w:ind w:firstLine="0"/>
        <w:contextualSpacing/>
        <w:rPr>
          <w:bCs/>
          <w:sz w:val="20"/>
          <w:szCs w:val="19"/>
          <w:lang w:val="es-DO"/>
        </w:rPr>
      </w:pPr>
      <w:r w:rsidRPr="0095779C">
        <w:rPr>
          <w:bCs/>
          <w:sz w:val="20"/>
          <w:szCs w:val="19"/>
          <w:lang w:val="es-419"/>
        </w:rPr>
        <w:t xml:space="preserve">USAID </w:t>
      </w:r>
      <w:r w:rsidRPr="0095779C">
        <w:rPr>
          <w:bCs/>
          <w:sz w:val="20"/>
          <w:szCs w:val="19"/>
          <w:lang w:val="es-419"/>
        </w:rPr>
        <w:tab/>
      </w:r>
      <w:r w:rsidR="003A687E" w:rsidRPr="0095779C">
        <w:rPr>
          <w:bCs/>
          <w:sz w:val="20"/>
          <w:szCs w:val="19"/>
          <w:lang w:val="es-419"/>
        </w:rPr>
        <w:tab/>
      </w:r>
      <w:r w:rsidRPr="0095779C">
        <w:rPr>
          <w:bCs/>
          <w:sz w:val="20"/>
          <w:szCs w:val="19"/>
          <w:lang w:val="es-419"/>
        </w:rPr>
        <w:t xml:space="preserve">Agencia de </w:t>
      </w:r>
      <w:r w:rsidRPr="0095779C">
        <w:rPr>
          <w:bCs/>
          <w:sz w:val="20"/>
          <w:szCs w:val="19"/>
          <w:lang w:val="es-DO"/>
        </w:rPr>
        <w:t>los Estados Unidos para Desarrollo Internacional</w:t>
      </w:r>
    </w:p>
    <w:p w14:paraId="2506EF9A" w14:textId="6A977CD6" w:rsidR="001722E6" w:rsidRPr="0095779C" w:rsidRDefault="001722E6" w:rsidP="00536995">
      <w:pPr>
        <w:spacing w:before="0" w:after="240" w:line="336" w:lineRule="auto"/>
        <w:ind w:firstLine="0"/>
        <w:contextualSpacing/>
        <w:rPr>
          <w:bCs/>
          <w:sz w:val="20"/>
          <w:szCs w:val="19"/>
          <w:lang w:val="es-DO"/>
        </w:rPr>
      </w:pPr>
      <w:bookmarkStart w:id="15" w:name="_Hlk10552560"/>
      <w:r>
        <w:rPr>
          <w:bCs/>
          <w:sz w:val="20"/>
          <w:szCs w:val="19"/>
          <w:lang w:val="es-DO"/>
        </w:rPr>
        <w:t>UVS</w:t>
      </w:r>
      <w:r>
        <w:rPr>
          <w:bCs/>
          <w:sz w:val="20"/>
          <w:szCs w:val="19"/>
          <w:lang w:val="es-DO"/>
        </w:rPr>
        <w:tab/>
      </w:r>
      <w:r>
        <w:rPr>
          <w:bCs/>
          <w:sz w:val="20"/>
          <w:szCs w:val="19"/>
          <w:lang w:val="es-DO"/>
        </w:rPr>
        <w:tab/>
        <w:t>Unidad de Vigilancia en Salud</w:t>
      </w:r>
    </w:p>
    <w:p w14:paraId="04C293E5" w14:textId="074D771C" w:rsidR="003A687E" w:rsidRPr="0095779C" w:rsidRDefault="003A687E" w:rsidP="00536995">
      <w:pPr>
        <w:spacing w:before="0" w:after="240" w:line="336" w:lineRule="auto"/>
        <w:ind w:firstLine="0"/>
        <w:contextualSpacing/>
        <w:rPr>
          <w:bCs/>
          <w:sz w:val="20"/>
          <w:szCs w:val="19"/>
          <w:lang w:val="es-419"/>
        </w:rPr>
      </w:pPr>
      <w:r w:rsidRPr="0095779C">
        <w:rPr>
          <w:bCs/>
          <w:sz w:val="20"/>
          <w:szCs w:val="19"/>
          <w:lang w:val="es-DO"/>
        </w:rPr>
        <w:t xml:space="preserve">VICITS </w:t>
      </w:r>
      <w:r w:rsidRPr="0095779C">
        <w:rPr>
          <w:bCs/>
          <w:sz w:val="20"/>
          <w:szCs w:val="19"/>
          <w:lang w:val="es-DO"/>
        </w:rPr>
        <w:tab/>
      </w:r>
      <w:r w:rsidRPr="0095779C">
        <w:rPr>
          <w:bCs/>
          <w:sz w:val="20"/>
          <w:szCs w:val="19"/>
          <w:lang w:val="es-DO"/>
        </w:rPr>
        <w:tab/>
        <w:t>Vigilancia Centinela de las Infecciones de Transmisión Sexual</w:t>
      </w:r>
    </w:p>
    <w:bookmarkEnd w:id="15"/>
    <w:p w14:paraId="6EB0D010" w14:textId="77777777" w:rsidR="005A726C" w:rsidRPr="0095779C" w:rsidRDefault="005A726C" w:rsidP="00536995">
      <w:pPr>
        <w:spacing w:before="0" w:after="240" w:line="336" w:lineRule="auto"/>
        <w:ind w:firstLine="0"/>
        <w:contextualSpacing/>
        <w:rPr>
          <w:bCs/>
          <w:sz w:val="20"/>
          <w:szCs w:val="19"/>
          <w:lang w:val="es-419"/>
        </w:rPr>
      </w:pPr>
      <w:r w:rsidRPr="0095779C">
        <w:rPr>
          <w:bCs/>
          <w:sz w:val="20"/>
          <w:szCs w:val="19"/>
          <w:lang w:val="es-419"/>
        </w:rPr>
        <w:t>VIH/Sida</w:t>
      </w:r>
      <w:r w:rsidRPr="0095779C">
        <w:rPr>
          <w:bCs/>
          <w:sz w:val="20"/>
          <w:szCs w:val="19"/>
          <w:lang w:val="es-419"/>
        </w:rPr>
        <w:tab/>
        <w:t>Virus de inmunodeficiencia humana/Síndrome de inmunodeficiencia adquirida</w:t>
      </w:r>
    </w:p>
    <w:p w14:paraId="1CFA41B8" w14:textId="77777777" w:rsidR="005C7E91" w:rsidRPr="005A726C" w:rsidRDefault="005C7E91" w:rsidP="00F948D1">
      <w:pPr>
        <w:ind w:firstLine="0"/>
        <w:rPr>
          <w:lang w:val="es-419"/>
        </w:rPr>
        <w:sectPr w:rsidR="005C7E91" w:rsidRPr="005A726C" w:rsidSect="005C7E91">
          <w:footerReference w:type="default" r:id="rId10"/>
          <w:pgSz w:w="12240" w:h="15840"/>
          <w:pgMar w:top="1440" w:right="1440" w:bottom="1440" w:left="1440" w:header="720" w:footer="720" w:gutter="0"/>
          <w:pgNumType w:fmt="lowerRoman"/>
          <w:cols w:space="720"/>
          <w:docGrid w:linePitch="360"/>
        </w:sectPr>
      </w:pPr>
    </w:p>
    <w:p w14:paraId="47B7EE42" w14:textId="77777777" w:rsidR="0066332A" w:rsidRPr="005C7E91" w:rsidRDefault="00E31C9D" w:rsidP="00F948D1">
      <w:pPr>
        <w:pStyle w:val="Heading1"/>
        <w:ind w:firstLine="0"/>
      </w:pPr>
      <w:bookmarkStart w:id="16" w:name="_Toc8381154"/>
      <w:r w:rsidRPr="005C7E91">
        <w:lastRenderedPageBreak/>
        <w:t>Objetivos del Plan de Trabajo para la Sostenibilidad</w:t>
      </w:r>
      <w:bookmarkEnd w:id="16"/>
      <w:r w:rsidRPr="005C7E91">
        <w:t xml:space="preserve"> </w:t>
      </w:r>
    </w:p>
    <w:p w14:paraId="763C3F94" w14:textId="45983852" w:rsidR="00B27A9F" w:rsidRPr="00C8323B" w:rsidRDefault="00E816F6" w:rsidP="00F948D1">
      <w:pPr>
        <w:ind w:firstLine="0"/>
        <w:rPr>
          <w:lang w:val="es-GT"/>
        </w:rPr>
      </w:pPr>
      <w:bookmarkStart w:id="17" w:name="_Hlk107086"/>
      <w:r w:rsidRPr="00C8323B">
        <w:rPr>
          <w:lang w:val="es-GT"/>
        </w:rPr>
        <w:t>La política de Sostenibilidad, Transición y Cofinanciamiento del Fondo Mundial (FM</w:t>
      </w:r>
      <w:r w:rsidR="00517066" w:rsidRPr="00C8323B">
        <w:rPr>
          <w:lang w:val="es-GT"/>
        </w:rPr>
        <w:t>)</w:t>
      </w:r>
      <w:r w:rsidR="0044697E">
        <w:rPr>
          <w:lang w:val="es-GT"/>
        </w:rPr>
        <w:t xml:space="preserve"> </w:t>
      </w:r>
      <w:r w:rsidRPr="00C8323B">
        <w:rPr>
          <w:lang w:val="es-GT"/>
        </w:rPr>
        <w:t>recomienda encarecidamente a todos los países que incluyan la planificación de la sostenibilidad en el diseño de sus programas y subvenciones, independientemente de donde se encuentren en el continuo del desarrollo.</w:t>
      </w:r>
      <w:r w:rsidR="00B27A9F" w:rsidRPr="00C8323B">
        <w:rPr>
          <w:lang w:val="es-GT"/>
        </w:rPr>
        <w:t xml:space="preserve"> El FM define sostenibilidad como:  </w:t>
      </w:r>
    </w:p>
    <w:p w14:paraId="005FF64C" w14:textId="77777777" w:rsidR="000A1346" w:rsidRPr="00C8323B" w:rsidRDefault="000A1346" w:rsidP="00F948D1">
      <w:pPr>
        <w:ind w:left="709" w:right="571" w:firstLine="0"/>
        <w:rPr>
          <w:i/>
          <w:lang w:val="es-GT"/>
        </w:rPr>
      </w:pPr>
      <w:r w:rsidRPr="00C8323B">
        <w:rPr>
          <w:i/>
          <w:lang w:val="es-GT"/>
        </w:rPr>
        <w:t>la capacidad de un programa de salud o de un país de mantener y ampliar la cobertura de servicios a un nivel, en línea con su contexto epidemiológico, que proporcione un control constante de un problema de salud pública y apoye los esfuerzos para la eliminación de las tres enfermedades, incluso tras retirar el financiamiento externo del Fondo Mundial y de otros importantes donantes externos</w:t>
      </w:r>
      <w:r w:rsidR="00B27A9F" w:rsidRPr="00C8323B">
        <w:rPr>
          <w:i/>
          <w:lang w:val="es-GT"/>
        </w:rPr>
        <w:t>.</w:t>
      </w:r>
    </w:p>
    <w:p w14:paraId="7C7879E1" w14:textId="77777777" w:rsidR="000A1346" w:rsidRPr="00C8323B" w:rsidRDefault="000A1346" w:rsidP="00F948D1">
      <w:pPr>
        <w:ind w:firstLine="0"/>
        <w:rPr>
          <w:lang w:val="es-GT"/>
        </w:rPr>
      </w:pPr>
      <w:r w:rsidRPr="00C8323B">
        <w:rPr>
          <w:lang w:val="es-GT"/>
        </w:rPr>
        <w:t>Esa misma organización define transición como:</w:t>
      </w:r>
    </w:p>
    <w:p w14:paraId="34E89664" w14:textId="77777777" w:rsidR="00B27A9F" w:rsidRPr="00C8323B" w:rsidRDefault="00517066" w:rsidP="00F948D1">
      <w:pPr>
        <w:ind w:left="709" w:right="571" w:firstLine="0"/>
        <w:rPr>
          <w:i/>
          <w:lang w:val="es-GT"/>
        </w:rPr>
      </w:pPr>
      <w:r w:rsidRPr="00C8323B">
        <w:rPr>
          <w:i/>
          <w:lang w:val="es-GT"/>
        </w:rPr>
        <w:t>e</w:t>
      </w:r>
      <w:r w:rsidR="000A1346" w:rsidRPr="00C8323B">
        <w:rPr>
          <w:i/>
          <w:lang w:val="es-GT"/>
        </w:rPr>
        <w:t>l mecanismo por el cual un país, o un componente de país, avanza hacia el financiamiento y la ejecución de sus programas de salud sin el apoyo del Fondo Mundial, al tiempo que se mantienen y amplían los beneficios, según proceda</w:t>
      </w:r>
      <w:r w:rsidR="00B27A9F" w:rsidRPr="00C8323B">
        <w:rPr>
          <w:i/>
          <w:lang w:val="es-GT"/>
        </w:rPr>
        <w:t>.</w:t>
      </w:r>
      <w:r w:rsidR="000A1346" w:rsidRPr="00C8323B">
        <w:rPr>
          <w:rStyle w:val="FootnoteReference"/>
          <w:i/>
          <w:lang w:val="es-GT"/>
        </w:rPr>
        <w:footnoteReference w:id="3"/>
      </w:r>
    </w:p>
    <w:bookmarkEnd w:id="17"/>
    <w:p w14:paraId="59DE4089" w14:textId="4B6AD633" w:rsidR="0066332A" w:rsidRPr="00C8323B" w:rsidRDefault="00B27A9F" w:rsidP="00F948D1">
      <w:pPr>
        <w:ind w:firstLine="0"/>
        <w:rPr>
          <w:lang w:val="es-GT"/>
        </w:rPr>
      </w:pPr>
      <w:r w:rsidRPr="00180A13">
        <w:rPr>
          <w:lang w:val="es-GT"/>
        </w:rPr>
        <w:t>Además, la política del FM señala que todos los países de ingresos medios altos deben prepararse temprana y sistemáticamente para la disminución progresiva y el eventual término del apoyo del FM</w:t>
      </w:r>
      <w:r w:rsidRPr="00C8323B">
        <w:rPr>
          <w:lang w:val="es-GT"/>
        </w:rPr>
        <w:t xml:space="preserve">. Esto aplica especialmente en aquellos países cuyas economías continúan creciendo y cuya carga de VIH, tuberculosis y malaria está </w:t>
      </w:r>
      <w:r w:rsidR="00B91D4A" w:rsidRPr="00C8323B">
        <w:rPr>
          <w:lang w:val="es-GT"/>
        </w:rPr>
        <w:t>disminuyendo</w:t>
      </w:r>
      <w:r w:rsidR="0066332A" w:rsidRPr="00C8323B">
        <w:rPr>
          <w:lang w:val="es-GT"/>
        </w:rPr>
        <w:t xml:space="preserve">. </w:t>
      </w:r>
    </w:p>
    <w:p w14:paraId="3E5EA92D" w14:textId="355C610F" w:rsidR="00047098" w:rsidRPr="00C8323B" w:rsidRDefault="00047098" w:rsidP="00F948D1">
      <w:pPr>
        <w:ind w:firstLine="0"/>
      </w:pPr>
      <w:r w:rsidRPr="00C8323B">
        <w:t xml:space="preserve">Para apoyar a </w:t>
      </w:r>
      <w:r w:rsidR="00C8323B" w:rsidRPr="00C8323B">
        <w:t>Honduras</w:t>
      </w:r>
      <w:r w:rsidRPr="00C8323B">
        <w:t xml:space="preserve"> en el desarrollo de su </w:t>
      </w:r>
      <w:r w:rsidR="00B91D4A" w:rsidRPr="00C8323B">
        <w:t xml:space="preserve">estrategia de sostenibilidad </w:t>
      </w:r>
      <w:r w:rsidR="00C8323B" w:rsidRPr="00C8323B">
        <w:t xml:space="preserve">para VIH y TB </w:t>
      </w:r>
      <w:r w:rsidR="00B91D4A" w:rsidRPr="00C8323B">
        <w:t>(</w:t>
      </w:r>
      <w:r w:rsidRPr="00C8323B">
        <w:t>ES</w:t>
      </w:r>
      <w:r w:rsidR="00B91D4A" w:rsidRPr="00C8323B">
        <w:t>)</w:t>
      </w:r>
      <w:r w:rsidRPr="00C8323B">
        <w:t xml:space="preserve">, el FM contrató a un equipo consultor de las empresas </w:t>
      </w:r>
      <w:r w:rsidRPr="00C8323B">
        <w:rPr>
          <w:i/>
        </w:rPr>
        <w:t xml:space="preserve">Pharos </w:t>
      </w:r>
      <w:r w:rsidRPr="00C8323B">
        <w:rPr>
          <w:i/>
          <w:lang w:val="es-ES"/>
        </w:rPr>
        <w:t xml:space="preserve">Global </w:t>
      </w:r>
      <w:proofErr w:type="spellStart"/>
      <w:r w:rsidRPr="00C8323B">
        <w:rPr>
          <w:i/>
          <w:lang w:val="es-ES"/>
        </w:rPr>
        <w:t>Health</w:t>
      </w:r>
      <w:proofErr w:type="spellEnd"/>
      <w:r w:rsidRPr="00C8323B">
        <w:rPr>
          <w:i/>
          <w:lang w:val="es-ES"/>
        </w:rPr>
        <w:t xml:space="preserve"> </w:t>
      </w:r>
      <w:proofErr w:type="spellStart"/>
      <w:r w:rsidRPr="00C8323B">
        <w:rPr>
          <w:i/>
          <w:lang w:val="es-ES"/>
        </w:rPr>
        <w:t>Advisors</w:t>
      </w:r>
      <w:proofErr w:type="spellEnd"/>
      <w:r w:rsidRPr="00C8323B">
        <w:t xml:space="preserve"> (Pharos) y </w:t>
      </w:r>
      <w:proofErr w:type="spellStart"/>
      <w:r w:rsidRPr="00C8323B">
        <w:rPr>
          <w:i/>
        </w:rPr>
        <w:t>Bitrán</w:t>
      </w:r>
      <w:proofErr w:type="spellEnd"/>
      <w:r w:rsidRPr="00C8323B">
        <w:rPr>
          <w:i/>
        </w:rPr>
        <w:t xml:space="preserve"> y Asociados</w:t>
      </w:r>
      <w:r w:rsidRPr="00C8323B">
        <w:t xml:space="preserve"> (</w:t>
      </w:r>
      <w:proofErr w:type="spellStart"/>
      <w:r w:rsidRPr="00C8323B">
        <w:t>ByA</w:t>
      </w:r>
      <w:proofErr w:type="spellEnd"/>
      <w:r w:rsidRPr="00C8323B">
        <w:t xml:space="preserve">). Les encomendó los siguientes objetivos: </w:t>
      </w:r>
    </w:p>
    <w:p w14:paraId="508D0248" w14:textId="71F0CB07" w:rsidR="00047098" w:rsidRPr="00C8323B" w:rsidRDefault="00047098" w:rsidP="00444EA6">
      <w:pPr>
        <w:pStyle w:val="ListParagraph"/>
        <w:numPr>
          <w:ilvl w:val="0"/>
          <w:numId w:val="3"/>
        </w:numPr>
        <w:tabs>
          <w:tab w:val="left" w:pos="1260"/>
        </w:tabs>
        <w:ind w:left="709" w:firstLine="0"/>
        <w:contextualSpacing w:val="0"/>
        <w:rPr>
          <w:sz w:val="20"/>
          <w:szCs w:val="20"/>
          <w:lang w:val="es-ES" w:eastAsia="en-US"/>
        </w:rPr>
      </w:pPr>
      <w:r w:rsidRPr="00C8323B">
        <w:rPr>
          <w:lang w:val="es-ES"/>
        </w:rPr>
        <w:t xml:space="preserve">Elaborar un análisis de los principales retos, riesgos y oportunidades para la sostenibilidad de la respuesta al VIH </w:t>
      </w:r>
      <w:r w:rsidR="00C8323B" w:rsidRPr="00C8323B">
        <w:rPr>
          <w:lang w:val="es-ES"/>
        </w:rPr>
        <w:t>y TB e</w:t>
      </w:r>
      <w:r w:rsidRPr="00C8323B">
        <w:rPr>
          <w:lang w:val="es-ES"/>
        </w:rPr>
        <w:t xml:space="preserve">n </w:t>
      </w:r>
      <w:r w:rsidR="00C8323B" w:rsidRPr="00C8323B">
        <w:rPr>
          <w:lang w:val="es-ES"/>
        </w:rPr>
        <w:t>Honduras</w:t>
      </w:r>
      <w:r w:rsidRPr="00C8323B">
        <w:rPr>
          <w:lang w:val="es-ES"/>
        </w:rPr>
        <w:t>.</w:t>
      </w:r>
    </w:p>
    <w:p w14:paraId="4C9D6351" w14:textId="5DBFBFA4" w:rsidR="00047098" w:rsidRPr="00C8323B" w:rsidRDefault="00047098" w:rsidP="00444EA6">
      <w:pPr>
        <w:pStyle w:val="ListParagraph"/>
        <w:numPr>
          <w:ilvl w:val="0"/>
          <w:numId w:val="3"/>
        </w:numPr>
        <w:tabs>
          <w:tab w:val="left" w:pos="1260"/>
        </w:tabs>
        <w:ind w:left="709" w:firstLine="0"/>
        <w:contextualSpacing w:val="0"/>
        <w:rPr>
          <w:lang w:val="es-ES"/>
        </w:rPr>
      </w:pPr>
      <w:r w:rsidRPr="00C8323B">
        <w:rPr>
          <w:lang w:val="es-ES"/>
        </w:rPr>
        <w:t xml:space="preserve">Apoyar la construcción colectiva de la </w:t>
      </w:r>
      <w:r w:rsidR="00C8323B" w:rsidRPr="00C8323B">
        <w:rPr>
          <w:lang w:val="es-ES"/>
        </w:rPr>
        <w:t>ES</w:t>
      </w:r>
      <w:r w:rsidRPr="00C8323B">
        <w:rPr>
          <w:lang w:val="es-ES"/>
        </w:rPr>
        <w:t xml:space="preserve"> para la respuesta al VIH</w:t>
      </w:r>
      <w:r w:rsidR="00C8323B" w:rsidRPr="00C8323B">
        <w:rPr>
          <w:lang w:val="es-ES"/>
        </w:rPr>
        <w:t xml:space="preserve"> y a la TB</w:t>
      </w:r>
      <w:r w:rsidRPr="00C8323B">
        <w:rPr>
          <w:lang w:val="es-ES"/>
        </w:rPr>
        <w:t xml:space="preserve"> en el país, incluyendo la definición de prioridades, las líneas de acción clave para alcanzar esas prioridades, el financiamiento requerido para implementar las líneas de acción y el plan de monitoreo de la estrategia.</w:t>
      </w:r>
    </w:p>
    <w:p w14:paraId="4CF7E820" w14:textId="77777777" w:rsidR="00047098" w:rsidRPr="00C8323B" w:rsidRDefault="00047098" w:rsidP="00444EA6">
      <w:pPr>
        <w:pStyle w:val="ListParagraph"/>
        <w:numPr>
          <w:ilvl w:val="0"/>
          <w:numId w:val="3"/>
        </w:numPr>
        <w:tabs>
          <w:tab w:val="left" w:pos="1260"/>
        </w:tabs>
        <w:ind w:left="709" w:firstLine="0"/>
        <w:contextualSpacing w:val="0"/>
        <w:rPr>
          <w:lang w:val="es-ES"/>
        </w:rPr>
      </w:pPr>
      <w:r w:rsidRPr="00C8323B">
        <w:rPr>
          <w:lang w:val="es-ES"/>
        </w:rPr>
        <w:t xml:space="preserve">Facilitar la participación de las partes interesadas en la definición de la ES. </w:t>
      </w:r>
    </w:p>
    <w:p w14:paraId="1E0687FB" w14:textId="36259182" w:rsidR="00047098" w:rsidRPr="001872A3" w:rsidRDefault="00047098" w:rsidP="00F05CFB">
      <w:pPr>
        <w:pStyle w:val="Normal-RE"/>
      </w:pPr>
      <w:r w:rsidRPr="00C8323B">
        <w:rPr>
          <w:rStyle w:val="Normal-RECar"/>
        </w:rPr>
        <w:t>Este documento presenta el trabajo realizado por los consultores para cumplir con los objetivos (b) y (c)</w:t>
      </w:r>
      <w:r w:rsidRPr="00C8323B">
        <w:t>.</w:t>
      </w:r>
      <w:r>
        <w:t xml:space="preserve"> </w:t>
      </w:r>
    </w:p>
    <w:p w14:paraId="7B9B6014" w14:textId="77777777" w:rsidR="00047098" w:rsidRPr="00C96E9C" w:rsidRDefault="00047098" w:rsidP="00F948D1">
      <w:pPr>
        <w:pStyle w:val="Heading1"/>
        <w:ind w:firstLine="0"/>
      </w:pPr>
      <w:bookmarkStart w:id="18" w:name="_Toc32764"/>
      <w:bookmarkStart w:id="19" w:name="_Toc8381155"/>
      <w:bookmarkEnd w:id="0"/>
      <w:r w:rsidRPr="00C96E9C">
        <w:lastRenderedPageBreak/>
        <w:t>Metodología</w:t>
      </w:r>
      <w:bookmarkEnd w:id="18"/>
      <w:bookmarkEnd w:id="19"/>
    </w:p>
    <w:p w14:paraId="7B56CE66" w14:textId="4C77DD0A" w:rsidR="001055FF" w:rsidRDefault="00047098" w:rsidP="00F948D1">
      <w:pPr>
        <w:ind w:firstLine="0"/>
        <w:rPr>
          <w:rFonts w:eastAsia="Calibri, Calibri"/>
        </w:rPr>
      </w:pPr>
      <w:r w:rsidRPr="003065B4">
        <w:t xml:space="preserve">Además de usar la guía para la transición elaborada por </w:t>
      </w:r>
      <w:proofErr w:type="spellStart"/>
      <w:r w:rsidRPr="003065B4">
        <w:rPr>
          <w:i/>
        </w:rPr>
        <w:t>Aceso</w:t>
      </w:r>
      <w:proofErr w:type="spellEnd"/>
      <w:r w:rsidRPr="003065B4">
        <w:rPr>
          <w:i/>
        </w:rPr>
        <w:t xml:space="preserve"> Global</w:t>
      </w:r>
      <w:r w:rsidRPr="003065B4">
        <w:t xml:space="preserve"> y </w:t>
      </w:r>
      <w:r w:rsidRPr="003065B4">
        <w:rPr>
          <w:rFonts w:eastAsia="Calibri, Calibri"/>
        </w:rPr>
        <w:t xml:space="preserve">APMG </w:t>
      </w:r>
      <w:proofErr w:type="spellStart"/>
      <w:r w:rsidRPr="003065B4">
        <w:rPr>
          <w:rFonts w:eastAsia="Calibri, Calibri"/>
          <w:i/>
          <w:lang w:val="es-ES"/>
        </w:rPr>
        <w:t>Health</w:t>
      </w:r>
      <w:proofErr w:type="spellEnd"/>
      <w:r w:rsidRPr="003065B4">
        <w:rPr>
          <w:rFonts w:eastAsia="Calibri, Calibri"/>
        </w:rPr>
        <w:t xml:space="preserve">, los consultores desarrollaron y </w:t>
      </w:r>
      <w:r w:rsidR="00830CC1">
        <w:rPr>
          <w:rFonts w:eastAsia="Calibri, Calibri"/>
        </w:rPr>
        <w:t>utilizaron</w:t>
      </w:r>
      <w:r w:rsidRPr="003065B4">
        <w:rPr>
          <w:rFonts w:eastAsia="Calibri, Calibri"/>
        </w:rPr>
        <w:t xml:space="preserve"> para este trabajo un marco conceptual que les</w:t>
      </w:r>
      <w:r w:rsidRPr="003065B4">
        <w:t xml:space="preserve"> </w:t>
      </w:r>
      <w:r w:rsidRPr="003065B4">
        <w:rPr>
          <w:rFonts w:eastAsia="Calibri, Calibri"/>
        </w:rPr>
        <w:t>permitió definir los</w:t>
      </w:r>
      <w:r w:rsidRPr="00551860">
        <w:rPr>
          <w:rFonts w:eastAsia="Calibri, Calibri"/>
        </w:rPr>
        <w:t xml:space="preserve"> </w:t>
      </w:r>
      <w:r w:rsidR="003065B4" w:rsidRPr="00551860">
        <w:rPr>
          <w:rFonts w:eastAsia="Calibri, Calibri"/>
        </w:rPr>
        <w:t>7</w:t>
      </w:r>
      <w:r w:rsidRPr="00551860">
        <w:rPr>
          <w:rFonts w:eastAsia="Calibri, Calibri"/>
        </w:rPr>
        <w:t xml:space="preserve"> principales riesgos de </w:t>
      </w:r>
      <w:r w:rsidR="00881B27" w:rsidRPr="00551860">
        <w:rPr>
          <w:rFonts w:eastAsia="Calibri, Calibri"/>
        </w:rPr>
        <w:t>sostenibilidad</w:t>
      </w:r>
      <w:r w:rsidRPr="003065B4">
        <w:rPr>
          <w:rFonts w:eastAsia="Calibri, Calibri"/>
        </w:rPr>
        <w:t xml:space="preserve"> </w:t>
      </w:r>
      <w:r w:rsidR="00C2466F">
        <w:rPr>
          <w:rFonts w:eastAsia="Calibri, Calibri"/>
        </w:rPr>
        <w:t xml:space="preserve">planteando </w:t>
      </w:r>
      <w:r w:rsidRPr="003065B4">
        <w:rPr>
          <w:rFonts w:eastAsia="Calibri, Calibri"/>
        </w:rPr>
        <w:t>sus causas y posibles acciones de política para</w:t>
      </w:r>
      <w:r w:rsidR="00851978">
        <w:rPr>
          <w:rFonts w:eastAsia="Calibri, Calibri"/>
        </w:rPr>
        <w:t xml:space="preserve"> su</w:t>
      </w:r>
      <w:r w:rsidRPr="003065B4">
        <w:rPr>
          <w:rFonts w:eastAsia="Calibri, Calibri"/>
        </w:rPr>
        <w:t xml:space="preserve"> mitiga</w:t>
      </w:r>
      <w:r w:rsidR="00851978">
        <w:rPr>
          <w:rFonts w:eastAsia="Calibri, Calibri"/>
        </w:rPr>
        <w:t>ción</w:t>
      </w:r>
      <w:r w:rsidRPr="003065B4">
        <w:rPr>
          <w:rFonts w:eastAsia="Calibri, Calibri"/>
        </w:rPr>
        <w:t>.</w:t>
      </w:r>
      <w:r w:rsidRPr="003065B4">
        <w:rPr>
          <w:rStyle w:val="FootnoteReference"/>
          <w:rFonts w:eastAsia="Calibri, Calibri"/>
        </w:rPr>
        <w:footnoteReference w:id="4"/>
      </w:r>
      <w:r w:rsidRPr="003065B4">
        <w:rPr>
          <w:rFonts w:eastAsia="Calibri, Calibri"/>
        </w:rPr>
        <w:t xml:space="preserve"> </w:t>
      </w:r>
    </w:p>
    <w:p w14:paraId="4B310B4F" w14:textId="5453F462" w:rsidR="001055FF" w:rsidRDefault="00851978" w:rsidP="00F948D1">
      <w:pPr>
        <w:ind w:firstLine="0"/>
        <w:rPr>
          <w:rFonts w:eastAsia="Calibri, Calibri"/>
        </w:rPr>
      </w:pPr>
      <w:r>
        <w:rPr>
          <w:rFonts w:eastAsia="Calibri, Calibri"/>
        </w:rPr>
        <w:t>L</w:t>
      </w:r>
      <w:r w:rsidR="00047098" w:rsidRPr="003065B4">
        <w:rPr>
          <w:rFonts w:eastAsia="Calibri, Calibri"/>
        </w:rPr>
        <w:t xml:space="preserve">os </w:t>
      </w:r>
      <w:r w:rsidR="00047098" w:rsidRPr="003065B4">
        <w:rPr>
          <w:rFonts w:eastAsia="Calibri, Calibri"/>
          <w:b/>
          <w:i/>
        </w:rPr>
        <w:t>objetivos últimos</w:t>
      </w:r>
      <w:r w:rsidR="00047098" w:rsidRPr="003065B4">
        <w:rPr>
          <w:rFonts w:eastAsia="Calibri, Calibri"/>
        </w:rPr>
        <w:t xml:space="preserve"> del país en materia de VIH son </w:t>
      </w:r>
      <w:r>
        <w:rPr>
          <w:rFonts w:eastAsia="Calibri, Calibri"/>
        </w:rPr>
        <w:t>alcanzar en el 2020 las metas 90-90-90 impulsadas por Naciones Unidas y suscritas por el Estado de Honduras, lo cual permitirá alcanzar</w:t>
      </w:r>
      <w:r w:rsidRPr="003065B4">
        <w:rPr>
          <w:rFonts w:eastAsia="Calibri, Calibri"/>
        </w:rPr>
        <w:t xml:space="preserve"> la </w:t>
      </w:r>
      <w:r w:rsidR="00BA52ED">
        <w:rPr>
          <w:rFonts w:eastAsia="Calibri, Calibri"/>
        </w:rPr>
        <w:t>eliminación de la transmisió</w:t>
      </w:r>
      <w:r w:rsidRPr="003065B4">
        <w:rPr>
          <w:rFonts w:eastAsia="Calibri, Calibri"/>
        </w:rPr>
        <w:t>n del VIH o, al menos, una tasa de transmisión cercana a cero en el año 2030</w:t>
      </w:r>
      <w:r w:rsidR="00047098" w:rsidRPr="003065B4">
        <w:rPr>
          <w:rFonts w:eastAsia="Calibri, Calibri"/>
        </w:rPr>
        <w:t xml:space="preserve">. Para ello, </w:t>
      </w:r>
      <w:r w:rsidR="00BA52ED">
        <w:rPr>
          <w:rFonts w:eastAsia="Calibri, Calibri"/>
        </w:rPr>
        <w:t>se</w:t>
      </w:r>
      <w:r w:rsidR="00047098" w:rsidRPr="003065B4">
        <w:rPr>
          <w:rFonts w:eastAsia="Calibri, Calibri"/>
        </w:rPr>
        <w:t xml:space="preserve"> debe lograr </w:t>
      </w:r>
      <w:r w:rsidR="00047098" w:rsidRPr="003065B4">
        <w:rPr>
          <w:rFonts w:eastAsia="Calibri, Calibri"/>
          <w:i/>
        </w:rPr>
        <w:t>reducir la cantidad de nuevos casos</w:t>
      </w:r>
      <w:r w:rsidR="00047098" w:rsidRPr="003065B4">
        <w:rPr>
          <w:rFonts w:eastAsia="Calibri, Calibri"/>
        </w:rPr>
        <w:t xml:space="preserve">, </w:t>
      </w:r>
      <w:r w:rsidR="00047098" w:rsidRPr="003065B4">
        <w:rPr>
          <w:rFonts w:eastAsia="Calibri, Calibri"/>
          <w:i/>
        </w:rPr>
        <w:t>disminuir la mortalidad</w:t>
      </w:r>
      <w:r w:rsidR="00047098" w:rsidRPr="003065B4">
        <w:rPr>
          <w:rFonts w:eastAsia="Calibri, Calibri"/>
        </w:rPr>
        <w:t xml:space="preserve"> por el VIH y </w:t>
      </w:r>
      <w:r w:rsidR="00047098" w:rsidRPr="003065B4">
        <w:rPr>
          <w:rFonts w:eastAsia="Calibri, Calibri"/>
          <w:i/>
        </w:rPr>
        <w:t>minimizar la transmisión de madre a hijo</w:t>
      </w:r>
      <w:r w:rsidR="00047098" w:rsidRPr="003065B4">
        <w:rPr>
          <w:rFonts w:eastAsia="Calibri, Calibri"/>
        </w:rPr>
        <w:t xml:space="preserve">. </w:t>
      </w:r>
    </w:p>
    <w:p w14:paraId="12E81B24" w14:textId="4741A524" w:rsidR="001055FF" w:rsidRDefault="00C77584" w:rsidP="00F948D1">
      <w:pPr>
        <w:ind w:firstLine="0"/>
        <w:rPr>
          <w:rFonts w:eastAsia="Calibri, Calibri"/>
        </w:rPr>
      </w:pPr>
      <w:r>
        <w:rPr>
          <w:rFonts w:eastAsia="Calibri, Calibri"/>
        </w:rPr>
        <w:t xml:space="preserve">En materia de TB los </w:t>
      </w:r>
      <w:r w:rsidRPr="009F0992">
        <w:rPr>
          <w:rFonts w:eastAsia="Calibri, Calibri"/>
          <w:b/>
          <w:i/>
        </w:rPr>
        <w:t>objetivos últimos</w:t>
      </w:r>
      <w:r>
        <w:rPr>
          <w:rFonts w:eastAsia="Calibri, Calibri"/>
        </w:rPr>
        <w:t xml:space="preserve"> son </w:t>
      </w:r>
      <w:r w:rsidR="00BA52ED">
        <w:rPr>
          <w:rFonts w:eastAsia="Calibri, Calibri"/>
        </w:rPr>
        <w:t>aquellos</w:t>
      </w:r>
      <w:r w:rsidR="001055FF">
        <w:rPr>
          <w:rFonts w:eastAsia="Calibri, Calibri"/>
        </w:rPr>
        <w:t xml:space="preserve"> </w:t>
      </w:r>
      <w:r w:rsidR="00D01644">
        <w:rPr>
          <w:rFonts w:eastAsia="Calibri, Calibri"/>
        </w:rPr>
        <w:t>de la Estrategia “Fin a la Tuberculosis”</w:t>
      </w:r>
      <w:r w:rsidR="00D01644" w:rsidRPr="00D01644">
        <w:t xml:space="preserve"> </w:t>
      </w:r>
      <w:r w:rsidR="00D01644" w:rsidRPr="00D01644">
        <w:rPr>
          <w:rFonts w:eastAsia="Calibri, Calibri"/>
        </w:rPr>
        <w:t xml:space="preserve">que consiste en </w:t>
      </w:r>
      <w:r w:rsidR="00D01644" w:rsidRPr="00551860">
        <w:rPr>
          <w:rFonts w:eastAsia="Calibri, Calibri"/>
          <w:i/>
        </w:rPr>
        <w:t>reducir la</w:t>
      </w:r>
      <w:r w:rsidR="00D01644" w:rsidRPr="00D01644">
        <w:rPr>
          <w:rFonts w:eastAsia="Calibri, Calibri"/>
        </w:rPr>
        <w:t xml:space="preserve"> </w:t>
      </w:r>
      <w:r w:rsidR="00D01644" w:rsidRPr="00551860">
        <w:rPr>
          <w:rFonts w:eastAsia="Calibri, Calibri"/>
          <w:i/>
        </w:rPr>
        <w:t xml:space="preserve">mortalidad </w:t>
      </w:r>
      <w:r w:rsidR="00551860" w:rsidRPr="00551860">
        <w:rPr>
          <w:rFonts w:eastAsia="Calibri, Calibri"/>
          <w:i/>
        </w:rPr>
        <w:t>por tuberculosis</w:t>
      </w:r>
      <w:r w:rsidR="00551860">
        <w:rPr>
          <w:rFonts w:eastAsia="Calibri, Calibri"/>
        </w:rPr>
        <w:t xml:space="preserve"> </w:t>
      </w:r>
      <w:r w:rsidR="00D01644" w:rsidRPr="00D01644">
        <w:rPr>
          <w:rFonts w:eastAsia="Calibri, Calibri"/>
        </w:rPr>
        <w:t xml:space="preserve">en un 90%, y </w:t>
      </w:r>
      <w:r w:rsidR="00551860" w:rsidRPr="00551860">
        <w:rPr>
          <w:rFonts w:eastAsia="Calibri, Calibri"/>
          <w:i/>
        </w:rPr>
        <w:t xml:space="preserve">disminuir </w:t>
      </w:r>
      <w:r w:rsidR="00D01644" w:rsidRPr="00551860">
        <w:rPr>
          <w:rFonts w:eastAsia="Calibri, Calibri"/>
          <w:i/>
        </w:rPr>
        <w:t>su incidencia</w:t>
      </w:r>
      <w:r w:rsidR="00D01644" w:rsidRPr="00D01644">
        <w:rPr>
          <w:rFonts w:eastAsia="Calibri, Calibri"/>
        </w:rPr>
        <w:t xml:space="preserve"> en un 80% a 2030, en comparación con las cifras de 2015</w:t>
      </w:r>
      <w:r>
        <w:rPr>
          <w:rFonts w:eastAsia="Calibri, Calibri"/>
        </w:rPr>
        <w:t xml:space="preserve">. </w:t>
      </w:r>
      <w:r w:rsidRPr="003065B4">
        <w:rPr>
          <w:rFonts w:eastAsia="Calibri, Calibri"/>
        </w:rPr>
        <w:t>Estas metas deben guiar las acciones de los diversos actores involucrados en la respuesta nacional al VIH</w:t>
      </w:r>
      <w:r w:rsidR="009D2FE8">
        <w:rPr>
          <w:rFonts w:eastAsia="Calibri, Calibri"/>
        </w:rPr>
        <w:t xml:space="preserve"> y a la TB</w:t>
      </w:r>
      <w:r w:rsidRPr="003065B4">
        <w:rPr>
          <w:rFonts w:eastAsia="Calibri, Calibri"/>
        </w:rPr>
        <w:t xml:space="preserve">. </w:t>
      </w:r>
    </w:p>
    <w:p w14:paraId="12C1CC70" w14:textId="4FA22544" w:rsidR="00047098" w:rsidRPr="003065B4" w:rsidRDefault="00047098" w:rsidP="00F948D1">
      <w:pPr>
        <w:ind w:firstLine="0"/>
      </w:pPr>
      <w:r w:rsidRPr="003065B4">
        <w:rPr>
          <w:rFonts w:eastAsia="Calibri, Calibri"/>
        </w:rPr>
        <w:t xml:space="preserve">El marco conceptual también contempla el logro de </w:t>
      </w:r>
      <w:r w:rsidRPr="00551860">
        <w:rPr>
          <w:rFonts w:eastAsia="Calibri, Calibri"/>
          <w:b/>
          <w:i/>
        </w:rPr>
        <w:t xml:space="preserve">objetivos intermedios </w:t>
      </w:r>
      <w:r w:rsidRPr="00551860">
        <w:rPr>
          <w:rFonts w:eastAsia="Calibri, Calibri"/>
        </w:rPr>
        <w:t>que son la mejor</w:t>
      </w:r>
      <w:r w:rsidR="00D12754">
        <w:rPr>
          <w:rFonts w:eastAsia="Calibri, Calibri"/>
        </w:rPr>
        <w:t>a</w:t>
      </w:r>
      <w:r w:rsidRPr="00551860">
        <w:rPr>
          <w:rFonts w:eastAsia="Calibri, Calibri"/>
        </w:rPr>
        <w:t xml:space="preserve"> de la eficiencia, la calidad y el acceso a la atención</w:t>
      </w:r>
      <w:r w:rsidR="00F65887">
        <w:rPr>
          <w:rFonts w:eastAsia="Calibri, Calibri"/>
        </w:rPr>
        <w:t>,</w:t>
      </w:r>
      <w:r w:rsidRPr="00551860">
        <w:rPr>
          <w:rFonts w:eastAsia="Calibri, Calibri"/>
        </w:rPr>
        <w:t xml:space="preserve"> y la reducción del estigma y la discriminación</w:t>
      </w:r>
      <w:r w:rsidRPr="003065B4">
        <w:rPr>
          <w:rFonts w:eastAsia="Calibri, Calibri"/>
        </w:rPr>
        <w:t xml:space="preserve">. </w:t>
      </w:r>
      <w:r w:rsidR="006B014F" w:rsidRPr="006B014F">
        <w:rPr>
          <w:rFonts w:eastAsia="Calibri, Calibri"/>
        </w:rPr>
        <w:t xml:space="preserve"> </w:t>
      </w:r>
    </w:p>
    <w:p w14:paraId="2FCCB131" w14:textId="63941467" w:rsidR="00047098" w:rsidRPr="003065B4" w:rsidRDefault="00047098" w:rsidP="00F948D1">
      <w:pPr>
        <w:ind w:firstLine="0"/>
      </w:pPr>
      <w:r w:rsidRPr="003065B4">
        <w:rPr>
          <w:rFonts w:eastAsia="Calibri, Calibri"/>
        </w:rPr>
        <w:t xml:space="preserve">En el contexto de este estudio, </w:t>
      </w:r>
      <w:r w:rsidR="00566EA3" w:rsidRPr="003065B4">
        <w:rPr>
          <w:rFonts w:eastAsia="Calibri, Calibri"/>
        </w:rPr>
        <w:t xml:space="preserve">se </w:t>
      </w:r>
      <w:r w:rsidRPr="003065B4">
        <w:rPr>
          <w:rFonts w:eastAsia="Calibri, Calibri"/>
        </w:rPr>
        <w:t xml:space="preserve">define como </w:t>
      </w:r>
      <w:r w:rsidRPr="003065B4">
        <w:rPr>
          <w:rFonts w:eastAsia="Calibri, Calibri"/>
          <w:b/>
          <w:i/>
        </w:rPr>
        <w:t xml:space="preserve">riesgo de </w:t>
      </w:r>
      <w:r w:rsidR="00881B27" w:rsidRPr="003065B4">
        <w:rPr>
          <w:rFonts w:eastAsia="Calibri, Calibri"/>
          <w:b/>
          <w:i/>
        </w:rPr>
        <w:t>sostenibilidad</w:t>
      </w:r>
      <w:r w:rsidRPr="003065B4">
        <w:rPr>
          <w:rFonts w:eastAsia="Calibri, Calibri"/>
        </w:rPr>
        <w:t xml:space="preserve"> a todo evento que interfiera con la capacidad del país para identificar y resolver las causas de uno o más problemas de desempeño en el ámbito del VIH/sida</w:t>
      </w:r>
      <w:r w:rsidR="003065B4">
        <w:rPr>
          <w:rFonts w:eastAsia="Calibri, Calibri"/>
        </w:rPr>
        <w:t xml:space="preserve"> y TB</w:t>
      </w:r>
      <w:r w:rsidRPr="003065B4">
        <w:rPr>
          <w:rFonts w:eastAsia="Calibri, Calibri"/>
        </w:rPr>
        <w:t xml:space="preserve">. </w:t>
      </w:r>
      <w:r w:rsidR="00F8282C">
        <w:rPr>
          <w:rFonts w:eastAsia="Calibri, Calibri"/>
        </w:rPr>
        <w:t xml:space="preserve">Para la identificación de riesgos de sostenibilidad hemos profundizado el análisis en cuatro áreas principales: provisión de servicios, financiamiento, organizaciones de la sociedad civil y derechos humanos, y gobernanza e instituciones. La identificación de riesgos se utilizaron herramientas como la “Guía para el análisis de la preparación para la transición del Fondo Mundial”. </w:t>
      </w:r>
      <w:r w:rsidR="00474900">
        <w:rPr>
          <w:rStyle w:val="FootnoteReference"/>
          <w:rFonts w:eastAsia="Calibri, Calibri"/>
        </w:rPr>
        <w:footnoteReference w:id="5"/>
      </w:r>
      <w:r w:rsidRPr="003065B4">
        <w:rPr>
          <w:rFonts w:eastAsia="Calibri, Calibri"/>
        </w:rPr>
        <w:t xml:space="preserve">Más </w:t>
      </w:r>
      <w:r w:rsidR="00F65887">
        <w:rPr>
          <w:rFonts w:eastAsia="Calibri, Calibri"/>
        </w:rPr>
        <w:t xml:space="preserve">adelante </w:t>
      </w:r>
      <w:r w:rsidRPr="003065B4">
        <w:rPr>
          <w:rFonts w:eastAsia="Calibri, Calibri"/>
        </w:rPr>
        <w:t>en este resumen se presentan los riesgos identificados durante el trabajo y las acciones que deberían ayudar a mitigarlos.</w:t>
      </w:r>
    </w:p>
    <w:p w14:paraId="5AB669BC" w14:textId="5025AB27" w:rsidR="00047098" w:rsidRPr="003065B4" w:rsidRDefault="00047098" w:rsidP="00F948D1">
      <w:pPr>
        <w:ind w:firstLine="0"/>
      </w:pPr>
      <w:r w:rsidRPr="003065B4">
        <w:rPr>
          <w:rFonts w:eastAsia="Calibri, Calibri"/>
        </w:rPr>
        <w:t>La primera fase del estudio se concentró en la recopilación y revisión de fuentes bibliográficas sobre la respuesta nacional al VIH/sida</w:t>
      </w:r>
      <w:r w:rsidR="003065B4">
        <w:rPr>
          <w:rFonts w:eastAsia="Calibri, Calibri"/>
        </w:rPr>
        <w:t xml:space="preserve"> y TB</w:t>
      </w:r>
      <w:r w:rsidRPr="003065B4">
        <w:rPr>
          <w:rFonts w:eastAsia="Calibri, Calibri"/>
        </w:rPr>
        <w:t xml:space="preserve"> en </w:t>
      </w:r>
      <w:r w:rsidR="003065B4">
        <w:rPr>
          <w:rFonts w:eastAsia="Calibri, Calibri"/>
        </w:rPr>
        <w:t>Honduras</w:t>
      </w:r>
      <w:r w:rsidRPr="003065B4">
        <w:rPr>
          <w:rFonts w:eastAsia="Calibri, Calibri"/>
        </w:rPr>
        <w:t xml:space="preserve">; y en la formulación de preguntas para orientar las entrevistas en profundidad y las discusiones con informantes calificados a fin de obtener datos sobre las áreas de interés para la </w:t>
      </w:r>
      <w:r w:rsidR="003065B4">
        <w:rPr>
          <w:rFonts w:eastAsia="Calibri, Calibri"/>
        </w:rPr>
        <w:t>sostenibilidad.</w:t>
      </w:r>
    </w:p>
    <w:p w14:paraId="23032F55" w14:textId="38E480E9" w:rsidR="00047098" w:rsidRPr="003065B4" w:rsidRDefault="001F7E1C" w:rsidP="00F948D1">
      <w:pPr>
        <w:ind w:firstLine="0"/>
        <w:rPr>
          <w:rFonts w:eastAsia="Calibri, Calibri"/>
        </w:rPr>
      </w:pPr>
      <w:r>
        <w:rPr>
          <w:rFonts w:eastAsia="Calibri, Calibri"/>
        </w:rPr>
        <w:t>Posteriormente</w:t>
      </w:r>
      <w:r w:rsidR="00047098" w:rsidRPr="003065B4">
        <w:rPr>
          <w:rFonts w:eastAsia="Calibri, Calibri"/>
        </w:rPr>
        <w:t>, los consultores viajaron al país y participaron en entrevistas y talleres con un conjunto amplio de actores vinculados con el VIH/sida</w:t>
      </w:r>
      <w:r w:rsidR="00CA1715">
        <w:rPr>
          <w:rFonts w:eastAsia="Calibri, Calibri"/>
        </w:rPr>
        <w:t xml:space="preserve"> y TB</w:t>
      </w:r>
      <w:r w:rsidR="00047098" w:rsidRPr="003065B4">
        <w:rPr>
          <w:rFonts w:eastAsia="Calibri, Calibri"/>
        </w:rPr>
        <w:t xml:space="preserve">. </w:t>
      </w:r>
      <w:r w:rsidR="005C7E91" w:rsidRPr="003065B4">
        <w:rPr>
          <w:rFonts w:eastAsia="Calibri, Calibri"/>
        </w:rPr>
        <w:t>Durante esa visita, p</w:t>
      </w:r>
      <w:r w:rsidR="00047098" w:rsidRPr="003065B4">
        <w:rPr>
          <w:rFonts w:eastAsia="Calibri, Calibri"/>
        </w:rPr>
        <w:t xml:space="preserve">resentaron </w:t>
      </w:r>
      <w:r w:rsidR="005C7E91" w:rsidRPr="003065B4">
        <w:rPr>
          <w:rFonts w:eastAsia="Calibri, Calibri"/>
        </w:rPr>
        <w:t>sus hallazgos</w:t>
      </w:r>
      <w:r w:rsidR="00047098" w:rsidRPr="003065B4">
        <w:rPr>
          <w:rFonts w:eastAsia="Calibri, Calibri"/>
        </w:rPr>
        <w:t xml:space="preserve"> preliminares frente a los miembros del Mecanismo de Coordinación País (MCP) y a representantes de otras instituciones vinculadas con el VIH</w:t>
      </w:r>
      <w:r w:rsidR="00FC542E">
        <w:rPr>
          <w:rFonts w:eastAsia="Calibri, Calibri"/>
        </w:rPr>
        <w:t xml:space="preserve"> y la TB</w:t>
      </w:r>
      <w:r w:rsidR="00047098" w:rsidRPr="003065B4">
        <w:rPr>
          <w:rFonts w:eastAsia="Calibri, Calibri"/>
        </w:rPr>
        <w:t>, incluyendo a</w:t>
      </w:r>
      <w:r w:rsidR="00AB26E8">
        <w:rPr>
          <w:rFonts w:eastAsia="Calibri, Calibri"/>
        </w:rPr>
        <w:t xml:space="preserve"> la Secretaría de Salud </w:t>
      </w:r>
      <w:r w:rsidR="00B415E6" w:rsidRPr="00B415E6">
        <w:rPr>
          <w:rFonts w:eastAsia="Calibri, Calibri"/>
        </w:rPr>
        <w:t>de Honduras</w:t>
      </w:r>
      <w:r w:rsidR="00047098" w:rsidRPr="003065B4">
        <w:rPr>
          <w:rFonts w:eastAsia="Calibri, Calibri"/>
        </w:rPr>
        <w:t xml:space="preserve"> y organizaciones nacionales e internacionales de cooperación. </w:t>
      </w:r>
      <w:bookmarkStart w:id="20" w:name="_Hlk533506117"/>
    </w:p>
    <w:p w14:paraId="4C3BA825" w14:textId="42DF95F3" w:rsidR="00713C11" w:rsidRPr="00047098" w:rsidRDefault="00047098" w:rsidP="00F948D1">
      <w:pPr>
        <w:ind w:firstLine="0"/>
        <w:rPr>
          <w:rFonts w:asciiTheme="majorHAnsi" w:eastAsiaTheme="majorEastAsia" w:hAnsiTheme="majorHAnsi" w:cstheme="majorBidi"/>
          <w:color w:val="2E74B5" w:themeColor="accent1" w:themeShade="BF"/>
          <w:sz w:val="32"/>
          <w:szCs w:val="32"/>
          <w:lang w:val="es-GT"/>
        </w:rPr>
      </w:pPr>
      <w:r w:rsidRPr="003065B4">
        <w:rPr>
          <w:rFonts w:eastAsia="Calibri, Calibri"/>
        </w:rPr>
        <w:t>Por último, en una segunda visita al país, los autores sometieron los resultados preliminares de su trabajo a una validación con los principales actores de la respuesta nacional</w:t>
      </w:r>
      <w:r w:rsidR="0060253C">
        <w:rPr>
          <w:rFonts w:eastAsia="Calibri, Calibri"/>
        </w:rPr>
        <w:t xml:space="preserve">, especialmente con representantes de la sociedad civil en la Ceiba, San Pedro Sula y Tegucigalpa, </w:t>
      </w:r>
      <w:r w:rsidRPr="003065B4">
        <w:rPr>
          <w:rFonts w:eastAsia="Calibri, Calibri"/>
        </w:rPr>
        <w:t xml:space="preserve">e incorporaron los aportes recopilados durante los talleres y reuniones con dichos actores para producir la presente versión del </w:t>
      </w:r>
      <w:bookmarkEnd w:id="20"/>
      <w:r w:rsidR="00F65887">
        <w:rPr>
          <w:rFonts w:eastAsia="Calibri, Calibri"/>
        </w:rPr>
        <w:t>documento</w:t>
      </w:r>
      <w:r w:rsidRPr="003065B4">
        <w:rPr>
          <w:rFonts w:eastAsia="Calibri, Calibri"/>
        </w:rPr>
        <w:t>.</w:t>
      </w:r>
    </w:p>
    <w:p w14:paraId="06A8BD9E" w14:textId="29FB0737" w:rsidR="005E2A78" w:rsidRDefault="005E2A78" w:rsidP="00F948D1">
      <w:pPr>
        <w:pStyle w:val="Heading1"/>
        <w:ind w:left="357" w:firstLine="0"/>
      </w:pPr>
      <w:bookmarkStart w:id="21" w:name="_Toc8381156"/>
      <w:bookmarkStart w:id="22" w:name="_Toc32765"/>
      <w:r>
        <w:lastRenderedPageBreak/>
        <w:t>Situación epidemiológica del VIH y TB en Honduras</w:t>
      </w:r>
      <w:bookmarkEnd w:id="21"/>
    </w:p>
    <w:p w14:paraId="60D038C3" w14:textId="77777777" w:rsidR="004E7E22" w:rsidRPr="009F0992" w:rsidRDefault="00AC56A3" w:rsidP="00F65887">
      <w:pPr>
        <w:spacing w:after="240"/>
        <w:ind w:firstLine="0"/>
        <w:rPr>
          <w:b/>
          <w:lang w:eastAsia="en-US"/>
        </w:rPr>
      </w:pPr>
      <w:r w:rsidRPr="009F0992">
        <w:rPr>
          <w:b/>
          <w:u w:val="single"/>
          <w:lang w:eastAsia="en-US"/>
        </w:rPr>
        <w:t>Situación epidemiológica del VIH:</w:t>
      </w:r>
      <w:r w:rsidR="00F65887" w:rsidRPr="009F0992">
        <w:rPr>
          <w:b/>
          <w:lang w:eastAsia="en-US"/>
        </w:rPr>
        <w:t xml:space="preserve"> </w:t>
      </w:r>
    </w:p>
    <w:p w14:paraId="118BA13D" w14:textId="21C85BC8" w:rsidR="00F65887" w:rsidRDefault="00F65887" w:rsidP="00F65887">
      <w:pPr>
        <w:spacing w:after="240"/>
        <w:ind w:firstLine="0"/>
        <w:rPr>
          <w:lang w:eastAsia="en-US"/>
        </w:rPr>
      </w:pPr>
      <w:r w:rsidRPr="00897421">
        <w:rPr>
          <w:lang w:eastAsia="en-US"/>
        </w:rPr>
        <w:t xml:space="preserve">Según estimaciones y proyecciones del VIH realizadas por la Secretaria de Salud de Honduras (SESAL) con apoyo del El Programa Conjunto de las Naciones Unidas sobre el VIH/sida (ONUSIDA), mediante la metodología </w:t>
      </w:r>
      <w:proofErr w:type="spellStart"/>
      <w:r w:rsidRPr="00897421">
        <w:rPr>
          <w:lang w:eastAsia="en-US"/>
        </w:rPr>
        <w:t>Spectrum</w:t>
      </w:r>
      <w:proofErr w:type="spellEnd"/>
      <w:r w:rsidRPr="00897421">
        <w:rPr>
          <w:lang w:eastAsia="en-US"/>
        </w:rPr>
        <w:t xml:space="preserve"> V 5.63, para el cierre del 2017, se estimaron 22,110 (17,480-26,670) personas con VIH (13,508 hombres y 8,602 mujeres), de 879 nuevas infecciones y 1,034 muertes a causa del sida. </w:t>
      </w:r>
    </w:p>
    <w:p w14:paraId="366D1356" w14:textId="7947FC3F" w:rsidR="00F65887" w:rsidRPr="009F0992" w:rsidRDefault="00F65887" w:rsidP="00AC56A3">
      <w:pPr>
        <w:spacing w:after="240"/>
        <w:ind w:firstLine="0"/>
        <w:rPr>
          <w:u w:val="single"/>
          <w:lang w:eastAsia="en-US"/>
        </w:rPr>
      </w:pPr>
      <w:r w:rsidRPr="00897421">
        <w:rPr>
          <w:lang w:val="es-DO"/>
        </w:rPr>
        <w:t>La prevalencia estimada de VIH en la población adulta (15-49 años), fue de 0.35% (0.26-0.42), mientras que las tasas de incidencia de nuevos casos fue</w:t>
      </w:r>
      <w:r>
        <w:rPr>
          <w:lang w:val="es-DO"/>
        </w:rPr>
        <w:t>ron</w:t>
      </w:r>
      <w:r w:rsidRPr="00897421">
        <w:rPr>
          <w:lang w:val="es-DO"/>
        </w:rPr>
        <w:t xml:space="preserve"> de 0.2 (0.1-0.2) por cada mil habitantes. La tasa estimada de mortalidad fue de 0.72 (0.47-1.03) por cada 100,000 habitantes</w:t>
      </w:r>
      <w:r>
        <w:rPr>
          <w:lang w:val="es-DO"/>
        </w:rPr>
        <w:t>.</w:t>
      </w:r>
      <w:r w:rsidR="00AE04C5">
        <w:rPr>
          <w:rStyle w:val="FootnoteReference"/>
          <w:lang w:val="es-DO"/>
        </w:rPr>
        <w:footnoteReference w:id="6"/>
      </w:r>
      <w:r>
        <w:rPr>
          <w:lang w:val="es-DO"/>
        </w:rPr>
        <w:t xml:space="preserve"> </w:t>
      </w:r>
    </w:p>
    <w:p w14:paraId="58C79E66" w14:textId="2B59D56B" w:rsidR="00AC56A3" w:rsidRDefault="00AC56A3" w:rsidP="00AC56A3">
      <w:pPr>
        <w:spacing w:after="240"/>
        <w:ind w:firstLine="0"/>
        <w:rPr>
          <w:lang w:val="es-DO"/>
        </w:rPr>
      </w:pPr>
      <w:r w:rsidRPr="00F70F96">
        <w:rPr>
          <w:lang w:val="es-DO"/>
        </w:rPr>
        <w:t>Los resultados de la Encuesta Centroamericana de Vigilancia del Comportamiento Sexual y Prevalencia del VIH e ITS en poblaciones vulnerables (ECVC) en 2012 revelan que la epidemia sigue concentrada en ciertos grupos de la población</w:t>
      </w:r>
      <w:r w:rsidR="0079390A" w:rsidRPr="00F70F96">
        <w:rPr>
          <w:lang w:val="es-DO"/>
        </w:rPr>
        <w:t xml:space="preserve">: </w:t>
      </w:r>
      <w:r w:rsidRPr="00F70F96">
        <w:rPr>
          <w:lang w:val="es-DO"/>
        </w:rPr>
        <w:t>hombres que tienen sexo con hombres</w:t>
      </w:r>
      <w:r w:rsidRPr="00E02636">
        <w:rPr>
          <w:lang w:val="es-DO"/>
        </w:rPr>
        <w:t xml:space="preserve"> (HSH); </w:t>
      </w:r>
      <w:proofErr w:type="gramStart"/>
      <w:r w:rsidRPr="00E02636">
        <w:rPr>
          <w:lang w:val="es-DO"/>
        </w:rPr>
        <w:t>mujeres transgénero</w:t>
      </w:r>
      <w:proofErr w:type="gramEnd"/>
      <w:r w:rsidRPr="00E02636">
        <w:rPr>
          <w:lang w:val="es-DO"/>
        </w:rPr>
        <w:t xml:space="preserve"> (TRANS); mujeres trabajadoras sexuales (MTS); y </w:t>
      </w:r>
      <w:r w:rsidR="0079390A">
        <w:rPr>
          <w:lang w:val="es-DO"/>
        </w:rPr>
        <w:t>población</w:t>
      </w:r>
      <w:r w:rsidRPr="00E02636">
        <w:rPr>
          <w:lang w:val="es-DO"/>
        </w:rPr>
        <w:t xml:space="preserve"> garífuna</w:t>
      </w:r>
      <w:r w:rsidR="0079390A">
        <w:rPr>
          <w:lang w:val="es-DO"/>
        </w:rPr>
        <w:t xml:space="preserve"> (ver </w:t>
      </w:r>
      <w:r w:rsidR="00F12D62">
        <w:rPr>
          <w:lang w:val="es-DO"/>
        </w:rPr>
        <w:t xml:space="preserve">Tabla </w:t>
      </w:r>
      <w:r w:rsidR="00917272">
        <w:rPr>
          <w:lang w:val="es-DO"/>
        </w:rPr>
        <w:t>1</w:t>
      </w:r>
      <w:r w:rsidR="00F12D62">
        <w:rPr>
          <w:lang w:val="es-DO"/>
        </w:rPr>
        <w:t>)</w:t>
      </w:r>
      <w:r w:rsidRPr="00E02636">
        <w:rPr>
          <w:lang w:val="es-DO"/>
        </w:rPr>
        <w:t>.</w:t>
      </w:r>
      <w:r w:rsidRPr="00AC56A3">
        <w:rPr>
          <w:lang w:val="es-DO"/>
        </w:rPr>
        <w:t xml:space="preserve"> El patrón más común de transmisión de la epidemia de VIH es el de la vía sexual. Geográficamente la epidemia está concentrada en la Costa Atlántica y el Valle </w:t>
      </w:r>
      <w:r w:rsidRPr="00D67264">
        <w:rPr>
          <w:lang w:val="es-DO"/>
        </w:rPr>
        <w:t>de Sula; las tasas más altas se encuentran en los departamentos de Islas de la Bahía, Atlántida y Cortés.</w:t>
      </w:r>
    </w:p>
    <w:p w14:paraId="2E487BA0" w14:textId="313E233F" w:rsidR="00DC4AB8" w:rsidRPr="00CE5DA5" w:rsidRDefault="00CE5DA5" w:rsidP="00AC56A3">
      <w:pPr>
        <w:spacing w:after="240"/>
        <w:ind w:firstLine="0"/>
        <w:rPr>
          <w:b/>
          <w:lang w:val="es-DO"/>
        </w:rPr>
      </w:pPr>
      <w:r w:rsidRPr="00CE5DA5">
        <w:rPr>
          <w:b/>
          <w:lang w:val="es-DO"/>
        </w:rPr>
        <w:t xml:space="preserve">Tabla 1 </w:t>
      </w:r>
      <w:r w:rsidR="006C6D59">
        <w:rPr>
          <w:b/>
          <w:lang w:val="es-DO"/>
        </w:rPr>
        <w:t>Prevalencias en grupos clave</w:t>
      </w:r>
    </w:p>
    <w:tbl>
      <w:tblPr>
        <w:tblStyle w:val="TableGrid"/>
        <w:tblW w:w="0" w:type="auto"/>
        <w:tblLook w:val="04A0" w:firstRow="1" w:lastRow="0" w:firstColumn="1" w:lastColumn="0" w:noHBand="0" w:noVBand="1"/>
      </w:tblPr>
      <w:tblGrid>
        <w:gridCol w:w="2695"/>
        <w:gridCol w:w="1170"/>
        <w:gridCol w:w="1440"/>
        <w:gridCol w:w="990"/>
        <w:gridCol w:w="1080"/>
      </w:tblGrid>
      <w:tr w:rsidR="007F1857" w:rsidRPr="007F1857" w14:paraId="1B29258C" w14:textId="4DAB07C4" w:rsidTr="007F1857">
        <w:trPr>
          <w:trHeight w:hRule="exact" w:val="360"/>
        </w:trPr>
        <w:tc>
          <w:tcPr>
            <w:tcW w:w="2695" w:type="dxa"/>
            <w:shd w:val="clear" w:color="auto" w:fill="1F3864" w:themeFill="accent5" w:themeFillShade="80"/>
          </w:tcPr>
          <w:p w14:paraId="5896B83D" w14:textId="0A58DB23" w:rsidR="00F12D62" w:rsidRPr="007F1857" w:rsidRDefault="00F12D62" w:rsidP="00AC56A3">
            <w:pPr>
              <w:spacing w:after="240"/>
              <w:ind w:firstLine="0"/>
              <w:rPr>
                <w:b/>
                <w:sz w:val="18"/>
                <w:lang w:val="es-DO"/>
              </w:rPr>
            </w:pPr>
            <w:r w:rsidRPr="007F1857">
              <w:rPr>
                <w:b/>
                <w:sz w:val="18"/>
                <w:lang w:val="es-DO"/>
              </w:rPr>
              <w:t>Población</w:t>
            </w:r>
          </w:p>
        </w:tc>
        <w:tc>
          <w:tcPr>
            <w:tcW w:w="1170" w:type="dxa"/>
            <w:shd w:val="clear" w:color="auto" w:fill="1F3864" w:themeFill="accent5" w:themeFillShade="80"/>
          </w:tcPr>
          <w:p w14:paraId="2926D481" w14:textId="6ACF1C16" w:rsidR="00F12D62" w:rsidRPr="007F1857" w:rsidRDefault="00F12D62" w:rsidP="00AC56A3">
            <w:pPr>
              <w:spacing w:after="240"/>
              <w:ind w:firstLine="0"/>
              <w:rPr>
                <w:b/>
                <w:sz w:val="18"/>
                <w:lang w:val="es-DO"/>
              </w:rPr>
            </w:pPr>
            <w:r w:rsidRPr="007F1857">
              <w:rPr>
                <w:b/>
                <w:sz w:val="18"/>
                <w:lang w:val="es-DO"/>
              </w:rPr>
              <w:t>Tegucigalpa</w:t>
            </w:r>
          </w:p>
        </w:tc>
        <w:tc>
          <w:tcPr>
            <w:tcW w:w="1440" w:type="dxa"/>
            <w:shd w:val="clear" w:color="auto" w:fill="1F3864" w:themeFill="accent5" w:themeFillShade="80"/>
          </w:tcPr>
          <w:p w14:paraId="51B31242" w14:textId="642E120F" w:rsidR="00F12D62" w:rsidRPr="007F1857" w:rsidRDefault="00F12D62" w:rsidP="00AC56A3">
            <w:pPr>
              <w:spacing w:after="240"/>
              <w:ind w:firstLine="0"/>
              <w:rPr>
                <w:b/>
                <w:sz w:val="18"/>
                <w:lang w:val="es-DO"/>
              </w:rPr>
            </w:pPr>
            <w:r w:rsidRPr="007F1857">
              <w:rPr>
                <w:b/>
                <w:sz w:val="18"/>
                <w:lang w:val="es-DO"/>
              </w:rPr>
              <w:t>San Pedro Sula</w:t>
            </w:r>
          </w:p>
        </w:tc>
        <w:tc>
          <w:tcPr>
            <w:tcW w:w="990" w:type="dxa"/>
            <w:shd w:val="clear" w:color="auto" w:fill="1F3864" w:themeFill="accent5" w:themeFillShade="80"/>
          </w:tcPr>
          <w:p w14:paraId="5DD04D0F" w14:textId="19B1C87C" w:rsidR="00F12D62" w:rsidRPr="007F1857" w:rsidRDefault="00F12D62" w:rsidP="00AC56A3">
            <w:pPr>
              <w:spacing w:after="240"/>
              <w:ind w:firstLine="0"/>
              <w:rPr>
                <w:b/>
                <w:sz w:val="18"/>
                <w:lang w:val="es-DO"/>
              </w:rPr>
            </w:pPr>
            <w:r w:rsidRPr="007F1857">
              <w:rPr>
                <w:b/>
                <w:sz w:val="18"/>
                <w:lang w:val="es-DO"/>
              </w:rPr>
              <w:t>La Ceiba</w:t>
            </w:r>
          </w:p>
        </w:tc>
        <w:tc>
          <w:tcPr>
            <w:tcW w:w="1080" w:type="dxa"/>
            <w:shd w:val="clear" w:color="auto" w:fill="1F3864" w:themeFill="accent5" w:themeFillShade="80"/>
          </w:tcPr>
          <w:p w14:paraId="3555B7AF" w14:textId="0213F457" w:rsidR="00F12D62" w:rsidRPr="007F1857" w:rsidRDefault="00F12D62" w:rsidP="00AC56A3">
            <w:pPr>
              <w:spacing w:after="240"/>
              <w:ind w:firstLine="0"/>
              <w:rPr>
                <w:b/>
                <w:sz w:val="18"/>
                <w:lang w:val="es-DO"/>
              </w:rPr>
            </w:pPr>
            <w:r w:rsidRPr="007F1857">
              <w:rPr>
                <w:b/>
                <w:sz w:val="18"/>
                <w:lang w:val="es-DO"/>
              </w:rPr>
              <w:t>Promedio</w:t>
            </w:r>
          </w:p>
        </w:tc>
      </w:tr>
      <w:tr w:rsidR="00F12D62" w:rsidRPr="007F1857" w14:paraId="12C56679" w14:textId="1954F2CB" w:rsidTr="007F1857">
        <w:trPr>
          <w:trHeight w:hRule="exact" w:val="360"/>
        </w:trPr>
        <w:tc>
          <w:tcPr>
            <w:tcW w:w="2695" w:type="dxa"/>
          </w:tcPr>
          <w:p w14:paraId="14923152" w14:textId="6DDDA318" w:rsidR="00F12D62" w:rsidRPr="007F1857" w:rsidRDefault="00F12D62" w:rsidP="00AC56A3">
            <w:pPr>
              <w:spacing w:after="240"/>
              <w:ind w:firstLine="0"/>
              <w:rPr>
                <w:sz w:val="18"/>
                <w:lang w:val="es-DO"/>
              </w:rPr>
            </w:pPr>
            <w:r w:rsidRPr="007F1857">
              <w:rPr>
                <w:sz w:val="18"/>
                <w:lang w:val="es-DO"/>
              </w:rPr>
              <w:t>HSH</w:t>
            </w:r>
          </w:p>
        </w:tc>
        <w:tc>
          <w:tcPr>
            <w:tcW w:w="1170" w:type="dxa"/>
          </w:tcPr>
          <w:p w14:paraId="477AD8E0" w14:textId="2CFA31AF" w:rsidR="00F12D62" w:rsidRPr="007F1857" w:rsidRDefault="008C7309" w:rsidP="00AC56A3">
            <w:pPr>
              <w:spacing w:after="240"/>
              <w:ind w:firstLine="0"/>
              <w:rPr>
                <w:sz w:val="18"/>
                <w:lang w:val="es-DO"/>
              </w:rPr>
            </w:pPr>
            <w:r w:rsidRPr="007F1857">
              <w:rPr>
                <w:sz w:val="18"/>
                <w:lang w:val="es-DO"/>
              </w:rPr>
              <w:t>6.9%</w:t>
            </w:r>
          </w:p>
        </w:tc>
        <w:tc>
          <w:tcPr>
            <w:tcW w:w="1440" w:type="dxa"/>
          </w:tcPr>
          <w:p w14:paraId="4EDEEB28" w14:textId="5A5A4300" w:rsidR="00F12D62" w:rsidRPr="007F1857" w:rsidRDefault="008C7309" w:rsidP="00AC56A3">
            <w:pPr>
              <w:spacing w:after="240"/>
              <w:ind w:firstLine="0"/>
              <w:rPr>
                <w:sz w:val="18"/>
                <w:lang w:val="es-DO"/>
              </w:rPr>
            </w:pPr>
            <w:r w:rsidRPr="007F1857">
              <w:rPr>
                <w:sz w:val="18"/>
                <w:lang w:val="es-DO"/>
              </w:rPr>
              <w:t>10.7%</w:t>
            </w:r>
          </w:p>
        </w:tc>
        <w:tc>
          <w:tcPr>
            <w:tcW w:w="990" w:type="dxa"/>
          </w:tcPr>
          <w:p w14:paraId="58F038F1" w14:textId="6A556E13" w:rsidR="00F12D62" w:rsidRPr="007F1857" w:rsidRDefault="008C7309" w:rsidP="00AC56A3">
            <w:pPr>
              <w:spacing w:after="240"/>
              <w:ind w:firstLine="0"/>
              <w:rPr>
                <w:sz w:val="18"/>
                <w:lang w:val="es-DO"/>
              </w:rPr>
            </w:pPr>
            <w:r w:rsidRPr="007F1857">
              <w:rPr>
                <w:sz w:val="18"/>
                <w:lang w:val="es-DO"/>
              </w:rPr>
              <w:t>11.7%</w:t>
            </w:r>
          </w:p>
        </w:tc>
        <w:tc>
          <w:tcPr>
            <w:tcW w:w="1080" w:type="dxa"/>
          </w:tcPr>
          <w:p w14:paraId="6AF32731" w14:textId="6AEE3F6B" w:rsidR="00F12D62" w:rsidRPr="007F1857" w:rsidRDefault="008C7309" w:rsidP="00AC56A3">
            <w:pPr>
              <w:spacing w:after="240"/>
              <w:ind w:firstLine="0"/>
              <w:rPr>
                <w:sz w:val="18"/>
                <w:lang w:val="es-DO"/>
              </w:rPr>
            </w:pPr>
            <w:r w:rsidRPr="007F1857">
              <w:rPr>
                <w:sz w:val="18"/>
                <w:lang w:val="es-DO"/>
              </w:rPr>
              <w:t>9.7%</w:t>
            </w:r>
          </w:p>
        </w:tc>
      </w:tr>
      <w:tr w:rsidR="00F12D62" w:rsidRPr="007F1857" w14:paraId="195463D8" w14:textId="395F0290" w:rsidTr="007F1857">
        <w:trPr>
          <w:trHeight w:hRule="exact" w:val="360"/>
        </w:trPr>
        <w:tc>
          <w:tcPr>
            <w:tcW w:w="2695" w:type="dxa"/>
          </w:tcPr>
          <w:p w14:paraId="39F8D92B" w14:textId="45CC4A4D" w:rsidR="00F12D62" w:rsidRPr="007F1857" w:rsidRDefault="00F12D62" w:rsidP="00AC56A3">
            <w:pPr>
              <w:spacing w:after="240"/>
              <w:ind w:firstLine="0"/>
              <w:rPr>
                <w:sz w:val="18"/>
                <w:lang w:val="es-DO"/>
              </w:rPr>
            </w:pPr>
            <w:r w:rsidRPr="007F1857">
              <w:rPr>
                <w:sz w:val="18"/>
                <w:lang w:val="es-DO"/>
              </w:rPr>
              <w:t>TRANS</w:t>
            </w:r>
          </w:p>
        </w:tc>
        <w:tc>
          <w:tcPr>
            <w:tcW w:w="1170" w:type="dxa"/>
          </w:tcPr>
          <w:p w14:paraId="1AB01CB7" w14:textId="36B3C33B" w:rsidR="00F12D62" w:rsidRPr="007F1857" w:rsidRDefault="008C7309" w:rsidP="00AC56A3">
            <w:pPr>
              <w:spacing w:after="240"/>
              <w:ind w:firstLine="0"/>
              <w:rPr>
                <w:sz w:val="18"/>
                <w:lang w:val="es-DO"/>
              </w:rPr>
            </w:pPr>
            <w:r w:rsidRPr="007F1857">
              <w:rPr>
                <w:sz w:val="18"/>
                <w:lang w:val="es-DO"/>
              </w:rPr>
              <w:t>17.2%</w:t>
            </w:r>
          </w:p>
        </w:tc>
        <w:tc>
          <w:tcPr>
            <w:tcW w:w="1440" w:type="dxa"/>
          </w:tcPr>
          <w:p w14:paraId="714A6701" w14:textId="5A2B3A7E" w:rsidR="00F12D62" w:rsidRPr="007F1857" w:rsidRDefault="008C7309" w:rsidP="00AC56A3">
            <w:pPr>
              <w:spacing w:after="240"/>
              <w:ind w:firstLine="0"/>
              <w:rPr>
                <w:sz w:val="18"/>
                <w:lang w:val="es-DO"/>
              </w:rPr>
            </w:pPr>
            <w:r w:rsidRPr="007F1857">
              <w:rPr>
                <w:sz w:val="18"/>
                <w:lang w:val="es-DO"/>
              </w:rPr>
              <w:t>23.6%</w:t>
            </w:r>
          </w:p>
        </w:tc>
        <w:tc>
          <w:tcPr>
            <w:tcW w:w="990" w:type="dxa"/>
          </w:tcPr>
          <w:p w14:paraId="4E5E78FD" w14:textId="452CAD5C" w:rsidR="00F12D62" w:rsidRPr="007F1857" w:rsidRDefault="008C7309" w:rsidP="00AC56A3">
            <w:pPr>
              <w:spacing w:after="240"/>
              <w:ind w:firstLine="0"/>
              <w:rPr>
                <w:sz w:val="18"/>
                <w:lang w:val="es-DO"/>
              </w:rPr>
            </w:pPr>
            <w:r w:rsidRPr="007F1857">
              <w:rPr>
                <w:sz w:val="18"/>
                <w:lang w:val="es-DO"/>
              </w:rPr>
              <w:t>33.3%</w:t>
            </w:r>
          </w:p>
        </w:tc>
        <w:tc>
          <w:tcPr>
            <w:tcW w:w="1080" w:type="dxa"/>
          </w:tcPr>
          <w:p w14:paraId="0CF21C9E" w14:textId="20B6C61C" w:rsidR="00F12D62" w:rsidRPr="007F1857" w:rsidRDefault="008C7309" w:rsidP="00AC56A3">
            <w:pPr>
              <w:spacing w:after="240"/>
              <w:ind w:firstLine="0"/>
              <w:rPr>
                <w:sz w:val="18"/>
                <w:lang w:val="es-DO"/>
              </w:rPr>
            </w:pPr>
            <w:r w:rsidRPr="007F1857">
              <w:rPr>
                <w:sz w:val="18"/>
                <w:lang w:val="es-DO"/>
              </w:rPr>
              <w:t>24.7%</w:t>
            </w:r>
          </w:p>
        </w:tc>
      </w:tr>
      <w:tr w:rsidR="008C7309" w:rsidRPr="007F1857" w14:paraId="6B7A1FA6" w14:textId="36833D23" w:rsidTr="007F1857">
        <w:trPr>
          <w:trHeight w:hRule="exact" w:val="360"/>
        </w:trPr>
        <w:tc>
          <w:tcPr>
            <w:tcW w:w="2695" w:type="dxa"/>
          </w:tcPr>
          <w:p w14:paraId="55871874" w14:textId="3FE3E05D" w:rsidR="008C7309" w:rsidRPr="007F1857" w:rsidRDefault="008C7309" w:rsidP="008C7309">
            <w:pPr>
              <w:spacing w:after="240"/>
              <w:ind w:firstLine="0"/>
              <w:rPr>
                <w:sz w:val="18"/>
                <w:lang w:val="es-DO"/>
              </w:rPr>
            </w:pPr>
            <w:r w:rsidRPr="007F1857">
              <w:rPr>
                <w:sz w:val="18"/>
                <w:lang w:val="es-DO"/>
              </w:rPr>
              <w:t>MTS</w:t>
            </w:r>
          </w:p>
        </w:tc>
        <w:tc>
          <w:tcPr>
            <w:tcW w:w="1170" w:type="dxa"/>
          </w:tcPr>
          <w:p w14:paraId="3AC202D1" w14:textId="0F9E0E7B" w:rsidR="008C7309" w:rsidRPr="007F1857" w:rsidRDefault="008C7309" w:rsidP="008C7309">
            <w:pPr>
              <w:spacing w:after="240"/>
              <w:ind w:firstLine="0"/>
              <w:rPr>
                <w:sz w:val="18"/>
                <w:lang w:val="es-DO"/>
              </w:rPr>
            </w:pPr>
            <w:r w:rsidRPr="007F1857">
              <w:rPr>
                <w:sz w:val="18"/>
                <w:lang w:val="es-DO"/>
              </w:rPr>
              <w:t>3.3%</w:t>
            </w:r>
          </w:p>
        </w:tc>
        <w:tc>
          <w:tcPr>
            <w:tcW w:w="1440" w:type="dxa"/>
          </w:tcPr>
          <w:p w14:paraId="3FF2DC40" w14:textId="3D9E4F3D" w:rsidR="008C7309" w:rsidRPr="007F1857" w:rsidRDefault="008C7309" w:rsidP="008C7309">
            <w:pPr>
              <w:spacing w:after="240"/>
              <w:ind w:firstLine="0"/>
              <w:rPr>
                <w:sz w:val="18"/>
                <w:lang w:val="es-DO"/>
              </w:rPr>
            </w:pPr>
            <w:r w:rsidRPr="007F1857">
              <w:rPr>
                <w:sz w:val="18"/>
                <w:lang w:val="es-DO"/>
              </w:rPr>
              <w:t>6.7%</w:t>
            </w:r>
          </w:p>
        </w:tc>
        <w:tc>
          <w:tcPr>
            <w:tcW w:w="990" w:type="dxa"/>
          </w:tcPr>
          <w:p w14:paraId="62F8524C" w14:textId="7D52A6BB" w:rsidR="008C7309" w:rsidRPr="007F1857" w:rsidRDefault="008C7309" w:rsidP="008C7309">
            <w:pPr>
              <w:spacing w:after="240"/>
              <w:ind w:firstLine="0"/>
              <w:rPr>
                <w:sz w:val="18"/>
                <w:lang w:val="es-DO"/>
              </w:rPr>
            </w:pPr>
            <w:r w:rsidRPr="007F1857">
              <w:rPr>
                <w:sz w:val="18"/>
                <w:lang w:val="es-DO"/>
              </w:rPr>
              <w:t>15.3%</w:t>
            </w:r>
          </w:p>
        </w:tc>
        <w:tc>
          <w:tcPr>
            <w:tcW w:w="1080" w:type="dxa"/>
          </w:tcPr>
          <w:p w14:paraId="63CD38B6" w14:textId="66D35063" w:rsidR="008C7309" w:rsidRPr="007F1857" w:rsidRDefault="008C7309" w:rsidP="008C7309">
            <w:pPr>
              <w:spacing w:after="240"/>
              <w:ind w:firstLine="0"/>
              <w:rPr>
                <w:sz w:val="18"/>
                <w:lang w:val="es-DO"/>
              </w:rPr>
            </w:pPr>
            <w:r w:rsidRPr="007F1857">
              <w:rPr>
                <w:sz w:val="18"/>
                <w:lang w:val="es-DO"/>
              </w:rPr>
              <w:t>8.4%</w:t>
            </w:r>
          </w:p>
        </w:tc>
      </w:tr>
      <w:tr w:rsidR="008C7309" w:rsidRPr="007F1857" w14:paraId="1A4A0988" w14:textId="4F437B72" w:rsidTr="007F1857">
        <w:trPr>
          <w:trHeight w:hRule="exact" w:val="360"/>
        </w:trPr>
        <w:tc>
          <w:tcPr>
            <w:tcW w:w="2695" w:type="dxa"/>
          </w:tcPr>
          <w:p w14:paraId="471D0EAD" w14:textId="4A339669" w:rsidR="008C7309" w:rsidRPr="007F1857" w:rsidRDefault="008C7309" w:rsidP="008C7309">
            <w:pPr>
              <w:spacing w:after="240"/>
              <w:ind w:firstLine="0"/>
              <w:jc w:val="left"/>
              <w:rPr>
                <w:sz w:val="18"/>
                <w:lang w:val="es-DO"/>
              </w:rPr>
            </w:pPr>
            <w:proofErr w:type="gramStart"/>
            <w:r w:rsidRPr="007F1857">
              <w:rPr>
                <w:sz w:val="18"/>
                <w:lang w:val="es-DO"/>
              </w:rPr>
              <w:t>Mujeres garífuna</w:t>
            </w:r>
            <w:proofErr w:type="gramEnd"/>
            <w:r w:rsidRPr="007F1857">
              <w:rPr>
                <w:sz w:val="18"/>
                <w:lang w:val="es-DO"/>
              </w:rPr>
              <w:t xml:space="preserve"> </w:t>
            </w:r>
            <w:r w:rsidR="005A7D69" w:rsidRPr="007F1857">
              <w:rPr>
                <w:sz w:val="18"/>
                <w:lang w:val="es-DO"/>
              </w:rPr>
              <w:t>(</w:t>
            </w:r>
            <w:r w:rsidR="00E81A7E" w:rsidRPr="007F1857">
              <w:rPr>
                <w:sz w:val="18"/>
                <w:lang w:val="es-DO"/>
              </w:rPr>
              <w:t>urbano/rural)</w:t>
            </w:r>
          </w:p>
        </w:tc>
        <w:tc>
          <w:tcPr>
            <w:tcW w:w="1170" w:type="dxa"/>
          </w:tcPr>
          <w:p w14:paraId="40C8E7ED" w14:textId="35718EEF" w:rsidR="008C7309" w:rsidRPr="007F1857" w:rsidRDefault="005A7D69" w:rsidP="008C7309">
            <w:pPr>
              <w:spacing w:after="240"/>
              <w:ind w:firstLine="0"/>
              <w:rPr>
                <w:sz w:val="18"/>
                <w:lang w:val="es-DO"/>
              </w:rPr>
            </w:pPr>
            <w:r w:rsidRPr="007F1857">
              <w:rPr>
                <w:sz w:val="18"/>
                <w:lang w:val="es-DO"/>
              </w:rPr>
              <w:t>-</w:t>
            </w:r>
          </w:p>
        </w:tc>
        <w:tc>
          <w:tcPr>
            <w:tcW w:w="1440" w:type="dxa"/>
          </w:tcPr>
          <w:p w14:paraId="76764A35" w14:textId="60853B57" w:rsidR="008C7309" w:rsidRPr="007F1857" w:rsidRDefault="005A7D69" w:rsidP="008C7309">
            <w:pPr>
              <w:spacing w:after="240"/>
              <w:ind w:firstLine="0"/>
              <w:rPr>
                <w:sz w:val="18"/>
                <w:lang w:val="es-DO"/>
              </w:rPr>
            </w:pPr>
            <w:r w:rsidRPr="007F1857">
              <w:rPr>
                <w:sz w:val="18"/>
                <w:lang w:val="es-DO"/>
              </w:rPr>
              <w:t>-</w:t>
            </w:r>
          </w:p>
        </w:tc>
        <w:tc>
          <w:tcPr>
            <w:tcW w:w="990" w:type="dxa"/>
          </w:tcPr>
          <w:p w14:paraId="3309CEA9" w14:textId="7242749C" w:rsidR="008C7309" w:rsidRPr="007F1857" w:rsidRDefault="005A7D69" w:rsidP="008C7309">
            <w:pPr>
              <w:spacing w:after="240"/>
              <w:ind w:firstLine="0"/>
              <w:rPr>
                <w:sz w:val="18"/>
                <w:lang w:val="es-DO"/>
              </w:rPr>
            </w:pPr>
            <w:r w:rsidRPr="007F1857">
              <w:rPr>
                <w:sz w:val="18"/>
                <w:lang w:val="es-DO"/>
              </w:rPr>
              <w:t>-</w:t>
            </w:r>
          </w:p>
        </w:tc>
        <w:tc>
          <w:tcPr>
            <w:tcW w:w="1080" w:type="dxa"/>
          </w:tcPr>
          <w:p w14:paraId="6AE3B015" w14:textId="5D08CB71" w:rsidR="008C7309" w:rsidRPr="007F1857" w:rsidRDefault="005A7D69" w:rsidP="008C7309">
            <w:pPr>
              <w:spacing w:after="240"/>
              <w:ind w:firstLine="0"/>
              <w:rPr>
                <w:sz w:val="18"/>
                <w:lang w:val="es-DO"/>
              </w:rPr>
            </w:pPr>
            <w:r w:rsidRPr="007F1857">
              <w:rPr>
                <w:sz w:val="18"/>
                <w:lang w:val="es-DO"/>
              </w:rPr>
              <w:t>4.6%/4.9%</w:t>
            </w:r>
          </w:p>
        </w:tc>
      </w:tr>
      <w:tr w:rsidR="008C7309" w:rsidRPr="007F1857" w14:paraId="3E96F7B1" w14:textId="4CC7AB21" w:rsidTr="007F1857">
        <w:trPr>
          <w:trHeight w:hRule="exact" w:val="360"/>
        </w:trPr>
        <w:tc>
          <w:tcPr>
            <w:tcW w:w="2695" w:type="dxa"/>
          </w:tcPr>
          <w:p w14:paraId="255C5B9B" w14:textId="77A63D0C" w:rsidR="008C7309" w:rsidRPr="007F1857" w:rsidRDefault="008C7309" w:rsidP="008C7309">
            <w:pPr>
              <w:spacing w:after="240"/>
              <w:ind w:firstLine="0"/>
              <w:jc w:val="left"/>
              <w:rPr>
                <w:sz w:val="18"/>
                <w:lang w:val="es-DO"/>
              </w:rPr>
            </w:pPr>
            <w:proofErr w:type="gramStart"/>
            <w:r w:rsidRPr="007F1857">
              <w:rPr>
                <w:sz w:val="18"/>
                <w:lang w:val="es-DO"/>
              </w:rPr>
              <w:t>Hombres garífuna</w:t>
            </w:r>
            <w:proofErr w:type="gramEnd"/>
            <w:r w:rsidRPr="007F1857">
              <w:rPr>
                <w:sz w:val="18"/>
                <w:lang w:val="es-DO"/>
              </w:rPr>
              <w:t xml:space="preserve"> (urbano/rural)</w:t>
            </w:r>
          </w:p>
        </w:tc>
        <w:tc>
          <w:tcPr>
            <w:tcW w:w="1170" w:type="dxa"/>
          </w:tcPr>
          <w:p w14:paraId="633321CC" w14:textId="0DCC841C" w:rsidR="008C7309" w:rsidRPr="007F1857" w:rsidRDefault="005A7D69" w:rsidP="008C7309">
            <w:pPr>
              <w:spacing w:after="240"/>
              <w:ind w:firstLine="0"/>
              <w:rPr>
                <w:sz w:val="18"/>
                <w:lang w:val="es-DO"/>
              </w:rPr>
            </w:pPr>
            <w:r w:rsidRPr="007F1857">
              <w:rPr>
                <w:sz w:val="18"/>
                <w:lang w:val="es-DO"/>
              </w:rPr>
              <w:t>-</w:t>
            </w:r>
          </w:p>
        </w:tc>
        <w:tc>
          <w:tcPr>
            <w:tcW w:w="1440" w:type="dxa"/>
          </w:tcPr>
          <w:p w14:paraId="3BA47CCE" w14:textId="2D4010AD" w:rsidR="008C7309" w:rsidRPr="007F1857" w:rsidRDefault="005A7D69" w:rsidP="008C7309">
            <w:pPr>
              <w:spacing w:after="240"/>
              <w:ind w:firstLine="0"/>
              <w:rPr>
                <w:sz w:val="18"/>
                <w:lang w:val="es-DO"/>
              </w:rPr>
            </w:pPr>
            <w:r w:rsidRPr="007F1857">
              <w:rPr>
                <w:sz w:val="18"/>
                <w:lang w:val="es-DO"/>
              </w:rPr>
              <w:t>-</w:t>
            </w:r>
          </w:p>
        </w:tc>
        <w:tc>
          <w:tcPr>
            <w:tcW w:w="990" w:type="dxa"/>
          </w:tcPr>
          <w:p w14:paraId="3054C1AE" w14:textId="7A80761C" w:rsidR="008C7309" w:rsidRPr="007F1857" w:rsidRDefault="005A7D69" w:rsidP="008C7309">
            <w:pPr>
              <w:spacing w:after="240"/>
              <w:ind w:firstLine="0"/>
              <w:rPr>
                <w:sz w:val="18"/>
                <w:lang w:val="es-DO"/>
              </w:rPr>
            </w:pPr>
            <w:r w:rsidRPr="007F1857">
              <w:rPr>
                <w:sz w:val="18"/>
                <w:lang w:val="es-DO"/>
              </w:rPr>
              <w:t>-</w:t>
            </w:r>
          </w:p>
        </w:tc>
        <w:tc>
          <w:tcPr>
            <w:tcW w:w="1080" w:type="dxa"/>
          </w:tcPr>
          <w:p w14:paraId="22FCE296" w14:textId="6167F1DC" w:rsidR="008C7309" w:rsidRPr="007F1857" w:rsidRDefault="00E81A7E" w:rsidP="008C7309">
            <w:pPr>
              <w:spacing w:after="240"/>
              <w:ind w:firstLine="0"/>
              <w:rPr>
                <w:sz w:val="18"/>
                <w:lang w:val="es-DO"/>
              </w:rPr>
            </w:pPr>
            <w:r w:rsidRPr="007F1857">
              <w:rPr>
                <w:sz w:val="18"/>
                <w:lang w:val="es-DO"/>
              </w:rPr>
              <w:t>4.4%/1.6%</w:t>
            </w:r>
          </w:p>
        </w:tc>
      </w:tr>
    </w:tbl>
    <w:p w14:paraId="345EBE10" w14:textId="6DA14691" w:rsidR="00F12D62" w:rsidRPr="00D67264" w:rsidRDefault="005A7D69" w:rsidP="00AC56A3">
      <w:pPr>
        <w:spacing w:after="240"/>
        <w:ind w:firstLine="0"/>
        <w:rPr>
          <w:lang w:val="es-DO"/>
        </w:rPr>
      </w:pPr>
      <w:r w:rsidRPr="00D67264">
        <w:rPr>
          <w:i/>
          <w:sz w:val="18"/>
          <w:szCs w:val="18"/>
          <w:lang w:val="es-DO"/>
        </w:rPr>
        <w:t xml:space="preserve">Fuente: Elaboración de autores a partir </w:t>
      </w:r>
      <w:r w:rsidRPr="005A7D69">
        <w:rPr>
          <w:i/>
          <w:sz w:val="18"/>
          <w:szCs w:val="18"/>
          <w:lang w:val="es-DO"/>
        </w:rPr>
        <w:t>Encuesta Centroamericana de Vigilancia del Comportamiento Sexual y Prevalencia del VIH e ITS en poblaciones vulnerables (ECVC)</w:t>
      </w:r>
      <w:r>
        <w:rPr>
          <w:i/>
          <w:sz w:val="18"/>
          <w:szCs w:val="18"/>
          <w:lang w:val="es-DO"/>
        </w:rPr>
        <w:t>,</w:t>
      </w:r>
      <w:r w:rsidRPr="005A7D69">
        <w:rPr>
          <w:i/>
          <w:sz w:val="18"/>
          <w:szCs w:val="18"/>
          <w:lang w:val="es-DO"/>
        </w:rPr>
        <w:t xml:space="preserve"> 2012</w:t>
      </w:r>
      <w:r>
        <w:rPr>
          <w:i/>
          <w:sz w:val="18"/>
          <w:szCs w:val="18"/>
          <w:lang w:val="es-DO"/>
        </w:rPr>
        <w:t>.</w:t>
      </w:r>
    </w:p>
    <w:p w14:paraId="2C914ABC" w14:textId="70F81687" w:rsidR="00990C01" w:rsidRDefault="00990C01" w:rsidP="00990C01">
      <w:pPr>
        <w:ind w:firstLine="0"/>
        <w:contextualSpacing/>
        <w:rPr>
          <w:rFonts w:eastAsia="Calibri"/>
          <w:szCs w:val="22"/>
          <w:lang w:val="es-DO" w:eastAsia="en-US"/>
        </w:rPr>
      </w:pPr>
      <w:r>
        <w:rPr>
          <w:rFonts w:eastAsia="Calibri"/>
          <w:szCs w:val="22"/>
          <w:lang w:val="es-DO" w:eastAsia="en-US"/>
        </w:rPr>
        <w:t>El</w:t>
      </w:r>
      <w:r w:rsidRPr="00AC56A3">
        <w:rPr>
          <w:rFonts w:eastAsia="Calibri"/>
          <w:szCs w:val="22"/>
          <w:lang w:val="es-DO" w:eastAsia="en-US"/>
        </w:rPr>
        <w:t xml:space="preserve"> 90-90-90 para Honduras</w:t>
      </w:r>
      <w:r>
        <w:rPr>
          <w:rFonts w:eastAsia="Calibri"/>
          <w:szCs w:val="22"/>
          <w:lang w:val="es-DO" w:eastAsia="en-US"/>
        </w:rPr>
        <w:t xml:space="preserve"> para el 2017</w:t>
      </w:r>
      <w:r w:rsidRPr="00AC56A3">
        <w:rPr>
          <w:rFonts w:eastAsia="Calibri"/>
          <w:szCs w:val="22"/>
          <w:lang w:val="es-DO" w:eastAsia="en-US"/>
        </w:rPr>
        <w:t>, el 6</w:t>
      </w:r>
      <w:r>
        <w:rPr>
          <w:rFonts w:eastAsia="Calibri"/>
          <w:szCs w:val="22"/>
          <w:lang w:val="es-DO" w:eastAsia="en-US"/>
        </w:rPr>
        <w:t>2</w:t>
      </w:r>
      <w:r w:rsidRPr="00AC56A3">
        <w:rPr>
          <w:rFonts w:eastAsia="Calibri"/>
          <w:szCs w:val="22"/>
          <w:lang w:val="es-DO" w:eastAsia="en-US"/>
        </w:rPr>
        <w:t>% (</w:t>
      </w:r>
      <w:r>
        <w:rPr>
          <w:rFonts w:eastAsia="Calibri"/>
          <w:szCs w:val="22"/>
          <w:lang w:val="es-DO" w:eastAsia="en-US"/>
        </w:rPr>
        <w:t>13</w:t>
      </w:r>
      <w:r w:rsidR="00024073">
        <w:rPr>
          <w:rFonts w:eastAsia="Calibri"/>
          <w:szCs w:val="22"/>
          <w:lang w:val="es-DO" w:eastAsia="en-US"/>
        </w:rPr>
        <w:t>,</w:t>
      </w:r>
      <w:r>
        <w:rPr>
          <w:rFonts w:eastAsia="Calibri"/>
          <w:szCs w:val="22"/>
          <w:lang w:val="es-DO" w:eastAsia="en-US"/>
        </w:rPr>
        <w:t>611</w:t>
      </w:r>
      <w:r w:rsidRPr="00AC56A3">
        <w:rPr>
          <w:rFonts w:eastAsia="Calibri"/>
          <w:szCs w:val="22"/>
          <w:lang w:val="es-DO" w:eastAsia="en-US"/>
        </w:rPr>
        <w:t>) de las</w:t>
      </w:r>
      <w:r>
        <w:rPr>
          <w:rFonts w:eastAsia="Calibri"/>
          <w:szCs w:val="22"/>
          <w:lang w:val="es-DO" w:eastAsia="en-US"/>
        </w:rPr>
        <w:t xml:space="preserve"> personas con VIH</w:t>
      </w:r>
      <w:r w:rsidRPr="00AC56A3">
        <w:rPr>
          <w:rFonts w:eastAsia="Calibri"/>
          <w:szCs w:val="22"/>
          <w:lang w:val="es-DO" w:eastAsia="en-US"/>
        </w:rPr>
        <w:t xml:space="preserve"> </w:t>
      </w:r>
      <w:r>
        <w:rPr>
          <w:rFonts w:eastAsia="Calibri"/>
          <w:szCs w:val="22"/>
          <w:lang w:val="es-DO" w:eastAsia="en-US"/>
        </w:rPr>
        <w:t>(</w:t>
      </w:r>
      <w:r w:rsidRPr="00AC56A3">
        <w:rPr>
          <w:rFonts w:eastAsia="Calibri"/>
          <w:szCs w:val="22"/>
          <w:lang w:val="es-DO" w:eastAsia="en-US"/>
        </w:rPr>
        <w:t>PVIH</w:t>
      </w:r>
      <w:r>
        <w:rPr>
          <w:rFonts w:eastAsia="Calibri"/>
          <w:szCs w:val="22"/>
          <w:lang w:val="es-DO" w:eastAsia="en-US"/>
        </w:rPr>
        <w:t>)</w:t>
      </w:r>
      <w:r w:rsidRPr="00AC56A3">
        <w:rPr>
          <w:rFonts w:eastAsia="Calibri"/>
          <w:szCs w:val="22"/>
          <w:lang w:val="es-DO" w:eastAsia="en-US"/>
        </w:rPr>
        <w:t xml:space="preserve"> cono</w:t>
      </w:r>
      <w:r>
        <w:rPr>
          <w:rFonts w:eastAsia="Calibri"/>
          <w:szCs w:val="22"/>
          <w:lang w:val="es-DO" w:eastAsia="en-US"/>
        </w:rPr>
        <w:t>cen su estatus serológico, el 84</w:t>
      </w:r>
      <w:r w:rsidRPr="00AC56A3">
        <w:rPr>
          <w:rFonts w:eastAsia="Calibri"/>
          <w:szCs w:val="22"/>
          <w:lang w:val="es-DO" w:eastAsia="en-US"/>
        </w:rPr>
        <w:t>% (</w:t>
      </w:r>
      <w:r>
        <w:rPr>
          <w:rFonts w:eastAsia="Calibri"/>
          <w:szCs w:val="22"/>
          <w:lang w:val="es-DO" w:eastAsia="en-US"/>
        </w:rPr>
        <w:t>11</w:t>
      </w:r>
      <w:r w:rsidR="00024073">
        <w:rPr>
          <w:rFonts w:eastAsia="Calibri"/>
          <w:szCs w:val="22"/>
          <w:lang w:val="es-DO" w:eastAsia="en-US"/>
        </w:rPr>
        <w:t>,</w:t>
      </w:r>
      <w:r>
        <w:rPr>
          <w:rFonts w:eastAsia="Calibri"/>
          <w:szCs w:val="22"/>
          <w:lang w:val="es-DO" w:eastAsia="en-US"/>
        </w:rPr>
        <w:t>506</w:t>
      </w:r>
      <w:r w:rsidRPr="00AC56A3">
        <w:rPr>
          <w:rFonts w:eastAsia="Calibri"/>
          <w:szCs w:val="22"/>
          <w:lang w:val="es-DO" w:eastAsia="en-US"/>
        </w:rPr>
        <w:t>) de las P</w:t>
      </w:r>
      <w:r>
        <w:rPr>
          <w:rFonts w:eastAsia="Calibri"/>
          <w:szCs w:val="22"/>
          <w:lang w:val="es-DO" w:eastAsia="en-US"/>
        </w:rPr>
        <w:t>VIH reciben ARV y el 68% (7,875) de las P</w:t>
      </w:r>
      <w:r w:rsidRPr="00AC56A3">
        <w:rPr>
          <w:rFonts w:eastAsia="Calibri"/>
          <w:szCs w:val="22"/>
          <w:lang w:val="es-DO" w:eastAsia="en-US"/>
        </w:rPr>
        <w:t>VIH están en supresión viral</w:t>
      </w:r>
      <w:r>
        <w:rPr>
          <w:rFonts w:eastAsia="Calibri"/>
          <w:szCs w:val="22"/>
          <w:lang w:val="es-DO" w:eastAsia="en-US"/>
        </w:rPr>
        <w:t>.</w:t>
      </w:r>
    </w:p>
    <w:p w14:paraId="5F21BE60" w14:textId="77777777" w:rsidR="00990C01" w:rsidRPr="00AC56A3" w:rsidRDefault="00990C01" w:rsidP="00AC56A3">
      <w:pPr>
        <w:autoSpaceDN/>
        <w:spacing w:before="0" w:after="240"/>
        <w:ind w:firstLine="0"/>
        <w:textAlignment w:val="auto"/>
        <w:rPr>
          <w:rFonts w:eastAsia="Calibri"/>
          <w:szCs w:val="22"/>
          <w:lang w:val="es-DO" w:eastAsia="en-US"/>
        </w:rPr>
      </w:pPr>
    </w:p>
    <w:p w14:paraId="00FB92EB" w14:textId="387F5859" w:rsidR="00D67264" w:rsidRDefault="00AC56A3" w:rsidP="00D67264">
      <w:pPr>
        <w:pStyle w:val="Caption"/>
        <w:rPr>
          <w:rFonts w:ascii="Times New Roman" w:hAnsi="Times New Roman"/>
        </w:rPr>
      </w:pPr>
      <w:bookmarkStart w:id="23" w:name="_Hlk535426247"/>
      <w:r w:rsidRPr="00AC56A3">
        <w:rPr>
          <w:rFonts w:ascii="Times New Roman" w:hAnsi="Times New Roman"/>
        </w:rPr>
        <w:lastRenderedPageBreak/>
        <w:t xml:space="preserve">Figura </w:t>
      </w:r>
      <w:r w:rsidR="00D67264" w:rsidRPr="006959E8">
        <w:rPr>
          <w:rFonts w:ascii="Times New Roman" w:hAnsi="Times New Roman"/>
        </w:rPr>
        <w:t>1</w:t>
      </w:r>
      <w:r w:rsidRPr="00AC56A3">
        <w:rPr>
          <w:rFonts w:ascii="Times New Roman" w:hAnsi="Times New Roman"/>
        </w:rPr>
        <w:t xml:space="preserve">. La cascada del </w:t>
      </w:r>
      <w:r w:rsidR="00F65887">
        <w:rPr>
          <w:rFonts w:ascii="Times New Roman" w:hAnsi="Times New Roman"/>
        </w:rPr>
        <w:t>continuo</w:t>
      </w:r>
      <w:r w:rsidR="003058A4">
        <w:rPr>
          <w:rFonts w:ascii="Times New Roman" w:hAnsi="Times New Roman"/>
        </w:rPr>
        <w:t xml:space="preserve"> de la </w:t>
      </w:r>
      <w:r w:rsidR="00326B68">
        <w:rPr>
          <w:rFonts w:ascii="Times New Roman" w:hAnsi="Times New Roman"/>
        </w:rPr>
        <w:t>a</w:t>
      </w:r>
      <w:r w:rsidR="003058A4">
        <w:rPr>
          <w:rFonts w:ascii="Times New Roman" w:hAnsi="Times New Roman"/>
        </w:rPr>
        <w:t>tención en VIH</w:t>
      </w:r>
      <w:r w:rsidR="00D46356">
        <w:rPr>
          <w:rFonts w:ascii="Times New Roman" w:hAnsi="Times New Roman"/>
        </w:rPr>
        <w:t xml:space="preserve"> en 2017</w:t>
      </w:r>
      <w:r w:rsidR="003058A4">
        <w:rPr>
          <w:rFonts w:ascii="Times New Roman" w:hAnsi="Times New Roman"/>
        </w:rPr>
        <w:t>,</w:t>
      </w:r>
      <w:r w:rsidRPr="00AC56A3">
        <w:rPr>
          <w:rFonts w:ascii="Times New Roman" w:hAnsi="Times New Roman"/>
        </w:rPr>
        <w:t xml:space="preserve"> Honduras</w:t>
      </w:r>
      <w:bookmarkEnd w:id="23"/>
    </w:p>
    <w:p w14:paraId="4582B3D7" w14:textId="75BD1958" w:rsidR="00740D99" w:rsidRPr="00740D99" w:rsidRDefault="008E5031" w:rsidP="008E5031">
      <w:pPr>
        <w:jc w:val="center"/>
        <w:rPr>
          <w:lang w:eastAsia="en-US"/>
        </w:rPr>
      </w:pPr>
      <w:r>
        <w:rPr>
          <w:noProof/>
          <w:lang w:eastAsia="en-US"/>
        </w:rPr>
        <w:drawing>
          <wp:inline distT="0" distB="0" distL="0" distR="0" wp14:anchorId="77A47F4A" wp14:editId="743D7BA3">
            <wp:extent cx="4822190" cy="30607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2190" cy="3060700"/>
                    </a:xfrm>
                    <a:prstGeom prst="rect">
                      <a:avLst/>
                    </a:prstGeom>
                    <a:noFill/>
                  </pic:spPr>
                </pic:pic>
              </a:graphicData>
            </a:graphic>
          </wp:inline>
        </w:drawing>
      </w:r>
    </w:p>
    <w:p w14:paraId="3A1A4C18" w14:textId="487267B7" w:rsidR="003058A4" w:rsidRPr="008E5031" w:rsidRDefault="003058A4" w:rsidP="008E5031">
      <w:pPr>
        <w:jc w:val="center"/>
        <w:rPr>
          <w:lang w:eastAsia="en-US"/>
        </w:rPr>
      </w:pPr>
    </w:p>
    <w:p w14:paraId="33BB2E0E" w14:textId="37C16D1A" w:rsidR="00D67264" w:rsidRPr="00DD37EC" w:rsidRDefault="00D67264" w:rsidP="00D67264">
      <w:pPr>
        <w:spacing w:after="240"/>
        <w:contextualSpacing/>
        <w:jc w:val="center"/>
        <w:rPr>
          <w:rFonts w:ascii="Arial" w:hAnsi="Arial" w:cs="Arial"/>
          <w:lang w:val="es-DO"/>
        </w:rPr>
      </w:pPr>
    </w:p>
    <w:p w14:paraId="4646D6FD" w14:textId="102AFC86" w:rsidR="00D67264" w:rsidRPr="00D67264" w:rsidRDefault="00D67264" w:rsidP="00D67264">
      <w:pPr>
        <w:spacing w:after="240"/>
        <w:ind w:left="709" w:firstLine="11"/>
        <w:contextualSpacing/>
        <w:jc w:val="left"/>
        <w:rPr>
          <w:rStyle w:val="Hyperlink"/>
          <w:rFonts w:ascii="Times New Roman" w:hAnsi="Times New Roman"/>
          <w:i/>
          <w:color w:val="auto"/>
          <w:sz w:val="18"/>
          <w:szCs w:val="18"/>
          <w:u w:val="none"/>
          <w:lang w:val="es-DO"/>
        </w:rPr>
      </w:pPr>
      <w:r w:rsidRPr="00D67264">
        <w:rPr>
          <w:i/>
          <w:sz w:val="18"/>
          <w:szCs w:val="18"/>
          <w:lang w:val="es-DO"/>
        </w:rPr>
        <w:t xml:space="preserve">Fuente: </w:t>
      </w:r>
      <w:r w:rsidR="003058A4" w:rsidRPr="003058A4">
        <w:rPr>
          <w:i/>
          <w:sz w:val="18"/>
          <w:szCs w:val="18"/>
          <w:lang w:val="es-DO"/>
        </w:rPr>
        <w:t>Secretaria de Salud de Honduras, Estimaciones y proyecciones de la epidemia de VIH, Unidad de Gestión de la Información. Honduras 2017</w:t>
      </w:r>
      <w:r w:rsidR="003058A4" w:rsidRPr="00D67264" w:rsidDel="003058A4">
        <w:rPr>
          <w:i/>
          <w:sz w:val="18"/>
          <w:szCs w:val="18"/>
          <w:lang w:val="es-DO"/>
        </w:rPr>
        <w:t xml:space="preserve"> </w:t>
      </w:r>
    </w:p>
    <w:p w14:paraId="76EC3D87" w14:textId="77777777" w:rsidR="00E02636" w:rsidRDefault="00E02636" w:rsidP="00AC56A3">
      <w:pPr>
        <w:ind w:firstLine="0"/>
        <w:rPr>
          <w:rFonts w:eastAsia="Calibri"/>
          <w:szCs w:val="22"/>
          <w:lang w:val="es-GT" w:eastAsia="en-US"/>
        </w:rPr>
      </w:pPr>
    </w:p>
    <w:p w14:paraId="393FB6E6" w14:textId="28797CCF" w:rsidR="00EB238C" w:rsidRDefault="00E02636" w:rsidP="00AC56A3">
      <w:pPr>
        <w:ind w:firstLine="0"/>
        <w:rPr>
          <w:lang w:val="es-DO" w:eastAsia="en-US"/>
        </w:rPr>
      </w:pPr>
      <w:r w:rsidRPr="00E02636">
        <w:rPr>
          <w:rFonts w:eastAsia="Calibri"/>
          <w:szCs w:val="22"/>
          <w:lang w:val="es-GT" w:eastAsia="en-US"/>
        </w:rPr>
        <w:t>En 2018</w:t>
      </w:r>
      <w:r w:rsidRPr="00E02636">
        <w:rPr>
          <w:rFonts w:eastAsia="Calibri"/>
          <w:szCs w:val="22"/>
          <w:lang w:val="es-DO" w:eastAsia="en-US"/>
        </w:rPr>
        <w:t>,</w:t>
      </w:r>
      <w:r w:rsidR="00921C61">
        <w:rPr>
          <w:rFonts w:eastAsia="Calibri"/>
          <w:szCs w:val="22"/>
          <w:lang w:val="es-DO" w:eastAsia="en-US"/>
        </w:rPr>
        <w:t xml:space="preserve"> con el apoyo de CDC/PEPFAR, se realizó una </w:t>
      </w:r>
      <w:r w:rsidR="00921C61" w:rsidRPr="00921C61">
        <w:rPr>
          <w:rFonts w:eastAsia="Calibri"/>
          <w:szCs w:val="22"/>
          <w:lang w:val="es-DO" w:eastAsia="en-US"/>
        </w:rPr>
        <w:t>encuesta de resistencia del VIH a los</w:t>
      </w:r>
      <w:r w:rsidR="00B3012D">
        <w:rPr>
          <w:rFonts w:eastAsia="Calibri"/>
          <w:szCs w:val="22"/>
          <w:lang w:val="es-DO" w:eastAsia="en-US"/>
        </w:rPr>
        <w:t xml:space="preserve"> ARV</w:t>
      </w:r>
      <w:r w:rsidR="00921C61">
        <w:rPr>
          <w:rFonts w:eastAsia="Calibri"/>
          <w:szCs w:val="22"/>
          <w:lang w:val="es-DO" w:eastAsia="en-US"/>
        </w:rPr>
        <w:t xml:space="preserve"> que mostró que</w:t>
      </w:r>
      <w:r w:rsidRPr="00E02636">
        <w:rPr>
          <w:rFonts w:eastAsia="Calibri"/>
          <w:szCs w:val="22"/>
          <w:lang w:val="es-DO" w:eastAsia="en-US"/>
        </w:rPr>
        <w:t xml:space="preserve"> la prevalencia de la resistencia pretratamiento al VIH </w:t>
      </w:r>
      <w:r w:rsidR="00921C61">
        <w:rPr>
          <w:rFonts w:eastAsia="Calibri"/>
          <w:szCs w:val="22"/>
          <w:lang w:val="es-DO" w:eastAsia="en-US"/>
        </w:rPr>
        <w:t>en Honduras es</w:t>
      </w:r>
      <w:r w:rsidRPr="00E02636">
        <w:rPr>
          <w:rFonts w:eastAsia="Calibri"/>
          <w:szCs w:val="22"/>
          <w:lang w:val="es-DO" w:eastAsia="en-US"/>
        </w:rPr>
        <w:t xml:space="preserve"> de 29.1% y evidenció que la mayoría de las personas (78%) con VIH presentan falló a la TAR a los 12 meses de iniciada (resistencia adquirida).</w:t>
      </w:r>
      <w:r w:rsidRPr="00E02636">
        <w:rPr>
          <w:rFonts w:eastAsia="Calibri"/>
          <w:i/>
          <w:szCs w:val="22"/>
          <w:lang w:val="es-DO" w:eastAsia="en-US"/>
        </w:rPr>
        <w:t xml:space="preserve"> </w:t>
      </w:r>
      <w:r w:rsidRPr="00E02636">
        <w:rPr>
          <w:rFonts w:eastAsia="Calibri"/>
          <w:szCs w:val="22"/>
          <w:lang w:val="es-CO" w:eastAsia="en-US"/>
        </w:rPr>
        <w:t xml:space="preserve">Así, la creciente resistencia a líneas de tratamiento para VIH en el país y la </w:t>
      </w:r>
      <w:r w:rsidRPr="00E02636">
        <w:rPr>
          <w:rFonts w:eastAsia="Calibri"/>
          <w:szCs w:val="22"/>
          <w:lang w:val="es-MX" w:eastAsia="en-US"/>
        </w:rPr>
        <w:t xml:space="preserve">migración a esquemas de alto costo para ARV (2da y 3era línea) ponen en riesgo la sostenibilidad del financiamiento por fuente </w:t>
      </w:r>
      <w:r w:rsidR="00FD1229">
        <w:rPr>
          <w:rFonts w:eastAsia="Calibri"/>
          <w:szCs w:val="22"/>
          <w:lang w:val="es-MX" w:eastAsia="en-US"/>
        </w:rPr>
        <w:t>pública</w:t>
      </w:r>
      <w:r w:rsidRPr="00E02636">
        <w:rPr>
          <w:rFonts w:eastAsia="Calibri"/>
          <w:szCs w:val="22"/>
          <w:lang w:val="es-MX" w:eastAsia="en-US"/>
        </w:rPr>
        <w:t>.</w:t>
      </w:r>
      <w:r w:rsidRPr="00E02636">
        <w:rPr>
          <w:rFonts w:eastAsia="Calibri"/>
          <w:szCs w:val="22"/>
          <w:vertAlign w:val="superscript"/>
          <w:lang w:val="es-DO" w:eastAsia="en-US"/>
        </w:rPr>
        <w:footnoteReference w:id="7"/>
      </w:r>
      <w:r w:rsidRPr="00AD63B4">
        <w:rPr>
          <w:rFonts w:eastAsia="Calibri"/>
          <w:szCs w:val="22"/>
          <w:lang w:val="es-DO" w:eastAsia="en-US"/>
        </w:rPr>
        <w:t xml:space="preserve">  </w:t>
      </w:r>
    </w:p>
    <w:p w14:paraId="4D706DA2" w14:textId="77777777" w:rsidR="009B35BF" w:rsidRDefault="009B35BF" w:rsidP="00612890">
      <w:pPr>
        <w:ind w:firstLine="0"/>
        <w:rPr>
          <w:b/>
          <w:u w:val="single"/>
          <w:lang w:val="es-DO" w:eastAsia="en-US"/>
        </w:rPr>
      </w:pPr>
    </w:p>
    <w:p w14:paraId="69838D33" w14:textId="0F29B0CD" w:rsidR="004E7E22" w:rsidRPr="009F0992" w:rsidRDefault="00B72DC6" w:rsidP="00612890">
      <w:pPr>
        <w:ind w:firstLine="0"/>
        <w:rPr>
          <w:b/>
          <w:lang w:val="es-DO" w:eastAsia="en-US"/>
        </w:rPr>
      </w:pPr>
      <w:r w:rsidRPr="009F0992">
        <w:rPr>
          <w:b/>
          <w:u w:val="single"/>
          <w:lang w:val="es-DO" w:eastAsia="en-US"/>
        </w:rPr>
        <w:t>Situación epidemiológica de la TB:</w:t>
      </w:r>
      <w:r w:rsidRPr="009F0992">
        <w:rPr>
          <w:b/>
          <w:lang w:val="es-DO" w:eastAsia="en-US"/>
        </w:rPr>
        <w:t xml:space="preserve"> </w:t>
      </w:r>
    </w:p>
    <w:p w14:paraId="76F26C71" w14:textId="2F40F1A8" w:rsidR="00612890" w:rsidRPr="00612890" w:rsidRDefault="00612890" w:rsidP="00612890">
      <w:pPr>
        <w:ind w:firstLine="0"/>
        <w:rPr>
          <w:lang w:val="es-DO" w:eastAsia="en-US"/>
        </w:rPr>
      </w:pPr>
      <w:r w:rsidRPr="00612890">
        <w:rPr>
          <w:lang w:val="es-DO" w:eastAsia="en-US"/>
        </w:rPr>
        <w:t xml:space="preserve">Para el 2016 la incidencia estimada de TB todas las formas (TBTF) en los países de las américas fue de 27.5 por 100,000 habitantes, Honduras se ubicó en el 12º lugar entre estos países con una incidencia de 39.5 por 100,000 habitantes y el 4º lugar en Centroamérica. </w:t>
      </w:r>
    </w:p>
    <w:p w14:paraId="7D92D2BF" w14:textId="7CE94266" w:rsidR="00612890" w:rsidRDefault="00612890" w:rsidP="00AC56A3">
      <w:pPr>
        <w:ind w:firstLine="0"/>
        <w:rPr>
          <w:lang w:val="es-DO" w:eastAsia="en-US"/>
        </w:rPr>
      </w:pPr>
      <w:r w:rsidRPr="00612890">
        <w:rPr>
          <w:lang w:val="es-DO" w:eastAsia="en-US"/>
        </w:rPr>
        <w:t>A partir del año 2000, Honduras logró una importante reducción de los casos incidentes de TB hasta el año 2006, a partir del cual se presenta una tendencia estacionaria con una TBTF al 2017 de 31,6 por 100,000 habitantes y 2,813 casos, de los cuales 2,579 (91.7%) corresponden a casos nuevos y 219 a recaídas (7.8%).</w:t>
      </w:r>
    </w:p>
    <w:p w14:paraId="1BA541FC" w14:textId="6E9F9E37" w:rsidR="00612890" w:rsidRDefault="00612890" w:rsidP="00AC56A3">
      <w:pPr>
        <w:ind w:firstLine="0"/>
        <w:rPr>
          <w:lang w:val="es-419" w:eastAsia="en-US"/>
        </w:rPr>
      </w:pPr>
      <w:r w:rsidRPr="00612890">
        <w:rPr>
          <w:lang w:val="es-419" w:eastAsia="en-US"/>
        </w:rPr>
        <w:t>La mortalidad notificada por el país entre el 2004 al 2017 presenta fluctuaciones y una tendencia al aumento, especialmente a partir del año 2013 con una tasa de mortalidad de 2.22 para el 2017.  Estas variaciones en la mortalidad notificada por el país pueden deberse a dificultades con el registro de las muertes y al sistema de información.</w:t>
      </w:r>
    </w:p>
    <w:p w14:paraId="7C858921" w14:textId="6607812C" w:rsidR="00EB0264" w:rsidRDefault="00EB0264" w:rsidP="00AC56A3">
      <w:pPr>
        <w:ind w:firstLine="0"/>
        <w:rPr>
          <w:lang w:val="es-ES" w:eastAsia="en-US"/>
        </w:rPr>
      </w:pPr>
      <w:r w:rsidRPr="00EB0264">
        <w:rPr>
          <w:lang w:val="es-ES" w:eastAsia="en-US"/>
        </w:rPr>
        <w:t xml:space="preserve">El país ha realizado esfuerzos para fortalecer la vigilancia de la tuberculosis resistente a la primera línea de tratamiento (TB-MDR), lo que se evidencia en el incremento de las Pruebas de Sensibilidad (PSD) realizadas en </w:t>
      </w:r>
      <w:r w:rsidRPr="00EB0264">
        <w:rPr>
          <w:lang w:val="es-ES" w:eastAsia="en-US"/>
        </w:rPr>
        <w:lastRenderedPageBreak/>
        <w:t>los pacientes antes tratados, que ha pasado de 34% en el 2011, a 51% en el 2017. Sin embargo, en pacientes nuevos con factores de riesgo para TB-MDR, en 2017 se lograron detectar únicamente 21 casos de los 103 casos estimados (el 20% del total).</w:t>
      </w:r>
      <w:r w:rsidR="00DF0C89">
        <w:rPr>
          <w:lang w:val="es-ES" w:eastAsia="en-US"/>
        </w:rPr>
        <w:t xml:space="preserve"> S</w:t>
      </w:r>
      <w:r w:rsidR="00DF0C89" w:rsidRPr="00DF0C89">
        <w:rPr>
          <w:lang w:val="es-ES" w:eastAsia="en-US"/>
        </w:rPr>
        <w:t>e descarta hasta el momento la existencia de casos de tuberculosis resistente a isoniazida y rifampicina (TB-XDR)</w:t>
      </w:r>
      <w:r w:rsidR="00DF0C89">
        <w:rPr>
          <w:lang w:val="es-ES" w:eastAsia="en-US"/>
        </w:rPr>
        <w:t>.</w:t>
      </w:r>
    </w:p>
    <w:p w14:paraId="48F35A96" w14:textId="2A1DD283" w:rsidR="00EC6570" w:rsidRPr="00EB0264" w:rsidRDefault="00EC6570" w:rsidP="00AC56A3">
      <w:pPr>
        <w:ind w:firstLine="0"/>
        <w:rPr>
          <w:lang w:val="es-ES" w:eastAsia="en-US"/>
        </w:rPr>
      </w:pPr>
      <w:r w:rsidRPr="00EC6570">
        <w:rPr>
          <w:lang w:val="es-ES" w:eastAsia="en-US"/>
        </w:rPr>
        <w:t xml:space="preserve">Por último, se observa que la tasa de TB en Centros Penales (CP) se incrementó de 800 casos por 100,000 habitantes en 2009 a 1,169 casos por 100,000 habitantes en 2014. Estas incidencias muestran un promedio 36 veces mayor de riesgo de contraer TB dentro de los CP que el resto de la población debido a condiciones de hacinamiento y vulnerabilidad de las personas privadas de la libertad (PPL).  </w:t>
      </w:r>
    </w:p>
    <w:p w14:paraId="7920CDE1" w14:textId="0DCFF265" w:rsidR="00B72DC6" w:rsidRDefault="002C5C94" w:rsidP="00AC56A3">
      <w:pPr>
        <w:ind w:firstLine="0"/>
        <w:rPr>
          <w:lang w:val="es-DO" w:eastAsia="en-US"/>
        </w:rPr>
      </w:pPr>
      <w:r w:rsidRPr="002C5C94">
        <w:rPr>
          <w:lang w:val="es-DO" w:eastAsia="en-US"/>
        </w:rPr>
        <w:t>Acabar para 2030 con la epidemia de TB es una de las metas de salud incluidas en los Objetivos de Desarrollo Sostenible adoptados por Honduras en 2015. Las metas específicas del país para TB se estimaron en el contexto de la Estrategia “Fin a la Tuberculosis” que consiste en reducir la mortalidad en un 90%, y su incidencia en un 80% a 2030, en comparación con las cifras de 2015. Honduras estableció en el Plan Estratégico Nacional de Tuberculosis 2016-2020 (PENTB) como metas: reducir las muertes de TB en un 35% al 2020, detectar al menos el 85% de pacientes por TB y reducir la incidencia en un 20% con respecto al 2015.</w:t>
      </w:r>
    </w:p>
    <w:p w14:paraId="38BB9FF2" w14:textId="37B39417" w:rsidR="00EB238C" w:rsidRPr="006959E8" w:rsidRDefault="00EB238C" w:rsidP="00EB238C">
      <w:pPr>
        <w:pStyle w:val="Caption"/>
        <w:rPr>
          <w:rFonts w:ascii="Times New Roman" w:hAnsi="Times New Roman"/>
        </w:rPr>
      </w:pPr>
      <w:r w:rsidRPr="00AC56A3">
        <w:rPr>
          <w:rFonts w:ascii="Times New Roman" w:hAnsi="Times New Roman"/>
        </w:rPr>
        <w:t xml:space="preserve">Figura </w:t>
      </w:r>
      <w:r w:rsidRPr="006959E8">
        <w:rPr>
          <w:rFonts w:ascii="Times New Roman" w:hAnsi="Times New Roman"/>
        </w:rPr>
        <w:t>2</w:t>
      </w:r>
      <w:r w:rsidRPr="00AC56A3">
        <w:rPr>
          <w:rFonts w:ascii="Times New Roman" w:hAnsi="Times New Roman"/>
        </w:rPr>
        <w:t>. La cascada de</w:t>
      </w:r>
      <w:r w:rsidR="00326B68">
        <w:rPr>
          <w:rFonts w:ascii="Times New Roman" w:hAnsi="Times New Roman"/>
        </w:rPr>
        <w:t>l continuo de atención en</w:t>
      </w:r>
      <w:r w:rsidR="00661FDF">
        <w:rPr>
          <w:rFonts w:ascii="Times New Roman" w:hAnsi="Times New Roman"/>
        </w:rPr>
        <w:t xml:space="preserve"> TB</w:t>
      </w:r>
      <w:r w:rsidR="00326B68">
        <w:rPr>
          <w:rFonts w:ascii="Times New Roman" w:hAnsi="Times New Roman"/>
        </w:rPr>
        <w:t xml:space="preserve"> en 2017, </w:t>
      </w:r>
      <w:r w:rsidRPr="00AC56A3">
        <w:rPr>
          <w:rFonts w:ascii="Times New Roman" w:hAnsi="Times New Roman"/>
        </w:rPr>
        <w:t>Honduras</w:t>
      </w:r>
    </w:p>
    <w:p w14:paraId="644EA923" w14:textId="131FF5C1" w:rsidR="00EB238C" w:rsidRDefault="006959E8" w:rsidP="006959E8">
      <w:pPr>
        <w:ind w:firstLine="0"/>
        <w:jc w:val="center"/>
        <w:rPr>
          <w:lang w:eastAsia="en-US"/>
        </w:rPr>
      </w:pPr>
      <w:r>
        <w:rPr>
          <w:noProof/>
          <w:lang w:val="es-HN" w:eastAsia="es-HN"/>
        </w:rPr>
        <w:drawing>
          <wp:inline distT="0" distB="0" distL="0" distR="0" wp14:anchorId="6B9F30A3" wp14:editId="7A40C9FB">
            <wp:extent cx="3962400" cy="2479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8199" cy="2514269"/>
                    </a:xfrm>
                    <a:prstGeom prst="rect">
                      <a:avLst/>
                    </a:prstGeom>
                    <a:noFill/>
                    <a:ln>
                      <a:noFill/>
                    </a:ln>
                  </pic:spPr>
                </pic:pic>
              </a:graphicData>
            </a:graphic>
          </wp:inline>
        </w:drawing>
      </w:r>
    </w:p>
    <w:p w14:paraId="5567D4F8" w14:textId="6BC5E4B8" w:rsidR="00612890" w:rsidRPr="009732F4" w:rsidRDefault="006959E8" w:rsidP="009732F4">
      <w:pPr>
        <w:ind w:left="720" w:firstLine="720"/>
        <w:rPr>
          <w:i/>
          <w:sz w:val="18"/>
          <w:lang w:val="en-US"/>
        </w:rPr>
      </w:pPr>
      <w:r w:rsidRPr="006959E8">
        <w:rPr>
          <w:i/>
          <w:sz w:val="18"/>
          <w:lang w:val="en-US"/>
        </w:rPr>
        <w:t>Fuente: OMS, FM, Stop TB Dashboard</w:t>
      </w:r>
    </w:p>
    <w:p w14:paraId="27AE6C3C" w14:textId="6B85CA24" w:rsidR="007643A8" w:rsidRPr="007643A8" w:rsidRDefault="007643A8" w:rsidP="00F948D1">
      <w:pPr>
        <w:pStyle w:val="Heading1"/>
        <w:ind w:left="357" w:firstLine="0"/>
      </w:pPr>
      <w:bookmarkStart w:id="24" w:name="_Toc8381157"/>
      <w:r w:rsidRPr="007643A8">
        <w:lastRenderedPageBreak/>
        <w:t xml:space="preserve">Principales hallazgos en la elaboración de la </w:t>
      </w:r>
      <w:bookmarkEnd w:id="22"/>
      <w:r w:rsidRPr="007643A8">
        <w:t>Estrategia de Sostenibilidad (ES)</w:t>
      </w:r>
      <w:bookmarkEnd w:id="24"/>
    </w:p>
    <w:p w14:paraId="697AF6A3" w14:textId="34DF6F09" w:rsidR="007643A8" w:rsidRPr="00C96E9C" w:rsidRDefault="009E0306" w:rsidP="00F948D1">
      <w:pPr>
        <w:ind w:firstLine="0"/>
      </w:pPr>
      <w:r w:rsidRPr="00B862A6">
        <w:t xml:space="preserve">El </w:t>
      </w:r>
      <w:r w:rsidR="00F948D1" w:rsidRPr="00B862A6">
        <w:t>análisis</w:t>
      </w:r>
      <w:r w:rsidR="007643A8" w:rsidRPr="00B862A6">
        <w:t xml:space="preserve"> </w:t>
      </w:r>
      <w:r w:rsidR="009A7FF1" w:rsidRPr="00B862A6">
        <w:t>formulad</w:t>
      </w:r>
      <w:r w:rsidRPr="00B862A6">
        <w:t>o</w:t>
      </w:r>
      <w:r w:rsidR="007643A8" w:rsidRPr="00B862A6">
        <w:t xml:space="preserve"> en la primera parte de esta consultoría identificó </w:t>
      </w:r>
      <w:r w:rsidR="009A7FF1" w:rsidRPr="00B862A6">
        <w:t xml:space="preserve">los </w:t>
      </w:r>
      <w:r w:rsidR="00B862A6" w:rsidRPr="00B862A6">
        <w:t>7</w:t>
      </w:r>
      <w:r w:rsidR="007643A8" w:rsidRPr="00B862A6">
        <w:t xml:space="preserve"> </w:t>
      </w:r>
      <w:r w:rsidR="009A7FF1" w:rsidRPr="00B862A6">
        <w:t>problemas (también denominados “</w:t>
      </w:r>
      <w:r w:rsidR="007643A8" w:rsidRPr="00B862A6">
        <w:t>riesgos</w:t>
      </w:r>
      <w:r w:rsidR="009A7FF1" w:rsidRPr="00B862A6">
        <w:t>”) de</w:t>
      </w:r>
      <w:r w:rsidR="007643A8" w:rsidRPr="00B862A6">
        <w:t xml:space="preserve"> </w:t>
      </w:r>
      <w:r w:rsidR="009A7FF1" w:rsidRPr="00B862A6">
        <w:t xml:space="preserve">sostenibilidad más importantes que enfrenta </w:t>
      </w:r>
      <w:r w:rsidR="00B862A6" w:rsidRPr="00B862A6">
        <w:t>Honduras</w:t>
      </w:r>
      <w:r w:rsidR="007643A8" w:rsidRPr="00B862A6">
        <w:t xml:space="preserve">. Estos se resumen en la  </w:t>
      </w:r>
      <w:r w:rsidR="007643A8" w:rsidRPr="00B862A6">
        <w:fldChar w:fldCharType="begin"/>
      </w:r>
      <w:r w:rsidR="007643A8" w:rsidRPr="00B862A6">
        <w:instrText xml:space="preserve"> REF _Ref536811319 \h </w:instrText>
      </w:r>
      <w:r w:rsidR="00030B19" w:rsidRPr="00B862A6">
        <w:instrText xml:space="preserve"> \* MERGEFORMAT </w:instrText>
      </w:r>
      <w:r w:rsidR="007643A8" w:rsidRPr="00B862A6">
        <w:fldChar w:fldCharType="separate"/>
      </w:r>
      <w:r w:rsidR="001E3C1A" w:rsidRPr="009A7FF1">
        <w:t xml:space="preserve">Tabla </w:t>
      </w:r>
      <w:r w:rsidR="001E3C1A">
        <w:rPr>
          <w:noProof/>
        </w:rPr>
        <w:t>1</w:t>
      </w:r>
      <w:r w:rsidR="007643A8" w:rsidRPr="00B862A6">
        <w:fldChar w:fldCharType="end"/>
      </w:r>
      <w:r w:rsidR="007643A8" w:rsidRPr="00B862A6">
        <w:t xml:space="preserve"> (para mayor detalle, se refiere al lector al primer informe de esta consultoría).</w:t>
      </w:r>
      <w:r w:rsidR="007643A8" w:rsidRPr="00B862A6">
        <w:rPr>
          <w:rStyle w:val="FootnoteReference"/>
        </w:rPr>
        <w:footnoteReference w:id="8"/>
      </w:r>
    </w:p>
    <w:tbl>
      <w:tblPr>
        <w:tblW w:w="9652" w:type="dxa"/>
        <w:tblLook w:val="04A0" w:firstRow="1" w:lastRow="0" w:firstColumn="1" w:lastColumn="0" w:noHBand="0" w:noVBand="1"/>
      </w:tblPr>
      <w:tblGrid>
        <w:gridCol w:w="3085"/>
        <w:gridCol w:w="284"/>
        <w:gridCol w:w="6207"/>
        <w:gridCol w:w="76"/>
      </w:tblGrid>
      <w:tr w:rsidR="007643A8" w:rsidRPr="009A7FF1" w14:paraId="26213B2B" w14:textId="77777777" w:rsidTr="001161DF">
        <w:trPr>
          <w:gridAfter w:val="1"/>
          <w:wAfter w:w="76" w:type="dxa"/>
          <w:tblHeader/>
        </w:trPr>
        <w:tc>
          <w:tcPr>
            <w:tcW w:w="9576" w:type="dxa"/>
            <w:gridSpan w:val="3"/>
            <w:shd w:val="clear" w:color="auto" w:fill="auto"/>
          </w:tcPr>
          <w:p w14:paraId="2D54B7F0" w14:textId="2B2FAF3D" w:rsidR="007643A8" w:rsidRPr="009A7FF1" w:rsidRDefault="007643A8" w:rsidP="00F948D1">
            <w:pPr>
              <w:pStyle w:val="Caption"/>
            </w:pPr>
            <w:bookmarkStart w:id="25" w:name="_Ref536811319"/>
            <w:bookmarkStart w:id="26" w:name="_Toc32788"/>
            <w:bookmarkStart w:id="27" w:name="_Toc1408546"/>
            <w:r w:rsidRPr="009A7FF1">
              <w:t xml:space="preserve">Tabla </w:t>
            </w:r>
            <w:bookmarkEnd w:id="25"/>
            <w:r w:rsidR="00FD74BF">
              <w:t>2</w:t>
            </w:r>
            <w:r w:rsidRPr="009A7FF1">
              <w:t xml:space="preserve"> Principales riesgos de </w:t>
            </w:r>
            <w:bookmarkEnd w:id="26"/>
            <w:r w:rsidR="009A7FF1" w:rsidRPr="009A7FF1">
              <w:t>sostenibilidad</w:t>
            </w:r>
            <w:bookmarkEnd w:id="27"/>
          </w:p>
        </w:tc>
      </w:tr>
      <w:tr w:rsidR="007643A8" w:rsidRPr="00C96E9C" w14:paraId="001CE765" w14:textId="77777777" w:rsidTr="006C78D3">
        <w:trPr>
          <w:tblHeader/>
        </w:trPr>
        <w:tc>
          <w:tcPr>
            <w:tcW w:w="3085" w:type="dxa"/>
            <w:tcBorders>
              <w:top w:val="single" w:sz="4" w:space="0" w:color="auto"/>
              <w:bottom w:val="single" w:sz="4" w:space="0" w:color="auto"/>
            </w:tcBorders>
            <w:shd w:val="clear" w:color="auto" w:fill="D9D9D9"/>
          </w:tcPr>
          <w:p w14:paraId="63E7B750" w14:textId="77777777" w:rsidR="007643A8" w:rsidRPr="00C96E9C" w:rsidRDefault="007643A8" w:rsidP="00F948D1">
            <w:pPr>
              <w:pStyle w:val="TableTNR"/>
              <w:rPr>
                <w:rFonts w:ascii="Arial Nova Cond" w:hAnsi="Arial Nova Cond"/>
                <w:b/>
                <w:sz w:val="20"/>
              </w:rPr>
            </w:pPr>
            <w:r w:rsidRPr="00C96E9C">
              <w:rPr>
                <w:rFonts w:ascii="Arial Nova Cond" w:hAnsi="Arial Nova Cond"/>
                <w:b/>
                <w:sz w:val="20"/>
              </w:rPr>
              <w:t xml:space="preserve">Principales riesgos de </w:t>
            </w:r>
            <w:r w:rsidR="009A7FF1">
              <w:rPr>
                <w:rFonts w:ascii="Arial Nova Cond" w:hAnsi="Arial Nova Cond"/>
                <w:b/>
                <w:sz w:val="20"/>
              </w:rPr>
              <w:t>sostenibilidad</w:t>
            </w:r>
          </w:p>
        </w:tc>
        <w:tc>
          <w:tcPr>
            <w:tcW w:w="284" w:type="dxa"/>
            <w:tcBorders>
              <w:top w:val="single" w:sz="4" w:space="0" w:color="auto"/>
              <w:bottom w:val="single" w:sz="4" w:space="0" w:color="auto"/>
            </w:tcBorders>
            <w:shd w:val="clear" w:color="auto" w:fill="D9D9D9"/>
          </w:tcPr>
          <w:p w14:paraId="4B7057F8" w14:textId="77777777" w:rsidR="007643A8" w:rsidRPr="00C96E9C" w:rsidRDefault="007643A8" w:rsidP="00F948D1">
            <w:pPr>
              <w:pStyle w:val="TableTNR"/>
              <w:rPr>
                <w:rFonts w:ascii="Arial Nova Cond" w:hAnsi="Arial Nova Cond"/>
                <w:b/>
                <w:sz w:val="20"/>
              </w:rPr>
            </w:pPr>
          </w:p>
        </w:tc>
        <w:tc>
          <w:tcPr>
            <w:tcW w:w="6283" w:type="dxa"/>
            <w:gridSpan w:val="2"/>
            <w:tcBorders>
              <w:top w:val="single" w:sz="4" w:space="0" w:color="auto"/>
              <w:bottom w:val="single" w:sz="4" w:space="0" w:color="auto"/>
            </w:tcBorders>
            <w:shd w:val="clear" w:color="auto" w:fill="D9D9D9"/>
          </w:tcPr>
          <w:p w14:paraId="2FEBB21E" w14:textId="77777777" w:rsidR="007643A8" w:rsidRPr="00C96E9C" w:rsidRDefault="007643A8" w:rsidP="00F948D1">
            <w:pPr>
              <w:pStyle w:val="TableTNR"/>
              <w:rPr>
                <w:rFonts w:ascii="Arial Nova Cond" w:hAnsi="Arial Nova Cond"/>
                <w:b/>
                <w:sz w:val="20"/>
              </w:rPr>
            </w:pPr>
            <w:r w:rsidRPr="00C96E9C">
              <w:rPr>
                <w:rFonts w:ascii="Arial Nova Cond" w:hAnsi="Arial Nova Cond"/>
                <w:b/>
                <w:sz w:val="20"/>
              </w:rPr>
              <w:t>Descripción</w:t>
            </w:r>
          </w:p>
        </w:tc>
      </w:tr>
      <w:tr w:rsidR="007643A8" w:rsidRPr="00C96E9C" w14:paraId="61126B7C" w14:textId="77777777" w:rsidTr="006C78D3">
        <w:tc>
          <w:tcPr>
            <w:tcW w:w="3085" w:type="dxa"/>
            <w:tcBorders>
              <w:top w:val="single" w:sz="4" w:space="0" w:color="auto"/>
              <w:bottom w:val="single" w:sz="4" w:space="0" w:color="auto"/>
            </w:tcBorders>
            <w:shd w:val="clear" w:color="auto" w:fill="auto"/>
          </w:tcPr>
          <w:p w14:paraId="3F3F386E" w14:textId="628A521D" w:rsidR="00030B19" w:rsidRDefault="00030B19" w:rsidP="00F948D1">
            <w:pPr>
              <w:pStyle w:val="TableTNR"/>
            </w:pPr>
            <w:r>
              <w:rPr>
                <w:b/>
              </w:rPr>
              <w:t>Riesgo</w:t>
            </w:r>
            <w:r w:rsidR="007643A8" w:rsidRPr="00C96E9C">
              <w:rPr>
                <w:b/>
              </w:rPr>
              <w:t xml:space="preserve"> 1:</w:t>
            </w:r>
            <w:r w:rsidR="009A7FF1" w:rsidRPr="009A7FF1">
              <w:t xml:space="preserve"> </w:t>
            </w:r>
            <w:r w:rsidR="00B862A6">
              <w:t>La r</w:t>
            </w:r>
            <w:r w:rsidR="00F948D1">
              <w:t>esistencia a medicamentos representa un riesgo financiero</w:t>
            </w:r>
            <w:r w:rsidR="007801E1">
              <w:t xml:space="preserve"> y epidemiológico</w:t>
            </w:r>
            <w:r w:rsidR="00F948D1">
              <w:t xml:space="preserve"> para las respuestas</w:t>
            </w:r>
            <w:r w:rsidR="007801E1">
              <w:t xml:space="preserve"> de VIH y TB.</w:t>
            </w:r>
          </w:p>
          <w:p w14:paraId="5213E8A5" w14:textId="503D9159" w:rsidR="005A2D2C" w:rsidRDefault="005A2D2C" w:rsidP="00985268">
            <w:pPr>
              <w:pStyle w:val="TableTNR"/>
              <w:numPr>
                <w:ilvl w:val="0"/>
                <w:numId w:val="8"/>
              </w:numPr>
              <w:ind w:left="431"/>
              <w:rPr>
                <w:lang w:val="es-MX"/>
              </w:rPr>
            </w:pPr>
            <w:r w:rsidRPr="005A2D2C">
              <w:rPr>
                <w:lang w:val="es-MX"/>
              </w:rPr>
              <w:t xml:space="preserve">La resistencia a los </w:t>
            </w:r>
            <w:r w:rsidR="00923127">
              <w:rPr>
                <w:lang w:val="es-MX"/>
              </w:rPr>
              <w:t>antirretrovirales (</w:t>
            </w:r>
            <w:r w:rsidRPr="005A2D2C">
              <w:rPr>
                <w:lang w:val="es-MX"/>
              </w:rPr>
              <w:t>ARV</w:t>
            </w:r>
            <w:r w:rsidR="00923127">
              <w:rPr>
                <w:lang w:val="es-MX"/>
              </w:rPr>
              <w:t>)</w:t>
            </w:r>
            <w:r w:rsidRPr="005A2D2C">
              <w:rPr>
                <w:lang w:val="es-MX"/>
              </w:rPr>
              <w:t xml:space="preserve"> promueve la dispensación de nuevos medicamentos y migración a productos de alto costo (2da y 3era línea)</w:t>
            </w:r>
          </w:p>
          <w:p w14:paraId="6FE5AD89" w14:textId="5BFFB84A" w:rsidR="00030B19" w:rsidRPr="00F948D1" w:rsidRDefault="005A2D2C" w:rsidP="00985268">
            <w:pPr>
              <w:pStyle w:val="TableTNR"/>
              <w:numPr>
                <w:ilvl w:val="0"/>
                <w:numId w:val="8"/>
              </w:numPr>
              <w:ind w:left="431"/>
              <w:rPr>
                <w:lang w:val="es-MX"/>
              </w:rPr>
            </w:pPr>
            <w:r w:rsidRPr="005A2D2C">
              <w:rPr>
                <w:lang w:val="es-MX"/>
              </w:rPr>
              <w:t xml:space="preserve">La </w:t>
            </w:r>
            <w:r w:rsidR="001715AB">
              <w:rPr>
                <w:lang w:val="es-MX"/>
              </w:rPr>
              <w:t>T</w:t>
            </w:r>
            <w:r w:rsidRPr="005A2D2C">
              <w:rPr>
                <w:lang w:val="es-MX"/>
              </w:rPr>
              <w:t xml:space="preserve">uberculosis </w:t>
            </w:r>
            <w:proofErr w:type="spellStart"/>
            <w:r w:rsidR="001715AB">
              <w:rPr>
                <w:lang w:val="es-MX"/>
              </w:rPr>
              <w:t>Multidrogorresistente</w:t>
            </w:r>
            <w:proofErr w:type="spellEnd"/>
            <w:r w:rsidRPr="005A2D2C">
              <w:rPr>
                <w:lang w:val="es-MX"/>
              </w:rPr>
              <w:t xml:space="preserve"> (TB-MDR) </w:t>
            </w:r>
            <w:r w:rsidR="00362A32">
              <w:rPr>
                <w:lang w:val="es-MX"/>
              </w:rPr>
              <w:t>refleja un débil apego al tratamiento de TB sensible y</w:t>
            </w:r>
            <w:r w:rsidR="00985268">
              <w:rPr>
                <w:lang w:val="es-MX"/>
              </w:rPr>
              <w:t xml:space="preserve"> es </w:t>
            </w:r>
            <w:r w:rsidR="00362A32">
              <w:rPr>
                <w:lang w:val="es-MX"/>
              </w:rPr>
              <w:t>un riesgo para la sostenibilidad de</w:t>
            </w:r>
            <w:r w:rsidR="00985268">
              <w:rPr>
                <w:lang w:val="es-MX"/>
              </w:rPr>
              <w:t xml:space="preserve"> la atención</w:t>
            </w:r>
            <w:r w:rsidR="00362A32">
              <w:rPr>
                <w:lang w:val="es-MX"/>
              </w:rPr>
              <w:t xml:space="preserve"> de TB</w:t>
            </w:r>
          </w:p>
        </w:tc>
        <w:tc>
          <w:tcPr>
            <w:tcW w:w="284" w:type="dxa"/>
            <w:tcBorders>
              <w:top w:val="single" w:sz="4" w:space="0" w:color="auto"/>
              <w:bottom w:val="single" w:sz="4" w:space="0" w:color="auto"/>
            </w:tcBorders>
            <w:shd w:val="clear" w:color="auto" w:fill="auto"/>
          </w:tcPr>
          <w:p w14:paraId="593F422D" w14:textId="77777777" w:rsidR="007643A8" w:rsidRPr="00C96E9C" w:rsidRDefault="007643A8" w:rsidP="00F948D1">
            <w:pPr>
              <w:pStyle w:val="TableTNR"/>
            </w:pPr>
          </w:p>
        </w:tc>
        <w:tc>
          <w:tcPr>
            <w:tcW w:w="6283" w:type="dxa"/>
            <w:gridSpan w:val="2"/>
            <w:tcBorders>
              <w:top w:val="single" w:sz="4" w:space="0" w:color="auto"/>
              <w:bottom w:val="single" w:sz="4" w:space="0" w:color="auto"/>
            </w:tcBorders>
            <w:shd w:val="clear" w:color="auto" w:fill="auto"/>
          </w:tcPr>
          <w:p w14:paraId="42DF5359" w14:textId="74E4DFE5" w:rsidR="005A2D2C" w:rsidRDefault="005A2D2C" w:rsidP="00653A3E">
            <w:pPr>
              <w:pStyle w:val="TableTNR"/>
              <w:jc w:val="both"/>
            </w:pPr>
            <w:r>
              <w:t xml:space="preserve">La información de la vigilancia de la resistencia permite evaluar el desempeño de las intervenciones nacionales para la supresión virológica en </w:t>
            </w:r>
            <w:r w:rsidR="00882E88">
              <w:t>personas con VIH (</w:t>
            </w:r>
            <w:r>
              <w:t>PVIH</w:t>
            </w:r>
            <w:r w:rsidR="00882E88">
              <w:t>)</w:t>
            </w:r>
            <w:r>
              <w:t>, así como evaluar la migración a esquemas de alto impacto financiero y la mejora de la calidad de vida de las personas.</w:t>
            </w:r>
          </w:p>
          <w:p w14:paraId="2F2D310F" w14:textId="0B6E41F7" w:rsidR="007643A8" w:rsidRDefault="005A2D2C" w:rsidP="00653A3E">
            <w:pPr>
              <w:pStyle w:val="TableTNR"/>
              <w:jc w:val="both"/>
            </w:pPr>
            <w:r>
              <w:t>La migración a esquemas de alto costo (2da y 3era línea)</w:t>
            </w:r>
            <w:r w:rsidR="004E6628">
              <w:t>, co</w:t>
            </w:r>
            <w:r w:rsidR="000C271C">
              <w:t xml:space="preserve">n costos de US$375 y US$4,568 por paciente por año vs US$74 de la </w:t>
            </w:r>
            <w:r w:rsidR="002F7B4E">
              <w:t xml:space="preserve">1ª </w:t>
            </w:r>
            <w:r w:rsidR="000C271C">
              <w:t>línea</w:t>
            </w:r>
            <w:r w:rsidR="000F610D">
              <w:rPr>
                <w:rStyle w:val="FootnoteReference"/>
              </w:rPr>
              <w:footnoteReference w:id="9"/>
            </w:r>
            <w:r w:rsidR="000C271C">
              <w:t>,</w:t>
            </w:r>
            <w:r>
              <w:t xml:space="preserve"> pone en riesgo la continuidad del financiamiento por fuente </w:t>
            </w:r>
            <w:r w:rsidR="00FD1229">
              <w:t>pública</w:t>
            </w:r>
            <w:r>
              <w:t>, agotando las opciones terapéuticas que el país tiene en su cuadro básico y normas.</w:t>
            </w:r>
          </w:p>
          <w:p w14:paraId="73BFDFC4" w14:textId="6189F883" w:rsidR="005A2D2C" w:rsidRDefault="005A2D2C" w:rsidP="00653A3E">
            <w:pPr>
              <w:pStyle w:val="TableTNR"/>
              <w:jc w:val="both"/>
            </w:pPr>
            <w:r>
              <w:t>La TB-MDR produce mayor mortalidad que los casos de TB sensible al tratamiento antituberculoso. Asimismo, el mayor costo del tratamiento de TB-MDR</w:t>
            </w:r>
            <w:r w:rsidR="002F7B4E">
              <w:t xml:space="preserve"> (US$</w:t>
            </w:r>
            <w:r w:rsidR="00732C1A">
              <w:t>1,850</w:t>
            </w:r>
            <w:r w:rsidR="002F7B4E">
              <w:t xml:space="preserve"> por paciente</w:t>
            </w:r>
            <w:r w:rsidR="00FD5749">
              <w:t xml:space="preserve"> vs US$26 de la primera línea</w:t>
            </w:r>
            <w:r w:rsidR="002F7B4E">
              <w:t>)</w:t>
            </w:r>
            <w:r>
              <w:t>, representa un riesgo financiero para la sostenibilidad del programa.</w:t>
            </w:r>
            <w:r w:rsidR="005C7D21">
              <w:t xml:space="preserve"> Se estiman un total de 103 pacientes con TB-MDR, por lo que los </w:t>
            </w:r>
            <w:r w:rsidR="00D06947">
              <w:t>8</w:t>
            </w:r>
            <w:r w:rsidR="00093F0B">
              <w:t>2</w:t>
            </w:r>
            <w:r w:rsidR="00D06947">
              <w:t xml:space="preserve"> </w:t>
            </w:r>
            <w:r w:rsidR="005C7D21">
              <w:t>pacientes no tratados representan una necesidad de recursos de al menos US</w:t>
            </w:r>
            <w:r w:rsidR="0096426A">
              <w:t>$</w:t>
            </w:r>
            <w:r w:rsidR="005C7D21">
              <w:t xml:space="preserve"> 1</w:t>
            </w:r>
            <w:r w:rsidR="0096426A">
              <w:t>5</w:t>
            </w:r>
            <w:r w:rsidR="00093F0B">
              <w:t>1</w:t>
            </w:r>
            <w:r w:rsidR="005C7D21">
              <w:t xml:space="preserve"> mil.</w:t>
            </w:r>
            <w:r w:rsidR="000F610D">
              <w:rPr>
                <w:rStyle w:val="FootnoteReference"/>
              </w:rPr>
              <w:footnoteReference w:id="10"/>
            </w:r>
          </w:p>
          <w:p w14:paraId="6ADAA5AA" w14:textId="402298D0" w:rsidR="005A2D2C" w:rsidRPr="00C96E9C" w:rsidRDefault="005A2D2C" w:rsidP="00653A3E">
            <w:pPr>
              <w:pStyle w:val="TableTNR"/>
              <w:jc w:val="both"/>
            </w:pPr>
            <w:r>
              <w:t xml:space="preserve">Las principales causas del incremento de casos de TB-MDR detectadas por el país son: (1) la falta de personal para la detección y seguimiento de pacientes por falta de recursos financieros y (2) la dificultad de acceso a los casos por la inseguridad que enfrenta el personal de salud asociada </w:t>
            </w:r>
            <w:r w:rsidR="008A1F62">
              <w:t>a</w:t>
            </w:r>
            <w:r>
              <w:t xml:space="preserve"> la violencia social.</w:t>
            </w:r>
          </w:p>
        </w:tc>
      </w:tr>
      <w:tr w:rsidR="008A5216" w:rsidRPr="00C96E9C" w14:paraId="68251F85" w14:textId="77777777" w:rsidTr="006C78D3">
        <w:tc>
          <w:tcPr>
            <w:tcW w:w="3085" w:type="dxa"/>
            <w:tcBorders>
              <w:top w:val="single" w:sz="4" w:space="0" w:color="auto"/>
              <w:bottom w:val="single" w:sz="4" w:space="0" w:color="auto"/>
            </w:tcBorders>
            <w:shd w:val="clear" w:color="auto" w:fill="auto"/>
          </w:tcPr>
          <w:p w14:paraId="1AB25049" w14:textId="339A0938" w:rsidR="008A5216" w:rsidRPr="00EF5B0B" w:rsidRDefault="008A5216" w:rsidP="008A5216">
            <w:pPr>
              <w:pStyle w:val="TableTNR"/>
              <w:rPr>
                <w:lang w:val="es-MX"/>
              </w:rPr>
            </w:pPr>
            <w:r>
              <w:rPr>
                <w:b/>
              </w:rPr>
              <w:t>Riesgo</w:t>
            </w:r>
            <w:r w:rsidRPr="00C96E9C">
              <w:rPr>
                <w:b/>
              </w:rPr>
              <w:t xml:space="preserve"> 2:</w:t>
            </w:r>
            <w:r w:rsidRPr="00C96E9C">
              <w:t xml:space="preserve"> </w:t>
            </w:r>
            <w:r w:rsidRPr="008A5216">
              <w:rPr>
                <w:lang w:val="es-MX"/>
              </w:rPr>
              <w:t xml:space="preserve">Recursos humanos capacitados en VIH y TB </w:t>
            </w:r>
            <w:r w:rsidR="00EF5B0B">
              <w:rPr>
                <w:lang w:val="es-MX"/>
              </w:rPr>
              <w:t>cuentan con contratación irregular (al</w:t>
            </w:r>
            <w:r w:rsidR="00674E1D">
              <w:rPr>
                <w:lang w:val="es-MX"/>
              </w:rPr>
              <w:t xml:space="preserve"> menos 10 puestos clave</w:t>
            </w:r>
            <w:r w:rsidR="00EF5B0B">
              <w:rPr>
                <w:lang w:val="es-MX"/>
              </w:rPr>
              <w:t xml:space="preserve"> todavía son financiados por los cooperantes) y carecen de certificación en protocolos de atención y de incentivos para su desarrollo profesional.</w:t>
            </w:r>
          </w:p>
        </w:tc>
        <w:tc>
          <w:tcPr>
            <w:tcW w:w="284" w:type="dxa"/>
            <w:tcBorders>
              <w:top w:val="single" w:sz="4" w:space="0" w:color="auto"/>
              <w:bottom w:val="single" w:sz="4" w:space="0" w:color="auto"/>
            </w:tcBorders>
            <w:shd w:val="clear" w:color="auto" w:fill="auto"/>
          </w:tcPr>
          <w:p w14:paraId="45BECB00" w14:textId="77777777" w:rsidR="008A5216" w:rsidRPr="00005304" w:rsidRDefault="008A5216" w:rsidP="008A5216">
            <w:pPr>
              <w:pStyle w:val="TableTNR"/>
            </w:pPr>
          </w:p>
        </w:tc>
        <w:tc>
          <w:tcPr>
            <w:tcW w:w="6283" w:type="dxa"/>
            <w:gridSpan w:val="2"/>
            <w:tcBorders>
              <w:top w:val="single" w:sz="4" w:space="0" w:color="auto"/>
              <w:bottom w:val="single" w:sz="4" w:space="0" w:color="auto"/>
            </w:tcBorders>
            <w:shd w:val="clear" w:color="auto" w:fill="auto"/>
          </w:tcPr>
          <w:p w14:paraId="1D9A26CD" w14:textId="158661FA" w:rsidR="00737ADD" w:rsidRDefault="008A5216" w:rsidP="00653A3E">
            <w:pPr>
              <w:pStyle w:val="TableTNR"/>
              <w:jc w:val="both"/>
            </w:pPr>
            <w:r w:rsidRPr="002C04E4">
              <w:t>Los recursos humanos pagados por cooperantes</w:t>
            </w:r>
            <w:r w:rsidR="00873758" w:rsidRPr="002C04E4">
              <w:t xml:space="preserve"> deberían ser absorbidos</w:t>
            </w:r>
            <w:r w:rsidR="00737ADD">
              <w:t xml:space="preserve"> con recursos públicos</w:t>
            </w:r>
            <w:r w:rsidR="00873758" w:rsidRPr="002C04E4">
              <w:t xml:space="preserve"> por la </w:t>
            </w:r>
            <w:r w:rsidR="00737ADD">
              <w:t>Secretaría de Salud de Honduras (</w:t>
            </w:r>
            <w:r w:rsidR="00873758" w:rsidRPr="002C04E4">
              <w:t>SESAL</w:t>
            </w:r>
            <w:r w:rsidR="00737ADD">
              <w:t xml:space="preserve">), ya que están capacitados en la temática de VIH y TB. </w:t>
            </w:r>
          </w:p>
          <w:p w14:paraId="1B79F723" w14:textId="5F696379" w:rsidR="00737ADD" w:rsidRDefault="00737ADD" w:rsidP="00653A3E">
            <w:pPr>
              <w:pStyle w:val="TableTNR"/>
              <w:jc w:val="both"/>
            </w:pPr>
            <w:r>
              <w:t xml:space="preserve">Por otra parte, los </w:t>
            </w:r>
            <w:r w:rsidR="00B87B14">
              <w:t>R</w:t>
            </w:r>
            <w:r>
              <w:t>ecursos</w:t>
            </w:r>
            <w:r w:rsidR="00B87B14">
              <w:t xml:space="preserve"> Humanos</w:t>
            </w:r>
            <w:r>
              <w:t xml:space="preserve"> sin capacitación, incluyendo aquellos de</w:t>
            </w:r>
            <w:r w:rsidR="008A5216" w:rsidRPr="002C04E4">
              <w:t xml:space="preserve"> nuevo ingreso,</w:t>
            </w:r>
            <w:r>
              <w:t xml:space="preserve"> ponen en riesgo el acceso efectivo y la calidad de la atención.</w:t>
            </w:r>
          </w:p>
          <w:p w14:paraId="51AE31D1" w14:textId="691A06E0" w:rsidR="008A5216" w:rsidRPr="002C04E4" w:rsidRDefault="00737ADD" w:rsidP="00653A3E">
            <w:pPr>
              <w:pStyle w:val="TableTNR"/>
              <w:jc w:val="both"/>
            </w:pPr>
            <w:r>
              <w:t>Ambas problemáticas</w:t>
            </w:r>
            <w:r w:rsidR="008A5216" w:rsidRPr="002C04E4">
              <w:t xml:space="preserve"> constituyen una amenaza </w:t>
            </w:r>
            <w:r>
              <w:t>a</w:t>
            </w:r>
            <w:r w:rsidR="008A5216" w:rsidRPr="002C04E4">
              <w:t xml:space="preserve"> la implementación</w:t>
            </w:r>
            <w:r>
              <w:t xml:space="preserve"> sostenible</w:t>
            </w:r>
            <w:r w:rsidR="008A5216" w:rsidRPr="002C04E4">
              <w:t xml:space="preserve"> de las acciones de prevención, movilización comunitaria, </w:t>
            </w:r>
            <w:r w:rsidR="008A5216" w:rsidRPr="002C04E4">
              <w:lastRenderedPageBreak/>
              <w:t>realización de pruebas, referencia a los servicios de atención para su vinculación a los servicios y monitoreo y evaluación.</w:t>
            </w:r>
          </w:p>
          <w:p w14:paraId="437E879B" w14:textId="53ECDD10" w:rsidR="00997374" w:rsidRPr="002C04E4" w:rsidRDefault="00737ADD" w:rsidP="00653A3E">
            <w:pPr>
              <w:pStyle w:val="TableTNR"/>
              <w:jc w:val="both"/>
            </w:pPr>
            <w:r>
              <w:t>Asimismo</w:t>
            </w:r>
            <w:r w:rsidR="00997374" w:rsidRPr="002C04E4">
              <w:t xml:space="preserve">, se </w:t>
            </w:r>
            <w:r w:rsidR="00BF7008" w:rsidRPr="002C04E4">
              <w:t>expresó</w:t>
            </w:r>
            <w:r w:rsidR="00997374" w:rsidRPr="002C04E4">
              <w:t xml:space="preserve"> preocupación por </w:t>
            </w:r>
            <w:r w:rsidR="00F53AEF" w:rsidRPr="002C04E4">
              <w:t xml:space="preserve">la baja efectividad de la vigilancia en el cumplimiento del marco normativo de </w:t>
            </w:r>
            <w:r w:rsidR="00997374" w:rsidRPr="002C04E4">
              <w:t>VIH y TB</w:t>
            </w:r>
            <w:r w:rsidR="00005304" w:rsidRPr="002C04E4">
              <w:t>.</w:t>
            </w:r>
            <w:r w:rsidR="00997374" w:rsidRPr="002C04E4">
              <w:t xml:space="preserve"> </w:t>
            </w:r>
            <w:r w:rsidR="00005304" w:rsidRPr="002C04E4">
              <w:t>A</w:t>
            </w:r>
            <w:r w:rsidR="00997374" w:rsidRPr="002C04E4">
              <w:t>sí como</w:t>
            </w:r>
            <w:r w:rsidR="00005304" w:rsidRPr="002C04E4">
              <w:t xml:space="preserve"> la falta de capacitación continua del personal de salud, con énfasis en</w:t>
            </w:r>
            <w:r w:rsidR="00997374" w:rsidRPr="002C04E4">
              <w:t xml:space="preserve"> el trato y comunicación con el paciente, en un entorno de respeto a los Derechos Humanos.</w:t>
            </w:r>
          </w:p>
        </w:tc>
      </w:tr>
      <w:tr w:rsidR="008A5216" w:rsidRPr="00C96E9C" w14:paraId="3F14FB4F" w14:textId="77777777" w:rsidTr="006C78D3">
        <w:tc>
          <w:tcPr>
            <w:tcW w:w="3085" w:type="dxa"/>
            <w:tcBorders>
              <w:top w:val="single" w:sz="4" w:space="0" w:color="auto"/>
              <w:bottom w:val="single" w:sz="4" w:space="0" w:color="auto"/>
            </w:tcBorders>
            <w:shd w:val="clear" w:color="auto" w:fill="auto"/>
          </w:tcPr>
          <w:p w14:paraId="733725D4" w14:textId="7E176D4C" w:rsidR="008A5216" w:rsidRPr="00C96E9C" w:rsidRDefault="008A5216" w:rsidP="008A5216">
            <w:pPr>
              <w:pStyle w:val="TableTNR"/>
            </w:pPr>
            <w:r>
              <w:rPr>
                <w:b/>
              </w:rPr>
              <w:lastRenderedPageBreak/>
              <w:t>Riesgo</w:t>
            </w:r>
            <w:r w:rsidRPr="00C96E9C">
              <w:rPr>
                <w:b/>
              </w:rPr>
              <w:t xml:space="preserve"> 3:</w:t>
            </w:r>
            <w:r w:rsidRPr="00C96E9C">
              <w:t xml:space="preserve"> </w:t>
            </w:r>
            <w:r w:rsidR="00B01A9D" w:rsidRPr="00B01A9D">
              <w:rPr>
                <w:lang w:val="es-MX"/>
              </w:rPr>
              <w:t>Adquisición de medicamentos e insumos esenciales con recursos externos; limitado acceso a las pruebas diagnóstico y sostenibilidad de adquisición de insumos de diagnóstico para VIH y TB</w:t>
            </w:r>
          </w:p>
        </w:tc>
        <w:tc>
          <w:tcPr>
            <w:tcW w:w="284" w:type="dxa"/>
            <w:tcBorders>
              <w:top w:val="single" w:sz="4" w:space="0" w:color="auto"/>
              <w:bottom w:val="single" w:sz="4" w:space="0" w:color="auto"/>
            </w:tcBorders>
            <w:shd w:val="clear" w:color="auto" w:fill="auto"/>
          </w:tcPr>
          <w:p w14:paraId="25B3212A" w14:textId="77777777" w:rsidR="008A5216" w:rsidRPr="00C96E9C" w:rsidRDefault="008A5216" w:rsidP="008A5216">
            <w:pPr>
              <w:pStyle w:val="TableTNR"/>
            </w:pPr>
          </w:p>
        </w:tc>
        <w:tc>
          <w:tcPr>
            <w:tcW w:w="6283" w:type="dxa"/>
            <w:gridSpan w:val="2"/>
            <w:tcBorders>
              <w:top w:val="single" w:sz="4" w:space="0" w:color="auto"/>
              <w:bottom w:val="single" w:sz="4" w:space="0" w:color="auto"/>
            </w:tcBorders>
            <w:shd w:val="clear" w:color="auto" w:fill="auto"/>
          </w:tcPr>
          <w:p w14:paraId="106AA853" w14:textId="46ED1049" w:rsidR="00B01A9D" w:rsidRDefault="00352BD8" w:rsidP="00653A3E">
            <w:pPr>
              <w:pStyle w:val="TableTNR"/>
              <w:jc w:val="both"/>
            </w:pPr>
            <w:r>
              <w:t>Actualmente los cooperantes cubren la compra</w:t>
            </w:r>
            <w:r w:rsidR="00B87B14">
              <w:t xml:space="preserve"> emergente</w:t>
            </w:r>
            <w:r>
              <w:t xml:space="preserve"> de</w:t>
            </w:r>
            <w:r w:rsidR="00B02772">
              <w:t xml:space="preserve"> </w:t>
            </w:r>
            <w:r w:rsidR="001C1E14">
              <w:t>algunos</w:t>
            </w:r>
            <w:r>
              <w:t xml:space="preserve"> medicamentos e insumos para reducir el impacto de desabastecimientos. Sin el</w:t>
            </w:r>
            <w:r w:rsidR="00B01A9D">
              <w:t xml:space="preserve"> financiamiento público para el abastecimiento continuo de los ARV y otros productos </w:t>
            </w:r>
            <w:r w:rsidR="008111DB">
              <w:t>(</w:t>
            </w:r>
            <w:r w:rsidR="008111DB" w:rsidRPr="008111DB">
              <w:t xml:space="preserve">incluyendo </w:t>
            </w:r>
            <w:r w:rsidR="00AC5BE6">
              <w:t>Carga Viral</w:t>
            </w:r>
            <w:r w:rsidR="008111DB" w:rsidRPr="008111DB">
              <w:t xml:space="preserve">, CD4, pruebas </w:t>
            </w:r>
            <w:r w:rsidR="008111DB">
              <w:t>de diagnóstico</w:t>
            </w:r>
            <w:r w:rsidR="008111DB" w:rsidRPr="008111DB">
              <w:t>, PCR, genotipo</w:t>
            </w:r>
            <w:r w:rsidR="008111DB">
              <w:t>,</w:t>
            </w:r>
            <w:r w:rsidR="008111DB" w:rsidRPr="008111DB">
              <w:t xml:space="preserve"> reactivos de Gene</w:t>
            </w:r>
            <w:r w:rsidR="00A433DB">
              <w:t>-</w:t>
            </w:r>
            <w:proofErr w:type="spellStart"/>
            <w:r w:rsidR="008111DB" w:rsidRPr="008111DB">
              <w:t>Xpert</w:t>
            </w:r>
            <w:proofErr w:type="spellEnd"/>
            <w:r w:rsidR="008111DB">
              <w:t xml:space="preserve"> y medicamentos para infecciones oportunistas</w:t>
            </w:r>
            <w:r w:rsidR="008111DB" w:rsidRPr="008111DB">
              <w:t>)</w:t>
            </w:r>
            <w:r>
              <w:t xml:space="preserve"> </w:t>
            </w:r>
            <w:r w:rsidR="00B01A9D">
              <w:t>las PVIH en especial población clave, no tendrían acceso a la terapia; por ende, no se obtendría el control de la epidemia en el país ni se cumplirían las metas del 90-90-90 al 2020.</w:t>
            </w:r>
          </w:p>
          <w:p w14:paraId="640C1881" w14:textId="66C823FC" w:rsidR="008A5216" w:rsidRPr="00C96E9C" w:rsidRDefault="00B01A9D" w:rsidP="00653A3E">
            <w:pPr>
              <w:pStyle w:val="TableTNR"/>
              <w:jc w:val="both"/>
            </w:pPr>
            <w:r>
              <w:t>Esto refuerza la urgencia de reducir la demora para establecer el diagnóstico, ya que cuanto más alto sea el déficit de cobertura de la prueba y nuevas modalidades de diagnóstico con un enfoque epidemiológico (grupos claves), mayor será la magnitud de la epidemia.</w:t>
            </w:r>
          </w:p>
        </w:tc>
      </w:tr>
      <w:tr w:rsidR="008A5216" w:rsidRPr="00C96E9C" w14:paraId="387E6E20" w14:textId="77777777" w:rsidTr="006C78D3">
        <w:tc>
          <w:tcPr>
            <w:tcW w:w="3085" w:type="dxa"/>
            <w:tcBorders>
              <w:top w:val="single" w:sz="4" w:space="0" w:color="auto"/>
              <w:bottom w:val="single" w:sz="4" w:space="0" w:color="auto"/>
            </w:tcBorders>
            <w:shd w:val="clear" w:color="auto" w:fill="auto"/>
          </w:tcPr>
          <w:p w14:paraId="22F9D580" w14:textId="59A144D5" w:rsidR="008A5216" w:rsidRPr="006E679C" w:rsidRDefault="008A5216" w:rsidP="00532A04">
            <w:pPr>
              <w:pStyle w:val="TableTNR"/>
            </w:pPr>
            <w:r w:rsidRPr="006E679C">
              <w:rPr>
                <w:b/>
              </w:rPr>
              <w:t>Riesgo 4:</w:t>
            </w:r>
            <w:r w:rsidRPr="006E679C">
              <w:t xml:space="preserve">  </w:t>
            </w:r>
            <w:r w:rsidR="00734FF3" w:rsidRPr="006E679C">
              <w:rPr>
                <w:lang w:val="es-DO"/>
              </w:rPr>
              <w:t xml:space="preserve">El financiamiento en prevención de VIH en población clave es financiado </w:t>
            </w:r>
            <w:r w:rsidR="001C1E14" w:rsidRPr="006E679C">
              <w:rPr>
                <w:lang w:val="es-DO"/>
              </w:rPr>
              <w:t xml:space="preserve">principalmente </w:t>
            </w:r>
            <w:r w:rsidR="00734FF3" w:rsidRPr="006E679C">
              <w:rPr>
                <w:lang w:val="es-DO"/>
              </w:rPr>
              <w:t xml:space="preserve">por la cooperación externa y el trabajo de prevención combinada para grupos clave es realizado por las </w:t>
            </w:r>
            <w:r w:rsidR="00125286" w:rsidRPr="006E679C">
              <w:rPr>
                <w:lang w:val="es-DO"/>
              </w:rPr>
              <w:t>organizaciones de sociedad civil (</w:t>
            </w:r>
            <w:r w:rsidR="00734FF3" w:rsidRPr="006E679C">
              <w:rPr>
                <w:lang w:val="es-DO"/>
              </w:rPr>
              <w:t>OSC</w:t>
            </w:r>
            <w:r w:rsidR="00125286" w:rsidRPr="006E679C">
              <w:rPr>
                <w:lang w:val="es-DO"/>
              </w:rPr>
              <w:t>)</w:t>
            </w:r>
            <w:r w:rsidR="00532A04" w:rsidRPr="006E679C">
              <w:rPr>
                <w:lang w:val="es-DO"/>
              </w:rPr>
              <w:t xml:space="preserve"> con fondos externos</w:t>
            </w:r>
            <w:r w:rsidR="006E679C">
              <w:rPr>
                <w:lang w:val="es-DO"/>
              </w:rPr>
              <w:t>.</w:t>
            </w:r>
          </w:p>
        </w:tc>
        <w:tc>
          <w:tcPr>
            <w:tcW w:w="284" w:type="dxa"/>
            <w:tcBorders>
              <w:top w:val="single" w:sz="4" w:space="0" w:color="auto"/>
              <w:bottom w:val="single" w:sz="4" w:space="0" w:color="auto"/>
            </w:tcBorders>
            <w:shd w:val="clear" w:color="auto" w:fill="auto"/>
          </w:tcPr>
          <w:p w14:paraId="65805422" w14:textId="77777777" w:rsidR="008A5216" w:rsidRPr="006E679C" w:rsidRDefault="008A5216" w:rsidP="008A5216">
            <w:pPr>
              <w:pStyle w:val="TableTNR"/>
            </w:pPr>
          </w:p>
        </w:tc>
        <w:tc>
          <w:tcPr>
            <w:tcW w:w="6283" w:type="dxa"/>
            <w:gridSpan w:val="2"/>
            <w:tcBorders>
              <w:top w:val="single" w:sz="4" w:space="0" w:color="auto"/>
              <w:bottom w:val="single" w:sz="4" w:space="0" w:color="auto"/>
            </w:tcBorders>
            <w:shd w:val="clear" w:color="auto" w:fill="auto"/>
          </w:tcPr>
          <w:p w14:paraId="2A884223" w14:textId="4215DB49" w:rsidR="0008258C" w:rsidRPr="006E679C" w:rsidRDefault="0008258C" w:rsidP="00653A3E">
            <w:pPr>
              <w:pStyle w:val="TableTNR"/>
              <w:jc w:val="both"/>
            </w:pPr>
            <w:r w:rsidRPr="006E679C">
              <w:t xml:space="preserve">Del financiamiento total de VIH, únicamente el 15.1% se destina a </w:t>
            </w:r>
            <w:r w:rsidR="00CF6005" w:rsidRPr="006E679C">
              <w:t xml:space="preserve">prevención en </w:t>
            </w:r>
            <w:r w:rsidRPr="006E679C">
              <w:t>población clave</w:t>
            </w:r>
            <w:r w:rsidR="00B02772" w:rsidRPr="006E679C">
              <w:t xml:space="preserve">. </w:t>
            </w:r>
            <w:r w:rsidRPr="006E679C">
              <w:t>Del cual el 88.9% es financiado a través de fuentes internacionales y únicamente 11.1% por fuentes públicas.</w:t>
            </w:r>
            <w:r w:rsidR="00C836CC" w:rsidRPr="006E679C">
              <w:t xml:space="preserve"> </w:t>
            </w:r>
            <w:r w:rsidR="00C836CC" w:rsidRPr="006E679C">
              <w:rPr>
                <w:lang w:val="es-419"/>
              </w:rPr>
              <w:t>Del gasto en prevención (60%; US$</w:t>
            </w:r>
            <w:r w:rsidR="00C836CC" w:rsidRPr="006E679C">
              <w:rPr>
                <w:color w:val="000000" w:themeColor="text1"/>
                <w:lang w:val="es-DO"/>
              </w:rPr>
              <w:t>19 millones</w:t>
            </w:r>
            <w:r w:rsidR="00C836CC" w:rsidRPr="006E679C">
              <w:rPr>
                <w:lang w:val="es-419"/>
              </w:rPr>
              <w:t xml:space="preserve">), únicamente el 25% provino de fuentes públicas, demostrando una brecha significativa y alta dependencia de este rubro de la cooperación externa y del gasto de bolsillo. Se estima que únicamente el 10% del gasto en prevención entre población clave es financiado por </w:t>
            </w:r>
            <w:r w:rsidR="00FA6AF9" w:rsidRPr="006E679C">
              <w:rPr>
                <w:lang w:val="es-419"/>
              </w:rPr>
              <w:t xml:space="preserve">fuentes </w:t>
            </w:r>
            <w:r w:rsidR="001E1F3D">
              <w:rPr>
                <w:lang w:val="es-419"/>
              </w:rPr>
              <w:t>públicas</w:t>
            </w:r>
            <w:r w:rsidR="00FA6AF9" w:rsidRPr="006E679C">
              <w:rPr>
                <w:lang w:val="es-419"/>
              </w:rPr>
              <w:t>.</w:t>
            </w:r>
            <w:r w:rsidR="00180BA9" w:rsidRPr="006E679C">
              <w:rPr>
                <w:rStyle w:val="FootnoteReference"/>
                <w:lang w:val="es-419"/>
              </w:rPr>
              <w:footnoteReference w:id="11"/>
            </w:r>
          </w:p>
          <w:p w14:paraId="072884E1" w14:textId="001B2CC3" w:rsidR="008A5216" w:rsidRPr="006E679C" w:rsidRDefault="0008258C" w:rsidP="00653A3E">
            <w:pPr>
              <w:pStyle w:val="TableTNR"/>
              <w:jc w:val="both"/>
            </w:pPr>
            <w:r w:rsidRPr="006E679C">
              <w:t>El bajo financiamiento público en prevención y la dependencia de recursos externos – cada vez menores – para las intervenciones de prevención combinada y diagnóstico hacia población clave a través de las OSC, contribuirá</w:t>
            </w:r>
            <w:r w:rsidR="00B87B14">
              <w:t>n</w:t>
            </w:r>
            <w:r w:rsidRPr="006E679C">
              <w:t xml:space="preserve"> en un mediano plazo, a que un número limitado de PVIH- en especial de población clave - no conozca su estatus y </w:t>
            </w:r>
            <w:r w:rsidR="007615FB">
              <w:t>carezca de acceso</w:t>
            </w:r>
            <w:r w:rsidRPr="006E679C">
              <w:t xml:space="preserve"> a servicios de </w:t>
            </w:r>
            <w:r w:rsidR="00763D9C" w:rsidRPr="006E679C">
              <w:t>atención</w:t>
            </w:r>
            <w:r w:rsidRPr="006E679C">
              <w:t>.</w:t>
            </w:r>
          </w:p>
        </w:tc>
      </w:tr>
      <w:tr w:rsidR="008A5216" w:rsidRPr="00C96E9C" w14:paraId="69369607" w14:textId="77777777" w:rsidTr="00F620B7">
        <w:trPr>
          <w:trHeight w:val="1151"/>
        </w:trPr>
        <w:tc>
          <w:tcPr>
            <w:tcW w:w="3085" w:type="dxa"/>
            <w:tcBorders>
              <w:top w:val="single" w:sz="4" w:space="0" w:color="auto"/>
              <w:bottom w:val="single" w:sz="4" w:space="0" w:color="auto"/>
            </w:tcBorders>
            <w:shd w:val="clear" w:color="auto" w:fill="auto"/>
          </w:tcPr>
          <w:p w14:paraId="655398EA" w14:textId="36A626A0" w:rsidR="008A5216" w:rsidRPr="002C04E4" w:rsidRDefault="008A5216" w:rsidP="008A5216">
            <w:pPr>
              <w:pStyle w:val="TableTNR"/>
            </w:pPr>
            <w:r w:rsidRPr="002C04E4">
              <w:rPr>
                <w:b/>
              </w:rPr>
              <w:lastRenderedPageBreak/>
              <w:t>Riesgo 5:</w:t>
            </w:r>
            <w:r w:rsidRPr="002C04E4">
              <w:t xml:space="preserve"> </w:t>
            </w:r>
            <w:r w:rsidR="00734FF3" w:rsidRPr="002C04E4">
              <w:rPr>
                <w:bCs/>
                <w:lang w:val="es-ES"/>
              </w:rPr>
              <w:t>Falta de toma de decisi</w:t>
            </w:r>
            <w:r w:rsidR="008B3486" w:rsidRPr="002C04E4">
              <w:rPr>
                <w:bCs/>
                <w:lang w:val="es-ES"/>
              </w:rPr>
              <w:t>ones</w:t>
            </w:r>
            <w:r w:rsidR="00734FF3" w:rsidRPr="002C04E4">
              <w:rPr>
                <w:bCs/>
                <w:lang w:val="es-ES"/>
              </w:rPr>
              <w:t xml:space="preserve"> y responsabilidad política para el respeto de los Derechos Humanos.</w:t>
            </w:r>
          </w:p>
        </w:tc>
        <w:tc>
          <w:tcPr>
            <w:tcW w:w="284" w:type="dxa"/>
            <w:tcBorders>
              <w:top w:val="single" w:sz="4" w:space="0" w:color="auto"/>
              <w:bottom w:val="single" w:sz="4" w:space="0" w:color="auto"/>
            </w:tcBorders>
            <w:shd w:val="clear" w:color="auto" w:fill="auto"/>
          </w:tcPr>
          <w:p w14:paraId="531E3A4C" w14:textId="77777777" w:rsidR="008A5216" w:rsidRPr="002C04E4" w:rsidRDefault="008A5216" w:rsidP="008A5216">
            <w:pPr>
              <w:pStyle w:val="TableTNR"/>
            </w:pPr>
          </w:p>
        </w:tc>
        <w:tc>
          <w:tcPr>
            <w:tcW w:w="6283" w:type="dxa"/>
            <w:gridSpan w:val="2"/>
            <w:tcBorders>
              <w:top w:val="single" w:sz="4" w:space="0" w:color="auto"/>
              <w:bottom w:val="single" w:sz="4" w:space="0" w:color="auto"/>
            </w:tcBorders>
            <w:shd w:val="clear" w:color="auto" w:fill="auto"/>
          </w:tcPr>
          <w:p w14:paraId="60FC3FF6" w14:textId="1E875A4A" w:rsidR="00F620B7" w:rsidRDefault="00CF6005" w:rsidP="00653A3E">
            <w:pPr>
              <w:pStyle w:val="TableTNR"/>
              <w:jc w:val="both"/>
            </w:pPr>
            <w:r w:rsidRPr="002C04E4">
              <w:t xml:space="preserve">En el país existe </w:t>
            </w:r>
            <w:r w:rsidR="00E77BFE" w:rsidRPr="002C04E4">
              <w:t>l</w:t>
            </w:r>
            <w:r w:rsidR="00734FF3" w:rsidRPr="002C04E4">
              <w:t xml:space="preserve">egislación </w:t>
            </w:r>
            <w:r w:rsidRPr="002C04E4">
              <w:t xml:space="preserve">para la protección </w:t>
            </w:r>
            <w:r w:rsidR="00734FF3" w:rsidRPr="002C04E4">
              <w:t>de</w:t>
            </w:r>
            <w:r w:rsidRPr="002C04E4">
              <w:t xml:space="preserve"> los </w:t>
            </w:r>
            <w:r w:rsidR="00734FF3" w:rsidRPr="002C04E4">
              <w:t>Derechos Humanos, pero no es implementada</w:t>
            </w:r>
            <w:r w:rsidRPr="002C04E4">
              <w:t xml:space="preserve"> en su totalidad</w:t>
            </w:r>
            <w:r w:rsidR="00734FF3" w:rsidRPr="002C04E4">
              <w:t xml:space="preserve"> (i.e. Violación sistemática del Art. 52 de Ley Especial SIDA que impide exigir prueba de </w:t>
            </w:r>
            <w:r w:rsidR="00B87B14">
              <w:t xml:space="preserve">VIH </w:t>
            </w:r>
            <w:r w:rsidR="00734FF3" w:rsidRPr="002C04E4">
              <w:t>para acceso al trabajo).</w:t>
            </w:r>
            <w:r w:rsidRPr="002C04E4">
              <w:t xml:space="preserve"> </w:t>
            </w:r>
            <w:r w:rsidR="00E67F92" w:rsidRPr="002C04E4">
              <w:t>Asimismo, el</w:t>
            </w:r>
            <w:r w:rsidRPr="002C04E4">
              <w:t xml:space="preserve"> marco de derechos humanos internacional que el país ha suscrito</w:t>
            </w:r>
            <w:r w:rsidR="00E67F92" w:rsidRPr="002C04E4">
              <w:t xml:space="preserve"> </w:t>
            </w:r>
            <w:r w:rsidRPr="002C04E4">
              <w:t>debe ser</w:t>
            </w:r>
            <w:r w:rsidR="00E67F92" w:rsidRPr="002C04E4">
              <w:t xml:space="preserve"> aplicado y</w:t>
            </w:r>
            <w:r w:rsidRPr="002C04E4">
              <w:t xml:space="preserve"> de cumplimiento obligatorio y total.</w:t>
            </w:r>
          </w:p>
          <w:p w14:paraId="49AF6806" w14:textId="499F7A43" w:rsidR="008A5216" w:rsidRPr="002C04E4" w:rsidRDefault="00734FF3" w:rsidP="00653A3E">
            <w:pPr>
              <w:pStyle w:val="TableTNR"/>
              <w:jc w:val="both"/>
            </w:pPr>
            <w:r w:rsidRPr="002C04E4">
              <w:t xml:space="preserve">Sin toma de decisión política expresada en implementación de la legislación de derechos humanos, </w:t>
            </w:r>
            <w:r w:rsidR="00B87B14">
              <w:t>persecución</w:t>
            </w:r>
            <w:r w:rsidR="00BF071E">
              <w:t xml:space="preserve"> </w:t>
            </w:r>
            <w:r w:rsidRPr="002C04E4">
              <w:t xml:space="preserve">de violaciones de derechos humanos, las poblaciones clave y vulnerables quedan </w:t>
            </w:r>
            <w:r w:rsidR="00E67C0A" w:rsidRPr="002C04E4">
              <w:t>desprotegidas</w:t>
            </w:r>
            <w:r w:rsidRPr="002C04E4">
              <w:t>.</w:t>
            </w:r>
            <w:r w:rsidR="00811F7D">
              <w:t xml:space="preserve"> </w:t>
            </w:r>
            <w:r w:rsidR="00E9335C" w:rsidRPr="00E9335C">
              <w:t>Existe poca inversión pública para la eliminación de barreras al acceso a servicios de VIH y TB relacionadas con DDHH.</w:t>
            </w:r>
          </w:p>
        </w:tc>
      </w:tr>
      <w:tr w:rsidR="008A5216" w:rsidRPr="00C96E9C" w14:paraId="4930AFC8" w14:textId="77777777" w:rsidTr="006C78D3">
        <w:tc>
          <w:tcPr>
            <w:tcW w:w="3085" w:type="dxa"/>
            <w:tcBorders>
              <w:top w:val="single" w:sz="4" w:space="0" w:color="auto"/>
              <w:bottom w:val="single" w:sz="4" w:space="0" w:color="auto"/>
            </w:tcBorders>
            <w:shd w:val="clear" w:color="auto" w:fill="auto"/>
          </w:tcPr>
          <w:p w14:paraId="5DE5981E" w14:textId="0A2B4B9F" w:rsidR="00F460F6" w:rsidRPr="00F460F6" w:rsidRDefault="008A5216" w:rsidP="00F460F6">
            <w:pPr>
              <w:pStyle w:val="TableTNR"/>
            </w:pPr>
            <w:r>
              <w:rPr>
                <w:b/>
              </w:rPr>
              <w:t>Riesgo</w:t>
            </w:r>
            <w:r w:rsidRPr="00C96E9C">
              <w:rPr>
                <w:b/>
              </w:rPr>
              <w:t xml:space="preserve"> 6:</w:t>
            </w:r>
            <w:r w:rsidRPr="00C96E9C">
              <w:t xml:space="preserve"> </w:t>
            </w:r>
            <w:r w:rsidR="00F460F6" w:rsidRPr="00F460F6">
              <w:t xml:space="preserve">Limitado financiamiento público para las </w:t>
            </w:r>
            <w:proofErr w:type="spellStart"/>
            <w:r w:rsidR="00F460F6" w:rsidRPr="00F460F6">
              <w:t>OSCs</w:t>
            </w:r>
            <w:proofErr w:type="spellEnd"/>
            <w:r w:rsidR="00F460F6" w:rsidRPr="00F460F6">
              <w:t xml:space="preserve"> trabajando en VIH y TB</w:t>
            </w:r>
            <w:r w:rsidR="00F460F6">
              <w:t>, y pérdida del enfoque de su rol</w:t>
            </w:r>
            <w:r w:rsidR="004A68B8">
              <w:t>.</w:t>
            </w:r>
          </w:p>
          <w:p w14:paraId="6E26814D" w14:textId="719DDC2B" w:rsidR="008A5216" w:rsidRPr="00C96E9C" w:rsidRDefault="008A5216" w:rsidP="00F460F6">
            <w:pPr>
              <w:pStyle w:val="TableTNR"/>
            </w:pPr>
          </w:p>
        </w:tc>
        <w:tc>
          <w:tcPr>
            <w:tcW w:w="284" w:type="dxa"/>
            <w:tcBorders>
              <w:top w:val="single" w:sz="4" w:space="0" w:color="auto"/>
              <w:bottom w:val="single" w:sz="4" w:space="0" w:color="auto"/>
            </w:tcBorders>
            <w:shd w:val="clear" w:color="auto" w:fill="auto"/>
          </w:tcPr>
          <w:p w14:paraId="563B635A" w14:textId="77777777" w:rsidR="008A5216" w:rsidRPr="00C96E9C" w:rsidRDefault="008A5216" w:rsidP="008A5216">
            <w:pPr>
              <w:pStyle w:val="TableTNR"/>
            </w:pPr>
          </w:p>
        </w:tc>
        <w:tc>
          <w:tcPr>
            <w:tcW w:w="6283" w:type="dxa"/>
            <w:gridSpan w:val="2"/>
            <w:tcBorders>
              <w:top w:val="single" w:sz="4" w:space="0" w:color="auto"/>
              <w:bottom w:val="single" w:sz="4" w:space="0" w:color="auto"/>
            </w:tcBorders>
            <w:shd w:val="clear" w:color="auto" w:fill="auto"/>
          </w:tcPr>
          <w:p w14:paraId="69779D4D" w14:textId="77777777" w:rsidR="000949B8" w:rsidRDefault="00EE07EB" w:rsidP="00202B33">
            <w:pPr>
              <w:pStyle w:val="TableTNR"/>
              <w:jc w:val="both"/>
            </w:pPr>
            <w:r>
              <w:t>Con</w:t>
            </w:r>
            <w:r w:rsidR="004A68B8" w:rsidRPr="004A68B8">
              <w:t xml:space="preserve"> financiamiento limitado, las actividades e impacto de las OSC y su sustentabilidad institucional y de servicios se </w:t>
            </w:r>
            <w:r>
              <w:t xml:space="preserve">puede </w:t>
            </w:r>
            <w:r w:rsidR="004A68B8" w:rsidRPr="004A68B8">
              <w:t>ve</w:t>
            </w:r>
            <w:r>
              <w:t>r</w:t>
            </w:r>
            <w:r w:rsidR="004A68B8" w:rsidRPr="004A68B8">
              <w:t xml:space="preserve"> disminuida </w:t>
            </w:r>
            <w:r>
              <w:t xml:space="preserve">afectando </w:t>
            </w:r>
            <w:r w:rsidR="004A68B8" w:rsidRPr="004A68B8">
              <w:t>la respuesta a las epidemias.</w:t>
            </w:r>
            <w:r w:rsidR="009B089F">
              <w:t xml:space="preserve"> </w:t>
            </w:r>
          </w:p>
          <w:p w14:paraId="6FA1E88C" w14:textId="5B8B043E" w:rsidR="00202B33" w:rsidRDefault="00FD7E85" w:rsidP="00202B33">
            <w:pPr>
              <w:pStyle w:val="TableTNR"/>
              <w:jc w:val="both"/>
              <w:rPr>
                <w:lang w:val="es-ES" w:eastAsia="en-US"/>
              </w:rPr>
            </w:pPr>
            <w:r>
              <w:t>L</w:t>
            </w:r>
            <w:proofErr w:type="spellStart"/>
            <w:r>
              <w:rPr>
                <w:lang w:val="es-ES" w:eastAsia="en-US"/>
              </w:rPr>
              <w:t>as</w:t>
            </w:r>
            <w:proofErr w:type="spellEnd"/>
            <w:r>
              <w:rPr>
                <w:lang w:val="es-ES" w:eastAsia="en-US"/>
              </w:rPr>
              <w:t xml:space="preserve"> dos únicas </w:t>
            </w:r>
            <w:r w:rsidR="0046283D">
              <w:rPr>
                <w:lang w:val="es-ES" w:eastAsia="en-US"/>
              </w:rPr>
              <w:t xml:space="preserve">OSC </w:t>
            </w:r>
            <w:r>
              <w:rPr>
                <w:lang w:val="es-ES" w:eastAsia="en-US"/>
              </w:rPr>
              <w:t>con trabajo en VIH que se incluyeron en el presupuesto 2019 fueron FOROSIDA con $US 56 mil ($L1.3 M)</w:t>
            </w:r>
            <w:r w:rsidR="00F620B7">
              <w:rPr>
                <w:lang w:val="es-ES" w:eastAsia="en-US"/>
              </w:rPr>
              <w:t xml:space="preserve"> </w:t>
            </w:r>
            <w:r>
              <w:rPr>
                <w:lang w:val="es-ES" w:eastAsia="en-US"/>
              </w:rPr>
              <w:t>y la Cruz Roja Hondureña con $US 408 mil ($L 10 M)</w:t>
            </w:r>
            <w:r w:rsidR="000949B8">
              <w:rPr>
                <w:lang w:val="es-ES" w:eastAsia="en-US"/>
              </w:rPr>
              <w:t xml:space="preserve"> –</w:t>
            </w:r>
            <w:r w:rsidR="00461201">
              <w:rPr>
                <w:lang w:val="es-ES" w:eastAsia="en-US"/>
              </w:rPr>
              <w:t xml:space="preserve"> </w:t>
            </w:r>
            <w:r w:rsidR="006F76CE">
              <w:rPr>
                <w:lang w:val="es-ES" w:eastAsia="en-US"/>
              </w:rPr>
              <w:t>cuyo</w:t>
            </w:r>
            <w:r w:rsidR="00692BAA">
              <w:rPr>
                <w:lang w:val="es-ES" w:eastAsia="en-US"/>
              </w:rPr>
              <w:t xml:space="preserve"> presupuesto</w:t>
            </w:r>
            <w:r w:rsidR="000949B8">
              <w:rPr>
                <w:lang w:val="es-ES" w:eastAsia="en-US"/>
              </w:rPr>
              <w:t xml:space="preserve"> no </w:t>
            </w:r>
            <w:r w:rsidR="006F76CE">
              <w:rPr>
                <w:lang w:val="es-ES" w:eastAsia="en-US"/>
              </w:rPr>
              <w:t xml:space="preserve">es </w:t>
            </w:r>
            <w:r w:rsidR="000949B8">
              <w:rPr>
                <w:lang w:val="es-ES" w:eastAsia="en-US"/>
              </w:rPr>
              <w:t>exclusivo para VIH.</w:t>
            </w:r>
            <w:r w:rsidR="00C03ABC">
              <w:rPr>
                <w:lang w:val="es-ES" w:eastAsia="en-US"/>
              </w:rPr>
              <w:t xml:space="preserve"> </w:t>
            </w:r>
            <w:r w:rsidR="00E9335C" w:rsidRPr="00E9335C">
              <w:rPr>
                <w:lang w:val="es-ES" w:eastAsia="en-US"/>
              </w:rPr>
              <w:t>El mecanismo de contratación es a través de convenios anuales con la SESAL.</w:t>
            </w:r>
          </w:p>
          <w:p w14:paraId="1E88ED9A" w14:textId="12B0A3AE" w:rsidR="00532A04" w:rsidRDefault="00532A04" w:rsidP="00202B33">
            <w:pPr>
              <w:pStyle w:val="TableTNR"/>
              <w:jc w:val="both"/>
            </w:pPr>
            <w:r>
              <w:rPr>
                <w:lang w:val="es-ES" w:eastAsia="en-US"/>
              </w:rPr>
              <w:t>En desarrollo de OSC en TB es incipiente en el país y no ha tenido el fortalecimiento necesario para su empoderamiento y gestión.</w:t>
            </w:r>
          </w:p>
          <w:p w14:paraId="3F5F619E" w14:textId="006A59AB" w:rsidR="00B86A45" w:rsidRPr="00C96E9C" w:rsidRDefault="00EE07EB" w:rsidP="00202B33">
            <w:pPr>
              <w:pStyle w:val="TableTNR"/>
              <w:jc w:val="both"/>
            </w:pPr>
            <w:r>
              <w:t>Se</w:t>
            </w:r>
            <w:r w:rsidR="00B86A45">
              <w:t xml:space="preserve"> </w:t>
            </w:r>
            <w:r w:rsidR="00B86A45" w:rsidRPr="0050467E">
              <w:t xml:space="preserve">expresó la complejidad del </w:t>
            </w:r>
            <w:r>
              <w:t>papel</w:t>
            </w:r>
            <w:r w:rsidR="00B86A45" w:rsidRPr="0050467E">
              <w:t xml:space="preserve"> de las </w:t>
            </w:r>
            <w:proofErr w:type="spellStart"/>
            <w:r w:rsidR="00B86A45" w:rsidRPr="0050467E">
              <w:t>OSCs</w:t>
            </w:r>
            <w:proofErr w:type="spellEnd"/>
            <w:r w:rsidR="00B86A45" w:rsidRPr="0050467E">
              <w:t xml:space="preserve"> y la necesidad de fortalecer sus </w:t>
            </w:r>
            <w:r w:rsidR="001E2C97" w:rsidRPr="0050467E">
              <w:t>competencias organizacion</w:t>
            </w:r>
            <w:r w:rsidR="0004411D">
              <w:t>ales</w:t>
            </w:r>
            <w:r w:rsidR="001E2C97" w:rsidRPr="0050467E">
              <w:t xml:space="preserve"> y opera</w:t>
            </w:r>
            <w:r w:rsidR="0004411D">
              <w:t>tivas</w:t>
            </w:r>
            <w:r w:rsidR="00B86A45" w:rsidRPr="0050467E">
              <w:t xml:space="preserve"> para el mejor desarrollo</w:t>
            </w:r>
            <w:r w:rsidR="00B86A45" w:rsidRPr="00B86A45">
              <w:t xml:space="preserve"> de sus potencialidades</w:t>
            </w:r>
            <w:r w:rsidR="00215FCE">
              <w:t>, para</w:t>
            </w:r>
            <w:r w:rsidR="00B86A45" w:rsidRPr="00B86A45">
              <w:t xml:space="preserve"> la prestación de servicios de salud</w:t>
            </w:r>
            <w:r w:rsidR="00215FCE">
              <w:t xml:space="preserve"> y </w:t>
            </w:r>
            <w:r w:rsidR="00B86A45" w:rsidRPr="00B86A45">
              <w:t xml:space="preserve">servicios sociales y </w:t>
            </w:r>
            <w:r w:rsidR="00215FCE">
              <w:t xml:space="preserve">su reenfoque en </w:t>
            </w:r>
            <w:r w:rsidR="00B86A45" w:rsidRPr="00B86A45">
              <w:t>incidencia</w:t>
            </w:r>
            <w:r w:rsidR="00215FCE">
              <w:t xml:space="preserve"> y </w:t>
            </w:r>
            <w:r w:rsidR="00B86A45" w:rsidRPr="00B86A45">
              <w:t>veeduría</w:t>
            </w:r>
            <w:r w:rsidR="006C4856">
              <w:t xml:space="preserve"> (propósito original de su creación)</w:t>
            </w:r>
            <w:r w:rsidR="001E2C97">
              <w:t>.</w:t>
            </w:r>
            <w:r w:rsidR="0046283D">
              <w:t xml:space="preserve"> </w:t>
            </w:r>
          </w:p>
        </w:tc>
      </w:tr>
      <w:tr w:rsidR="008A5216" w:rsidRPr="00C96E9C" w14:paraId="4CB363C3" w14:textId="77777777" w:rsidTr="006C78D3">
        <w:tc>
          <w:tcPr>
            <w:tcW w:w="3085" w:type="dxa"/>
            <w:tcBorders>
              <w:top w:val="single" w:sz="4" w:space="0" w:color="auto"/>
              <w:bottom w:val="single" w:sz="4" w:space="0" w:color="auto"/>
            </w:tcBorders>
            <w:shd w:val="clear" w:color="auto" w:fill="auto"/>
          </w:tcPr>
          <w:p w14:paraId="5F268CC3" w14:textId="7BE6FAF0" w:rsidR="008A5B3A" w:rsidRDefault="008A5216" w:rsidP="008A5216">
            <w:pPr>
              <w:pStyle w:val="TableTNR"/>
              <w:rPr>
                <w:lang w:val="es-MX"/>
              </w:rPr>
            </w:pPr>
            <w:r>
              <w:rPr>
                <w:b/>
              </w:rPr>
              <w:t>Riesgo</w:t>
            </w:r>
            <w:r w:rsidRPr="00C96E9C">
              <w:rPr>
                <w:b/>
              </w:rPr>
              <w:t xml:space="preserve"> 7:</w:t>
            </w:r>
            <w:r w:rsidRPr="00C96E9C">
              <w:t xml:space="preserve"> </w:t>
            </w:r>
            <w:r w:rsidR="008A5B3A">
              <w:rPr>
                <w:lang w:val="es-MX"/>
              </w:rPr>
              <w:t>El incumplimiento en la</w:t>
            </w:r>
            <w:r w:rsidRPr="00E86129">
              <w:rPr>
                <w:lang w:val="es-MX"/>
              </w:rPr>
              <w:t xml:space="preserve"> rendición de cuentas </w:t>
            </w:r>
            <w:r w:rsidR="008A5B3A">
              <w:rPr>
                <w:lang w:val="es-MX"/>
              </w:rPr>
              <w:t xml:space="preserve">que se vio </w:t>
            </w:r>
            <w:r w:rsidR="00E67F92">
              <w:rPr>
                <w:lang w:val="es-MX"/>
              </w:rPr>
              <w:t>acentuado</w:t>
            </w:r>
            <w:r w:rsidR="008A5B3A">
              <w:rPr>
                <w:lang w:val="es-MX"/>
              </w:rPr>
              <w:t xml:space="preserve"> por: </w:t>
            </w:r>
          </w:p>
          <w:p w14:paraId="788A51EC" w14:textId="586B1784" w:rsidR="00E67F92" w:rsidRDefault="005733E7" w:rsidP="008A5216">
            <w:pPr>
              <w:pStyle w:val="TableTNR"/>
              <w:rPr>
                <w:lang w:val="es-MX"/>
              </w:rPr>
            </w:pPr>
            <w:r>
              <w:rPr>
                <w:lang w:val="es-MX"/>
              </w:rPr>
              <w:t>(1)</w:t>
            </w:r>
            <w:r w:rsidR="008A5B3A">
              <w:rPr>
                <w:lang w:val="es-MX"/>
              </w:rPr>
              <w:t xml:space="preserve"> el proceso de transversalización de servicios de TB y VIH como parte de la </w:t>
            </w:r>
            <w:r w:rsidR="00E67F92">
              <w:rPr>
                <w:lang w:val="es-MX"/>
              </w:rPr>
              <w:t>r</w:t>
            </w:r>
            <w:r w:rsidR="008A5B3A">
              <w:rPr>
                <w:lang w:val="es-MX"/>
              </w:rPr>
              <w:t xml:space="preserve">eforma del </w:t>
            </w:r>
            <w:r w:rsidR="00E67F92">
              <w:rPr>
                <w:lang w:val="es-MX"/>
              </w:rPr>
              <w:t>s</w:t>
            </w:r>
            <w:r w:rsidR="008A5B3A">
              <w:rPr>
                <w:lang w:val="es-MX"/>
              </w:rPr>
              <w:t xml:space="preserve">ector </w:t>
            </w:r>
            <w:r w:rsidR="00E67F92">
              <w:rPr>
                <w:lang w:val="es-MX"/>
              </w:rPr>
              <w:t>s</w:t>
            </w:r>
            <w:r w:rsidR="008A5B3A">
              <w:rPr>
                <w:lang w:val="es-MX"/>
              </w:rPr>
              <w:t>alud;</w:t>
            </w:r>
          </w:p>
          <w:p w14:paraId="16054704" w14:textId="4A3B8249" w:rsidR="00E67F92" w:rsidRDefault="008A5B3A" w:rsidP="008A5216">
            <w:pPr>
              <w:pStyle w:val="TableTNR"/>
              <w:rPr>
                <w:lang w:val="es-MX"/>
              </w:rPr>
            </w:pPr>
            <w:r>
              <w:rPr>
                <w:lang w:val="es-MX"/>
              </w:rPr>
              <w:t>(2) l</w:t>
            </w:r>
            <w:r w:rsidR="005733E7">
              <w:rPr>
                <w:lang w:val="es-MX"/>
              </w:rPr>
              <w:t>a falta de un sistema de</w:t>
            </w:r>
            <w:r w:rsidR="00444EA4">
              <w:rPr>
                <w:lang w:val="es-MX"/>
              </w:rPr>
              <w:t xml:space="preserve"> información </w:t>
            </w:r>
            <w:r w:rsidR="005733E7">
              <w:rPr>
                <w:lang w:val="es-MX"/>
              </w:rPr>
              <w:t xml:space="preserve">integrado y funcional y </w:t>
            </w:r>
          </w:p>
          <w:p w14:paraId="2F39890D" w14:textId="5C391C73" w:rsidR="008A5B3A" w:rsidRDefault="008A5B3A" w:rsidP="008A5216">
            <w:pPr>
              <w:pStyle w:val="TableTNR"/>
              <w:rPr>
                <w:lang w:val="es-MX"/>
              </w:rPr>
            </w:pPr>
            <w:r>
              <w:rPr>
                <w:lang w:val="es-MX"/>
              </w:rPr>
              <w:t xml:space="preserve">(3) </w:t>
            </w:r>
            <w:r w:rsidR="005733E7">
              <w:rPr>
                <w:lang w:val="es-MX"/>
              </w:rPr>
              <w:t>debilidades de planificación estratégica en el nivel subnacional.</w:t>
            </w:r>
          </w:p>
          <w:p w14:paraId="52A9D3EC" w14:textId="77777777" w:rsidR="00444EA4" w:rsidRDefault="00444EA4" w:rsidP="008A5216">
            <w:pPr>
              <w:pStyle w:val="TableTNR"/>
              <w:rPr>
                <w:lang w:val="es-MX"/>
              </w:rPr>
            </w:pPr>
          </w:p>
          <w:p w14:paraId="6BD46D23" w14:textId="053CC95C" w:rsidR="00444EA4" w:rsidRPr="00C96E9C" w:rsidRDefault="00444EA4" w:rsidP="008A5216">
            <w:pPr>
              <w:pStyle w:val="TableTNR"/>
            </w:pPr>
          </w:p>
        </w:tc>
        <w:tc>
          <w:tcPr>
            <w:tcW w:w="284" w:type="dxa"/>
            <w:tcBorders>
              <w:top w:val="single" w:sz="4" w:space="0" w:color="auto"/>
              <w:bottom w:val="single" w:sz="4" w:space="0" w:color="auto"/>
            </w:tcBorders>
            <w:shd w:val="clear" w:color="auto" w:fill="auto"/>
          </w:tcPr>
          <w:p w14:paraId="4F6BBD9E" w14:textId="77777777" w:rsidR="008A5216" w:rsidRPr="00C96E9C" w:rsidRDefault="008A5216" w:rsidP="008A5216">
            <w:pPr>
              <w:pStyle w:val="TableTNR"/>
            </w:pPr>
          </w:p>
        </w:tc>
        <w:tc>
          <w:tcPr>
            <w:tcW w:w="6283" w:type="dxa"/>
            <w:gridSpan w:val="2"/>
            <w:tcBorders>
              <w:top w:val="single" w:sz="4" w:space="0" w:color="auto"/>
              <w:bottom w:val="single" w:sz="4" w:space="0" w:color="auto"/>
            </w:tcBorders>
            <w:shd w:val="clear" w:color="auto" w:fill="auto"/>
          </w:tcPr>
          <w:p w14:paraId="743ADB0F" w14:textId="52EDC3B8" w:rsidR="00E67F92" w:rsidRDefault="000F5011" w:rsidP="00653A3E">
            <w:pPr>
              <w:pStyle w:val="TableTNR"/>
              <w:jc w:val="both"/>
            </w:pPr>
            <w:r w:rsidRPr="000F5011">
              <w:t>Los cambios en el proceso del Desarrollo Organizacional (DO) de la SESAL y sus dependencias, especialmente con la desaparición de los Programa</w:t>
            </w:r>
            <w:r w:rsidR="008131F0">
              <w:t>s</w:t>
            </w:r>
            <w:r w:rsidRPr="000F5011">
              <w:t xml:space="preserve"> Nacional</w:t>
            </w:r>
            <w:r w:rsidR="008131F0">
              <w:t>es</w:t>
            </w:r>
            <w:r w:rsidRPr="000F5011">
              <w:t xml:space="preserve"> de VIH y TB</w:t>
            </w:r>
            <w:r w:rsidR="008131F0">
              <w:t xml:space="preserve"> de la estructura organizacional de la SESAL,</w:t>
            </w:r>
            <w:r w:rsidRPr="000F5011">
              <w:t xml:space="preserve"> </w:t>
            </w:r>
            <w:r w:rsidR="00755014">
              <w:t xml:space="preserve">ha sido </w:t>
            </w:r>
            <w:r w:rsidRPr="000F5011">
              <w:t xml:space="preserve">una desventaja para la adecuada </w:t>
            </w:r>
            <w:r w:rsidR="006C78D3">
              <w:t xml:space="preserve">rendición de cuentas, monitoreo y evaluación, y </w:t>
            </w:r>
            <w:r w:rsidRPr="000F5011">
              <w:t>financiamiento de los servicios necesarios para la promoción, prevención, tratamiento y control de las enfermedades</w:t>
            </w:r>
          </w:p>
          <w:p w14:paraId="64743058" w14:textId="29563A6E" w:rsidR="00B54D5B" w:rsidRDefault="00B54D5B" w:rsidP="00653A3E">
            <w:pPr>
              <w:pStyle w:val="TableTNR"/>
              <w:jc w:val="both"/>
            </w:pPr>
            <w:r>
              <w:t xml:space="preserve">Durante el periodo 2017-2019, la Unidad de Gestión de la Información (UGI) ha implementado el </w:t>
            </w:r>
            <w:r w:rsidRPr="00E95AE0">
              <w:rPr>
                <w:b/>
              </w:rPr>
              <w:t>“Proyecto Nacional de Fortalecimiento del Sistema de Información Integrado de Malaria, VIH y Tuberculosis en el Marco del Desarrollo del Sistema Integrado de Información en Salud (SIIS)”</w:t>
            </w:r>
            <w:r>
              <w:t>. La implementación y funcionalidad del SIIS es necesaria para contar con una gestión basada procesos y resultados, y generar una cultura de rendición de cuentas</w:t>
            </w:r>
            <w:r w:rsidR="007808BA">
              <w:t>.</w:t>
            </w:r>
          </w:p>
          <w:p w14:paraId="7356316F" w14:textId="1CAE54CC" w:rsidR="0003215E" w:rsidRPr="00AA74CF" w:rsidRDefault="008A5B3A" w:rsidP="00653A3E">
            <w:pPr>
              <w:pStyle w:val="TableTNR"/>
              <w:jc w:val="both"/>
            </w:pPr>
            <w:r>
              <w:lastRenderedPageBreak/>
              <w:t xml:space="preserve">Las necesidades en vigilancia de VIH y TB por la falta de datos para poder tener </w:t>
            </w:r>
            <w:r w:rsidR="00755014">
              <w:t xml:space="preserve">información </w:t>
            </w:r>
            <w:r>
              <w:t>subnacional</w:t>
            </w:r>
            <w:r w:rsidR="00E67F92">
              <w:t xml:space="preserve"> dificulta</w:t>
            </w:r>
            <w:r w:rsidR="0003215E">
              <w:t>n</w:t>
            </w:r>
            <w:r w:rsidR="00E67F92">
              <w:t xml:space="preserve"> la definición de las necesidades de servicios que deben ser implementados en los niveles regionales y locales</w:t>
            </w:r>
            <w:r w:rsidR="005146FB">
              <w:t>, desde la planificación estratégica.</w:t>
            </w:r>
          </w:p>
        </w:tc>
      </w:tr>
    </w:tbl>
    <w:p w14:paraId="734617A3" w14:textId="74715259" w:rsidR="005E09BA" w:rsidRDefault="005E09BA" w:rsidP="00994064">
      <w:pPr>
        <w:pStyle w:val="Figura"/>
        <w:jc w:val="both"/>
      </w:pPr>
    </w:p>
    <w:p w14:paraId="6305CA97" w14:textId="77777777" w:rsidR="00F12DCF" w:rsidRPr="00424328" w:rsidRDefault="00DF78FA" w:rsidP="00F948D1">
      <w:pPr>
        <w:pStyle w:val="Heading1"/>
        <w:ind w:firstLine="0"/>
        <w:rPr>
          <w:lang w:val="es-GT"/>
        </w:rPr>
      </w:pPr>
      <w:bookmarkStart w:id="28" w:name="_Toc8381158"/>
      <w:r w:rsidRPr="00424328">
        <w:rPr>
          <w:lang w:val="es-GT"/>
        </w:rPr>
        <w:lastRenderedPageBreak/>
        <w:t>Principales r</w:t>
      </w:r>
      <w:r w:rsidR="003A19D3" w:rsidRPr="00424328">
        <w:rPr>
          <w:lang w:val="es-GT"/>
        </w:rPr>
        <w:t>ecomendaciones en el Plan de Trabajo para la Sostenibilidad</w:t>
      </w:r>
      <w:bookmarkEnd w:id="28"/>
    </w:p>
    <w:p w14:paraId="1D89EB53" w14:textId="0E4C0A9F" w:rsidR="00790D16" w:rsidRDefault="00DF78FA" w:rsidP="00C647D1">
      <w:pPr>
        <w:ind w:firstLine="0"/>
        <w:rPr>
          <w:lang w:eastAsia="en-US"/>
        </w:rPr>
      </w:pPr>
      <w:r w:rsidRPr="00424328">
        <w:rPr>
          <w:lang w:eastAsia="en-US"/>
        </w:rPr>
        <w:t xml:space="preserve">Esta sección presenta en primer término la correspondencia propuesta por los consultores entre los riesgos de sostenibilidad y los objetivos del PTS. En segundo lugar, describe el contexto que da origen a </w:t>
      </w:r>
      <w:r w:rsidR="00424328" w:rsidRPr="00424328">
        <w:rPr>
          <w:lang w:eastAsia="en-US"/>
        </w:rPr>
        <w:t xml:space="preserve">los siete </w:t>
      </w:r>
      <w:r w:rsidRPr="00424328">
        <w:rPr>
          <w:lang w:eastAsia="en-US"/>
        </w:rPr>
        <w:t>grandes objetivos del PTS y propone las acciones que deben llevarse a cabo para abordar cada objetivo.</w:t>
      </w:r>
    </w:p>
    <w:p w14:paraId="341DD2A1" w14:textId="77777777" w:rsidR="00424328" w:rsidRPr="00424328" w:rsidRDefault="00424328" w:rsidP="00F948D1">
      <w:pPr>
        <w:ind w:firstLine="0"/>
        <w:rPr>
          <w:lang w:eastAsia="en-US"/>
        </w:rPr>
      </w:pPr>
    </w:p>
    <w:p w14:paraId="2B67AC95" w14:textId="40B75710" w:rsidR="00C647D1" w:rsidRDefault="00DF78FA" w:rsidP="00C647D1">
      <w:pPr>
        <w:pStyle w:val="Heading2"/>
        <w:tabs>
          <w:tab w:val="left" w:pos="450"/>
        </w:tabs>
        <w:ind w:left="0" w:firstLine="0"/>
        <w:jc w:val="both"/>
      </w:pPr>
      <w:bookmarkStart w:id="29" w:name="_Toc32768"/>
      <w:bookmarkStart w:id="30" w:name="_Toc456369"/>
      <w:bookmarkStart w:id="31" w:name="_Toc8381159"/>
      <w:r w:rsidRPr="00424328">
        <w:rPr>
          <w:lang w:val="es-ES"/>
        </w:rPr>
        <w:t>Correspondencia</w:t>
      </w:r>
      <w:r w:rsidRPr="00424328">
        <w:t xml:space="preserve"> entre riesgos de sostenibilidad y objetivos del PT</w:t>
      </w:r>
      <w:bookmarkEnd w:id="29"/>
      <w:r w:rsidRPr="00424328">
        <w:t>S</w:t>
      </w:r>
      <w:bookmarkEnd w:id="30"/>
      <w:bookmarkEnd w:id="31"/>
    </w:p>
    <w:p w14:paraId="5493E30B" w14:textId="4879FBDB" w:rsidR="00C647D1" w:rsidRPr="00C647D1" w:rsidRDefault="00C647D1" w:rsidP="00C647D1">
      <w:pPr>
        <w:rPr>
          <w:lang w:val="es-GT" w:eastAsia="en-US"/>
        </w:rPr>
      </w:pPr>
      <w:r>
        <w:rPr>
          <w:noProof/>
          <w:lang w:eastAsia="en-US"/>
        </w:rPr>
        <w:drawing>
          <wp:inline distT="0" distB="0" distL="0" distR="0" wp14:anchorId="0ABFD8C1" wp14:editId="7CEB0F91">
            <wp:extent cx="5925505" cy="36752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28894" cy="3677389"/>
                    </a:xfrm>
                    <a:prstGeom prst="rect">
                      <a:avLst/>
                    </a:prstGeom>
                    <a:noFill/>
                  </pic:spPr>
                </pic:pic>
              </a:graphicData>
            </a:graphic>
          </wp:inline>
        </w:drawing>
      </w:r>
    </w:p>
    <w:p w14:paraId="5DB3D3B8" w14:textId="79BE9BB7" w:rsidR="00DF78FA" w:rsidRPr="005039BB" w:rsidRDefault="00C647D1" w:rsidP="00F948D1">
      <w:pPr>
        <w:ind w:firstLine="0"/>
        <w:rPr>
          <w:lang w:eastAsia="en-US"/>
        </w:rPr>
      </w:pPr>
      <w:r>
        <w:rPr>
          <w:lang w:eastAsia="en-US"/>
        </w:rPr>
        <w:t>Asimismo, la Tabla 3 presenta las acciones recomendadas para cada uno de los</w:t>
      </w:r>
      <w:r w:rsidR="00DF78FA" w:rsidRPr="00424328">
        <w:rPr>
          <w:lang w:eastAsia="en-US"/>
        </w:rPr>
        <w:t xml:space="preserve"> objetivos del PTS</w:t>
      </w:r>
      <w:r>
        <w:rPr>
          <w:lang w:eastAsia="en-US"/>
        </w:rPr>
        <w:t>.</w:t>
      </w:r>
    </w:p>
    <w:tbl>
      <w:tblPr>
        <w:tblW w:w="5000" w:type="pct"/>
        <w:tblCellMar>
          <w:left w:w="70" w:type="dxa"/>
          <w:right w:w="70" w:type="dxa"/>
        </w:tblCellMar>
        <w:tblLook w:val="04A0" w:firstRow="1" w:lastRow="0" w:firstColumn="1" w:lastColumn="0" w:noHBand="0" w:noVBand="1"/>
      </w:tblPr>
      <w:tblGrid>
        <w:gridCol w:w="3624"/>
        <w:gridCol w:w="6348"/>
      </w:tblGrid>
      <w:tr w:rsidR="00DF78FA" w:rsidRPr="0095779C" w14:paraId="3CC45C01" w14:textId="77777777" w:rsidTr="004A20BC">
        <w:trPr>
          <w:trHeight w:val="20"/>
          <w:tblHeader/>
        </w:trPr>
        <w:tc>
          <w:tcPr>
            <w:tcW w:w="5000" w:type="pct"/>
            <w:gridSpan w:val="2"/>
            <w:tcBorders>
              <w:bottom w:val="single" w:sz="4" w:space="0" w:color="auto"/>
            </w:tcBorders>
            <w:shd w:val="clear" w:color="auto" w:fill="auto"/>
          </w:tcPr>
          <w:p w14:paraId="56CE2092" w14:textId="63811D3F" w:rsidR="00DF78FA" w:rsidRPr="0095779C" w:rsidRDefault="00DF78FA" w:rsidP="00F948D1">
            <w:pPr>
              <w:pStyle w:val="Caption"/>
              <w:rPr>
                <w:rFonts w:ascii="Times New Roman" w:hAnsi="Times New Roman"/>
                <w:color w:val="000000"/>
                <w:sz w:val="20"/>
                <w:szCs w:val="20"/>
                <w:lang w:eastAsia="fr-FR"/>
              </w:rPr>
            </w:pPr>
            <w:bookmarkStart w:id="32" w:name="_Toc32789"/>
            <w:bookmarkStart w:id="33" w:name="_Toc1408547"/>
            <w:bookmarkStart w:id="34" w:name="_Hlk2350881"/>
            <w:bookmarkStart w:id="35" w:name="_Hlk2614448"/>
            <w:r w:rsidRPr="0095779C">
              <w:rPr>
                <w:rFonts w:ascii="Times New Roman" w:hAnsi="Times New Roman"/>
              </w:rPr>
              <w:t xml:space="preserve">Tabla </w:t>
            </w:r>
            <w:r w:rsidR="00FD74BF">
              <w:rPr>
                <w:rFonts w:ascii="Times New Roman" w:hAnsi="Times New Roman"/>
              </w:rPr>
              <w:t>3</w:t>
            </w:r>
            <w:r w:rsidRPr="0095779C">
              <w:rPr>
                <w:rFonts w:ascii="Times New Roman" w:hAnsi="Times New Roman"/>
              </w:rPr>
              <w:t xml:space="preserve"> </w:t>
            </w:r>
            <w:bookmarkStart w:id="36" w:name="_Hlk885268"/>
            <w:r w:rsidRPr="0095779C">
              <w:rPr>
                <w:rFonts w:ascii="Times New Roman" w:hAnsi="Times New Roman"/>
              </w:rPr>
              <w:t xml:space="preserve">Objetivos y </w:t>
            </w:r>
            <w:bookmarkEnd w:id="32"/>
            <w:r w:rsidR="005C5BA8" w:rsidRPr="0095779C">
              <w:rPr>
                <w:rFonts w:ascii="Times New Roman" w:hAnsi="Times New Roman"/>
              </w:rPr>
              <w:t>principales acciones recomendadas</w:t>
            </w:r>
            <w:bookmarkEnd w:id="33"/>
            <w:bookmarkEnd w:id="36"/>
          </w:p>
        </w:tc>
      </w:tr>
      <w:tr w:rsidR="00DF78FA" w:rsidRPr="0095779C" w14:paraId="11EE7D0A" w14:textId="77777777" w:rsidTr="00A4627B">
        <w:trPr>
          <w:trHeight w:val="20"/>
          <w:tblHeader/>
        </w:trPr>
        <w:tc>
          <w:tcPr>
            <w:tcW w:w="1817" w:type="pct"/>
            <w:tcBorders>
              <w:top w:val="single" w:sz="4" w:space="0" w:color="auto"/>
              <w:bottom w:val="single" w:sz="4" w:space="0" w:color="auto"/>
            </w:tcBorders>
            <w:shd w:val="clear" w:color="auto" w:fill="D9D9D9"/>
            <w:hideMark/>
          </w:tcPr>
          <w:p w14:paraId="540A5978" w14:textId="14CFFFDB" w:rsidR="00DF78FA" w:rsidRPr="0095779C" w:rsidRDefault="00DF78FA" w:rsidP="00F948D1">
            <w:pPr>
              <w:autoSpaceDN/>
              <w:spacing w:beforeLines="30" w:before="72" w:afterLines="30" w:after="72"/>
              <w:ind w:firstLine="0"/>
              <w:jc w:val="left"/>
              <w:textAlignment w:val="auto"/>
              <w:rPr>
                <w:b/>
                <w:bCs/>
                <w:color w:val="000000"/>
                <w:sz w:val="20"/>
                <w:szCs w:val="20"/>
                <w:lang w:eastAsia="fr-FR"/>
              </w:rPr>
            </w:pPr>
            <w:r w:rsidRPr="0095779C">
              <w:rPr>
                <w:b/>
                <w:bCs/>
                <w:color w:val="000000"/>
                <w:sz w:val="20"/>
                <w:szCs w:val="20"/>
                <w:lang w:eastAsia="fr-FR"/>
              </w:rPr>
              <w:t xml:space="preserve">Objetivos </w:t>
            </w:r>
          </w:p>
        </w:tc>
        <w:tc>
          <w:tcPr>
            <w:tcW w:w="3183" w:type="pct"/>
            <w:tcBorders>
              <w:top w:val="single" w:sz="4" w:space="0" w:color="auto"/>
              <w:bottom w:val="single" w:sz="4" w:space="0" w:color="auto"/>
            </w:tcBorders>
            <w:shd w:val="clear" w:color="auto" w:fill="D9D9D9"/>
            <w:hideMark/>
          </w:tcPr>
          <w:p w14:paraId="2C1738E5" w14:textId="3C7532D6" w:rsidR="00DF78FA" w:rsidRPr="0095779C" w:rsidRDefault="00DF78FA" w:rsidP="00F948D1">
            <w:pPr>
              <w:autoSpaceDN/>
              <w:spacing w:beforeLines="30" w:before="72" w:afterLines="30" w:after="72"/>
              <w:ind w:firstLine="0"/>
              <w:jc w:val="left"/>
              <w:textAlignment w:val="auto"/>
              <w:rPr>
                <w:b/>
                <w:bCs/>
                <w:color w:val="000000"/>
                <w:sz w:val="20"/>
                <w:szCs w:val="20"/>
                <w:lang w:eastAsia="fr-FR"/>
              </w:rPr>
            </w:pPr>
            <w:r w:rsidRPr="0095779C">
              <w:rPr>
                <w:b/>
                <w:bCs/>
                <w:color w:val="000000"/>
                <w:sz w:val="20"/>
                <w:szCs w:val="20"/>
                <w:lang w:eastAsia="fr-FR"/>
              </w:rPr>
              <w:t xml:space="preserve">Principales </w:t>
            </w:r>
            <w:r w:rsidR="00426C6D" w:rsidRPr="0095779C">
              <w:rPr>
                <w:b/>
                <w:bCs/>
                <w:color w:val="000000"/>
                <w:sz w:val="20"/>
                <w:szCs w:val="20"/>
                <w:lang w:eastAsia="fr-FR"/>
              </w:rPr>
              <w:t xml:space="preserve">acciones recomendadas </w:t>
            </w:r>
          </w:p>
        </w:tc>
      </w:tr>
      <w:tr w:rsidR="0038631F" w:rsidRPr="0095779C" w14:paraId="5DF2FA89" w14:textId="77777777" w:rsidTr="002B6AD6">
        <w:trPr>
          <w:trHeight w:val="464"/>
        </w:trPr>
        <w:tc>
          <w:tcPr>
            <w:tcW w:w="1817" w:type="pct"/>
            <w:vMerge w:val="restart"/>
            <w:tcBorders>
              <w:top w:val="single" w:sz="4" w:space="0" w:color="auto"/>
            </w:tcBorders>
            <w:shd w:val="clear" w:color="auto" w:fill="auto"/>
          </w:tcPr>
          <w:p w14:paraId="78878C29" w14:textId="66F7E8E7" w:rsidR="0038631F" w:rsidRPr="0095779C" w:rsidRDefault="0038631F" w:rsidP="00F948D1">
            <w:pPr>
              <w:autoSpaceDN/>
              <w:spacing w:beforeLines="30" w:before="72" w:afterLines="30" w:after="72"/>
              <w:ind w:firstLine="0"/>
              <w:jc w:val="left"/>
              <w:textAlignment w:val="auto"/>
              <w:rPr>
                <w:bCs/>
                <w:color w:val="000000"/>
                <w:sz w:val="20"/>
                <w:szCs w:val="20"/>
                <w:lang w:val="es-ES" w:eastAsia="fr-FR"/>
              </w:rPr>
            </w:pPr>
            <w:r w:rsidRPr="009D14B8">
              <w:rPr>
                <w:b/>
                <w:bCs/>
                <w:color w:val="000000"/>
                <w:sz w:val="20"/>
                <w:szCs w:val="20"/>
                <w:lang w:eastAsia="fr-FR"/>
              </w:rPr>
              <w:t xml:space="preserve">Objetivo 1. </w:t>
            </w:r>
            <w:r w:rsidRPr="009D14B8">
              <w:rPr>
                <w:bCs/>
                <w:color w:val="000000"/>
                <w:sz w:val="20"/>
                <w:szCs w:val="20"/>
                <w:lang w:val="es-ES" w:eastAsia="fr-FR"/>
              </w:rPr>
              <w:t>Fortalecer la vigilancia y monitoreo de la resistencia a medicamentos de VIH</w:t>
            </w:r>
            <w:r w:rsidR="000D62F0">
              <w:rPr>
                <w:bCs/>
                <w:color w:val="000000"/>
                <w:sz w:val="20"/>
                <w:szCs w:val="20"/>
                <w:lang w:val="es-ES" w:eastAsia="fr-FR"/>
              </w:rPr>
              <w:t xml:space="preserve"> y</w:t>
            </w:r>
            <w:r w:rsidR="0047551F">
              <w:rPr>
                <w:bCs/>
                <w:color w:val="000000"/>
                <w:sz w:val="20"/>
                <w:szCs w:val="20"/>
                <w:lang w:val="es-ES" w:eastAsia="fr-FR"/>
              </w:rPr>
              <w:t xml:space="preserve"> </w:t>
            </w:r>
            <w:r w:rsidRPr="009D14B8">
              <w:rPr>
                <w:bCs/>
                <w:color w:val="000000"/>
                <w:sz w:val="20"/>
                <w:szCs w:val="20"/>
                <w:lang w:val="es-ES" w:eastAsia="fr-FR"/>
              </w:rPr>
              <w:t xml:space="preserve">TB y migración a esquemas de </w:t>
            </w:r>
            <w:r w:rsidRPr="008E2230">
              <w:rPr>
                <w:bCs/>
                <w:color w:val="000000"/>
                <w:sz w:val="20"/>
                <w:szCs w:val="20"/>
                <w:lang w:val="es-ES" w:eastAsia="fr-FR"/>
              </w:rPr>
              <w:t>menor costo y baja toxicidad, así como actividades que favorecen el control de la TB-MDR</w:t>
            </w:r>
            <w:r>
              <w:rPr>
                <w:bCs/>
                <w:color w:val="000000"/>
                <w:sz w:val="20"/>
                <w:szCs w:val="20"/>
                <w:lang w:val="es-ES" w:eastAsia="fr-FR"/>
              </w:rPr>
              <w:t>.</w:t>
            </w:r>
          </w:p>
          <w:p w14:paraId="053FA5EE" w14:textId="7EC4B5D0" w:rsidR="0038631F" w:rsidRPr="0095779C" w:rsidRDefault="0038631F" w:rsidP="00F948D1">
            <w:pPr>
              <w:autoSpaceDN/>
              <w:spacing w:beforeLines="30" w:before="72" w:afterLines="30" w:after="72"/>
              <w:ind w:firstLine="0"/>
              <w:jc w:val="left"/>
              <w:textAlignment w:val="auto"/>
              <w:rPr>
                <w:rFonts w:eastAsia="Arial Nova Cond"/>
                <w:b/>
                <w:bCs/>
                <w:color w:val="000000"/>
                <w:sz w:val="20"/>
                <w:szCs w:val="20"/>
                <w:lang w:eastAsia="fr-FR"/>
              </w:rPr>
            </w:pPr>
          </w:p>
        </w:tc>
        <w:tc>
          <w:tcPr>
            <w:tcW w:w="3183" w:type="pct"/>
            <w:tcBorders>
              <w:top w:val="single" w:sz="4" w:space="0" w:color="auto"/>
            </w:tcBorders>
            <w:shd w:val="clear" w:color="auto" w:fill="auto"/>
          </w:tcPr>
          <w:p w14:paraId="75CD3EE6" w14:textId="4FAEDB1B" w:rsidR="0038631F" w:rsidRPr="0095779C" w:rsidRDefault="0038631F" w:rsidP="00F948D1">
            <w:pPr>
              <w:autoSpaceDN/>
              <w:spacing w:beforeLines="30" w:before="72" w:afterLines="30" w:after="72"/>
              <w:ind w:firstLine="0"/>
              <w:jc w:val="left"/>
              <w:textAlignment w:val="auto"/>
              <w:rPr>
                <w:bCs/>
                <w:color w:val="000000"/>
                <w:sz w:val="20"/>
                <w:szCs w:val="20"/>
                <w:lang w:val="es-CO" w:eastAsia="fr-FR"/>
              </w:rPr>
            </w:pPr>
            <w:r w:rsidRPr="0095779C">
              <w:rPr>
                <w:b/>
                <w:bCs/>
                <w:color w:val="000000"/>
                <w:sz w:val="20"/>
                <w:szCs w:val="20"/>
                <w:lang w:eastAsia="fr-FR"/>
              </w:rPr>
              <w:t xml:space="preserve">Acción a: </w:t>
            </w:r>
            <w:r w:rsidRPr="0095779C">
              <w:rPr>
                <w:bCs/>
                <w:color w:val="000000"/>
                <w:sz w:val="20"/>
                <w:szCs w:val="20"/>
                <w:lang w:val="es-CO" w:eastAsia="fr-FR"/>
              </w:rPr>
              <w:t>Elaborar el “Plan nacional de abordaje a la resistencia de los ARV en Honduras”</w:t>
            </w:r>
            <w:r>
              <w:rPr>
                <w:bCs/>
                <w:color w:val="000000"/>
                <w:sz w:val="20"/>
                <w:szCs w:val="20"/>
                <w:lang w:val="es-CO" w:eastAsia="fr-FR"/>
              </w:rPr>
              <w:t xml:space="preserve"> </w:t>
            </w:r>
            <w:r w:rsidRPr="00C242E8">
              <w:rPr>
                <w:bCs/>
                <w:color w:val="000000"/>
                <w:sz w:val="20"/>
                <w:szCs w:val="20"/>
                <w:lang w:val="es-CO" w:eastAsia="fr-FR"/>
              </w:rPr>
              <w:t xml:space="preserve">que aborda las siguientes acciones </w:t>
            </w:r>
            <w:r w:rsidR="00C242E8">
              <w:rPr>
                <w:bCs/>
                <w:color w:val="000000"/>
                <w:sz w:val="20"/>
                <w:szCs w:val="20"/>
                <w:lang w:val="es-CO" w:eastAsia="fr-FR"/>
              </w:rPr>
              <w:t>(</w:t>
            </w:r>
            <w:r w:rsidRPr="00C242E8">
              <w:rPr>
                <w:bCs/>
                <w:color w:val="000000"/>
                <w:sz w:val="20"/>
                <w:szCs w:val="20"/>
                <w:lang w:val="es-CO" w:eastAsia="fr-FR"/>
              </w:rPr>
              <w:t>b-</w:t>
            </w:r>
            <w:r w:rsidR="00D4007F">
              <w:rPr>
                <w:bCs/>
                <w:color w:val="000000"/>
                <w:sz w:val="20"/>
                <w:szCs w:val="20"/>
                <w:lang w:val="es-CO" w:eastAsia="fr-FR"/>
              </w:rPr>
              <w:t>d</w:t>
            </w:r>
            <w:r w:rsidR="00C242E8">
              <w:rPr>
                <w:bCs/>
                <w:color w:val="000000"/>
                <w:sz w:val="20"/>
                <w:szCs w:val="20"/>
                <w:lang w:val="es-CO" w:eastAsia="fr-FR"/>
              </w:rPr>
              <w:t>)</w:t>
            </w:r>
          </w:p>
        </w:tc>
      </w:tr>
      <w:tr w:rsidR="0038631F" w:rsidRPr="0095779C" w14:paraId="653B1ABF" w14:textId="77777777" w:rsidTr="002B6AD6">
        <w:trPr>
          <w:trHeight w:val="201"/>
        </w:trPr>
        <w:tc>
          <w:tcPr>
            <w:tcW w:w="1817" w:type="pct"/>
            <w:vMerge/>
            <w:shd w:val="clear" w:color="auto" w:fill="auto"/>
          </w:tcPr>
          <w:p w14:paraId="544AE763" w14:textId="77777777" w:rsidR="0038631F" w:rsidRPr="0095779C" w:rsidRDefault="0038631F"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tcBorders>
            <w:shd w:val="clear" w:color="auto" w:fill="auto"/>
          </w:tcPr>
          <w:p w14:paraId="589B9F4C" w14:textId="5062DD4F" w:rsidR="0038631F" w:rsidRPr="0095779C" w:rsidRDefault="0038631F" w:rsidP="00F948D1">
            <w:pPr>
              <w:autoSpaceDN/>
              <w:spacing w:beforeLines="30" w:before="72" w:afterLines="30" w:after="72"/>
              <w:ind w:firstLine="0"/>
              <w:jc w:val="left"/>
              <w:textAlignment w:val="auto"/>
              <w:rPr>
                <w:b/>
                <w:bCs/>
                <w:color w:val="000000"/>
                <w:sz w:val="20"/>
                <w:szCs w:val="20"/>
                <w:lang w:eastAsia="fr-FR"/>
              </w:rPr>
            </w:pPr>
            <w:r w:rsidRPr="0095779C">
              <w:rPr>
                <w:b/>
                <w:bCs/>
                <w:color w:val="000000"/>
                <w:sz w:val="20"/>
                <w:szCs w:val="20"/>
                <w:lang w:eastAsia="fr-FR"/>
              </w:rPr>
              <w:t xml:space="preserve">Acción b: </w:t>
            </w:r>
            <w:r w:rsidRPr="0095779C">
              <w:rPr>
                <w:bCs/>
                <w:color w:val="000000"/>
                <w:sz w:val="20"/>
                <w:szCs w:val="20"/>
                <w:lang w:val="es-CO" w:eastAsia="fr-FR"/>
              </w:rPr>
              <w:t xml:space="preserve">Establecer un sistema de vigilancia a la resistencia </w:t>
            </w:r>
            <w:r>
              <w:rPr>
                <w:bCs/>
                <w:color w:val="000000"/>
                <w:sz w:val="20"/>
                <w:szCs w:val="20"/>
                <w:lang w:val="es-CO" w:eastAsia="fr-FR"/>
              </w:rPr>
              <w:t>a</w:t>
            </w:r>
            <w:r w:rsidRPr="0095779C">
              <w:rPr>
                <w:bCs/>
                <w:color w:val="000000"/>
                <w:sz w:val="20"/>
                <w:szCs w:val="20"/>
                <w:lang w:val="es-CO" w:eastAsia="fr-FR"/>
              </w:rPr>
              <w:t xml:space="preserve"> los ARV</w:t>
            </w:r>
          </w:p>
        </w:tc>
      </w:tr>
      <w:tr w:rsidR="0038631F" w:rsidRPr="0095779C" w14:paraId="1BF86BE7" w14:textId="77777777" w:rsidTr="002B6AD6">
        <w:trPr>
          <w:trHeight w:val="110"/>
        </w:trPr>
        <w:tc>
          <w:tcPr>
            <w:tcW w:w="1817" w:type="pct"/>
            <w:vMerge/>
            <w:shd w:val="clear" w:color="auto" w:fill="auto"/>
          </w:tcPr>
          <w:p w14:paraId="5CE127C9" w14:textId="77777777" w:rsidR="0038631F" w:rsidRPr="0095779C" w:rsidRDefault="0038631F"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tcBorders>
            <w:shd w:val="clear" w:color="auto" w:fill="auto"/>
          </w:tcPr>
          <w:p w14:paraId="44C02FD9" w14:textId="441D6D72" w:rsidR="0038631F" w:rsidRPr="0095779C" w:rsidRDefault="0038631F" w:rsidP="00F948D1">
            <w:pPr>
              <w:autoSpaceDN/>
              <w:spacing w:beforeLines="30" w:before="72" w:afterLines="30" w:after="72"/>
              <w:ind w:firstLine="0"/>
              <w:jc w:val="left"/>
              <w:textAlignment w:val="auto"/>
              <w:rPr>
                <w:b/>
                <w:bCs/>
                <w:color w:val="000000"/>
                <w:sz w:val="20"/>
                <w:szCs w:val="20"/>
                <w:lang w:eastAsia="fr-FR"/>
              </w:rPr>
            </w:pPr>
            <w:r w:rsidRPr="0095779C">
              <w:rPr>
                <w:b/>
                <w:bCs/>
                <w:color w:val="000000"/>
                <w:sz w:val="20"/>
                <w:szCs w:val="20"/>
                <w:lang w:eastAsia="fr-FR"/>
              </w:rPr>
              <w:t xml:space="preserve">Acción c: </w:t>
            </w:r>
            <w:r w:rsidRPr="0095779C">
              <w:rPr>
                <w:bCs/>
                <w:color w:val="000000"/>
                <w:sz w:val="20"/>
                <w:szCs w:val="20"/>
                <w:lang w:val="es-CO" w:eastAsia="fr-FR"/>
              </w:rPr>
              <w:t>Actualizar normas, guías y protocolos nacionales en función al perfil de resistencia a los ARV</w:t>
            </w:r>
          </w:p>
        </w:tc>
      </w:tr>
      <w:tr w:rsidR="00CF1CF3" w:rsidRPr="0095779C" w14:paraId="2907939E" w14:textId="77777777" w:rsidTr="002B6AD6">
        <w:trPr>
          <w:trHeight w:val="110"/>
        </w:trPr>
        <w:tc>
          <w:tcPr>
            <w:tcW w:w="1817" w:type="pct"/>
            <w:vMerge/>
            <w:shd w:val="clear" w:color="auto" w:fill="auto"/>
          </w:tcPr>
          <w:p w14:paraId="3713AAD3" w14:textId="77777777" w:rsidR="00CF1CF3" w:rsidRPr="0095779C" w:rsidRDefault="00CF1CF3"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tcBorders>
            <w:shd w:val="clear" w:color="auto" w:fill="auto"/>
          </w:tcPr>
          <w:p w14:paraId="088D1FBF" w14:textId="68AA2768" w:rsidR="00CF1CF3" w:rsidRPr="0095779C" w:rsidRDefault="00CF1CF3" w:rsidP="00F948D1">
            <w:pPr>
              <w:autoSpaceDN/>
              <w:spacing w:beforeLines="30" w:before="72" w:afterLines="30" w:after="72"/>
              <w:ind w:firstLine="0"/>
              <w:jc w:val="left"/>
              <w:textAlignment w:val="auto"/>
              <w:rPr>
                <w:b/>
                <w:bCs/>
                <w:color w:val="000000"/>
                <w:sz w:val="20"/>
                <w:szCs w:val="20"/>
                <w:lang w:eastAsia="fr-FR"/>
              </w:rPr>
            </w:pPr>
            <w:r w:rsidRPr="006F74B6">
              <w:rPr>
                <w:b/>
                <w:bCs/>
                <w:color w:val="000000"/>
                <w:sz w:val="20"/>
                <w:szCs w:val="20"/>
                <w:lang w:val="es-ES" w:eastAsia="fr-FR"/>
              </w:rPr>
              <w:t xml:space="preserve">Acción </w:t>
            </w:r>
            <w:r>
              <w:rPr>
                <w:b/>
                <w:bCs/>
                <w:color w:val="000000"/>
                <w:sz w:val="20"/>
                <w:szCs w:val="20"/>
                <w:lang w:val="es-ES" w:eastAsia="fr-FR"/>
              </w:rPr>
              <w:t>d</w:t>
            </w:r>
            <w:r w:rsidRPr="006F74B6">
              <w:rPr>
                <w:b/>
                <w:bCs/>
                <w:color w:val="000000"/>
                <w:sz w:val="20"/>
                <w:szCs w:val="20"/>
                <w:lang w:val="es-ES" w:eastAsia="fr-FR"/>
              </w:rPr>
              <w:t xml:space="preserve">: </w:t>
            </w:r>
            <w:r w:rsidRPr="006F74B6">
              <w:rPr>
                <w:bCs/>
                <w:color w:val="000000"/>
                <w:sz w:val="20"/>
                <w:szCs w:val="20"/>
                <w:lang w:val="es-ES" w:eastAsia="fr-FR"/>
              </w:rPr>
              <w:t xml:space="preserve">Elaborar un </w:t>
            </w:r>
            <w:r>
              <w:rPr>
                <w:bCs/>
                <w:color w:val="000000"/>
                <w:sz w:val="20"/>
                <w:szCs w:val="20"/>
                <w:lang w:val="es-ES" w:eastAsia="fr-FR"/>
              </w:rPr>
              <w:t>“</w:t>
            </w:r>
            <w:r w:rsidRPr="006F74B6">
              <w:rPr>
                <w:bCs/>
                <w:color w:val="000000"/>
                <w:sz w:val="20"/>
                <w:szCs w:val="20"/>
                <w:lang w:val="es-ES" w:eastAsia="fr-FR"/>
              </w:rPr>
              <w:t xml:space="preserve">Plan de </w:t>
            </w:r>
            <w:r>
              <w:rPr>
                <w:bCs/>
                <w:color w:val="000000"/>
                <w:sz w:val="20"/>
                <w:szCs w:val="20"/>
                <w:lang w:val="es-ES" w:eastAsia="fr-FR"/>
              </w:rPr>
              <w:t>m</w:t>
            </w:r>
            <w:r w:rsidRPr="006F74B6">
              <w:rPr>
                <w:bCs/>
                <w:color w:val="000000"/>
                <w:sz w:val="20"/>
                <w:szCs w:val="20"/>
                <w:lang w:val="es-ES" w:eastAsia="fr-FR"/>
              </w:rPr>
              <w:t>igración de pacientes a</w:t>
            </w:r>
            <w:r>
              <w:rPr>
                <w:bCs/>
                <w:color w:val="000000"/>
                <w:sz w:val="20"/>
                <w:szCs w:val="20"/>
                <w:lang w:val="es-ES" w:eastAsia="fr-FR"/>
              </w:rPr>
              <w:t xml:space="preserve"> un</w:t>
            </w:r>
            <w:r w:rsidRPr="006F74B6">
              <w:rPr>
                <w:bCs/>
                <w:color w:val="000000"/>
                <w:sz w:val="20"/>
                <w:szCs w:val="20"/>
                <w:lang w:val="es-ES" w:eastAsia="fr-FR"/>
              </w:rPr>
              <w:t xml:space="preserve"> nuevo esquema de tratamiento basado en TLD</w:t>
            </w:r>
            <w:r>
              <w:rPr>
                <w:bCs/>
                <w:color w:val="000000"/>
                <w:sz w:val="20"/>
                <w:szCs w:val="20"/>
                <w:lang w:val="es-ES" w:eastAsia="fr-FR"/>
              </w:rPr>
              <w:t xml:space="preserve"> (dosis diaria fija que combina </w:t>
            </w:r>
            <w:proofErr w:type="spellStart"/>
            <w:r>
              <w:rPr>
                <w:bCs/>
                <w:color w:val="000000"/>
                <w:sz w:val="20"/>
                <w:szCs w:val="20"/>
                <w:lang w:val="es-ES" w:eastAsia="fr-FR"/>
              </w:rPr>
              <w:t>Tenofovir</w:t>
            </w:r>
            <w:proofErr w:type="spellEnd"/>
            <w:r>
              <w:rPr>
                <w:bCs/>
                <w:color w:val="000000"/>
                <w:sz w:val="20"/>
                <w:szCs w:val="20"/>
                <w:lang w:val="es-ES" w:eastAsia="fr-FR"/>
              </w:rPr>
              <w:t xml:space="preserve">, </w:t>
            </w:r>
            <w:proofErr w:type="spellStart"/>
            <w:r>
              <w:rPr>
                <w:bCs/>
                <w:color w:val="000000"/>
                <w:sz w:val="20"/>
                <w:szCs w:val="20"/>
                <w:lang w:val="es-ES" w:eastAsia="fr-FR"/>
              </w:rPr>
              <w:t>Disoproxilo</w:t>
            </w:r>
            <w:proofErr w:type="spellEnd"/>
            <w:r>
              <w:rPr>
                <w:bCs/>
                <w:color w:val="000000"/>
                <w:sz w:val="20"/>
                <w:szCs w:val="20"/>
                <w:lang w:val="es-ES" w:eastAsia="fr-FR"/>
              </w:rPr>
              <w:t xml:space="preserve"> fumarato, </w:t>
            </w:r>
            <w:proofErr w:type="spellStart"/>
            <w:r>
              <w:rPr>
                <w:bCs/>
                <w:color w:val="000000"/>
                <w:sz w:val="20"/>
                <w:szCs w:val="20"/>
                <w:lang w:val="es-ES" w:eastAsia="fr-FR"/>
              </w:rPr>
              <w:t>Lamivudina</w:t>
            </w:r>
            <w:proofErr w:type="spellEnd"/>
            <w:r>
              <w:rPr>
                <w:bCs/>
                <w:color w:val="000000"/>
                <w:sz w:val="20"/>
                <w:szCs w:val="20"/>
                <w:lang w:val="es-ES" w:eastAsia="fr-FR"/>
              </w:rPr>
              <w:t xml:space="preserve"> y </w:t>
            </w:r>
            <w:proofErr w:type="spellStart"/>
            <w:r>
              <w:rPr>
                <w:bCs/>
                <w:color w:val="000000"/>
                <w:sz w:val="20"/>
                <w:szCs w:val="20"/>
                <w:lang w:val="es-ES" w:eastAsia="fr-FR"/>
              </w:rPr>
              <w:t>Dolutegravir</w:t>
            </w:r>
            <w:proofErr w:type="spellEnd"/>
            <w:r>
              <w:rPr>
                <w:bCs/>
                <w:color w:val="000000"/>
                <w:sz w:val="20"/>
                <w:szCs w:val="20"/>
                <w:lang w:val="es-ES" w:eastAsia="fr-FR"/>
              </w:rPr>
              <w:t>)”</w:t>
            </w:r>
          </w:p>
        </w:tc>
      </w:tr>
      <w:tr w:rsidR="0038631F" w:rsidRPr="0095779C" w14:paraId="0033750F" w14:textId="77777777" w:rsidTr="00AB693A">
        <w:trPr>
          <w:trHeight w:val="63"/>
        </w:trPr>
        <w:tc>
          <w:tcPr>
            <w:tcW w:w="1817" w:type="pct"/>
            <w:vMerge/>
            <w:shd w:val="clear" w:color="auto" w:fill="auto"/>
          </w:tcPr>
          <w:p w14:paraId="1EAE9170" w14:textId="77777777" w:rsidR="0038631F" w:rsidRPr="0095779C" w:rsidRDefault="0038631F"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tcBorders>
            <w:shd w:val="clear" w:color="auto" w:fill="auto"/>
          </w:tcPr>
          <w:p w14:paraId="2A0E432A" w14:textId="05D89F04" w:rsidR="0038631F" w:rsidRPr="00AB693A" w:rsidRDefault="0038631F" w:rsidP="00F948D1">
            <w:pPr>
              <w:autoSpaceDN/>
              <w:spacing w:beforeLines="30" w:before="72" w:afterLines="30" w:after="72"/>
              <w:ind w:firstLine="0"/>
              <w:jc w:val="left"/>
              <w:textAlignment w:val="auto"/>
              <w:rPr>
                <w:bCs/>
                <w:color w:val="000000"/>
                <w:sz w:val="20"/>
                <w:szCs w:val="20"/>
                <w:lang w:val="es-CO" w:eastAsia="fr-FR"/>
              </w:rPr>
            </w:pPr>
            <w:r w:rsidRPr="0095779C">
              <w:rPr>
                <w:b/>
                <w:bCs/>
                <w:color w:val="000000"/>
                <w:sz w:val="20"/>
                <w:szCs w:val="20"/>
                <w:lang w:eastAsia="fr-FR"/>
              </w:rPr>
              <w:t xml:space="preserve">Acción </w:t>
            </w:r>
            <w:r w:rsidR="00CF1CF3">
              <w:rPr>
                <w:b/>
                <w:bCs/>
                <w:color w:val="000000"/>
                <w:sz w:val="20"/>
                <w:szCs w:val="20"/>
                <w:lang w:eastAsia="fr-FR"/>
              </w:rPr>
              <w:t>e</w:t>
            </w:r>
            <w:r w:rsidRPr="0095779C">
              <w:rPr>
                <w:b/>
                <w:bCs/>
                <w:color w:val="000000"/>
                <w:sz w:val="20"/>
                <w:szCs w:val="20"/>
                <w:lang w:eastAsia="fr-FR"/>
              </w:rPr>
              <w:t xml:space="preserve">: </w:t>
            </w:r>
            <w:r w:rsidRPr="0095779C">
              <w:rPr>
                <w:bCs/>
                <w:color w:val="000000"/>
                <w:sz w:val="20"/>
                <w:szCs w:val="20"/>
                <w:lang w:val="es-CO" w:eastAsia="fr-FR"/>
              </w:rPr>
              <w:t xml:space="preserve">Realizar investigación de contactos y convivientes </w:t>
            </w:r>
            <w:r>
              <w:rPr>
                <w:bCs/>
                <w:color w:val="000000"/>
                <w:sz w:val="20"/>
                <w:szCs w:val="20"/>
                <w:lang w:val="es-CO" w:eastAsia="fr-FR"/>
              </w:rPr>
              <w:t xml:space="preserve">de TB </w:t>
            </w:r>
            <w:r w:rsidRPr="0095779C">
              <w:rPr>
                <w:bCs/>
                <w:color w:val="000000"/>
                <w:sz w:val="20"/>
                <w:szCs w:val="20"/>
                <w:lang w:val="es-CO" w:eastAsia="fr-FR"/>
              </w:rPr>
              <w:t>a nivel comunitario</w:t>
            </w:r>
          </w:p>
        </w:tc>
      </w:tr>
      <w:tr w:rsidR="0038631F" w:rsidRPr="0095779C" w14:paraId="4EB7CB6A" w14:textId="77777777" w:rsidTr="00C37038">
        <w:trPr>
          <w:trHeight w:val="183"/>
        </w:trPr>
        <w:tc>
          <w:tcPr>
            <w:tcW w:w="1817" w:type="pct"/>
            <w:vMerge/>
            <w:shd w:val="clear" w:color="auto" w:fill="auto"/>
          </w:tcPr>
          <w:p w14:paraId="511E68E9" w14:textId="77777777" w:rsidR="0038631F" w:rsidRPr="0095779C" w:rsidRDefault="0038631F"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tcBorders>
            <w:shd w:val="clear" w:color="auto" w:fill="auto"/>
          </w:tcPr>
          <w:p w14:paraId="16AB8FC9" w14:textId="0F4AC354" w:rsidR="0038631F" w:rsidRPr="006E6CAA" w:rsidRDefault="0038631F" w:rsidP="00F948D1">
            <w:pPr>
              <w:autoSpaceDN/>
              <w:spacing w:beforeLines="30" w:before="72" w:afterLines="30" w:after="72"/>
              <w:ind w:firstLine="0"/>
              <w:jc w:val="left"/>
              <w:textAlignment w:val="auto"/>
              <w:rPr>
                <w:bCs/>
                <w:color w:val="000000"/>
                <w:sz w:val="20"/>
                <w:szCs w:val="20"/>
                <w:lang w:val="es-MX" w:eastAsia="fr-FR"/>
              </w:rPr>
            </w:pPr>
            <w:r w:rsidRPr="0095779C">
              <w:rPr>
                <w:b/>
                <w:bCs/>
                <w:color w:val="000000"/>
                <w:sz w:val="20"/>
                <w:szCs w:val="20"/>
                <w:lang w:eastAsia="fr-FR"/>
              </w:rPr>
              <w:t xml:space="preserve">Acción </w:t>
            </w:r>
            <w:r w:rsidR="00CF1CF3">
              <w:rPr>
                <w:b/>
                <w:bCs/>
                <w:color w:val="000000"/>
                <w:sz w:val="20"/>
                <w:szCs w:val="20"/>
                <w:lang w:eastAsia="fr-FR"/>
              </w:rPr>
              <w:t>f</w:t>
            </w:r>
            <w:r w:rsidRPr="0095779C">
              <w:rPr>
                <w:b/>
                <w:bCs/>
                <w:color w:val="000000"/>
                <w:sz w:val="20"/>
                <w:szCs w:val="20"/>
                <w:lang w:eastAsia="fr-FR"/>
              </w:rPr>
              <w:t xml:space="preserve">: </w:t>
            </w:r>
            <w:r>
              <w:rPr>
                <w:bCs/>
                <w:color w:val="000000"/>
                <w:sz w:val="20"/>
                <w:szCs w:val="20"/>
                <w:lang w:eastAsia="fr-FR"/>
              </w:rPr>
              <w:t xml:space="preserve">Evaluar la factibilidad de ajuste normativo y presupuestal para la </w:t>
            </w:r>
            <w:r w:rsidRPr="000B15F4">
              <w:rPr>
                <w:bCs/>
                <w:color w:val="000000"/>
                <w:sz w:val="20"/>
                <w:szCs w:val="20"/>
                <w:lang w:val="es-MX" w:eastAsia="fr-FR"/>
              </w:rPr>
              <w:t>implementación de las nuevas guías</w:t>
            </w:r>
            <w:r>
              <w:rPr>
                <w:bCs/>
                <w:color w:val="000000"/>
                <w:sz w:val="20"/>
                <w:szCs w:val="20"/>
                <w:lang w:val="es-MX" w:eastAsia="fr-FR"/>
              </w:rPr>
              <w:t xml:space="preserve"> de la OMS para el tratamiento de la TB-MDR</w:t>
            </w:r>
          </w:p>
        </w:tc>
      </w:tr>
      <w:tr w:rsidR="0038631F" w:rsidRPr="0095779C" w14:paraId="6C340D92" w14:textId="77777777" w:rsidTr="0038631F">
        <w:trPr>
          <w:trHeight w:val="570"/>
        </w:trPr>
        <w:tc>
          <w:tcPr>
            <w:tcW w:w="1817" w:type="pct"/>
            <w:vMerge/>
            <w:shd w:val="clear" w:color="auto" w:fill="auto"/>
          </w:tcPr>
          <w:p w14:paraId="11AFD237" w14:textId="77777777" w:rsidR="0038631F" w:rsidRPr="0095779C" w:rsidRDefault="0038631F"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tcBorders>
            <w:shd w:val="clear" w:color="auto" w:fill="auto"/>
          </w:tcPr>
          <w:p w14:paraId="212038E9" w14:textId="64080BC6" w:rsidR="0038631F" w:rsidRPr="0095779C" w:rsidRDefault="0038631F" w:rsidP="00B26BCF">
            <w:pPr>
              <w:autoSpaceDN/>
              <w:spacing w:beforeLines="30" w:before="72" w:afterLines="30" w:after="72"/>
              <w:ind w:firstLine="0"/>
              <w:jc w:val="left"/>
              <w:textAlignment w:val="auto"/>
              <w:rPr>
                <w:b/>
                <w:bCs/>
                <w:color w:val="000000"/>
                <w:sz w:val="20"/>
                <w:szCs w:val="20"/>
                <w:lang w:val="es-MX" w:eastAsia="fr-FR"/>
              </w:rPr>
            </w:pPr>
            <w:r w:rsidRPr="0095779C">
              <w:rPr>
                <w:b/>
                <w:bCs/>
                <w:color w:val="000000"/>
                <w:sz w:val="20"/>
                <w:szCs w:val="20"/>
                <w:lang w:eastAsia="fr-FR"/>
              </w:rPr>
              <w:t xml:space="preserve">Acción </w:t>
            </w:r>
            <w:r w:rsidR="00CF1CF3">
              <w:rPr>
                <w:b/>
                <w:bCs/>
                <w:color w:val="000000"/>
                <w:sz w:val="20"/>
                <w:szCs w:val="20"/>
                <w:lang w:eastAsia="fr-FR"/>
              </w:rPr>
              <w:t>g</w:t>
            </w:r>
            <w:r w:rsidRPr="0095779C">
              <w:rPr>
                <w:b/>
                <w:bCs/>
                <w:color w:val="000000"/>
                <w:sz w:val="20"/>
                <w:szCs w:val="20"/>
                <w:lang w:eastAsia="fr-FR"/>
              </w:rPr>
              <w:t xml:space="preserve">: </w:t>
            </w:r>
            <w:r w:rsidRPr="0095779C">
              <w:rPr>
                <w:bCs/>
                <w:color w:val="000000"/>
                <w:sz w:val="20"/>
                <w:szCs w:val="20"/>
                <w:lang w:val="es-ES" w:eastAsia="fr-FR"/>
              </w:rPr>
              <w:t xml:space="preserve">Mejorar </w:t>
            </w:r>
            <w:r>
              <w:rPr>
                <w:bCs/>
                <w:color w:val="000000"/>
                <w:sz w:val="20"/>
                <w:szCs w:val="20"/>
                <w:lang w:val="es-ES" w:eastAsia="fr-FR"/>
              </w:rPr>
              <w:t xml:space="preserve">la coordinación intersectorial y </w:t>
            </w:r>
            <w:r w:rsidRPr="0095779C">
              <w:rPr>
                <w:bCs/>
                <w:color w:val="000000"/>
                <w:sz w:val="20"/>
                <w:szCs w:val="20"/>
                <w:lang w:val="es-ES" w:eastAsia="fr-FR"/>
              </w:rPr>
              <w:t>el cumplimiento efectivo</w:t>
            </w:r>
            <w:r>
              <w:rPr>
                <w:bCs/>
                <w:color w:val="000000"/>
                <w:sz w:val="20"/>
                <w:szCs w:val="20"/>
                <w:lang w:val="es-ES" w:eastAsia="fr-FR"/>
              </w:rPr>
              <w:t xml:space="preserve"> de las acciones conjuntas</w:t>
            </w:r>
            <w:r w:rsidRPr="0095779C">
              <w:rPr>
                <w:bCs/>
                <w:color w:val="000000"/>
                <w:sz w:val="20"/>
                <w:szCs w:val="20"/>
                <w:lang w:val="es-ES" w:eastAsia="fr-FR"/>
              </w:rPr>
              <w:t xml:space="preserve"> entre el programa e instituciones públicas</w:t>
            </w:r>
            <w:r>
              <w:rPr>
                <w:bCs/>
                <w:color w:val="000000"/>
                <w:sz w:val="20"/>
                <w:szCs w:val="20"/>
                <w:lang w:val="es-ES" w:eastAsia="fr-FR"/>
              </w:rPr>
              <w:t xml:space="preserve"> en la lucha contra la TB</w:t>
            </w:r>
          </w:p>
        </w:tc>
      </w:tr>
      <w:tr w:rsidR="00227187" w:rsidRPr="0095779C" w14:paraId="334047AC" w14:textId="77777777" w:rsidTr="004A20BC">
        <w:trPr>
          <w:trHeight w:val="20"/>
        </w:trPr>
        <w:tc>
          <w:tcPr>
            <w:tcW w:w="1817" w:type="pct"/>
            <w:vMerge w:val="restart"/>
            <w:tcBorders>
              <w:top w:val="single" w:sz="4" w:space="0" w:color="auto"/>
            </w:tcBorders>
            <w:shd w:val="clear" w:color="auto" w:fill="auto"/>
            <w:hideMark/>
          </w:tcPr>
          <w:p w14:paraId="4D8232B5" w14:textId="021877F3" w:rsidR="00227187" w:rsidRPr="002C04E4" w:rsidRDefault="00227187" w:rsidP="00F948D1">
            <w:pPr>
              <w:autoSpaceDN/>
              <w:spacing w:beforeLines="30" w:before="72" w:afterLines="30" w:after="72"/>
              <w:ind w:firstLine="0"/>
              <w:jc w:val="left"/>
              <w:textAlignment w:val="auto"/>
              <w:rPr>
                <w:bCs/>
                <w:color w:val="000000"/>
                <w:sz w:val="20"/>
                <w:szCs w:val="20"/>
                <w:lang w:val="es-ES" w:eastAsia="fr-FR"/>
              </w:rPr>
            </w:pPr>
            <w:r w:rsidRPr="002C04E4">
              <w:rPr>
                <w:b/>
                <w:bCs/>
                <w:color w:val="000000"/>
                <w:sz w:val="20"/>
                <w:szCs w:val="20"/>
                <w:lang w:eastAsia="fr-FR"/>
              </w:rPr>
              <w:t xml:space="preserve">Objetivo 2. </w:t>
            </w:r>
            <w:r w:rsidR="000A7AB7" w:rsidRPr="002C04E4">
              <w:rPr>
                <w:bCs/>
                <w:color w:val="000000"/>
                <w:sz w:val="20"/>
                <w:szCs w:val="20"/>
                <w:lang w:val="es-ES" w:eastAsia="fr-FR"/>
              </w:rPr>
              <w:t>Fortalecimiento de los Recursos Humanos dedicados a VIH</w:t>
            </w:r>
            <w:r w:rsidR="005F681D">
              <w:rPr>
                <w:bCs/>
                <w:color w:val="000000"/>
                <w:sz w:val="20"/>
                <w:szCs w:val="20"/>
                <w:lang w:val="es-ES" w:eastAsia="fr-FR"/>
              </w:rPr>
              <w:t xml:space="preserve"> y </w:t>
            </w:r>
            <w:r w:rsidR="000A7AB7" w:rsidRPr="002C04E4">
              <w:rPr>
                <w:bCs/>
                <w:color w:val="000000"/>
                <w:sz w:val="20"/>
                <w:szCs w:val="20"/>
                <w:lang w:val="es-ES" w:eastAsia="fr-FR"/>
              </w:rPr>
              <w:t>TB a través de su contratación regular, certificación, desarrollo profesional y asignación eficiente.</w:t>
            </w:r>
          </w:p>
        </w:tc>
        <w:tc>
          <w:tcPr>
            <w:tcW w:w="3183" w:type="pct"/>
            <w:tcBorders>
              <w:top w:val="single" w:sz="4" w:space="0" w:color="auto"/>
            </w:tcBorders>
            <w:shd w:val="clear" w:color="auto" w:fill="auto"/>
            <w:hideMark/>
          </w:tcPr>
          <w:p w14:paraId="16E03AE6" w14:textId="1F2B0914" w:rsidR="00227187" w:rsidRPr="002C04E4" w:rsidRDefault="00227187" w:rsidP="00F948D1">
            <w:pPr>
              <w:autoSpaceDN/>
              <w:spacing w:beforeLines="30" w:before="72" w:afterLines="30" w:after="72"/>
              <w:ind w:firstLine="0"/>
              <w:jc w:val="left"/>
              <w:textAlignment w:val="auto"/>
              <w:rPr>
                <w:bCs/>
                <w:color w:val="000000"/>
                <w:sz w:val="20"/>
                <w:szCs w:val="20"/>
                <w:lang w:eastAsia="fr-FR"/>
              </w:rPr>
            </w:pPr>
            <w:r w:rsidRPr="002C04E4">
              <w:rPr>
                <w:b/>
                <w:bCs/>
                <w:color w:val="000000"/>
                <w:sz w:val="20"/>
                <w:szCs w:val="20"/>
                <w:lang w:eastAsia="fr-FR"/>
              </w:rPr>
              <w:t xml:space="preserve">Acción h: </w:t>
            </w:r>
            <w:r w:rsidR="007F00CD" w:rsidRPr="002C04E4">
              <w:rPr>
                <w:bCs/>
                <w:color w:val="000000"/>
                <w:sz w:val="20"/>
                <w:szCs w:val="20"/>
                <w:lang w:val="es-CO" w:eastAsia="fr-FR"/>
              </w:rPr>
              <w:t>Dar seguimiento a los convenios firmados ante la SESAL y los proyectos de cooperación para la regularización permanente de la contratación del personal que ya fue absorbido por la SESAL</w:t>
            </w:r>
          </w:p>
        </w:tc>
      </w:tr>
      <w:tr w:rsidR="00227187" w:rsidRPr="0095779C" w14:paraId="40A9C932" w14:textId="77777777" w:rsidTr="004A20BC">
        <w:trPr>
          <w:trHeight w:val="20"/>
        </w:trPr>
        <w:tc>
          <w:tcPr>
            <w:tcW w:w="1817" w:type="pct"/>
            <w:vMerge/>
            <w:shd w:val="clear" w:color="auto" w:fill="auto"/>
          </w:tcPr>
          <w:p w14:paraId="6DD6D9FB" w14:textId="77777777" w:rsidR="00227187" w:rsidRPr="002C04E4" w:rsidRDefault="00227187" w:rsidP="00F948D1">
            <w:pPr>
              <w:autoSpaceDN/>
              <w:spacing w:beforeLines="30" w:before="72" w:afterLines="30" w:after="72"/>
              <w:ind w:left="215" w:firstLine="0"/>
              <w:jc w:val="left"/>
              <w:textAlignment w:val="auto"/>
              <w:rPr>
                <w:rFonts w:eastAsia="Arial Nova Cond"/>
                <w:b/>
                <w:bCs/>
                <w:color w:val="000000"/>
                <w:sz w:val="20"/>
                <w:szCs w:val="20"/>
                <w:shd w:val="clear" w:color="auto" w:fill="D9D9D9"/>
                <w:lang w:eastAsia="fr-FR"/>
              </w:rPr>
            </w:pPr>
          </w:p>
        </w:tc>
        <w:tc>
          <w:tcPr>
            <w:tcW w:w="3183" w:type="pct"/>
            <w:tcBorders>
              <w:top w:val="single" w:sz="4" w:space="0" w:color="auto"/>
              <w:bottom w:val="single" w:sz="4" w:space="0" w:color="auto"/>
            </w:tcBorders>
            <w:shd w:val="clear" w:color="auto" w:fill="auto"/>
          </w:tcPr>
          <w:p w14:paraId="667564D2" w14:textId="05F68BA4" w:rsidR="00227187" w:rsidRPr="002C04E4" w:rsidRDefault="00227187" w:rsidP="00F948D1">
            <w:pPr>
              <w:autoSpaceDN/>
              <w:spacing w:beforeLines="30" w:before="72" w:afterLines="30" w:after="72"/>
              <w:ind w:firstLine="0"/>
              <w:jc w:val="left"/>
              <w:textAlignment w:val="auto"/>
              <w:rPr>
                <w:b/>
                <w:bCs/>
                <w:color w:val="000000"/>
                <w:sz w:val="20"/>
                <w:szCs w:val="20"/>
                <w:lang w:eastAsia="fr-FR"/>
              </w:rPr>
            </w:pPr>
            <w:r w:rsidRPr="002C04E4">
              <w:rPr>
                <w:b/>
                <w:bCs/>
                <w:color w:val="000000"/>
                <w:sz w:val="20"/>
                <w:szCs w:val="20"/>
                <w:lang w:eastAsia="fr-FR"/>
              </w:rPr>
              <w:t xml:space="preserve">Acción i: </w:t>
            </w:r>
            <w:r w:rsidRPr="002C04E4">
              <w:rPr>
                <w:bCs/>
                <w:color w:val="000000"/>
                <w:sz w:val="20"/>
                <w:szCs w:val="20"/>
                <w:lang w:val="es-CO" w:eastAsia="fr-FR"/>
              </w:rPr>
              <w:t>Gestionar recursos financieros para el aumento de la contratación de personal capacitado en TB y una mayor logística para su movilización</w:t>
            </w:r>
          </w:p>
        </w:tc>
      </w:tr>
      <w:tr w:rsidR="00227187" w:rsidRPr="0095779C" w14:paraId="0809298E" w14:textId="77777777" w:rsidTr="004A20BC">
        <w:trPr>
          <w:trHeight w:val="20"/>
        </w:trPr>
        <w:tc>
          <w:tcPr>
            <w:tcW w:w="1817" w:type="pct"/>
            <w:vMerge/>
            <w:shd w:val="clear" w:color="auto" w:fill="auto"/>
          </w:tcPr>
          <w:p w14:paraId="440A5B37" w14:textId="77777777" w:rsidR="00227187" w:rsidRPr="002C04E4" w:rsidRDefault="00227187" w:rsidP="00F948D1">
            <w:pPr>
              <w:autoSpaceDN/>
              <w:spacing w:beforeLines="30" w:before="72" w:afterLines="30" w:after="72"/>
              <w:ind w:left="215" w:firstLine="0"/>
              <w:jc w:val="left"/>
              <w:textAlignment w:val="auto"/>
              <w:rPr>
                <w:rFonts w:eastAsia="Arial Nova Cond"/>
                <w:b/>
                <w:bCs/>
                <w:color w:val="000000"/>
                <w:sz w:val="20"/>
                <w:szCs w:val="20"/>
                <w:shd w:val="clear" w:color="auto" w:fill="D9D9D9"/>
                <w:lang w:eastAsia="fr-FR"/>
              </w:rPr>
            </w:pPr>
          </w:p>
        </w:tc>
        <w:tc>
          <w:tcPr>
            <w:tcW w:w="3183" w:type="pct"/>
            <w:tcBorders>
              <w:top w:val="single" w:sz="4" w:space="0" w:color="auto"/>
              <w:bottom w:val="single" w:sz="4" w:space="0" w:color="auto"/>
            </w:tcBorders>
            <w:shd w:val="clear" w:color="auto" w:fill="auto"/>
          </w:tcPr>
          <w:p w14:paraId="5C5A1CA1" w14:textId="4D4C021B" w:rsidR="00227187" w:rsidRPr="00B905C5" w:rsidRDefault="00F23E42" w:rsidP="00F948D1">
            <w:pPr>
              <w:autoSpaceDN/>
              <w:spacing w:beforeLines="30" w:before="72" w:afterLines="30" w:after="72"/>
              <w:ind w:firstLine="0"/>
              <w:jc w:val="left"/>
              <w:textAlignment w:val="auto"/>
              <w:rPr>
                <w:b/>
                <w:bCs/>
                <w:color w:val="000000"/>
                <w:sz w:val="20"/>
                <w:szCs w:val="20"/>
                <w:lang w:eastAsia="fr-FR"/>
              </w:rPr>
            </w:pPr>
            <w:r w:rsidRPr="002C04E4">
              <w:rPr>
                <w:b/>
                <w:bCs/>
                <w:color w:val="000000"/>
                <w:sz w:val="20"/>
                <w:szCs w:val="20"/>
                <w:lang w:val="es-ES" w:eastAsia="fr-FR"/>
              </w:rPr>
              <w:t xml:space="preserve">Acción j: </w:t>
            </w:r>
            <w:r w:rsidRPr="002C04E4">
              <w:rPr>
                <w:bCs/>
                <w:color w:val="000000"/>
                <w:sz w:val="20"/>
                <w:szCs w:val="20"/>
                <w:lang w:val="es-ES" w:eastAsia="fr-FR"/>
              </w:rPr>
              <w:t>Adoptar las recomendaciones de la OMS sobre servicios diferenciados de atención de VIH</w:t>
            </w:r>
            <w:r w:rsidR="00B905C5">
              <w:rPr>
                <w:bCs/>
                <w:color w:val="000000"/>
                <w:sz w:val="20"/>
                <w:szCs w:val="20"/>
                <w:lang w:val="es-ES" w:eastAsia="fr-FR"/>
              </w:rPr>
              <w:t xml:space="preserve">, </w:t>
            </w:r>
            <w:proofErr w:type="gramStart"/>
            <w:r w:rsidR="00B905C5">
              <w:rPr>
                <w:bCs/>
                <w:color w:val="000000"/>
                <w:sz w:val="20"/>
                <w:szCs w:val="20"/>
                <w:lang w:val="es-ES" w:eastAsia="fr-FR"/>
              </w:rPr>
              <w:t>de acuerdo a</w:t>
            </w:r>
            <w:proofErr w:type="gramEnd"/>
            <w:r w:rsidR="00B905C5">
              <w:rPr>
                <w:bCs/>
                <w:color w:val="000000"/>
                <w:sz w:val="20"/>
                <w:szCs w:val="20"/>
                <w:lang w:val="es-ES" w:eastAsia="fr-FR"/>
              </w:rPr>
              <w:t xml:space="preserve"> las necesidades y capacidades instaladas del </w:t>
            </w:r>
            <w:proofErr w:type="spellStart"/>
            <w:r w:rsidR="00B905C5">
              <w:rPr>
                <w:bCs/>
                <w:color w:val="000000"/>
                <w:sz w:val="20"/>
                <w:szCs w:val="20"/>
                <w:lang w:val="es-ES" w:eastAsia="fr-FR"/>
              </w:rPr>
              <w:t>pa</w:t>
            </w:r>
            <w:r w:rsidR="00B905C5">
              <w:rPr>
                <w:bCs/>
                <w:color w:val="000000"/>
                <w:sz w:val="20"/>
                <w:szCs w:val="20"/>
                <w:lang w:val="es-MX" w:eastAsia="fr-FR"/>
              </w:rPr>
              <w:t>ís</w:t>
            </w:r>
            <w:proofErr w:type="spellEnd"/>
          </w:p>
        </w:tc>
      </w:tr>
      <w:tr w:rsidR="00227187" w:rsidRPr="0095779C" w14:paraId="395A13F6" w14:textId="77777777" w:rsidTr="00726685">
        <w:trPr>
          <w:trHeight w:val="570"/>
        </w:trPr>
        <w:tc>
          <w:tcPr>
            <w:tcW w:w="1817" w:type="pct"/>
            <w:vMerge/>
            <w:shd w:val="clear" w:color="auto" w:fill="auto"/>
          </w:tcPr>
          <w:p w14:paraId="628BD0A0" w14:textId="77777777" w:rsidR="00227187" w:rsidRPr="002C04E4" w:rsidRDefault="00227187" w:rsidP="00F948D1">
            <w:pPr>
              <w:autoSpaceDN/>
              <w:spacing w:beforeLines="30" w:before="72" w:afterLines="30" w:after="72"/>
              <w:ind w:left="215" w:firstLine="0"/>
              <w:jc w:val="left"/>
              <w:textAlignment w:val="auto"/>
              <w:rPr>
                <w:rFonts w:eastAsia="Arial Nova Cond"/>
                <w:b/>
                <w:bCs/>
                <w:color w:val="000000"/>
                <w:sz w:val="20"/>
                <w:szCs w:val="20"/>
                <w:shd w:val="clear" w:color="auto" w:fill="D9D9D9"/>
                <w:lang w:eastAsia="fr-FR"/>
              </w:rPr>
            </w:pPr>
          </w:p>
        </w:tc>
        <w:tc>
          <w:tcPr>
            <w:tcW w:w="3183" w:type="pct"/>
            <w:tcBorders>
              <w:top w:val="single" w:sz="4" w:space="0" w:color="auto"/>
              <w:bottom w:val="single" w:sz="4" w:space="0" w:color="auto"/>
            </w:tcBorders>
            <w:shd w:val="clear" w:color="auto" w:fill="auto"/>
          </w:tcPr>
          <w:p w14:paraId="28CF7221" w14:textId="662814EE" w:rsidR="00227187" w:rsidRPr="002C04E4" w:rsidRDefault="00F23E42" w:rsidP="00F948D1">
            <w:pPr>
              <w:autoSpaceDN/>
              <w:spacing w:beforeLines="30" w:before="72" w:afterLines="30" w:after="72"/>
              <w:ind w:firstLine="0"/>
              <w:jc w:val="left"/>
              <w:textAlignment w:val="auto"/>
              <w:rPr>
                <w:b/>
                <w:bCs/>
                <w:color w:val="000000"/>
                <w:sz w:val="20"/>
                <w:szCs w:val="20"/>
                <w:lang w:val="es-GT" w:eastAsia="fr-FR"/>
              </w:rPr>
            </w:pPr>
            <w:r w:rsidRPr="002C04E4">
              <w:rPr>
                <w:b/>
                <w:bCs/>
                <w:color w:val="000000"/>
                <w:sz w:val="20"/>
                <w:szCs w:val="20"/>
                <w:lang w:eastAsia="fr-FR"/>
              </w:rPr>
              <w:t xml:space="preserve">Acción k: </w:t>
            </w:r>
            <w:r w:rsidR="007251BD" w:rsidRPr="002C04E4">
              <w:rPr>
                <w:bCs/>
                <w:color w:val="000000"/>
                <w:sz w:val="20"/>
                <w:szCs w:val="20"/>
                <w:lang w:eastAsia="fr-FR"/>
              </w:rPr>
              <w:t>Capacitar y certificar al personal de salud y sociedad civil en protocolos de</w:t>
            </w:r>
            <w:r w:rsidR="00B905C5">
              <w:rPr>
                <w:bCs/>
                <w:color w:val="000000"/>
                <w:sz w:val="20"/>
                <w:szCs w:val="20"/>
                <w:lang w:eastAsia="fr-FR"/>
              </w:rPr>
              <w:t>l componente de</w:t>
            </w:r>
            <w:r w:rsidR="007251BD" w:rsidRPr="002C04E4">
              <w:rPr>
                <w:bCs/>
                <w:color w:val="000000"/>
                <w:sz w:val="20"/>
                <w:szCs w:val="20"/>
                <w:lang w:eastAsia="fr-FR"/>
              </w:rPr>
              <w:t xml:space="preserve"> VIH</w:t>
            </w:r>
            <w:r w:rsidR="00B905C5">
              <w:rPr>
                <w:bCs/>
                <w:color w:val="000000"/>
                <w:sz w:val="20"/>
                <w:szCs w:val="20"/>
                <w:lang w:eastAsia="fr-FR"/>
              </w:rPr>
              <w:t>,</w:t>
            </w:r>
            <w:r w:rsidR="00E95AE0">
              <w:rPr>
                <w:bCs/>
                <w:color w:val="000000"/>
                <w:sz w:val="20"/>
                <w:szCs w:val="20"/>
                <w:lang w:eastAsia="fr-FR"/>
              </w:rPr>
              <w:t xml:space="preserve"> </w:t>
            </w:r>
            <w:r w:rsidR="007251BD" w:rsidRPr="002C04E4">
              <w:rPr>
                <w:bCs/>
                <w:color w:val="000000"/>
                <w:sz w:val="20"/>
                <w:szCs w:val="20"/>
                <w:lang w:eastAsia="fr-FR"/>
              </w:rPr>
              <w:t>TB sensible</w:t>
            </w:r>
            <w:r w:rsidR="00B905C5">
              <w:rPr>
                <w:bCs/>
                <w:color w:val="000000"/>
                <w:sz w:val="20"/>
                <w:szCs w:val="20"/>
                <w:lang w:eastAsia="fr-FR"/>
              </w:rPr>
              <w:t>,</w:t>
            </w:r>
            <w:r w:rsidR="007251BD" w:rsidRPr="002C04E4">
              <w:rPr>
                <w:bCs/>
                <w:color w:val="000000"/>
                <w:sz w:val="20"/>
                <w:szCs w:val="20"/>
                <w:lang w:eastAsia="fr-FR"/>
              </w:rPr>
              <w:t xml:space="preserve"> </w:t>
            </w:r>
            <w:r w:rsidR="00E95AE0">
              <w:rPr>
                <w:bCs/>
                <w:color w:val="000000"/>
                <w:sz w:val="20"/>
                <w:szCs w:val="20"/>
                <w:lang w:eastAsia="fr-FR"/>
              </w:rPr>
              <w:t>TB’</w:t>
            </w:r>
            <w:r w:rsidR="007251BD" w:rsidRPr="002C04E4">
              <w:rPr>
                <w:bCs/>
                <w:color w:val="000000"/>
                <w:sz w:val="20"/>
                <w:szCs w:val="20"/>
                <w:lang w:eastAsia="fr-FR"/>
              </w:rPr>
              <w:t xml:space="preserve">MDR y comunicación con el paciente con un enfoque de derechos </w:t>
            </w:r>
            <w:r w:rsidR="00037E2F" w:rsidRPr="002C04E4">
              <w:rPr>
                <w:bCs/>
                <w:color w:val="000000"/>
                <w:sz w:val="20"/>
                <w:szCs w:val="20"/>
                <w:lang w:eastAsia="fr-FR"/>
              </w:rPr>
              <w:t xml:space="preserve">humanos, </w:t>
            </w:r>
            <w:r w:rsidR="00E9335C" w:rsidRPr="00E9335C">
              <w:rPr>
                <w:bCs/>
                <w:color w:val="000000"/>
                <w:sz w:val="20"/>
                <w:szCs w:val="20"/>
                <w:lang w:eastAsia="fr-FR"/>
              </w:rPr>
              <w:t xml:space="preserve">específicamente contra </w:t>
            </w:r>
            <w:r w:rsidR="00E9335C">
              <w:rPr>
                <w:bCs/>
                <w:color w:val="000000"/>
                <w:sz w:val="20"/>
                <w:szCs w:val="20"/>
                <w:lang w:eastAsia="fr-FR"/>
              </w:rPr>
              <w:t>el</w:t>
            </w:r>
            <w:r w:rsidR="00E9335C" w:rsidRPr="00E9335C">
              <w:rPr>
                <w:bCs/>
                <w:color w:val="000000"/>
                <w:sz w:val="20"/>
                <w:szCs w:val="20"/>
                <w:lang w:eastAsia="fr-FR"/>
              </w:rPr>
              <w:t xml:space="preserve"> estigma y </w:t>
            </w:r>
            <w:r w:rsidR="00E9335C">
              <w:rPr>
                <w:bCs/>
                <w:color w:val="000000"/>
                <w:sz w:val="20"/>
                <w:szCs w:val="20"/>
                <w:lang w:eastAsia="fr-FR"/>
              </w:rPr>
              <w:t xml:space="preserve">la </w:t>
            </w:r>
            <w:r w:rsidR="00E9335C" w:rsidRPr="00E9335C">
              <w:rPr>
                <w:bCs/>
                <w:color w:val="000000"/>
                <w:sz w:val="20"/>
                <w:szCs w:val="20"/>
                <w:lang w:eastAsia="fr-FR"/>
              </w:rPr>
              <w:t>discriminación</w:t>
            </w:r>
          </w:p>
        </w:tc>
      </w:tr>
      <w:tr w:rsidR="00227187" w:rsidRPr="0095779C" w14:paraId="49CF0298" w14:textId="77777777" w:rsidTr="00E13446">
        <w:trPr>
          <w:trHeight w:val="569"/>
        </w:trPr>
        <w:tc>
          <w:tcPr>
            <w:tcW w:w="1817" w:type="pct"/>
            <w:vMerge/>
            <w:tcBorders>
              <w:bottom w:val="single" w:sz="4" w:space="0" w:color="auto"/>
            </w:tcBorders>
            <w:shd w:val="clear" w:color="auto" w:fill="auto"/>
          </w:tcPr>
          <w:p w14:paraId="07DE65BD" w14:textId="77777777" w:rsidR="00227187" w:rsidRPr="0095779C" w:rsidRDefault="00227187" w:rsidP="00F948D1">
            <w:pPr>
              <w:autoSpaceDN/>
              <w:spacing w:beforeLines="30" w:before="72" w:afterLines="30" w:after="72"/>
              <w:ind w:left="215" w:firstLine="0"/>
              <w:jc w:val="left"/>
              <w:textAlignment w:val="auto"/>
              <w:rPr>
                <w:rFonts w:eastAsia="Arial Nova Cond"/>
                <w:b/>
                <w:bCs/>
                <w:color w:val="000000"/>
                <w:sz w:val="20"/>
                <w:szCs w:val="20"/>
                <w:shd w:val="clear" w:color="auto" w:fill="D9D9D9"/>
                <w:lang w:eastAsia="fr-FR"/>
              </w:rPr>
            </w:pPr>
          </w:p>
        </w:tc>
        <w:tc>
          <w:tcPr>
            <w:tcW w:w="3183" w:type="pct"/>
            <w:tcBorders>
              <w:top w:val="single" w:sz="4" w:space="0" w:color="auto"/>
              <w:bottom w:val="single" w:sz="4" w:space="0" w:color="auto"/>
            </w:tcBorders>
            <w:shd w:val="clear" w:color="auto" w:fill="auto"/>
          </w:tcPr>
          <w:p w14:paraId="79F1BC3A" w14:textId="2B78E203" w:rsidR="00227187" w:rsidRPr="00F23E42" w:rsidRDefault="00F23E42" w:rsidP="00F948D1">
            <w:pPr>
              <w:autoSpaceDN/>
              <w:spacing w:beforeLines="30" w:before="72" w:afterLines="30" w:after="72"/>
              <w:ind w:firstLine="0"/>
              <w:jc w:val="left"/>
              <w:textAlignment w:val="auto"/>
              <w:rPr>
                <w:b/>
                <w:bCs/>
                <w:color w:val="000000"/>
                <w:sz w:val="20"/>
                <w:szCs w:val="20"/>
                <w:lang w:val="es-GT" w:eastAsia="fr-FR"/>
              </w:rPr>
            </w:pPr>
            <w:r w:rsidRPr="0095779C">
              <w:rPr>
                <w:b/>
                <w:bCs/>
                <w:color w:val="000000"/>
                <w:sz w:val="20"/>
                <w:szCs w:val="20"/>
                <w:lang w:eastAsia="fr-FR"/>
              </w:rPr>
              <w:t xml:space="preserve">Acción </w:t>
            </w:r>
            <w:r>
              <w:rPr>
                <w:b/>
                <w:bCs/>
                <w:color w:val="000000"/>
                <w:sz w:val="20"/>
                <w:szCs w:val="20"/>
                <w:lang w:eastAsia="fr-FR"/>
              </w:rPr>
              <w:t>l</w:t>
            </w:r>
            <w:r w:rsidRPr="0095779C">
              <w:rPr>
                <w:b/>
                <w:bCs/>
                <w:color w:val="000000"/>
                <w:sz w:val="20"/>
                <w:szCs w:val="20"/>
                <w:lang w:eastAsia="fr-FR"/>
              </w:rPr>
              <w:t xml:space="preserve">: </w:t>
            </w:r>
            <w:r w:rsidRPr="00874996">
              <w:rPr>
                <w:bCs/>
                <w:color w:val="000000"/>
                <w:sz w:val="20"/>
                <w:szCs w:val="20"/>
                <w:lang w:val="es-ES" w:eastAsia="fr-FR"/>
              </w:rPr>
              <w:t>Proveer oportunidades de promoción a los RRHH para que desarrollen una carrera institucional que disminuya las renuncias y la rotación de personal (proyecto piloto)</w:t>
            </w:r>
          </w:p>
        </w:tc>
      </w:tr>
      <w:tr w:rsidR="00DF78FA" w:rsidRPr="0095779C" w14:paraId="69FC4D17" w14:textId="77777777" w:rsidTr="00E13446">
        <w:trPr>
          <w:trHeight w:val="20"/>
        </w:trPr>
        <w:tc>
          <w:tcPr>
            <w:tcW w:w="1817" w:type="pct"/>
            <w:vMerge w:val="restart"/>
            <w:tcBorders>
              <w:top w:val="single" w:sz="4" w:space="0" w:color="auto"/>
              <w:bottom w:val="single" w:sz="4" w:space="0" w:color="auto"/>
            </w:tcBorders>
            <w:shd w:val="clear" w:color="auto" w:fill="auto"/>
          </w:tcPr>
          <w:p w14:paraId="4FBC9224" w14:textId="2AB7E393" w:rsidR="00DF78FA" w:rsidRPr="0045010F" w:rsidRDefault="00535887" w:rsidP="00E13446">
            <w:pPr>
              <w:autoSpaceDN/>
              <w:spacing w:beforeLines="30" w:before="72" w:afterLines="30" w:after="72"/>
              <w:ind w:firstLine="0"/>
              <w:textAlignment w:val="auto"/>
              <w:rPr>
                <w:rFonts w:eastAsia="Arial Nova Cond"/>
                <w:b/>
                <w:bCs/>
                <w:color w:val="000000"/>
                <w:sz w:val="20"/>
                <w:szCs w:val="20"/>
                <w:shd w:val="clear" w:color="auto" w:fill="D9D9D9"/>
                <w:lang w:val="es-ES" w:eastAsia="fr-FR"/>
              </w:rPr>
            </w:pPr>
            <w:r w:rsidRPr="001D2D8E">
              <w:rPr>
                <w:b/>
                <w:bCs/>
                <w:color w:val="000000"/>
                <w:sz w:val="20"/>
                <w:szCs w:val="20"/>
                <w:lang w:eastAsia="fr-FR"/>
              </w:rPr>
              <w:t xml:space="preserve">Objetivo 3. </w:t>
            </w:r>
            <w:r w:rsidR="0045010F" w:rsidRPr="0045010F">
              <w:rPr>
                <w:bCs/>
                <w:color w:val="000000"/>
                <w:sz w:val="20"/>
                <w:szCs w:val="20"/>
                <w:lang w:val="es-ES" w:eastAsia="fr-FR"/>
              </w:rPr>
              <w:t xml:space="preserve">Asegurar la sostenibilidad de la adquisición de insumos incluyendo ARV, pruebas de carga viral, e insumos para el diagnóstico de VIH y TB a través de fuentes </w:t>
            </w:r>
            <w:r w:rsidR="0045443F">
              <w:rPr>
                <w:bCs/>
                <w:color w:val="000000"/>
                <w:sz w:val="20"/>
                <w:szCs w:val="20"/>
                <w:lang w:val="es-ES" w:eastAsia="fr-FR"/>
              </w:rPr>
              <w:t>públicas</w:t>
            </w:r>
          </w:p>
        </w:tc>
        <w:tc>
          <w:tcPr>
            <w:tcW w:w="3183" w:type="pct"/>
            <w:tcBorders>
              <w:top w:val="single" w:sz="4" w:space="0" w:color="auto"/>
              <w:bottom w:val="single" w:sz="4" w:space="0" w:color="auto"/>
            </w:tcBorders>
            <w:shd w:val="clear" w:color="auto" w:fill="auto"/>
          </w:tcPr>
          <w:p w14:paraId="103F5DC0" w14:textId="6BA25491" w:rsidR="00DF78FA" w:rsidRPr="0095779C" w:rsidRDefault="00AF2A50" w:rsidP="00E13446">
            <w:pPr>
              <w:autoSpaceDN/>
              <w:spacing w:beforeLines="30" w:before="72" w:afterLines="30" w:after="72"/>
              <w:ind w:firstLine="0"/>
              <w:jc w:val="left"/>
              <w:textAlignment w:val="auto"/>
              <w:rPr>
                <w:b/>
                <w:bCs/>
                <w:color w:val="000000"/>
                <w:sz w:val="20"/>
                <w:szCs w:val="20"/>
                <w:lang w:eastAsia="fr-FR"/>
              </w:rPr>
            </w:pPr>
            <w:r w:rsidRPr="0095779C">
              <w:rPr>
                <w:b/>
                <w:bCs/>
                <w:color w:val="000000"/>
                <w:sz w:val="20"/>
                <w:szCs w:val="20"/>
                <w:lang w:eastAsia="fr-FR"/>
              </w:rPr>
              <w:t xml:space="preserve">Acción </w:t>
            </w:r>
            <w:r w:rsidR="00227187">
              <w:rPr>
                <w:b/>
                <w:bCs/>
                <w:color w:val="000000"/>
                <w:sz w:val="20"/>
                <w:szCs w:val="20"/>
                <w:lang w:eastAsia="fr-FR"/>
              </w:rPr>
              <w:t>m</w:t>
            </w:r>
            <w:r w:rsidR="00535887" w:rsidRPr="0095779C">
              <w:rPr>
                <w:b/>
                <w:bCs/>
                <w:color w:val="000000"/>
                <w:sz w:val="20"/>
                <w:szCs w:val="20"/>
                <w:lang w:eastAsia="fr-FR"/>
              </w:rPr>
              <w:t xml:space="preserve">: </w:t>
            </w:r>
            <w:r w:rsidR="00E66383" w:rsidRPr="0095779C">
              <w:rPr>
                <w:bCs/>
                <w:color w:val="000000"/>
                <w:sz w:val="20"/>
                <w:szCs w:val="20"/>
                <w:lang w:val="es-CO" w:eastAsia="fr-FR"/>
              </w:rPr>
              <w:t xml:space="preserve">Consolidar plan de transición de compras de ARV e insumos </w:t>
            </w:r>
            <w:r w:rsidR="009B5415">
              <w:rPr>
                <w:bCs/>
                <w:color w:val="000000"/>
                <w:sz w:val="20"/>
                <w:szCs w:val="20"/>
                <w:lang w:val="es-CO" w:eastAsia="fr-FR"/>
              </w:rPr>
              <w:t xml:space="preserve">para VIH y TB </w:t>
            </w:r>
            <w:r w:rsidR="00E66383" w:rsidRPr="0095779C">
              <w:rPr>
                <w:bCs/>
                <w:color w:val="000000"/>
                <w:sz w:val="20"/>
                <w:szCs w:val="20"/>
                <w:lang w:val="es-ES" w:eastAsia="fr-FR"/>
              </w:rPr>
              <w:t>(incluyendo C</w:t>
            </w:r>
            <w:r w:rsidR="00421839">
              <w:rPr>
                <w:bCs/>
                <w:color w:val="000000"/>
                <w:sz w:val="20"/>
                <w:szCs w:val="20"/>
                <w:lang w:val="es-ES" w:eastAsia="fr-FR"/>
              </w:rPr>
              <w:t>arga Viral</w:t>
            </w:r>
            <w:r w:rsidR="00E66383" w:rsidRPr="0095779C">
              <w:rPr>
                <w:bCs/>
                <w:color w:val="000000"/>
                <w:sz w:val="20"/>
                <w:szCs w:val="20"/>
                <w:lang w:val="es-ES" w:eastAsia="fr-FR"/>
              </w:rPr>
              <w:t xml:space="preserve">, CD4, pruebas </w:t>
            </w:r>
            <w:r w:rsidR="00421839">
              <w:rPr>
                <w:bCs/>
                <w:color w:val="000000"/>
                <w:sz w:val="20"/>
                <w:szCs w:val="20"/>
                <w:lang w:val="es-ES" w:eastAsia="fr-FR"/>
              </w:rPr>
              <w:t>de diagnóstico</w:t>
            </w:r>
            <w:r w:rsidR="00E66383" w:rsidRPr="0095779C">
              <w:rPr>
                <w:bCs/>
                <w:color w:val="000000"/>
                <w:sz w:val="20"/>
                <w:szCs w:val="20"/>
                <w:lang w:val="es-MX" w:eastAsia="fr-FR"/>
              </w:rPr>
              <w:t xml:space="preserve">, PCR, </w:t>
            </w:r>
            <w:r w:rsidR="00E66383" w:rsidRPr="0095779C">
              <w:rPr>
                <w:bCs/>
                <w:color w:val="000000"/>
                <w:sz w:val="20"/>
                <w:szCs w:val="20"/>
                <w:lang w:val="es-ES" w:eastAsia="fr-FR"/>
              </w:rPr>
              <w:t>genotipo</w:t>
            </w:r>
            <w:r w:rsidR="00E873E1">
              <w:rPr>
                <w:bCs/>
                <w:color w:val="000000"/>
                <w:sz w:val="20"/>
                <w:szCs w:val="20"/>
                <w:lang w:val="es-ES" w:eastAsia="fr-FR"/>
              </w:rPr>
              <w:t>,</w:t>
            </w:r>
            <w:r w:rsidR="00E66383" w:rsidRPr="0095779C">
              <w:rPr>
                <w:bCs/>
                <w:color w:val="000000"/>
                <w:sz w:val="20"/>
                <w:szCs w:val="20"/>
                <w:lang w:val="es-ES" w:eastAsia="fr-FR"/>
              </w:rPr>
              <w:t xml:space="preserve"> reactivos de Gene</w:t>
            </w:r>
            <w:r w:rsidR="00572A6D">
              <w:rPr>
                <w:bCs/>
                <w:color w:val="000000"/>
                <w:sz w:val="20"/>
                <w:szCs w:val="20"/>
                <w:lang w:val="es-ES" w:eastAsia="fr-FR"/>
              </w:rPr>
              <w:t>-</w:t>
            </w:r>
            <w:proofErr w:type="spellStart"/>
            <w:r w:rsidR="00E66383" w:rsidRPr="0095779C">
              <w:rPr>
                <w:bCs/>
                <w:color w:val="000000"/>
                <w:sz w:val="20"/>
                <w:szCs w:val="20"/>
                <w:lang w:val="es-ES" w:eastAsia="fr-FR"/>
              </w:rPr>
              <w:t>Xpert</w:t>
            </w:r>
            <w:proofErr w:type="spellEnd"/>
            <w:r w:rsidR="00AC51BB">
              <w:rPr>
                <w:bCs/>
                <w:color w:val="000000"/>
                <w:sz w:val="20"/>
                <w:szCs w:val="20"/>
                <w:lang w:val="es-ES" w:eastAsia="fr-FR"/>
              </w:rPr>
              <w:t>,</w:t>
            </w:r>
            <w:r w:rsidR="00E873E1">
              <w:rPr>
                <w:bCs/>
                <w:color w:val="000000"/>
                <w:sz w:val="20"/>
                <w:szCs w:val="20"/>
                <w:lang w:val="es-ES" w:eastAsia="fr-FR"/>
              </w:rPr>
              <w:t xml:space="preserve"> y</w:t>
            </w:r>
            <w:r w:rsidR="00AC51BB">
              <w:rPr>
                <w:bCs/>
                <w:color w:val="000000"/>
                <w:sz w:val="20"/>
                <w:szCs w:val="20"/>
                <w:lang w:val="es-ES" w:eastAsia="fr-FR"/>
              </w:rPr>
              <w:t xml:space="preserve"> reactivos para infecciones oportunistas</w:t>
            </w:r>
            <w:r w:rsidR="00E66383" w:rsidRPr="0095779C">
              <w:rPr>
                <w:bCs/>
                <w:color w:val="000000"/>
                <w:sz w:val="20"/>
                <w:szCs w:val="20"/>
                <w:lang w:val="es-ES" w:eastAsia="fr-FR"/>
              </w:rPr>
              <w:t>)</w:t>
            </w:r>
            <w:r w:rsidR="00E66383" w:rsidRPr="0095779C">
              <w:rPr>
                <w:bCs/>
                <w:color w:val="000000"/>
                <w:sz w:val="20"/>
                <w:szCs w:val="20"/>
                <w:lang w:val="es-CO" w:eastAsia="fr-FR"/>
              </w:rPr>
              <w:t xml:space="preserve"> y la adquisición centralizada de pruebas </w:t>
            </w:r>
            <w:r w:rsidR="00421839">
              <w:rPr>
                <w:bCs/>
                <w:color w:val="000000"/>
                <w:sz w:val="20"/>
                <w:szCs w:val="20"/>
                <w:lang w:val="es-CO" w:eastAsia="fr-FR"/>
              </w:rPr>
              <w:t xml:space="preserve">de diagnóstico </w:t>
            </w:r>
            <w:r w:rsidR="00E66383" w:rsidRPr="0095779C">
              <w:rPr>
                <w:bCs/>
                <w:color w:val="000000"/>
                <w:sz w:val="20"/>
                <w:szCs w:val="20"/>
                <w:lang w:val="es-CO" w:eastAsia="fr-FR"/>
              </w:rPr>
              <w:t>con fondos públicos</w:t>
            </w:r>
          </w:p>
        </w:tc>
      </w:tr>
      <w:tr w:rsidR="00227187" w:rsidRPr="0095779C" w14:paraId="27DF4423" w14:textId="77777777" w:rsidTr="000C3A9A">
        <w:trPr>
          <w:trHeight w:val="836"/>
        </w:trPr>
        <w:tc>
          <w:tcPr>
            <w:tcW w:w="1817" w:type="pct"/>
            <w:vMerge/>
            <w:tcBorders>
              <w:bottom w:val="single" w:sz="4" w:space="0" w:color="auto"/>
            </w:tcBorders>
            <w:shd w:val="clear" w:color="auto" w:fill="auto"/>
          </w:tcPr>
          <w:p w14:paraId="0F2649FE" w14:textId="77777777" w:rsidR="00227187" w:rsidRPr="0095779C" w:rsidRDefault="00227187" w:rsidP="00F948D1">
            <w:pPr>
              <w:spacing w:beforeLines="30" w:before="72" w:afterLines="30" w:after="72"/>
              <w:ind w:left="215" w:firstLine="0"/>
              <w:jc w:val="left"/>
              <w:rPr>
                <w:b/>
                <w:bCs/>
                <w:color w:val="000000"/>
                <w:sz w:val="20"/>
                <w:szCs w:val="20"/>
                <w:lang w:eastAsia="fr-FR"/>
              </w:rPr>
            </w:pPr>
          </w:p>
        </w:tc>
        <w:tc>
          <w:tcPr>
            <w:tcW w:w="3183" w:type="pct"/>
            <w:tcBorders>
              <w:top w:val="single" w:sz="4" w:space="0" w:color="auto"/>
            </w:tcBorders>
            <w:shd w:val="clear" w:color="auto" w:fill="auto"/>
          </w:tcPr>
          <w:p w14:paraId="4AF1588F" w14:textId="450C980C" w:rsidR="00227187" w:rsidRPr="0095779C" w:rsidRDefault="00227187" w:rsidP="000C3A9A">
            <w:pPr>
              <w:autoSpaceDN/>
              <w:spacing w:beforeLines="30" w:before="72" w:afterLines="30" w:after="72"/>
              <w:ind w:firstLine="0"/>
              <w:jc w:val="left"/>
              <w:textAlignment w:val="auto"/>
              <w:rPr>
                <w:bCs/>
                <w:color w:val="000000"/>
                <w:sz w:val="20"/>
                <w:szCs w:val="20"/>
                <w:lang w:eastAsia="fr-FR"/>
              </w:rPr>
            </w:pPr>
            <w:r w:rsidRPr="0095779C">
              <w:rPr>
                <w:b/>
                <w:bCs/>
                <w:color w:val="000000"/>
                <w:sz w:val="20"/>
                <w:szCs w:val="20"/>
                <w:lang w:eastAsia="fr-FR"/>
              </w:rPr>
              <w:t xml:space="preserve">Acción </w:t>
            </w:r>
            <w:r>
              <w:rPr>
                <w:b/>
                <w:bCs/>
                <w:color w:val="000000"/>
                <w:sz w:val="20"/>
                <w:szCs w:val="20"/>
                <w:lang w:eastAsia="fr-FR"/>
              </w:rPr>
              <w:t>n</w:t>
            </w:r>
            <w:r w:rsidRPr="0095779C">
              <w:rPr>
                <w:b/>
                <w:bCs/>
                <w:color w:val="000000"/>
                <w:sz w:val="20"/>
                <w:szCs w:val="20"/>
                <w:lang w:eastAsia="fr-FR"/>
              </w:rPr>
              <w:t xml:space="preserve">: </w:t>
            </w:r>
            <w:r w:rsidRPr="0095779C">
              <w:rPr>
                <w:bCs/>
                <w:color w:val="000000"/>
                <w:sz w:val="20"/>
                <w:szCs w:val="20"/>
                <w:lang w:val="es-CO" w:eastAsia="fr-FR"/>
              </w:rPr>
              <w:t>Gestionar nuevos mecanismos de compra nacionales e internacionales para obtener precios de referencia de medicamentos de ARV (incluyendo lo</w:t>
            </w:r>
            <w:r>
              <w:rPr>
                <w:bCs/>
                <w:color w:val="000000"/>
                <w:sz w:val="20"/>
                <w:szCs w:val="20"/>
                <w:lang w:val="es-CO" w:eastAsia="fr-FR"/>
              </w:rPr>
              <w:t>s</w:t>
            </w:r>
            <w:r w:rsidRPr="0095779C">
              <w:rPr>
                <w:bCs/>
                <w:color w:val="000000"/>
                <w:sz w:val="20"/>
                <w:szCs w:val="20"/>
                <w:lang w:val="es-CO" w:eastAsia="fr-FR"/>
              </w:rPr>
              <w:t xml:space="preserve"> de mayor impacto financiero – 3</w:t>
            </w:r>
            <w:r>
              <w:rPr>
                <w:bCs/>
                <w:color w:val="000000"/>
                <w:sz w:val="20"/>
                <w:szCs w:val="20"/>
                <w:lang w:val="es-CO" w:eastAsia="fr-FR"/>
              </w:rPr>
              <w:t>ª</w:t>
            </w:r>
            <w:r w:rsidRPr="0095779C">
              <w:rPr>
                <w:bCs/>
                <w:color w:val="000000"/>
                <w:sz w:val="20"/>
                <w:szCs w:val="20"/>
                <w:lang w:val="es-CO" w:eastAsia="fr-FR"/>
              </w:rPr>
              <w:t xml:space="preserve"> línea)</w:t>
            </w:r>
          </w:p>
        </w:tc>
      </w:tr>
      <w:tr w:rsidR="005D3E52" w:rsidRPr="0095779C" w14:paraId="4FA6BFB6" w14:textId="77777777" w:rsidTr="00227187">
        <w:trPr>
          <w:trHeight w:val="539"/>
        </w:trPr>
        <w:tc>
          <w:tcPr>
            <w:tcW w:w="1817" w:type="pct"/>
            <w:vMerge w:val="restart"/>
            <w:tcBorders>
              <w:top w:val="single" w:sz="4" w:space="0" w:color="auto"/>
            </w:tcBorders>
            <w:shd w:val="clear" w:color="auto" w:fill="auto"/>
          </w:tcPr>
          <w:p w14:paraId="4EF2742A" w14:textId="272537CD" w:rsidR="005D3E52" w:rsidRPr="0095779C" w:rsidRDefault="005D3E52" w:rsidP="00F948D1">
            <w:pPr>
              <w:autoSpaceDN/>
              <w:spacing w:beforeLines="30" w:before="72" w:afterLines="30" w:after="72"/>
              <w:ind w:firstLine="0"/>
              <w:jc w:val="left"/>
              <w:textAlignment w:val="auto"/>
              <w:rPr>
                <w:b/>
                <w:bCs/>
                <w:color w:val="000000"/>
                <w:sz w:val="20"/>
                <w:szCs w:val="20"/>
                <w:lang w:eastAsia="fr-FR"/>
              </w:rPr>
            </w:pPr>
            <w:r w:rsidRPr="001D2D8E">
              <w:rPr>
                <w:b/>
                <w:bCs/>
                <w:color w:val="000000"/>
                <w:sz w:val="20"/>
                <w:szCs w:val="20"/>
                <w:lang w:eastAsia="fr-FR"/>
              </w:rPr>
              <w:t xml:space="preserve">Objetivo 4. </w:t>
            </w:r>
            <w:r w:rsidRPr="001D2D8E">
              <w:rPr>
                <w:bCs/>
                <w:color w:val="000000"/>
                <w:sz w:val="20"/>
                <w:szCs w:val="20"/>
                <w:lang w:val="es-ES" w:eastAsia="fr-FR"/>
              </w:rPr>
              <w:t>Incrementar el financiamiento de fuentes nacionales destinadas a prevención de VIH y TB</w:t>
            </w:r>
          </w:p>
        </w:tc>
        <w:tc>
          <w:tcPr>
            <w:tcW w:w="3183" w:type="pct"/>
            <w:tcBorders>
              <w:top w:val="single" w:sz="4" w:space="0" w:color="auto"/>
              <w:bottom w:val="single" w:sz="4" w:space="0" w:color="auto"/>
            </w:tcBorders>
            <w:shd w:val="clear" w:color="auto" w:fill="auto"/>
          </w:tcPr>
          <w:p w14:paraId="465F4354" w14:textId="1B52B031" w:rsidR="005D3E52" w:rsidRPr="0095779C" w:rsidRDefault="005D3E52" w:rsidP="00F948D1">
            <w:pPr>
              <w:autoSpaceDN/>
              <w:spacing w:beforeLines="30" w:before="72" w:afterLines="30" w:after="72"/>
              <w:ind w:firstLine="0"/>
              <w:jc w:val="left"/>
              <w:textAlignment w:val="auto"/>
              <w:rPr>
                <w:b/>
                <w:bCs/>
                <w:color w:val="000000"/>
                <w:sz w:val="20"/>
                <w:szCs w:val="20"/>
                <w:lang w:eastAsia="fr-FR"/>
              </w:rPr>
            </w:pPr>
            <w:r w:rsidRPr="0095779C">
              <w:rPr>
                <w:b/>
                <w:bCs/>
                <w:color w:val="000000"/>
                <w:sz w:val="20"/>
                <w:szCs w:val="20"/>
                <w:lang w:eastAsia="fr-FR"/>
              </w:rPr>
              <w:t xml:space="preserve">Acción </w:t>
            </w:r>
            <w:r>
              <w:rPr>
                <w:b/>
                <w:bCs/>
                <w:color w:val="000000"/>
                <w:sz w:val="20"/>
                <w:szCs w:val="20"/>
                <w:lang w:eastAsia="fr-FR"/>
              </w:rPr>
              <w:t>o</w:t>
            </w:r>
            <w:r w:rsidRPr="0095779C">
              <w:rPr>
                <w:b/>
                <w:bCs/>
                <w:color w:val="000000"/>
                <w:sz w:val="20"/>
                <w:szCs w:val="20"/>
                <w:lang w:eastAsia="fr-FR"/>
              </w:rPr>
              <w:t xml:space="preserve">: </w:t>
            </w:r>
            <w:r w:rsidRPr="0095779C">
              <w:rPr>
                <w:bCs/>
                <w:color w:val="000000"/>
                <w:sz w:val="20"/>
                <w:szCs w:val="20"/>
                <w:lang w:val="es-ES" w:eastAsia="fr-FR"/>
              </w:rPr>
              <w:t xml:space="preserve">Elaborar un plan de </w:t>
            </w:r>
            <w:r>
              <w:rPr>
                <w:bCs/>
                <w:color w:val="000000"/>
                <w:sz w:val="20"/>
                <w:szCs w:val="20"/>
                <w:lang w:val="es-ES" w:eastAsia="fr-FR"/>
              </w:rPr>
              <w:t xml:space="preserve">gestión y </w:t>
            </w:r>
            <w:r w:rsidRPr="0095779C">
              <w:rPr>
                <w:bCs/>
                <w:color w:val="000000"/>
                <w:sz w:val="20"/>
                <w:szCs w:val="20"/>
                <w:lang w:val="es-ES" w:eastAsia="fr-FR"/>
              </w:rPr>
              <w:t>movilización de fondos nacionales para financiar las intervenciones de prevención con recursos de la SESAL, la Seguridad Social y/o alianzas con el sector privado</w:t>
            </w:r>
          </w:p>
        </w:tc>
      </w:tr>
      <w:tr w:rsidR="005D3E52" w:rsidRPr="0095779C" w14:paraId="6C0DCE94" w14:textId="77777777" w:rsidTr="00726685">
        <w:trPr>
          <w:trHeight w:val="538"/>
        </w:trPr>
        <w:tc>
          <w:tcPr>
            <w:tcW w:w="1817" w:type="pct"/>
            <w:vMerge/>
            <w:shd w:val="clear" w:color="auto" w:fill="auto"/>
          </w:tcPr>
          <w:p w14:paraId="743013A4" w14:textId="77777777" w:rsidR="005D3E52" w:rsidRPr="001D2D8E" w:rsidRDefault="005D3E52"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bottom w:val="single" w:sz="4" w:space="0" w:color="auto"/>
            </w:tcBorders>
            <w:shd w:val="clear" w:color="auto" w:fill="auto"/>
          </w:tcPr>
          <w:p w14:paraId="736E5DB5" w14:textId="611B79EF" w:rsidR="005D3E52" w:rsidRPr="007C2C40" w:rsidRDefault="005D3E52" w:rsidP="00F948D1">
            <w:pPr>
              <w:autoSpaceDN/>
              <w:spacing w:beforeLines="30" w:before="72" w:afterLines="30" w:after="72"/>
              <w:ind w:firstLine="0"/>
              <w:jc w:val="left"/>
              <w:textAlignment w:val="auto"/>
              <w:rPr>
                <w:b/>
                <w:bCs/>
                <w:color w:val="000000"/>
                <w:sz w:val="20"/>
                <w:szCs w:val="20"/>
                <w:lang w:val="es-CO" w:eastAsia="fr-FR"/>
              </w:rPr>
            </w:pPr>
            <w:r w:rsidRPr="0095779C">
              <w:rPr>
                <w:b/>
                <w:bCs/>
                <w:color w:val="000000"/>
                <w:sz w:val="20"/>
                <w:szCs w:val="20"/>
                <w:lang w:eastAsia="fr-FR"/>
              </w:rPr>
              <w:t xml:space="preserve">Acción </w:t>
            </w:r>
            <w:r>
              <w:rPr>
                <w:b/>
                <w:bCs/>
                <w:color w:val="000000"/>
                <w:sz w:val="20"/>
                <w:szCs w:val="20"/>
                <w:lang w:eastAsia="fr-FR"/>
              </w:rPr>
              <w:t>p</w:t>
            </w:r>
            <w:r w:rsidRPr="0095779C">
              <w:rPr>
                <w:b/>
                <w:bCs/>
                <w:color w:val="000000"/>
                <w:sz w:val="20"/>
                <w:szCs w:val="20"/>
                <w:lang w:eastAsia="fr-FR"/>
              </w:rPr>
              <w:t xml:space="preserve">: </w:t>
            </w:r>
            <w:bookmarkStart w:id="37" w:name="_Hlk2609648"/>
            <w:r w:rsidR="007F6D1A">
              <w:rPr>
                <w:bCs/>
                <w:color w:val="000000"/>
                <w:sz w:val="20"/>
                <w:szCs w:val="20"/>
                <w:lang w:eastAsia="fr-FR"/>
              </w:rPr>
              <w:t xml:space="preserve">Fortalecer la implementación </w:t>
            </w:r>
            <w:r w:rsidR="007F6D1A">
              <w:rPr>
                <w:bCs/>
                <w:color w:val="000000"/>
                <w:sz w:val="20"/>
                <w:szCs w:val="20"/>
                <w:lang w:val="es-ES" w:eastAsia="fr-FR"/>
              </w:rPr>
              <w:t>d</w:t>
            </w:r>
            <w:r w:rsidRPr="007C2C40">
              <w:rPr>
                <w:bCs/>
                <w:color w:val="000000"/>
                <w:sz w:val="20"/>
                <w:szCs w:val="20"/>
                <w:lang w:val="es-ES" w:eastAsia="fr-FR"/>
              </w:rPr>
              <w:t xml:space="preserve">el Paquete específico de prestaciones y servicios para el abordaje integral de las ITS y VIH en poblaciones clave (julio 2015) y establecer el paquete mínimo de prevención combinada para VIH en población general y clave, </w:t>
            </w:r>
            <w:proofErr w:type="gramStart"/>
            <w:r w:rsidR="00CC03C2">
              <w:rPr>
                <w:bCs/>
                <w:color w:val="000000"/>
                <w:sz w:val="20"/>
                <w:szCs w:val="20"/>
                <w:lang w:val="es-ES" w:eastAsia="fr-FR"/>
              </w:rPr>
              <w:t>de acuerdo a</w:t>
            </w:r>
            <w:proofErr w:type="gramEnd"/>
            <w:r w:rsidR="00CC03C2">
              <w:rPr>
                <w:bCs/>
                <w:color w:val="000000"/>
                <w:sz w:val="20"/>
                <w:szCs w:val="20"/>
                <w:lang w:val="es-ES" w:eastAsia="fr-FR"/>
              </w:rPr>
              <w:t xml:space="preserve"> la cartera de servicios de los Establecimientos de Salud </w:t>
            </w:r>
            <w:r w:rsidRPr="007C2C40">
              <w:rPr>
                <w:bCs/>
                <w:color w:val="000000"/>
                <w:sz w:val="20"/>
                <w:szCs w:val="20"/>
                <w:lang w:val="es-ES" w:eastAsia="fr-FR"/>
              </w:rPr>
              <w:t>con miras a la institucionalización y financiamiento por la SESAL y el IHSS</w:t>
            </w:r>
            <w:bookmarkEnd w:id="37"/>
          </w:p>
        </w:tc>
      </w:tr>
      <w:tr w:rsidR="005D3E52" w:rsidRPr="0095779C" w14:paraId="73C743B1" w14:textId="77777777" w:rsidTr="000D62F0">
        <w:trPr>
          <w:trHeight w:val="20"/>
        </w:trPr>
        <w:tc>
          <w:tcPr>
            <w:tcW w:w="1817" w:type="pct"/>
            <w:vMerge/>
            <w:shd w:val="clear" w:color="auto" w:fill="auto"/>
          </w:tcPr>
          <w:p w14:paraId="4B158CEC" w14:textId="77777777" w:rsidR="005D3E52" w:rsidRPr="0095779C" w:rsidRDefault="005D3E52"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bottom w:val="single" w:sz="4" w:space="0" w:color="auto"/>
            </w:tcBorders>
            <w:shd w:val="clear" w:color="auto" w:fill="auto"/>
          </w:tcPr>
          <w:p w14:paraId="14CC117A" w14:textId="76219F5C" w:rsidR="005D3E52" w:rsidRPr="000C3A9A" w:rsidRDefault="005D3E52" w:rsidP="00227187">
            <w:pPr>
              <w:autoSpaceDN/>
              <w:spacing w:beforeLines="30" w:before="72" w:afterLines="30" w:after="72"/>
              <w:ind w:firstLine="0"/>
              <w:jc w:val="left"/>
              <w:textAlignment w:val="auto"/>
              <w:rPr>
                <w:bCs/>
                <w:color w:val="000000"/>
                <w:sz w:val="20"/>
                <w:szCs w:val="20"/>
                <w:highlight w:val="magenta"/>
                <w:lang w:eastAsia="fr-FR"/>
              </w:rPr>
            </w:pPr>
            <w:r w:rsidRPr="00922BD2">
              <w:rPr>
                <w:b/>
                <w:bCs/>
                <w:color w:val="000000"/>
                <w:sz w:val="20"/>
                <w:szCs w:val="20"/>
                <w:lang w:eastAsia="fr-FR"/>
              </w:rPr>
              <w:t xml:space="preserve">Acción q: </w:t>
            </w:r>
            <w:r w:rsidRPr="00922BD2">
              <w:rPr>
                <w:bCs/>
                <w:color w:val="000000"/>
                <w:sz w:val="20"/>
                <w:szCs w:val="20"/>
                <w:lang w:eastAsia="fr-FR"/>
              </w:rPr>
              <w:t xml:space="preserve">Garantizar recursos </w:t>
            </w:r>
            <w:r w:rsidR="00CC03C2">
              <w:rPr>
                <w:bCs/>
                <w:color w:val="000000"/>
                <w:sz w:val="20"/>
                <w:szCs w:val="20"/>
                <w:lang w:eastAsia="fr-FR"/>
              </w:rPr>
              <w:t xml:space="preserve">(humanos, de infraestructura, logísticos, medicamentos, insumos y reactivos) </w:t>
            </w:r>
            <w:r w:rsidRPr="00922BD2">
              <w:rPr>
                <w:bCs/>
                <w:color w:val="000000"/>
                <w:sz w:val="20"/>
                <w:szCs w:val="20"/>
                <w:lang w:eastAsia="fr-FR"/>
              </w:rPr>
              <w:t>para el fortalecimiento de los servicios amigables, VICITS y horario</w:t>
            </w:r>
            <w:r>
              <w:rPr>
                <w:bCs/>
                <w:color w:val="000000"/>
                <w:sz w:val="20"/>
                <w:szCs w:val="20"/>
                <w:lang w:eastAsia="fr-FR"/>
              </w:rPr>
              <w:t>s</w:t>
            </w:r>
            <w:r w:rsidRPr="00922BD2">
              <w:rPr>
                <w:bCs/>
                <w:color w:val="000000"/>
                <w:sz w:val="20"/>
                <w:szCs w:val="20"/>
                <w:lang w:eastAsia="fr-FR"/>
              </w:rPr>
              <w:t xml:space="preserve"> extendidos</w:t>
            </w:r>
          </w:p>
        </w:tc>
      </w:tr>
      <w:tr w:rsidR="005D3E52" w:rsidRPr="0095779C" w14:paraId="7DE35F2B" w14:textId="77777777" w:rsidTr="004A20BC">
        <w:trPr>
          <w:trHeight w:val="20"/>
        </w:trPr>
        <w:tc>
          <w:tcPr>
            <w:tcW w:w="1817" w:type="pct"/>
            <w:vMerge/>
            <w:tcBorders>
              <w:bottom w:val="single" w:sz="4" w:space="0" w:color="auto"/>
            </w:tcBorders>
            <w:shd w:val="clear" w:color="auto" w:fill="auto"/>
          </w:tcPr>
          <w:p w14:paraId="46FA7A85" w14:textId="77777777" w:rsidR="005D3E52" w:rsidRPr="0095779C" w:rsidRDefault="005D3E52"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bottom w:val="single" w:sz="4" w:space="0" w:color="auto"/>
            </w:tcBorders>
            <w:shd w:val="clear" w:color="auto" w:fill="auto"/>
          </w:tcPr>
          <w:p w14:paraId="123B0960" w14:textId="22D582B2" w:rsidR="005D3E52" w:rsidRPr="00922BD2" w:rsidRDefault="005D3E52" w:rsidP="00227187">
            <w:pPr>
              <w:autoSpaceDN/>
              <w:spacing w:beforeLines="30" w:before="72" w:afterLines="30" w:after="72"/>
              <w:ind w:firstLine="0"/>
              <w:jc w:val="left"/>
              <w:textAlignment w:val="auto"/>
              <w:rPr>
                <w:b/>
                <w:bCs/>
                <w:color w:val="000000"/>
                <w:sz w:val="20"/>
                <w:szCs w:val="20"/>
                <w:lang w:eastAsia="fr-FR"/>
              </w:rPr>
            </w:pPr>
            <w:r>
              <w:rPr>
                <w:b/>
                <w:bCs/>
                <w:color w:val="000000"/>
                <w:sz w:val="20"/>
                <w:szCs w:val="20"/>
                <w:lang w:eastAsia="fr-FR"/>
              </w:rPr>
              <w:t xml:space="preserve">Acción r: </w:t>
            </w:r>
            <w:r w:rsidRPr="00E95AE0">
              <w:rPr>
                <w:bCs/>
                <w:color w:val="000000"/>
                <w:sz w:val="20"/>
                <w:szCs w:val="20"/>
                <w:lang w:eastAsia="fr-FR"/>
              </w:rPr>
              <w:t>Crear líneas presupuestarias</w:t>
            </w:r>
            <w:r w:rsidR="009B2F09" w:rsidRPr="00E95AE0">
              <w:rPr>
                <w:bCs/>
                <w:color w:val="000000"/>
                <w:sz w:val="20"/>
                <w:szCs w:val="20"/>
                <w:lang w:eastAsia="fr-FR"/>
              </w:rPr>
              <w:t xml:space="preserve"> para</w:t>
            </w:r>
            <w:r w:rsidR="00D812EF" w:rsidRPr="00E95AE0">
              <w:rPr>
                <w:bCs/>
                <w:color w:val="000000"/>
                <w:sz w:val="20"/>
                <w:szCs w:val="20"/>
                <w:lang w:eastAsia="fr-FR"/>
              </w:rPr>
              <w:t xml:space="preserve"> cubrir</w:t>
            </w:r>
            <w:r w:rsidR="009B2F09" w:rsidRPr="00E95AE0">
              <w:rPr>
                <w:bCs/>
                <w:color w:val="000000"/>
                <w:sz w:val="20"/>
                <w:szCs w:val="20"/>
                <w:lang w:eastAsia="fr-FR"/>
              </w:rPr>
              <w:t xml:space="preserve"> </w:t>
            </w:r>
            <w:r w:rsidR="00BA3E16" w:rsidRPr="00E95AE0">
              <w:rPr>
                <w:bCs/>
                <w:color w:val="000000"/>
                <w:sz w:val="20"/>
                <w:szCs w:val="20"/>
                <w:lang w:eastAsia="fr-FR"/>
              </w:rPr>
              <w:t xml:space="preserve">los compromisos de cofinanciamiento de las pruebas </w:t>
            </w:r>
            <w:r w:rsidR="00D812EF" w:rsidRPr="00E95AE0">
              <w:rPr>
                <w:bCs/>
                <w:color w:val="000000"/>
                <w:sz w:val="20"/>
                <w:szCs w:val="20"/>
                <w:lang w:eastAsia="fr-FR"/>
              </w:rPr>
              <w:t xml:space="preserve">CD4, PDR, </w:t>
            </w:r>
            <w:r w:rsidR="001E0F0A">
              <w:rPr>
                <w:bCs/>
                <w:color w:val="000000"/>
                <w:sz w:val="20"/>
                <w:szCs w:val="20"/>
                <w:lang w:eastAsia="fr-FR"/>
              </w:rPr>
              <w:t>c</w:t>
            </w:r>
            <w:r w:rsidR="00D812EF" w:rsidRPr="00E95AE0">
              <w:rPr>
                <w:bCs/>
                <w:color w:val="000000"/>
                <w:sz w:val="20"/>
                <w:szCs w:val="20"/>
                <w:lang w:eastAsia="fr-FR"/>
              </w:rPr>
              <w:t>arga viral, leche infantil, inversiones en reactivos ITS</w:t>
            </w:r>
            <w:r w:rsidR="00E74CF5" w:rsidRPr="00E95AE0">
              <w:rPr>
                <w:bCs/>
                <w:color w:val="000000"/>
                <w:sz w:val="20"/>
                <w:szCs w:val="20"/>
                <w:lang w:eastAsia="fr-FR"/>
              </w:rPr>
              <w:t xml:space="preserve">, </w:t>
            </w:r>
            <w:r w:rsidR="00D812EF" w:rsidRPr="00E95AE0">
              <w:rPr>
                <w:bCs/>
                <w:color w:val="000000"/>
                <w:sz w:val="20"/>
                <w:szCs w:val="20"/>
                <w:lang w:eastAsia="fr-FR"/>
              </w:rPr>
              <w:t>insumos de laboratorio,</w:t>
            </w:r>
            <w:r w:rsidR="00E74CF5" w:rsidRPr="00E95AE0">
              <w:rPr>
                <w:bCs/>
                <w:color w:val="000000"/>
                <w:sz w:val="20"/>
                <w:szCs w:val="20"/>
                <w:lang w:eastAsia="fr-FR"/>
              </w:rPr>
              <w:t xml:space="preserve"> cartuchos Gene-</w:t>
            </w:r>
            <w:proofErr w:type="spellStart"/>
            <w:r w:rsidR="00E74CF5" w:rsidRPr="00E95AE0">
              <w:rPr>
                <w:bCs/>
                <w:color w:val="000000"/>
                <w:sz w:val="20"/>
                <w:szCs w:val="20"/>
                <w:lang w:eastAsia="fr-FR"/>
              </w:rPr>
              <w:t>Xpert</w:t>
            </w:r>
            <w:proofErr w:type="spellEnd"/>
            <w:r w:rsidR="00E74CF5" w:rsidRPr="00E95AE0">
              <w:rPr>
                <w:bCs/>
                <w:color w:val="000000"/>
                <w:sz w:val="20"/>
                <w:szCs w:val="20"/>
                <w:lang w:eastAsia="fr-FR"/>
              </w:rPr>
              <w:t xml:space="preserve">, respiradores N95, suplemento alimenticio para pacientes con TB-DR, control </w:t>
            </w:r>
            <w:r w:rsidR="00E74CF5" w:rsidRPr="00E95AE0">
              <w:rPr>
                <w:bCs/>
                <w:color w:val="000000"/>
                <w:sz w:val="20"/>
                <w:szCs w:val="20"/>
                <w:lang w:eastAsia="fr-FR"/>
              </w:rPr>
              <w:lastRenderedPageBreak/>
              <w:t>de infecciones de TB,</w:t>
            </w:r>
            <w:r w:rsidR="00D812EF" w:rsidRPr="00E95AE0">
              <w:rPr>
                <w:bCs/>
                <w:color w:val="000000"/>
                <w:sz w:val="20"/>
                <w:szCs w:val="20"/>
                <w:lang w:eastAsia="fr-FR"/>
              </w:rPr>
              <w:t xml:space="preserve"> así como </w:t>
            </w:r>
            <w:r w:rsidR="00BA3E16" w:rsidRPr="00E95AE0">
              <w:rPr>
                <w:bCs/>
                <w:color w:val="000000"/>
                <w:sz w:val="20"/>
                <w:szCs w:val="20"/>
                <w:lang w:eastAsia="fr-FR"/>
              </w:rPr>
              <w:t xml:space="preserve">para la </w:t>
            </w:r>
            <w:r w:rsidR="00D812EF" w:rsidRPr="00E95AE0">
              <w:rPr>
                <w:bCs/>
                <w:color w:val="000000"/>
                <w:sz w:val="20"/>
                <w:szCs w:val="20"/>
                <w:lang w:eastAsia="fr-FR"/>
              </w:rPr>
              <w:t>prevención de VIH</w:t>
            </w:r>
            <w:r w:rsidR="005F681D" w:rsidRPr="00E95AE0">
              <w:rPr>
                <w:bCs/>
                <w:color w:val="000000"/>
                <w:sz w:val="20"/>
                <w:szCs w:val="20"/>
                <w:lang w:eastAsia="fr-FR"/>
              </w:rPr>
              <w:t xml:space="preserve"> y </w:t>
            </w:r>
            <w:r w:rsidR="00D812EF" w:rsidRPr="00E95AE0">
              <w:rPr>
                <w:bCs/>
                <w:color w:val="000000"/>
                <w:sz w:val="20"/>
                <w:szCs w:val="20"/>
                <w:lang w:eastAsia="fr-FR"/>
              </w:rPr>
              <w:t xml:space="preserve">TB </w:t>
            </w:r>
            <w:r w:rsidR="00314CEC" w:rsidRPr="00E95AE0">
              <w:rPr>
                <w:bCs/>
                <w:color w:val="000000"/>
                <w:sz w:val="20"/>
                <w:szCs w:val="20"/>
                <w:lang w:eastAsia="fr-FR"/>
              </w:rPr>
              <w:t xml:space="preserve">a </w:t>
            </w:r>
            <w:proofErr w:type="spellStart"/>
            <w:r w:rsidR="00314CEC" w:rsidRPr="00E95AE0">
              <w:rPr>
                <w:bCs/>
                <w:color w:val="000000"/>
                <w:sz w:val="20"/>
                <w:szCs w:val="20"/>
                <w:lang w:eastAsia="fr-FR"/>
              </w:rPr>
              <w:t>trav</w:t>
            </w:r>
            <w:r w:rsidR="00314CEC" w:rsidRPr="00E95AE0">
              <w:rPr>
                <w:bCs/>
                <w:color w:val="000000"/>
                <w:sz w:val="20"/>
                <w:szCs w:val="20"/>
                <w:lang w:val="es-MX" w:eastAsia="fr-FR"/>
              </w:rPr>
              <w:t>és</w:t>
            </w:r>
            <w:proofErr w:type="spellEnd"/>
            <w:r w:rsidR="00314CEC" w:rsidRPr="00E95AE0">
              <w:rPr>
                <w:bCs/>
                <w:color w:val="000000"/>
                <w:sz w:val="20"/>
                <w:szCs w:val="20"/>
                <w:lang w:val="es-MX" w:eastAsia="fr-FR"/>
              </w:rPr>
              <w:t xml:space="preserve"> de la prestación de servicios</w:t>
            </w:r>
            <w:r w:rsidR="00D812EF" w:rsidRPr="00E95AE0">
              <w:rPr>
                <w:bCs/>
                <w:color w:val="000000"/>
                <w:sz w:val="20"/>
                <w:szCs w:val="20"/>
                <w:lang w:eastAsia="fr-FR"/>
              </w:rPr>
              <w:t xml:space="preserve"> por </w:t>
            </w:r>
            <w:r w:rsidR="00BA3E16" w:rsidRPr="00E95AE0">
              <w:rPr>
                <w:bCs/>
                <w:color w:val="000000"/>
                <w:sz w:val="20"/>
                <w:szCs w:val="20"/>
                <w:lang w:eastAsia="fr-FR"/>
              </w:rPr>
              <w:t xml:space="preserve">parte de las </w:t>
            </w:r>
            <w:proofErr w:type="spellStart"/>
            <w:r w:rsidR="00D812EF" w:rsidRPr="00E95AE0">
              <w:rPr>
                <w:bCs/>
                <w:color w:val="000000"/>
                <w:sz w:val="20"/>
                <w:szCs w:val="20"/>
                <w:lang w:eastAsia="fr-FR"/>
              </w:rPr>
              <w:t>OSCs</w:t>
            </w:r>
            <w:proofErr w:type="spellEnd"/>
            <w:r>
              <w:rPr>
                <w:b/>
                <w:bCs/>
                <w:color w:val="000000"/>
                <w:sz w:val="20"/>
                <w:szCs w:val="20"/>
                <w:lang w:eastAsia="fr-FR"/>
              </w:rPr>
              <w:t xml:space="preserve"> </w:t>
            </w:r>
          </w:p>
        </w:tc>
      </w:tr>
      <w:tr w:rsidR="001E0F0A" w:rsidRPr="0095779C" w14:paraId="011BC041" w14:textId="77777777" w:rsidTr="00E95AE0">
        <w:trPr>
          <w:trHeight w:val="1592"/>
        </w:trPr>
        <w:tc>
          <w:tcPr>
            <w:tcW w:w="1817" w:type="pct"/>
            <w:vMerge w:val="restart"/>
            <w:tcBorders>
              <w:top w:val="single" w:sz="4" w:space="0" w:color="auto"/>
            </w:tcBorders>
            <w:shd w:val="clear" w:color="auto" w:fill="auto"/>
          </w:tcPr>
          <w:p w14:paraId="3E7CDD5B" w14:textId="3495CEDC" w:rsidR="001E0F0A" w:rsidRPr="002C04E4" w:rsidRDefault="001E0F0A" w:rsidP="00F948D1">
            <w:pPr>
              <w:autoSpaceDN/>
              <w:spacing w:beforeLines="30" w:before="72" w:afterLines="30" w:after="72"/>
              <w:ind w:firstLine="0"/>
              <w:jc w:val="left"/>
              <w:textAlignment w:val="auto"/>
              <w:rPr>
                <w:b/>
                <w:bCs/>
                <w:color w:val="000000"/>
                <w:sz w:val="20"/>
                <w:szCs w:val="20"/>
                <w:lang w:eastAsia="fr-FR"/>
              </w:rPr>
            </w:pPr>
            <w:r w:rsidRPr="002C04E4">
              <w:rPr>
                <w:b/>
                <w:bCs/>
                <w:color w:val="000000"/>
                <w:sz w:val="20"/>
                <w:szCs w:val="20"/>
                <w:lang w:eastAsia="fr-FR"/>
              </w:rPr>
              <w:lastRenderedPageBreak/>
              <w:t xml:space="preserve">Objetivo 5. </w:t>
            </w:r>
            <w:r w:rsidRPr="002C04E4">
              <w:rPr>
                <w:bCs/>
                <w:color w:val="000000"/>
                <w:sz w:val="20"/>
                <w:szCs w:val="20"/>
                <w:lang w:val="es-ES" w:eastAsia="fr-FR"/>
              </w:rPr>
              <w:t>Reducir el estigma y la discriminación de la población clave</w:t>
            </w:r>
          </w:p>
        </w:tc>
        <w:tc>
          <w:tcPr>
            <w:tcW w:w="3183" w:type="pct"/>
            <w:tcBorders>
              <w:top w:val="single" w:sz="4" w:space="0" w:color="auto"/>
            </w:tcBorders>
            <w:shd w:val="clear" w:color="auto" w:fill="auto"/>
          </w:tcPr>
          <w:p w14:paraId="5744AFDE" w14:textId="2BA13991" w:rsidR="001E0F0A" w:rsidRPr="002C04E4" w:rsidRDefault="001E0F0A" w:rsidP="00E95AE0">
            <w:pPr>
              <w:autoSpaceDN/>
              <w:spacing w:beforeLines="30" w:before="72" w:afterLines="30" w:after="72"/>
              <w:ind w:firstLine="0"/>
              <w:jc w:val="left"/>
              <w:textAlignment w:val="auto"/>
              <w:rPr>
                <w:bCs/>
                <w:color w:val="000000"/>
                <w:sz w:val="20"/>
                <w:szCs w:val="20"/>
                <w:lang w:val="es-CO" w:eastAsia="fr-FR"/>
              </w:rPr>
            </w:pPr>
            <w:r w:rsidRPr="002C04E4">
              <w:rPr>
                <w:b/>
                <w:bCs/>
                <w:color w:val="000000"/>
                <w:sz w:val="20"/>
                <w:szCs w:val="20"/>
                <w:lang w:eastAsia="fr-FR"/>
              </w:rPr>
              <w:t xml:space="preserve">Acción </w:t>
            </w:r>
            <w:r w:rsidRPr="00214849">
              <w:rPr>
                <w:b/>
                <w:bCs/>
                <w:color w:val="000000"/>
                <w:sz w:val="20"/>
                <w:szCs w:val="20"/>
                <w:lang w:eastAsia="fr-FR"/>
              </w:rPr>
              <w:t>s:</w:t>
            </w:r>
            <w:r w:rsidRPr="002C04E4">
              <w:rPr>
                <w:rFonts w:eastAsiaTheme="minorHAnsi"/>
                <w:b/>
                <w:bCs/>
                <w:sz w:val="20"/>
                <w:szCs w:val="20"/>
                <w:lang w:val="es-CO" w:eastAsia="en-US"/>
              </w:rPr>
              <w:t xml:space="preserve"> </w:t>
            </w:r>
            <w:r w:rsidRPr="002C04E4">
              <w:rPr>
                <w:bCs/>
                <w:color w:val="000000"/>
                <w:sz w:val="20"/>
                <w:szCs w:val="20"/>
                <w:lang w:val="es-CO" w:eastAsia="fr-FR"/>
              </w:rPr>
              <w:t>Realizar una alianza estratégica entre la SEDH, AMHON (</w:t>
            </w:r>
            <w:r w:rsidRPr="002C04E4">
              <w:rPr>
                <w:bCs/>
                <w:color w:val="000000"/>
                <w:sz w:val="20"/>
                <w:szCs w:val="20"/>
                <w:lang w:val="es-419" w:eastAsia="fr-FR"/>
              </w:rPr>
              <w:t>Asociación de Municipios de Honduras)</w:t>
            </w:r>
            <w:r>
              <w:rPr>
                <w:bCs/>
                <w:color w:val="000000"/>
                <w:sz w:val="20"/>
                <w:szCs w:val="20"/>
                <w:lang w:val="es-CO" w:eastAsia="fr-FR"/>
              </w:rPr>
              <w:t>,</w:t>
            </w:r>
            <w:r w:rsidRPr="002C04E4">
              <w:rPr>
                <w:bCs/>
                <w:color w:val="000000"/>
                <w:sz w:val="20"/>
                <w:szCs w:val="20"/>
                <w:lang w:val="es-CO" w:eastAsia="fr-FR"/>
              </w:rPr>
              <w:t xml:space="preserve"> el CONADEH (</w:t>
            </w:r>
            <w:r w:rsidRPr="002C04E4">
              <w:rPr>
                <w:bCs/>
                <w:color w:val="000000"/>
                <w:sz w:val="20"/>
                <w:szCs w:val="20"/>
                <w:lang w:val="es-419" w:eastAsia="fr-FR"/>
              </w:rPr>
              <w:t>Comisionado Nacional de los Derechos Humanos)</w:t>
            </w:r>
            <w:r>
              <w:rPr>
                <w:bCs/>
                <w:color w:val="000000"/>
                <w:sz w:val="20"/>
                <w:szCs w:val="20"/>
                <w:lang w:val="es-419" w:eastAsia="fr-FR"/>
              </w:rPr>
              <w:t xml:space="preserve"> y el Instituto Penitenciario</w:t>
            </w:r>
            <w:r w:rsidRPr="002C04E4">
              <w:rPr>
                <w:bCs/>
                <w:color w:val="000000"/>
                <w:sz w:val="20"/>
                <w:szCs w:val="20"/>
                <w:lang w:val="es-419" w:eastAsia="fr-FR"/>
              </w:rPr>
              <w:t xml:space="preserve"> </w:t>
            </w:r>
            <w:r w:rsidRPr="002C04E4">
              <w:rPr>
                <w:bCs/>
                <w:color w:val="000000"/>
                <w:sz w:val="20"/>
                <w:szCs w:val="20"/>
                <w:lang w:val="es-CO" w:eastAsia="fr-FR"/>
              </w:rPr>
              <w:t xml:space="preserve">para </w:t>
            </w:r>
            <w:proofErr w:type="gramStart"/>
            <w:r w:rsidRPr="002C04E4">
              <w:rPr>
                <w:bCs/>
                <w:color w:val="000000"/>
                <w:sz w:val="20"/>
                <w:szCs w:val="20"/>
                <w:lang w:val="es-CO" w:eastAsia="fr-FR"/>
              </w:rPr>
              <w:t xml:space="preserve">que </w:t>
            </w:r>
            <w:r>
              <w:rPr>
                <w:bCs/>
                <w:color w:val="000000"/>
                <w:sz w:val="20"/>
                <w:szCs w:val="20"/>
                <w:lang w:val="es-CO" w:eastAsia="fr-FR"/>
              </w:rPr>
              <w:t xml:space="preserve"> </w:t>
            </w:r>
            <w:proofErr w:type="spellStart"/>
            <w:r>
              <w:rPr>
                <w:bCs/>
                <w:color w:val="000000"/>
                <w:sz w:val="20"/>
                <w:szCs w:val="20"/>
                <w:lang w:val="es-CO" w:eastAsia="fr-FR"/>
              </w:rPr>
              <w:t>que</w:t>
            </w:r>
            <w:proofErr w:type="spellEnd"/>
            <w:proofErr w:type="gramEnd"/>
            <w:r>
              <w:rPr>
                <w:bCs/>
                <w:color w:val="000000"/>
                <w:sz w:val="20"/>
                <w:szCs w:val="20"/>
                <w:lang w:val="es-CO" w:eastAsia="fr-FR"/>
              </w:rPr>
              <w:t xml:space="preserve"> se implementen acciones en </w:t>
            </w:r>
            <w:r w:rsidRPr="002C04E4">
              <w:rPr>
                <w:bCs/>
                <w:color w:val="000000"/>
                <w:sz w:val="20"/>
                <w:szCs w:val="20"/>
                <w:lang w:val="es-CO" w:eastAsia="fr-FR"/>
              </w:rPr>
              <w:t>defensa de los Derechos Humanos</w:t>
            </w:r>
            <w:r>
              <w:rPr>
                <w:bCs/>
                <w:color w:val="000000"/>
                <w:sz w:val="20"/>
                <w:szCs w:val="20"/>
                <w:lang w:val="es-CO" w:eastAsia="fr-FR"/>
              </w:rPr>
              <w:t xml:space="preserve"> de las personas privadas de libertad con TB – </w:t>
            </w:r>
            <w:r w:rsidRPr="00E1203D">
              <w:rPr>
                <w:bCs/>
                <w:color w:val="000000"/>
                <w:sz w:val="20"/>
                <w:szCs w:val="20"/>
                <w:lang w:val="es-CO" w:eastAsia="fr-FR"/>
              </w:rPr>
              <w:t>con la participación y acompañamiento de la sociedad civil</w:t>
            </w:r>
          </w:p>
        </w:tc>
      </w:tr>
      <w:tr w:rsidR="00D67166" w:rsidRPr="0095779C" w14:paraId="25FFABDF" w14:textId="77777777" w:rsidTr="00BC7A9C">
        <w:trPr>
          <w:trHeight w:val="682"/>
        </w:trPr>
        <w:tc>
          <w:tcPr>
            <w:tcW w:w="1817" w:type="pct"/>
            <w:vMerge/>
            <w:tcBorders>
              <w:bottom w:val="single" w:sz="4" w:space="0" w:color="auto"/>
            </w:tcBorders>
            <w:shd w:val="clear" w:color="auto" w:fill="auto"/>
          </w:tcPr>
          <w:p w14:paraId="5F3018FC" w14:textId="77777777" w:rsidR="00D67166" w:rsidRPr="002C04E4" w:rsidRDefault="00D67166"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bottom w:val="single" w:sz="4" w:space="0" w:color="auto"/>
            </w:tcBorders>
            <w:shd w:val="clear" w:color="auto" w:fill="auto"/>
          </w:tcPr>
          <w:p w14:paraId="533B5383" w14:textId="51513E1D" w:rsidR="00D67166" w:rsidRPr="002C04E4" w:rsidRDefault="00D67166" w:rsidP="00F948D1">
            <w:pPr>
              <w:autoSpaceDN/>
              <w:spacing w:beforeLines="30" w:before="72" w:afterLines="30" w:after="72"/>
              <w:ind w:firstLine="0"/>
              <w:jc w:val="left"/>
              <w:textAlignment w:val="auto"/>
              <w:rPr>
                <w:bCs/>
                <w:color w:val="000000"/>
                <w:sz w:val="20"/>
                <w:szCs w:val="20"/>
                <w:lang w:eastAsia="fr-FR"/>
              </w:rPr>
            </w:pPr>
            <w:r w:rsidRPr="002C04E4">
              <w:rPr>
                <w:b/>
                <w:bCs/>
                <w:color w:val="000000"/>
                <w:sz w:val="20"/>
                <w:szCs w:val="20"/>
                <w:lang w:val="es-CO" w:eastAsia="fr-FR"/>
              </w:rPr>
              <w:t xml:space="preserve">Acción </w:t>
            </w:r>
            <w:r w:rsidR="00803D69" w:rsidRPr="002C04E4">
              <w:rPr>
                <w:b/>
                <w:bCs/>
                <w:color w:val="000000"/>
                <w:sz w:val="20"/>
                <w:szCs w:val="20"/>
                <w:lang w:val="es-CO" w:eastAsia="fr-FR"/>
              </w:rPr>
              <w:t>t</w:t>
            </w:r>
            <w:r w:rsidRPr="002C04E4">
              <w:rPr>
                <w:b/>
                <w:bCs/>
                <w:color w:val="000000"/>
                <w:sz w:val="20"/>
                <w:szCs w:val="20"/>
                <w:lang w:val="es-CO" w:eastAsia="fr-FR"/>
              </w:rPr>
              <w:t>:</w:t>
            </w:r>
            <w:r w:rsidRPr="002C04E4">
              <w:rPr>
                <w:bCs/>
                <w:color w:val="000000"/>
                <w:sz w:val="20"/>
                <w:szCs w:val="20"/>
                <w:lang w:val="es-CO" w:eastAsia="fr-FR"/>
              </w:rPr>
              <w:t xml:space="preserve"> </w:t>
            </w:r>
            <w:r w:rsidR="00922BD2" w:rsidRPr="002C04E4">
              <w:rPr>
                <w:bCs/>
                <w:color w:val="000000"/>
                <w:sz w:val="20"/>
                <w:szCs w:val="20"/>
                <w:lang w:val="es-CO" w:eastAsia="fr-FR"/>
              </w:rPr>
              <w:t xml:space="preserve">Implementación </w:t>
            </w:r>
            <w:r w:rsidR="00E1203D">
              <w:rPr>
                <w:bCs/>
                <w:color w:val="000000"/>
                <w:sz w:val="20"/>
                <w:szCs w:val="20"/>
                <w:lang w:val="es-CO" w:eastAsia="fr-FR"/>
              </w:rPr>
              <w:t xml:space="preserve">y monitoreo </w:t>
            </w:r>
            <w:r w:rsidR="00922BD2" w:rsidRPr="002C04E4">
              <w:rPr>
                <w:bCs/>
                <w:color w:val="000000"/>
                <w:sz w:val="20"/>
                <w:szCs w:val="20"/>
                <w:lang w:val="es-CO" w:eastAsia="fr-FR"/>
              </w:rPr>
              <w:t>de las acciones</w:t>
            </w:r>
            <w:r w:rsidRPr="002C04E4">
              <w:rPr>
                <w:bCs/>
                <w:color w:val="000000"/>
                <w:sz w:val="20"/>
                <w:szCs w:val="20"/>
                <w:lang w:val="es-CO" w:eastAsia="fr-FR"/>
              </w:rPr>
              <w:t xml:space="preserve"> del Plan de Reducción de Obstáculos Relacionados con los Derechos Humanos al Acceso a los Servicios de VIH, Plan Quinquenal 2019-2023</w:t>
            </w:r>
          </w:p>
        </w:tc>
      </w:tr>
      <w:tr w:rsidR="00FC66AD" w:rsidRPr="0095779C" w14:paraId="7BD4B734" w14:textId="77777777" w:rsidTr="00BC7A9C">
        <w:trPr>
          <w:trHeight w:val="121"/>
        </w:trPr>
        <w:tc>
          <w:tcPr>
            <w:tcW w:w="1817" w:type="pct"/>
            <w:vMerge w:val="restart"/>
            <w:tcBorders>
              <w:top w:val="single" w:sz="4" w:space="0" w:color="auto"/>
            </w:tcBorders>
            <w:shd w:val="clear" w:color="auto" w:fill="auto"/>
          </w:tcPr>
          <w:p w14:paraId="39CA8D2E" w14:textId="5F45E161" w:rsidR="00FC66AD" w:rsidRPr="0095779C" w:rsidRDefault="00FC66AD" w:rsidP="00F948D1">
            <w:pPr>
              <w:autoSpaceDN/>
              <w:spacing w:beforeLines="30" w:before="72" w:afterLines="30" w:after="72"/>
              <w:ind w:firstLine="0"/>
              <w:jc w:val="left"/>
              <w:textAlignment w:val="auto"/>
              <w:rPr>
                <w:b/>
                <w:bCs/>
                <w:color w:val="000000"/>
                <w:sz w:val="20"/>
                <w:szCs w:val="20"/>
                <w:lang w:eastAsia="fr-FR"/>
              </w:rPr>
            </w:pPr>
            <w:r w:rsidRPr="001D2D8E">
              <w:rPr>
                <w:b/>
                <w:bCs/>
                <w:color w:val="000000"/>
                <w:sz w:val="20"/>
                <w:szCs w:val="20"/>
                <w:lang w:eastAsia="fr-FR"/>
              </w:rPr>
              <w:t>Objetivo 6.</w:t>
            </w:r>
            <w:r w:rsidRPr="001D2D8E">
              <w:rPr>
                <w:rFonts w:eastAsiaTheme="minorHAnsi"/>
                <w:b/>
                <w:i/>
                <w:szCs w:val="22"/>
                <w:lang w:val="es-ES" w:eastAsia="en-US"/>
              </w:rPr>
              <w:t xml:space="preserve"> </w:t>
            </w:r>
            <w:r w:rsidRPr="001D2D8E">
              <w:rPr>
                <w:bCs/>
                <w:color w:val="000000"/>
                <w:sz w:val="20"/>
                <w:szCs w:val="20"/>
                <w:lang w:val="es-ES" w:eastAsia="fr-FR"/>
              </w:rPr>
              <w:t>Fortalecimiento financiero y operativo de las OSC trabajando en VIH y TB</w:t>
            </w:r>
          </w:p>
        </w:tc>
        <w:tc>
          <w:tcPr>
            <w:tcW w:w="3183" w:type="pct"/>
            <w:tcBorders>
              <w:top w:val="single" w:sz="4" w:space="0" w:color="auto"/>
              <w:bottom w:val="single" w:sz="4" w:space="0" w:color="auto"/>
            </w:tcBorders>
            <w:shd w:val="clear" w:color="auto" w:fill="auto"/>
          </w:tcPr>
          <w:p w14:paraId="2A96F228" w14:textId="34C8BFB8" w:rsidR="00FC66AD" w:rsidRPr="0095779C" w:rsidRDefault="00FC66AD" w:rsidP="00F948D1">
            <w:pPr>
              <w:autoSpaceDN/>
              <w:spacing w:beforeLines="30" w:before="72" w:afterLines="30" w:after="72"/>
              <w:ind w:firstLine="0"/>
              <w:jc w:val="left"/>
              <w:textAlignment w:val="auto"/>
              <w:rPr>
                <w:b/>
                <w:bCs/>
                <w:color w:val="000000"/>
                <w:sz w:val="20"/>
                <w:szCs w:val="20"/>
                <w:lang w:eastAsia="fr-FR"/>
              </w:rPr>
            </w:pPr>
            <w:r w:rsidRPr="0095779C">
              <w:rPr>
                <w:b/>
                <w:bCs/>
                <w:color w:val="000000"/>
                <w:sz w:val="20"/>
                <w:szCs w:val="20"/>
                <w:lang w:eastAsia="fr-FR"/>
              </w:rPr>
              <w:t xml:space="preserve">Acción </w:t>
            </w:r>
            <w:r w:rsidR="00803D69">
              <w:rPr>
                <w:b/>
                <w:bCs/>
                <w:color w:val="000000"/>
                <w:sz w:val="20"/>
                <w:szCs w:val="20"/>
                <w:lang w:eastAsia="fr-FR"/>
              </w:rPr>
              <w:t>u</w:t>
            </w:r>
            <w:r w:rsidRPr="0095779C">
              <w:rPr>
                <w:b/>
                <w:bCs/>
                <w:color w:val="000000"/>
                <w:sz w:val="20"/>
                <w:szCs w:val="20"/>
                <w:lang w:eastAsia="fr-FR"/>
              </w:rPr>
              <w:t>:</w:t>
            </w:r>
            <w:r w:rsidRPr="0095779C">
              <w:rPr>
                <w:rFonts w:eastAsiaTheme="minorHAnsi"/>
                <w:b/>
                <w:bCs/>
                <w:sz w:val="20"/>
                <w:szCs w:val="20"/>
                <w:lang w:val="es-CO" w:eastAsia="en-US"/>
              </w:rPr>
              <w:t xml:space="preserve"> </w:t>
            </w:r>
            <w:r w:rsidRPr="0095779C">
              <w:rPr>
                <w:bCs/>
                <w:color w:val="000000"/>
                <w:sz w:val="20"/>
                <w:szCs w:val="20"/>
                <w:lang w:val="es-CO" w:eastAsia="fr-FR"/>
              </w:rPr>
              <w:t xml:space="preserve">Fortalecimiento y reestructuración de la CONASIDA </w:t>
            </w:r>
            <w:r w:rsidR="005B6CBA" w:rsidRPr="0095779C">
              <w:rPr>
                <w:bCs/>
                <w:color w:val="000000"/>
                <w:sz w:val="20"/>
                <w:szCs w:val="20"/>
                <w:lang w:val="es-CO" w:eastAsia="fr-FR"/>
              </w:rPr>
              <w:t>(</w:t>
            </w:r>
            <w:r w:rsidR="005B6CBA" w:rsidRPr="0095779C">
              <w:rPr>
                <w:bCs/>
                <w:color w:val="000000"/>
                <w:sz w:val="20"/>
                <w:szCs w:val="20"/>
                <w:lang w:val="es-419" w:eastAsia="fr-FR"/>
              </w:rPr>
              <w:t>Comisión Nacional de Sida)</w:t>
            </w:r>
            <w:r w:rsidR="005B6CBA" w:rsidRPr="0095779C">
              <w:rPr>
                <w:bCs/>
                <w:color w:val="000000"/>
                <w:sz w:val="20"/>
                <w:szCs w:val="20"/>
                <w:lang w:val="es-CO" w:eastAsia="fr-FR"/>
              </w:rPr>
              <w:t xml:space="preserve"> </w:t>
            </w:r>
            <w:r w:rsidRPr="0095779C">
              <w:rPr>
                <w:bCs/>
                <w:color w:val="000000"/>
                <w:sz w:val="20"/>
                <w:szCs w:val="20"/>
                <w:lang w:val="es-CO" w:eastAsia="fr-FR"/>
              </w:rPr>
              <w:t>para que pueda fungir como mecanismo coordinador y gestor de recursos financieros para OSC</w:t>
            </w:r>
          </w:p>
        </w:tc>
      </w:tr>
      <w:tr w:rsidR="00FC66AD" w:rsidRPr="0095779C" w14:paraId="360762E0" w14:textId="77777777" w:rsidTr="00BC7A9C">
        <w:trPr>
          <w:trHeight w:val="121"/>
        </w:trPr>
        <w:tc>
          <w:tcPr>
            <w:tcW w:w="1817" w:type="pct"/>
            <w:vMerge/>
            <w:shd w:val="clear" w:color="auto" w:fill="auto"/>
          </w:tcPr>
          <w:p w14:paraId="5B4ED3E1" w14:textId="77777777" w:rsidR="00FC66AD" w:rsidRPr="0095779C" w:rsidRDefault="00FC66AD"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bottom w:val="single" w:sz="4" w:space="0" w:color="auto"/>
            </w:tcBorders>
            <w:shd w:val="clear" w:color="auto" w:fill="auto"/>
          </w:tcPr>
          <w:p w14:paraId="7A23447D" w14:textId="146FBFE0" w:rsidR="00FC66AD" w:rsidRPr="0095779C" w:rsidRDefault="00FC66AD" w:rsidP="00F948D1">
            <w:pPr>
              <w:autoSpaceDN/>
              <w:spacing w:beforeLines="30" w:before="72" w:afterLines="30" w:after="72"/>
              <w:ind w:firstLine="0"/>
              <w:jc w:val="left"/>
              <w:textAlignment w:val="auto"/>
              <w:rPr>
                <w:b/>
                <w:bCs/>
                <w:color w:val="000000"/>
                <w:sz w:val="20"/>
                <w:szCs w:val="20"/>
                <w:lang w:eastAsia="fr-FR"/>
              </w:rPr>
            </w:pPr>
            <w:r w:rsidRPr="0095779C">
              <w:rPr>
                <w:b/>
                <w:bCs/>
                <w:color w:val="000000"/>
                <w:sz w:val="20"/>
                <w:szCs w:val="20"/>
                <w:lang w:eastAsia="fr-FR"/>
              </w:rPr>
              <w:t xml:space="preserve">Acción </w:t>
            </w:r>
            <w:r w:rsidR="00803D69">
              <w:rPr>
                <w:b/>
                <w:bCs/>
                <w:color w:val="000000"/>
                <w:sz w:val="20"/>
                <w:szCs w:val="20"/>
                <w:lang w:eastAsia="fr-FR"/>
              </w:rPr>
              <w:t>v</w:t>
            </w:r>
            <w:r w:rsidRPr="0095779C">
              <w:rPr>
                <w:b/>
                <w:bCs/>
                <w:color w:val="000000"/>
                <w:sz w:val="20"/>
                <w:szCs w:val="20"/>
                <w:lang w:eastAsia="fr-FR"/>
              </w:rPr>
              <w:t>:</w:t>
            </w:r>
            <w:r w:rsidRPr="0095779C">
              <w:rPr>
                <w:rFonts w:eastAsiaTheme="minorHAnsi"/>
                <w:b/>
                <w:bCs/>
                <w:sz w:val="20"/>
                <w:szCs w:val="20"/>
                <w:lang w:val="es-ES" w:eastAsia="en-US"/>
              </w:rPr>
              <w:t xml:space="preserve"> </w:t>
            </w:r>
            <w:r w:rsidRPr="0095779C">
              <w:rPr>
                <w:bCs/>
                <w:color w:val="000000"/>
                <w:sz w:val="20"/>
                <w:szCs w:val="20"/>
                <w:lang w:val="es-ES" w:eastAsia="fr-FR"/>
              </w:rPr>
              <w:t>Desarrollo de políticas y normas para que el sector privado financie las OSC complementando el financiamiento público, incluidos incentivos a través de donaciones y exoneración de impuestos</w:t>
            </w:r>
          </w:p>
        </w:tc>
      </w:tr>
      <w:tr w:rsidR="00FC66AD" w:rsidRPr="0095779C" w14:paraId="4B853916" w14:textId="77777777" w:rsidTr="00BC7A9C">
        <w:trPr>
          <w:trHeight w:val="121"/>
        </w:trPr>
        <w:tc>
          <w:tcPr>
            <w:tcW w:w="1817" w:type="pct"/>
            <w:vMerge/>
            <w:shd w:val="clear" w:color="auto" w:fill="auto"/>
          </w:tcPr>
          <w:p w14:paraId="546901C4" w14:textId="77777777" w:rsidR="00FC66AD" w:rsidRPr="0095779C" w:rsidRDefault="00FC66AD"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bottom w:val="single" w:sz="4" w:space="0" w:color="auto"/>
            </w:tcBorders>
            <w:shd w:val="clear" w:color="auto" w:fill="auto"/>
          </w:tcPr>
          <w:p w14:paraId="5B75A69A" w14:textId="1E20B989" w:rsidR="00FC66AD" w:rsidRPr="0095779C" w:rsidRDefault="00FC66AD" w:rsidP="00F948D1">
            <w:pPr>
              <w:autoSpaceDN/>
              <w:spacing w:beforeLines="30" w:before="72" w:afterLines="30" w:after="72"/>
              <w:ind w:firstLine="0"/>
              <w:jc w:val="left"/>
              <w:textAlignment w:val="auto"/>
              <w:rPr>
                <w:b/>
                <w:bCs/>
                <w:color w:val="000000"/>
                <w:sz w:val="20"/>
                <w:szCs w:val="20"/>
                <w:lang w:eastAsia="fr-FR"/>
              </w:rPr>
            </w:pPr>
            <w:r w:rsidRPr="0095779C">
              <w:rPr>
                <w:b/>
                <w:bCs/>
                <w:color w:val="000000"/>
                <w:sz w:val="20"/>
                <w:szCs w:val="20"/>
                <w:lang w:eastAsia="fr-FR"/>
              </w:rPr>
              <w:t xml:space="preserve">Acción </w:t>
            </w:r>
            <w:r w:rsidR="00803D69">
              <w:rPr>
                <w:b/>
                <w:bCs/>
                <w:color w:val="000000"/>
                <w:sz w:val="20"/>
                <w:szCs w:val="20"/>
                <w:lang w:eastAsia="fr-FR"/>
              </w:rPr>
              <w:t>w</w:t>
            </w:r>
            <w:r w:rsidRPr="0095779C">
              <w:rPr>
                <w:b/>
                <w:bCs/>
                <w:color w:val="000000"/>
                <w:sz w:val="20"/>
                <w:szCs w:val="20"/>
                <w:lang w:eastAsia="fr-FR"/>
              </w:rPr>
              <w:t>:</w:t>
            </w:r>
            <w:r w:rsidRPr="0095779C">
              <w:rPr>
                <w:rFonts w:eastAsiaTheme="minorHAnsi"/>
                <w:b/>
                <w:bCs/>
                <w:sz w:val="20"/>
                <w:szCs w:val="20"/>
                <w:lang w:val="es-ES" w:eastAsia="en-US"/>
              </w:rPr>
              <w:t xml:space="preserve"> </w:t>
            </w:r>
            <w:r w:rsidRPr="0095779C">
              <w:rPr>
                <w:bCs/>
                <w:color w:val="000000"/>
                <w:sz w:val="20"/>
                <w:szCs w:val="20"/>
                <w:lang w:val="es-ES" w:eastAsia="fr-FR"/>
              </w:rPr>
              <w:t>Mejorar la relación, comunicación y enlace con el Consejo Hondureño de la Empresa Privada, para explorar oportunidades de financiamiento privado y de proyectos conjuntos especialmente en discriminación laboral</w:t>
            </w:r>
          </w:p>
        </w:tc>
      </w:tr>
      <w:tr w:rsidR="00FC66AD" w:rsidRPr="0095779C" w14:paraId="226C273A" w14:textId="77777777" w:rsidTr="00BC7A9C">
        <w:trPr>
          <w:trHeight w:val="121"/>
        </w:trPr>
        <w:tc>
          <w:tcPr>
            <w:tcW w:w="1817" w:type="pct"/>
            <w:vMerge/>
            <w:shd w:val="clear" w:color="auto" w:fill="auto"/>
          </w:tcPr>
          <w:p w14:paraId="50EBE459" w14:textId="77777777" w:rsidR="00FC66AD" w:rsidRPr="0095779C" w:rsidRDefault="00FC66AD"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bottom w:val="single" w:sz="4" w:space="0" w:color="auto"/>
            </w:tcBorders>
            <w:shd w:val="clear" w:color="auto" w:fill="auto"/>
          </w:tcPr>
          <w:p w14:paraId="04A3FEA1" w14:textId="632A376B" w:rsidR="00FC66AD" w:rsidRPr="0095779C" w:rsidRDefault="00FC66AD" w:rsidP="00F948D1">
            <w:pPr>
              <w:autoSpaceDN/>
              <w:spacing w:beforeLines="30" w:before="72" w:afterLines="30" w:after="72"/>
              <w:ind w:firstLine="0"/>
              <w:jc w:val="left"/>
              <w:textAlignment w:val="auto"/>
              <w:rPr>
                <w:b/>
                <w:bCs/>
                <w:color w:val="000000"/>
                <w:sz w:val="20"/>
                <w:szCs w:val="20"/>
                <w:lang w:eastAsia="fr-FR"/>
              </w:rPr>
            </w:pPr>
            <w:r w:rsidRPr="0095779C">
              <w:rPr>
                <w:b/>
                <w:bCs/>
                <w:color w:val="000000"/>
                <w:sz w:val="20"/>
                <w:szCs w:val="20"/>
                <w:lang w:eastAsia="fr-FR"/>
              </w:rPr>
              <w:t xml:space="preserve">Acción </w:t>
            </w:r>
            <w:r w:rsidR="00803D69">
              <w:rPr>
                <w:b/>
                <w:bCs/>
                <w:color w:val="000000"/>
                <w:sz w:val="20"/>
                <w:szCs w:val="20"/>
                <w:lang w:eastAsia="fr-FR"/>
              </w:rPr>
              <w:t>x</w:t>
            </w:r>
            <w:r w:rsidRPr="0095779C">
              <w:rPr>
                <w:b/>
                <w:bCs/>
                <w:color w:val="000000"/>
                <w:sz w:val="20"/>
                <w:szCs w:val="20"/>
                <w:lang w:eastAsia="fr-FR"/>
              </w:rPr>
              <w:t xml:space="preserve">: </w:t>
            </w:r>
            <w:r w:rsidRPr="0095779C">
              <w:rPr>
                <w:bCs/>
                <w:color w:val="000000"/>
                <w:sz w:val="20"/>
                <w:szCs w:val="20"/>
                <w:lang w:val="es-CO" w:eastAsia="fr-FR"/>
              </w:rPr>
              <w:t>Demandar las responsabilidades del gobierno en la prestación de servicios de salud y los servicios sociales en TB</w:t>
            </w:r>
            <w:r w:rsidR="009E4EE5">
              <w:rPr>
                <w:bCs/>
                <w:color w:val="000000"/>
                <w:sz w:val="20"/>
                <w:szCs w:val="20"/>
                <w:lang w:val="es-CO" w:eastAsia="fr-FR"/>
              </w:rPr>
              <w:t xml:space="preserve"> y </w:t>
            </w:r>
            <w:r w:rsidRPr="0095779C">
              <w:rPr>
                <w:bCs/>
                <w:color w:val="000000"/>
                <w:sz w:val="20"/>
                <w:szCs w:val="20"/>
                <w:lang w:val="es-CO" w:eastAsia="fr-FR"/>
              </w:rPr>
              <w:t>VIH</w:t>
            </w:r>
            <w:r w:rsidR="006802C4">
              <w:rPr>
                <w:bCs/>
                <w:color w:val="000000"/>
                <w:sz w:val="20"/>
                <w:szCs w:val="20"/>
                <w:lang w:val="es-CO" w:eastAsia="fr-FR"/>
              </w:rPr>
              <w:t xml:space="preserve"> a través de un “Plan de Incidencia Política de la sociedad civil”</w:t>
            </w:r>
          </w:p>
        </w:tc>
      </w:tr>
      <w:tr w:rsidR="00FC66AD" w:rsidRPr="0095779C" w14:paraId="38EB2951" w14:textId="77777777" w:rsidTr="00BC7A9C">
        <w:trPr>
          <w:trHeight w:val="121"/>
        </w:trPr>
        <w:tc>
          <w:tcPr>
            <w:tcW w:w="1817" w:type="pct"/>
            <w:vMerge/>
            <w:shd w:val="clear" w:color="auto" w:fill="auto"/>
          </w:tcPr>
          <w:p w14:paraId="2A29B383" w14:textId="77777777" w:rsidR="00FC66AD" w:rsidRPr="0095779C" w:rsidRDefault="00FC66AD"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bottom w:val="single" w:sz="4" w:space="0" w:color="auto"/>
            </w:tcBorders>
            <w:shd w:val="clear" w:color="auto" w:fill="auto"/>
          </w:tcPr>
          <w:p w14:paraId="1CD88175" w14:textId="3FF3E73C" w:rsidR="00FC66AD" w:rsidRPr="0095779C" w:rsidRDefault="00FC66AD" w:rsidP="00F948D1">
            <w:pPr>
              <w:autoSpaceDN/>
              <w:spacing w:beforeLines="30" w:before="72" w:afterLines="30" w:after="72"/>
              <w:ind w:firstLine="0"/>
              <w:jc w:val="left"/>
              <w:textAlignment w:val="auto"/>
              <w:rPr>
                <w:b/>
                <w:bCs/>
                <w:color w:val="000000"/>
                <w:sz w:val="20"/>
                <w:szCs w:val="20"/>
                <w:lang w:eastAsia="fr-FR"/>
              </w:rPr>
            </w:pPr>
            <w:r w:rsidRPr="0095779C">
              <w:rPr>
                <w:b/>
                <w:bCs/>
                <w:color w:val="000000"/>
                <w:sz w:val="20"/>
                <w:szCs w:val="20"/>
                <w:lang w:eastAsia="fr-FR"/>
              </w:rPr>
              <w:t xml:space="preserve">Acción </w:t>
            </w:r>
            <w:r w:rsidR="00803D69">
              <w:rPr>
                <w:b/>
                <w:bCs/>
                <w:color w:val="000000"/>
                <w:sz w:val="20"/>
                <w:szCs w:val="20"/>
                <w:lang w:eastAsia="fr-FR"/>
              </w:rPr>
              <w:t>y</w:t>
            </w:r>
            <w:r w:rsidRPr="0095779C">
              <w:rPr>
                <w:b/>
                <w:bCs/>
                <w:color w:val="000000"/>
                <w:sz w:val="20"/>
                <w:szCs w:val="20"/>
                <w:lang w:eastAsia="fr-FR"/>
              </w:rPr>
              <w:t>:</w:t>
            </w:r>
            <w:r w:rsidRPr="0095779C">
              <w:rPr>
                <w:rFonts w:eastAsiaTheme="minorHAnsi"/>
                <w:b/>
                <w:bCs/>
                <w:sz w:val="20"/>
                <w:szCs w:val="20"/>
                <w:lang w:val="es-CO" w:eastAsia="en-US"/>
              </w:rPr>
              <w:t xml:space="preserve"> </w:t>
            </w:r>
            <w:r w:rsidRPr="0095779C">
              <w:rPr>
                <w:bCs/>
                <w:color w:val="000000"/>
                <w:sz w:val="20"/>
                <w:szCs w:val="20"/>
                <w:lang w:val="es-CO" w:eastAsia="fr-FR"/>
              </w:rPr>
              <w:t>Desarrollar un programa nacional de apoyo y sostenimiento institucional y operacional de las OSC con financiamiento público, privado, y externo</w:t>
            </w:r>
          </w:p>
        </w:tc>
      </w:tr>
      <w:tr w:rsidR="00450CDA" w:rsidRPr="002B02BC" w14:paraId="5B6B0A18" w14:textId="77777777" w:rsidTr="00450CDA">
        <w:trPr>
          <w:trHeight w:val="176"/>
        </w:trPr>
        <w:tc>
          <w:tcPr>
            <w:tcW w:w="1817" w:type="pct"/>
            <w:vMerge w:val="restart"/>
            <w:tcBorders>
              <w:top w:val="single" w:sz="4" w:space="0" w:color="auto"/>
            </w:tcBorders>
            <w:shd w:val="clear" w:color="auto" w:fill="auto"/>
          </w:tcPr>
          <w:p w14:paraId="3614711D" w14:textId="6A9F3575" w:rsidR="00450CDA" w:rsidRPr="0095779C" w:rsidRDefault="00450CDA" w:rsidP="00F948D1">
            <w:pPr>
              <w:autoSpaceDN/>
              <w:spacing w:beforeLines="30" w:before="72" w:afterLines="30" w:after="72"/>
              <w:ind w:firstLine="0"/>
              <w:jc w:val="left"/>
              <w:textAlignment w:val="auto"/>
              <w:rPr>
                <w:b/>
                <w:bCs/>
                <w:color w:val="000000"/>
                <w:sz w:val="20"/>
                <w:szCs w:val="20"/>
                <w:lang w:eastAsia="fr-FR"/>
              </w:rPr>
            </w:pPr>
            <w:r w:rsidRPr="001D2D8E">
              <w:rPr>
                <w:b/>
                <w:bCs/>
                <w:color w:val="000000"/>
                <w:sz w:val="20"/>
                <w:szCs w:val="20"/>
                <w:lang w:eastAsia="fr-FR"/>
              </w:rPr>
              <w:t>Objetivo 7.</w:t>
            </w:r>
            <w:r w:rsidRPr="001D2D8E">
              <w:rPr>
                <w:rFonts w:eastAsiaTheme="minorHAnsi"/>
                <w:b/>
                <w:i/>
                <w:szCs w:val="22"/>
                <w:lang w:val="es-ES" w:eastAsia="en-US"/>
              </w:rPr>
              <w:t xml:space="preserve"> </w:t>
            </w:r>
            <w:r w:rsidRPr="001D2D8E">
              <w:rPr>
                <w:bCs/>
                <w:color w:val="000000"/>
                <w:sz w:val="20"/>
                <w:szCs w:val="20"/>
                <w:lang w:val="es-ES" w:eastAsia="fr-FR"/>
              </w:rPr>
              <w:t>Mejorar la rendición de cuentas y capacidad técnica de alto nivel para los servicios de VIH y TB</w:t>
            </w:r>
          </w:p>
        </w:tc>
        <w:tc>
          <w:tcPr>
            <w:tcW w:w="3183" w:type="pct"/>
            <w:tcBorders>
              <w:top w:val="single" w:sz="4" w:space="0" w:color="auto"/>
              <w:bottom w:val="single" w:sz="4" w:space="0" w:color="auto"/>
            </w:tcBorders>
            <w:shd w:val="clear" w:color="auto" w:fill="auto"/>
          </w:tcPr>
          <w:p w14:paraId="4944472B" w14:textId="0AFAC2B7" w:rsidR="00450CDA" w:rsidRPr="002F1BD5" w:rsidRDefault="00450CDA" w:rsidP="00155B7A">
            <w:pPr>
              <w:autoSpaceDN/>
              <w:spacing w:beforeLines="30" w:before="72" w:afterLines="30" w:after="72"/>
              <w:ind w:firstLine="0"/>
              <w:jc w:val="left"/>
              <w:textAlignment w:val="auto"/>
              <w:rPr>
                <w:bCs/>
                <w:color w:val="000000"/>
                <w:sz w:val="20"/>
                <w:szCs w:val="20"/>
                <w:lang w:val="es-CO" w:eastAsia="fr-FR"/>
              </w:rPr>
            </w:pPr>
            <w:r w:rsidRPr="0095779C">
              <w:rPr>
                <w:b/>
                <w:bCs/>
                <w:color w:val="000000"/>
                <w:sz w:val="20"/>
                <w:szCs w:val="20"/>
                <w:lang w:eastAsia="fr-FR"/>
              </w:rPr>
              <w:t xml:space="preserve">Acción </w:t>
            </w:r>
            <w:r>
              <w:rPr>
                <w:b/>
                <w:bCs/>
                <w:color w:val="000000"/>
                <w:sz w:val="20"/>
                <w:szCs w:val="20"/>
                <w:lang w:eastAsia="fr-FR"/>
              </w:rPr>
              <w:t>z</w:t>
            </w:r>
            <w:r w:rsidRPr="0095779C">
              <w:rPr>
                <w:b/>
                <w:bCs/>
                <w:color w:val="000000"/>
                <w:sz w:val="20"/>
                <w:szCs w:val="20"/>
                <w:lang w:eastAsia="fr-FR"/>
              </w:rPr>
              <w:t xml:space="preserve">: </w:t>
            </w:r>
            <w:r w:rsidRPr="0095779C">
              <w:rPr>
                <w:bCs/>
                <w:color w:val="000000"/>
                <w:sz w:val="20"/>
                <w:szCs w:val="20"/>
                <w:lang w:val="es-CO" w:eastAsia="fr-FR"/>
              </w:rPr>
              <w:t>Reactivar</w:t>
            </w:r>
            <w:r>
              <w:rPr>
                <w:bCs/>
                <w:color w:val="000000"/>
                <w:sz w:val="20"/>
                <w:szCs w:val="20"/>
                <w:lang w:val="es-CO" w:eastAsia="fr-FR"/>
              </w:rPr>
              <w:t xml:space="preserve"> instancias directas dentro de la SESAL responsables de la coordinación de las acciones en</w:t>
            </w:r>
            <w:r w:rsidRPr="0095779C">
              <w:rPr>
                <w:bCs/>
                <w:color w:val="000000"/>
                <w:sz w:val="20"/>
                <w:szCs w:val="20"/>
                <w:lang w:val="es-CO" w:eastAsia="fr-FR"/>
              </w:rPr>
              <w:t xml:space="preserve"> VIH y TB</w:t>
            </w:r>
          </w:p>
        </w:tc>
      </w:tr>
      <w:tr w:rsidR="00450CDA" w:rsidRPr="002B02BC" w14:paraId="1C756C2A" w14:textId="77777777" w:rsidTr="00726685">
        <w:trPr>
          <w:trHeight w:val="175"/>
        </w:trPr>
        <w:tc>
          <w:tcPr>
            <w:tcW w:w="1817" w:type="pct"/>
            <w:vMerge/>
            <w:shd w:val="clear" w:color="auto" w:fill="auto"/>
          </w:tcPr>
          <w:p w14:paraId="3CE67ABE" w14:textId="77777777" w:rsidR="00450CDA" w:rsidRPr="001D2D8E" w:rsidRDefault="00450CDA"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bottom w:val="single" w:sz="4" w:space="0" w:color="auto"/>
            </w:tcBorders>
            <w:shd w:val="clear" w:color="auto" w:fill="auto"/>
          </w:tcPr>
          <w:p w14:paraId="70FFB2A6" w14:textId="34C97FF0" w:rsidR="00450CDA" w:rsidRPr="00481708" w:rsidRDefault="00450CDA" w:rsidP="00155B7A">
            <w:pPr>
              <w:autoSpaceDN/>
              <w:spacing w:beforeLines="30" w:before="72" w:afterLines="30" w:after="72"/>
              <w:ind w:firstLine="0"/>
              <w:jc w:val="left"/>
              <w:textAlignment w:val="auto"/>
              <w:rPr>
                <w:bCs/>
                <w:color w:val="000000"/>
                <w:sz w:val="20"/>
                <w:szCs w:val="20"/>
                <w:lang w:val="es-MX" w:eastAsia="fr-FR"/>
              </w:rPr>
            </w:pPr>
            <w:r w:rsidRPr="00481708">
              <w:rPr>
                <w:b/>
                <w:bCs/>
                <w:color w:val="000000"/>
                <w:sz w:val="20"/>
                <w:szCs w:val="20"/>
                <w:lang w:val="es-MX" w:eastAsia="fr-FR"/>
              </w:rPr>
              <w:t xml:space="preserve">Acción </w:t>
            </w:r>
            <w:proofErr w:type="spellStart"/>
            <w:r w:rsidRPr="00481708">
              <w:rPr>
                <w:b/>
                <w:bCs/>
                <w:color w:val="000000"/>
                <w:sz w:val="20"/>
                <w:szCs w:val="20"/>
                <w:lang w:val="es-MX" w:eastAsia="fr-FR"/>
              </w:rPr>
              <w:t>aa</w:t>
            </w:r>
            <w:proofErr w:type="spellEnd"/>
            <w:r w:rsidRPr="00481708">
              <w:rPr>
                <w:b/>
                <w:bCs/>
                <w:color w:val="000000"/>
                <w:sz w:val="20"/>
                <w:szCs w:val="20"/>
                <w:lang w:val="es-MX" w:eastAsia="fr-FR"/>
              </w:rPr>
              <w:t>:</w:t>
            </w:r>
            <w:r w:rsidR="006F7ED6">
              <w:rPr>
                <w:b/>
                <w:bCs/>
                <w:color w:val="000000"/>
                <w:sz w:val="20"/>
                <w:szCs w:val="20"/>
                <w:lang w:val="es-MX" w:eastAsia="fr-FR"/>
              </w:rPr>
              <w:t xml:space="preserve"> </w:t>
            </w:r>
            <w:r w:rsidR="006F7ED6" w:rsidRPr="006F7ED6">
              <w:rPr>
                <w:bCs/>
                <w:color w:val="000000"/>
                <w:sz w:val="20"/>
                <w:szCs w:val="20"/>
                <w:lang w:val="es-MX" w:eastAsia="fr-FR"/>
              </w:rPr>
              <w:t xml:space="preserve">Establecer el monitoreo de la Estrategia de Sostenibilidad con el apoyo a través de la Secretaría de Coordinación </w:t>
            </w:r>
            <w:r w:rsidR="0009383D">
              <w:rPr>
                <w:bCs/>
                <w:color w:val="000000"/>
                <w:sz w:val="20"/>
                <w:szCs w:val="20"/>
                <w:lang w:val="es-MX" w:eastAsia="fr-FR"/>
              </w:rPr>
              <w:t xml:space="preserve">General </w:t>
            </w:r>
            <w:r w:rsidR="006F7ED6" w:rsidRPr="006F7ED6">
              <w:rPr>
                <w:bCs/>
                <w:color w:val="000000"/>
                <w:sz w:val="20"/>
                <w:szCs w:val="20"/>
                <w:lang w:val="es-MX" w:eastAsia="fr-FR"/>
              </w:rPr>
              <w:t xml:space="preserve">de Gobierno </w:t>
            </w:r>
          </w:p>
        </w:tc>
      </w:tr>
      <w:tr w:rsidR="00450CDA" w:rsidRPr="002B02BC" w14:paraId="1EA671CD" w14:textId="77777777" w:rsidTr="00726685">
        <w:trPr>
          <w:trHeight w:val="175"/>
        </w:trPr>
        <w:tc>
          <w:tcPr>
            <w:tcW w:w="1817" w:type="pct"/>
            <w:vMerge/>
            <w:shd w:val="clear" w:color="auto" w:fill="auto"/>
          </w:tcPr>
          <w:p w14:paraId="5FC3436C" w14:textId="77777777" w:rsidR="00450CDA" w:rsidRPr="001D2D8E" w:rsidRDefault="00450CDA"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bottom w:val="single" w:sz="4" w:space="0" w:color="auto"/>
            </w:tcBorders>
            <w:shd w:val="clear" w:color="auto" w:fill="auto"/>
          </w:tcPr>
          <w:p w14:paraId="60FE80F7" w14:textId="6B4D1FBE" w:rsidR="00450CDA" w:rsidRPr="00481708" w:rsidRDefault="00450CDA" w:rsidP="00155B7A">
            <w:pPr>
              <w:autoSpaceDN/>
              <w:spacing w:beforeLines="30" w:before="72" w:afterLines="30" w:after="72"/>
              <w:ind w:firstLine="0"/>
              <w:jc w:val="left"/>
              <w:textAlignment w:val="auto"/>
              <w:rPr>
                <w:bCs/>
                <w:color w:val="000000"/>
                <w:sz w:val="20"/>
                <w:szCs w:val="20"/>
                <w:lang w:val="es-MX" w:eastAsia="fr-FR"/>
              </w:rPr>
            </w:pPr>
            <w:r w:rsidRPr="00481708">
              <w:rPr>
                <w:b/>
                <w:bCs/>
                <w:color w:val="000000"/>
                <w:sz w:val="20"/>
                <w:szCs w:val="20"/>
                <w:lang w:val="es-MX" w:eastAsia="fr-FR"/>
              </w:rPr>
              <w:t xml:space="preserve">Acción </w:t>
            </w:r>
            <w:proofErr w:type="spellStart"/>
            <w:r w:rsidRPr="00481708">
              <w:rPr>
                <w:b/>
                <w:bCs/>
                <w:color w:val="000000"/>
                <w:sz w:val="20"/>
                <w:szCs w:val="20"/>
                <w:lang w:val="es-MX" w:eastAsia="fr-FR"/>
              </w:rPr>
              <w:t>bb</w:t>
            </w:r>
            <w:proofErr w:type="spellEnd"/>
            <w:r w:rsidRPr="00481708">
              <w:rPr>
                <w:b/>
                <w:bCs/>
                <w:color w:val="000000"/>
                <w:sz w:val="20"/>
                <w:szCs w:val="20"/>
                <w:lang w:val="es-MX" w:eastAsia="fr-FR"/>
              </w:rPr>
              <w:t>:</w:t>
            </w:r>
            <w:r w:rsidRPr="00481708">
              <w:rPr>
                <w:bCs/>
                <w:color w:val="000000"/>
                <w:sz w:val="20"/>
                <w:szCs w:val="20"/>
                <w:lang w:val="es-MX" w:eastAsia="fr-FR"/>
              </w:rPr>
              <w:t xml:space="preserve">  Establecer marcos de desempeño para VIH y TB en el nivel regional, incluyendo las metas para lograr la Estrategia 90-90-90 por cada región del país</w:t>
            </w:r>
          </w:p>
        </w:tc>
      </w:tr>
      <w:tr w:rsidR="00450CDA" w:rsidRPr="002B02BC" w14:paraId="5A59B646" w14:textId="77777777" w:rsidTr="00726685">
        <w:trPr>
          <w:trHeight w:val="175"/>
        </w:trPr>
        <w:tc>
          <w:tcPr>
            <w:tcW w:w="1817" w:type="pct"/>
            <w:vMerge/>
            <w:shd w:val="clear" w:color="auto" w:fill="auto"/>
          </w:tcPr>
          <w:p w14:paraId="726898CA" w14:textId="77777777" w:rsidR="00450CDA" w:rsidRPr="001D2D8E" w:rsidRDefault="00450CDA"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bottom w:val="single" w:sz="4" w:space="0" w:color="auto"/>
            </w:tcBorders>
            <w:shd w:val="clear" w:color="auto" w:fill="auto"/>
          </w:tcPr>
          <w:p w14:paraId="31BA7CFD" w14:textId="08C7B0FD" w:rsidR="00450CDA" w:rsidRPr="00481708" w:rsidRDefault="00450CDA" w:rsidP="00155B7A">
            <w:pPr>
              <w:autoSpaceDN/>
              <w:spacing w:beforeLines="30" w:before="72" w:afterLines="30" w:after="72"/>
              <w:ind w:firstLine="0"/>
              <w:jc w:val="left"/>
              <w:textAlignment w:val="auto"/>
              <w:rPr>
                <w:bCs/>
                <w:color w:val="000000"/>
                <w:sz w:val="20"/>
                <w:szCs w:val="20"/>
                <w:lang w:val="es-MX" w:eastAsia="fr-FR"/>
              </w:rPr>
            </w:pPr>
            <w:r w:rsidRPr="00481708">
              <w:rPr>
                <w:b/>
                <w:bCs/>
                <w:color w:val="000000"/>
                <w:sz w:val="20"/>
                <w:szCs w:val="20"/>
                <w:lang w:val="es-MX" w:eastAsia="fr-FR"/>
              </w:rPr>
              <w:t xml:space="preserve">Acción </w:t>
            </w:r>
            <w:proofErr w:type="spellStart"/>
            <w:r w:rsidRPr="00481708">
              <w:rPr>
                <w:b/>
                <w:bCs/>
                <w:color w:val="000000"/>
                <w:sz w:val="20"/>
                <w:szCs w:val="20"/>
                <w:lang w:val="es-MX" w:eastAsia="fr-FR"/>
              </w:rPr>
              <w:t>cc</w:t>
            </w:r>
            <w:proofErr w:type="spellEnd"/>
            <w:r w:rsidRPr="00481708">
              <w:rPr>
                <w:b/>
                <w:bCs/>
                <w:color w:val="000000"/>
                <w:sz w:val="20"/>
                <w:szCs w:val="20"/>
                <w:lang w:val="es-MX" w:eastAsia="fr-FR"/>
              </w:rPr>
              <w:t>:</w:t>
            </w:r>
            <w:r w:rsidRPr="00481708">
              <w:rPr>
                <w:bCs/>
                <w:color w:val="000000"/>
                <w:sz w:val="20"/>
                <w:szCs w:val="20"/>
                <w:lang w:val="es-MX" w:eastAsia="fr-FR"/>
              </w:rPr>
              <w:t xml:space="preserve"> Disponibilidad pública de información sobre prestación de servicios de TB y VIH</w:t>
            </w:r>
          </w:p>
        </w:tc>
      </w:tr>
      <w:tr w:rsidR="00450CDA" w:rsidRPr="002F1BD5" w14:paraId="35C60EE4" w14:textId="77777777" w:rsidTr="00EA1BF3">
        <w:trPr>
          <w:trHeight w:val="20"/>
        </w:trPr>
        <w:tc>
          <w:tcPr>
            <w:tcW w:w="1817" w:type="pct"/>
            <w:vMerge/>
            <w:tcBorders>
              <w:bottom w:val="single" w:sz="4" w:space="0" w:color="auto"/>
            </w:tcBorders>
            <w:shd w:val="clear" w:color="auto" w:fill="auto"/>
          </w:tcPr>
          <w:p w14:paraId="28EA1D0C" w14:textId="77777777" w:rsidR="00450CDA" w:rsidRPr="001D2D8E" w:rsidRDefault="00450CDA" w:rsidP="00F948D1">
            <w:pPr>
              <w:autoSpaceDN/>
              <w:spacing w:beforeLines="30" w:before="72" w:afterLines="30" w:after="72"/>
              <w:ind w:firstLine="0"/>
              <w:jc w:val="left"/>
              <w:textAlignment w:val="auto"/>
              <w:rPr>
                <w:b/>
                <w:bCs/>
                <w:color w:val="000000"/>
                <w:sz w:val="20"/>
                <w:szCs w:val="20"/>
                <w:lang w:eastAsia="fr-FR"/>
              </w:rPr>
            </w:pPr>
          </w:p>
        </w:tc>
        <w:tc>
          <w:tcPr>
            <w:tcW w:w="3183" w:type="pct"/>
            <w:tcBorders>
              <w:top w:val="single" w:sz="4" w:space="0" w:color="auto"/>
              <w:bottom w:val="single" w:sz="4" w:space="0" w:color="auto"/>
            </w:tcBorders>
            <w:shd w:val="clear" w:color="auto" w:fill="auto"/>
          </w:tcPr>
          <w:p w14:paraId="38692BE7" w14:textId="505DD4F5" w:rsidR="00450CDA" w:rsidRPr="00481708" w:rsidRDefault="00450CDA" w:rsidP="009A65B1">
            <w:pPr>
              <w:autoSpaceDN/>
              <w:spacing w:beforeLines="30" w:before="72" w:afterLines="30" w:after="72"/>
              <w:ind w:firstLine="0"/>
              <w:jc w:val="left"/>
              <w:textAlignment w:val="auto"/>
              <w:rPr>
                <w:b/>
                <w:bCs/>
                <w:color w:val="000000"/>
                <w:sz w:val="20"/>
                <w:szCs w:val="20"/>
                <w:lang w:val="es-MX" w:eastAsia="fr-FR"/>
              </w:rPr>
            </w:pPr>
            <w:r w:rsidRPr="00481708">
              <w:rPr>
                <w:b/>
                <w:bCs/>
                <w:color w:val="000000"/>
                <w:sz w:val="20"/>
                <w:szCs w:val="20"/>
                <w:lang w:val="es-MX" w:eastAsia="fr-FR"/>
              </w:rPr>
              <w:t xml:space="preserve">Acción </w:t>
            </w:r>
            <w:proofErr w:type="spellStart"/>
            <w:r w:rsidRPr="00481708">
              <w:rPr>
                <w:b/>
                <w:bCs/>
                <w:color w:val="000000"/>
                <w:sz w:val="20"/>
                <w:szCs w:val="20"/>
                <w:lang w:val="es-MX" w:eastAsia="fr-FR"/>
              </w:rPr>
              <w:t>dd</w:t>
            </w:r>
            <w:proofErr w:type="spellEnd"/>
            <w:r w:rsidRPr="00481708">
              <w:rPr>
                <w:b/>
                <w:bCs/>
                <w:color w:val="000000"/>
                <w:sz w:val="20"/>
                <w:szCs w:val="20"/>
                <w:lang w:val="es-MX" w:eastAsia="fr-FR"/>
              </w:rPr>
              <w:t>:</w:t>
            </w:r>
            <w:r w:rsidRPr="00481708">
              <w:rPr>
                <w:bCs/>
                <w:color w:val="000000"/>
                <w:sz w:val="20"/>
                <w:szCs w:val="20"/>
                <w:lang w:val="es-MX" w:eastAsia="fr-FR"/>
              </w:rPr>
              <w:t xml:space="preserve"> Fortalecimiento del Sistema de Información Integrado en Salud en cumplimento de lo establecido por la SESAL para lograr su operatividad y uso continuo</w:t>
            </w:r>
          </w:p>
        </w:tc>
      </w:tr>
    </w:tbl>
    <w:bookmarkEnd w:id="34"/>
    <w:p w14:paraId="7361F92C" w14:textId="3ABF9225" w:rsidR="00855ADD" w:rsidRDefault="00DF78FA" w:rsidP="00F948D1">
      <w:pPr>
        <w:ind w:firstLine="0"/>
        <w:rPr>
          <w:lang w:eastAsia="en-US"/>
        </w:rPr>
      </w:pPr>
      <w:r w:rsidRPr="0095779C">
        <w:rPr>
          <w:lang w:eastAsia="en-US"/>
        </w:rPr>
        <w:t xml:space="preserve">A </w:t>
      </w:r>
      <w:r w:rsidR="00424328" w:rsidRPr="0095779C">
        <w:rPr>
          <w:lang w:eastAsia="en-US"/>
        </w:rPr>
        <w:t>continuación,</w:t>
      </w:r>
      <w:r w:rsidRPr="0095779C">
        <w:rPr>
          <w:lang w:eastAsia="en-US"/>
        </w:rPr>
        <w:t xml:space="preserve"> se describe el contexto que da origen</w:t>
      </w:r>
      <w:r w:rsidRPr="009A65B1">
        <w:rPr>
          <w:lang w:eastAsia="en-US"/>
        </w:rPr>
        <w:t xml:space="preserve"> a </w:t>
      </w:r>
      <w:r w:rsidRPr="0095779C">
        <w:rPr>
          <w:lang w:eastAsia="en-US"/>
        </w:rPr>
        <w:t xml:space="preserve">los </w:t>
      </w:r>
      <w:r w:rsidR="00424328" w:rsidRPr="0095779C">
        <w:rPr>
          <w:lang w:eastAsia="en-US"/>
        </w:rPr>
        <w:t>siete</w:t>
      </w:r>
      <w:r w:rsidRPr="0095779C">
        <w:rPr>
          <w:lang w:eastAsia="en-US"/>
        </w:rPr>
        <w:t xml:space="preserve"> grandes objetivos del PTS y se proponen las acciones necesarias para cumplirlos dentro del PTS. Estas acciones fueron consensuadas en un taller </w:t>
      </w:r>
      <w:r w:rsidR="004C0871">
        <w:rPr>
          <w:lang w:eastAsia="en-US"/>
        </w:rPr>
        <w:t xml:space="preserve">intersectorial </w:t>
      </w:r>
      <w:r w:rsidRPr="0095779C">
        <w:rPr>
          <w:lang w:eastAsia="en-US"/>
        </w:rPr>
        <w:t>de consulta realizado durante este trabajo, el cual contó con la participación de expertos nacionales e internacionales involucrados en la respuesta nacional.</w:t>
      </w:r>
      <w:bookmarkEnd w:id="35"/>
    </w:p>
    <w:p w14:paraId="28042E55" w14:textId="625678CB" w:rsidR="001D56C8" w:rsidRPr="0095779C" w:rsidRDefault="00F37A47" w:rsidP="001D56C8">
      <w:pPr>
        <w:pStyle w:val="Heading2"/>
        <w:tabs>
          <w:tab w:val="left" w:pos="450"/>
        </w:tabs>
        <w:ind w:left="0" w:firstLine="0"/>
        <w:jc w:val="both"/>
        <w:rPr>
          <w:rFonts w:ascii="Times New Roman" w:hAnsi="Times New Roman" w:cs="Times New Roman"/>
          <w:lang w:val="es-ES"/>
        </w:rPr>
      </w:pPr>
      <w:bookmarkStart w:id="38" w:name="_Toc8381160"/>
      <w:r w:rsidRPr="0095779C">
        <w:rPr>
          <w:rFonts w:ascii="Times New Roman" w:hAnsi="Times New Roman" w:cs="Times New Roman"/>
        </w:rPr>
        <w:lastRenderedPageBreak/>
        <w:t xml:space="preserve">Objetivo 1. </w:t>
      </w:r>
      <w:r w:rsidR="008E2230" w:rsidRPr="008E2230">
        <w:rPr>
          <w:rFonts w:ascii="Times New Roman" w:hAnsi="Times New Roman" w:cs="Times New Roman"/>
          <w:lang w:val="es-ES"/>
        </w:rPr>
        <w:t>Fortalecer la vigilancia y monitoreo de la resistencia a medicamentos de VIH</w:t>
      </w:r>
      <w:r w:rsidR="005F681D">
        <w:rPr>
          <w:rFonts w:ascii="Times New Roman" w:hAnsi="Times New Roman" w:cs="Times New Roman"/>
          <w:lang w:val="es-ES"/>
        </w:rPr>
        <w:t xml:space="preserve"> y </w:t>
      </w:r>
      <w:r w:rsidR="008E2230" w:rsidRPr="008E2230">
        <w:rPr>
          <w:rFonts w:ascii="Times New Roman" w:hAnsi="Times New Roman" w:cs="Times New Roman"/>
          <w:lang w:val="es-ES"/>
        </w:rPr>
        <w:t>TB y migración a esquemas de menor costo y baja toxicidad, así como actividades que favorecen el control de la TB-MDR.</w:t>
      </w:r>
      <w:bookmarkEnd w:id="38"/>
    </w:p>
    <w:p w14:paraId="3FE28576" w14:textId="6F907683" w:rsidR="001D56C8" w:rsidRPr="006C11B6" w:rsidRDefault="001D56C8" w:rsidP="001D56C8">
      <w:pPr>
        <w:ind w:firstLine="0"/>
        <w:rPr>
          <w:i/>
          <w:u w:val="single"/>
          <w:lang w:val="es-CO" w:eastAsia="en-US"/>
        </w:rPr>
      </w:pPr>
      <w:r w:rsidRPr="006C11B6">
        <w:rPr>
          <w:i/>
          <w:u w:val="single"/>
          <w:lang w:val="es-CO" w:eastAsia="en-US"/>
        </w:rPr>
        <w:t xml:space="preserve">Resistencia a medicamentos de VIH </w:t>
      </w:r>
    </w:p>
    <w:p w14:paraId="3E658197" w14:textId="7F768C6D" w:rsidR="00A2261E" w:rsidRDefault="009B24F7" w:rsidP="001D56C8">
      <w:pPr>
        <w:ind w:firstLine="0"/>
        <w:rPr>
          <w:lang w:val="es-DO" w:eastAsia="en-US"/>
        </w:rPr>
      </w:pPr>
      <w:r w:rsidRPr="0095779C">
        <w:rPr>
          <w:lang w:val="es-DO" w:eastAsia="en-US"/>
        </w:rPr>
        <w:t>En el 2018, se llevó a cabo un restudio de resistencia</w:t>
      </w:r>
      <w:r w:rsidR="00CD0D0A">
        <w:rPr>
          <w:lang w:val="es-DO" w:eastAsia="en-US"/>
        </w:rPr>
        <w:t xml:space="preserve"> del VIH a los ARV</w:t>
      </w:r>
      <w:r w:rsidRPr="0095779C">
        <w:rPr>
          <w:lang w:val="es-DO" w:eastAsia="en-US"/>
        </w:rPr>
        <w:t xml:space="preserve"> con el objetivo de conocer y caracterizar la resistencia pretratamiento y la resistencia adquirida</w:t>
      </w:r>
      <w:r>
        <w:rPr>
          <w:lang w:val="es-DO" w:eastAsia="en-US"/>
        </w:rPr>
        <w:t>.</w:t>
      </w:r>
      <w:r w:rsidR="001D7BD5" w:rsidRPr="0095779C">
        <w:rPr>
          <w:vertAlign w:val="superscript"/>
          <w:lang w:val="es-DO" w:eastAsia="en-US"/>
        </w:rPr>
        <w:footnoteReference w:id="12"/>
      </w:r>
      <w:r>
        <w:rPr>
          <w:lang w:val="es-DO" w:eastAsia="en-US"/>
        </w:rPr>
        <w:t xml:space="preserve"> </w:t>
      </w:r>
      <w:r w:rsidR="001B6162">
        <w:rPr>
          <w:lang w:val="es-DO" w:eastAsia="en-US"/>
        </w:rPr>
        <w:t>Este estudio arrojó los siguientes resultados:</w:t>
      </w:r>
    </w:p>
    <w:p w14:paraId="2C04B049" w14:textId="3E20E15C" w:rsidR="00A2261E" w:rsidRDefault="00A2261E" w:rsidP="00A2261E">
      <w:pPr>
        <w:ind w:firstLine="0"/>
        <w:rPr>
          <w:rFonts w:eastAsia="Calibri"/>
          <w:szCs w:val="22"/>
          <w:lang w:val="es-DO" w:eastAsia="en-US"/>
        </w:rPr>
      </w:pPr>
      <w:r w:rsidRPr="00C5084D">
        <w:rPr>
          <w:rFonts w:eastAsia="Calibri"/>
          <w:b/>
          <w:szCs w:val="22"/>
          <w:lang w:val="es-DO" w:eastAsia="en-US"/>
        </w:rPr>
        <w:t>Resistencia pretratamiento:</w:t>
      </w:r>
      <w:r>
        <w:rPr>
          <w:rFonts w:eastAsia="Calibri"/>
          <w:szCs w:val="22"/>
          <w:lang w:val="es-DO" w:eastAsia="en-US"/>
        </w:rPr>
        <w:t xml:space="preserve"> La</w:t>
      </w:r>
      <w:r w:rsidRPr="001867F4">
        <w:rPr>
          <w:rFonts w:eastAsia="Calibri"/>
          <w:szCs w:val="22"/>
          <w:lang w:val="es-DO" w:eastAsia="en-US"/>
        </w:rPr>
        <w:t xml:space="preserve"> prevalencia de resistencia del VIH a los ARV en personas previo a que iniciaran TAR de primera línea en Honduras fue de 29.1% (IC95% 22.7-36.4%), principalmente atribuida a resistencia a INNTI (27.3%, IC95% 21.1-34.5%). No se detectó resistencia asociada a </w:t>
      </w:r>
      <w:proofErr w:type="spellStart"/>
      <w:r w:rsidRPr="001867F4">
        <w:rPr>
          <w:rFonts w:eastAsia="Calibri"/>
          <w:szCs w:val="22"/>
          <w:lang w:val="es-DO" w:eastAsia="en-US"/>
        </w:rPr>
        <w:t>IPs</w:t>
      </w:r>
      <w:proofErr w:type="spellEnd"/>
      <w:r w:rsidRPr="001867F4">
        <w:rPr>
          <w:rFonts w:eastAsia="Calibri"/>
          <w:szCs w:val="22"/>
          <w:lang w:val="es-DO" w:eastAsia="en-US"/>
        </w:rPr>
        <w:t>.</w:t>
      </w:r>
      <w:r>
        <w:rPr>
          <w:rFonts w:eastAsia="Calibri"/>
          <w:szCs w:val="22"/>
          <w:lang w:val="es-DO" w:eastAsia="en-US"/>
        </w:rPr>
        <w:t xml:space="preserve"> </w:t>
      </w:r>
      <w:r w:rsidRPr="00345F86">
        <w:rPr>
          <w:rFonts w:eastAsia="Calibri"/>
          <w:szCs w:val="22"/>
          <w:lang w:val="es-DO" w:eastAsia="en-US"/>
        </w:rPr>
        <w:t>La prevalencia de resistencia del VIH al régimen preferido de TAR de primera línea (TDF+FTC+EFV) fue de 27.3% (IC95% 21.1-34.5%). La prevalencia de resistencia del VIH al EFV</w:t>
      </w:r>
      <w:r>
        <w:rPr>
          <w:rFonts w:eastAsia="Calibri"/>
          <w:szCs w:val="22"/>
          <w:lang w:val="es-DO" w:eastAsia="en-US"/>
        </w:rPr>
        <w:t xml:space="preserve"> </w:t>
      </w:r>
      <w:r w:rsidRPr="00345F86">
        <w:rPr>
          <w:rFonts w:eastAsia="Calibri"/>
          <w:szCs w:val="22"/>
          <w:lang w:val="es-DO" w:eastAsia="en-US"/>
        </w:rPr>
        <w:t>fue de 26.1% (IC95%19.9-33.3%).</w:t>
      </w:r>
    </w:p>
    <w:p w14:paraId="4AEBB6E9" w14:textId="16993E4A" w:rsidR="00A2261E" w:rsidRPr="00C5084D" w:rsidRDefault="00A2261E" w:rsidP="00A2261E">
      <w:pPr>
        <w:ind w:firstLine="0"/>
        <w:rPr>
          <w:rFonts w:eastAsia="Calibri"/>
          <w:b/>
          <w:szCs w:val="22"/>
          <w:lang w:val="es-DO" w:eastAsia="en-US"/>
        </w:rPr>
      </w:pPr>
      <w:r w:rsidRPr="00C5084D">
        <w:rPr>
          <w:rFonts w:eastAsia="Calibri"/>
          <w:b/>
          <w:szCs w:val="22"/>
          <w:lang w:val="es-DO" w:eastAsia="en-US"/>
        </w:rPr>
        <w:t>Resistencia adquirida a los</w:t>
      </w:r>
      <w:r w:rsidR="00FF1FD5">
        <w:rPr>
          <w:rFonts w:eastAsia="Calibri"/>
          <w:b/>
          <w:szCs w:val="22"/>
          <w:lang w:val="es-DO" w:eastAsia="en-US"/>
        </w:rPr>
        <w:t xml:space="preserve"> </w:t>
      </w:r>
      <w:r w:rsidR="009A103A">
        <w:rPr>
          <w:rFonts w:eastAsia="Calibri"/>
          <w:b/>
          <w:szCs w:val="22"/>
          <w:lang w:val="es-DO" w:eastAsia="en-US"/>
        </w:rPr>
        <w:t>9-15</w:t>
      </w:r>
      <w:r w:rsidRPr="00C5084D">
        <w:rPr>
          <w:rFonts w:eastAsia="Calibri"/>
          <w:b/>
          <w:szCs w:val="22"/>
          <w:lang w:val="es-DO" w:eastAsia="en-US"/>
        </w:rPr>
        <w:t xml:space="preserve"> meses de recibir TAR</w:t>
      </w:r>
      <w:r>
        <w:rPr>
          <w:rFonts w:eastAsia="Calibri"/>
          <w:b/>
          <w:szCs w:val="22"/>
          <w:lang w:val="es-DO" w:eastAsia="en-US"/>
        </w:rPr>
        <w:t xml:space="preserve">: </w:t>
      </w:r>
      <w:r w:rsidRPr="00345F86">
        <w:rPr>
          <w:rFonts w:eastAsia="Calibri"/>
          <w:szCs w:val="22"/>
          <w:lang w:val="es-DO" w:eastAsia="en-US"/>
        </w:rPr>
        <w:t>La prevalencia de resistencia del VIH en personas que habían recibido TAR por 9-15 meses fue de 8.3% (IC95% 5.0-13.5%), con un 8.3% (IC95% 5.0-13.5%) atribuida a los INNTI, 5.9% (IC95% 3.3-10.6%) atribuida a los IN (t) TI y 0.6% (IC95% 0.1-3.3%) a IP.</w:t>
      </w:r>
      <w:r>
        <w:rPr>
          <w:rFonts w:eastAsia="Calibri"/>
          <w:b/>
          <w:szCs w:val="22"/>
          <w:lang w:val="es-DO" w:eastAsia="en-US"/>
        </w:rPr>
        <w:t xml:space="preserve"> </w:t>
      </w:r>
      <w:r w:rsidRPr="00345F86">
        <w:rPr>
          <w:rFonts w:eastAsia="Calibri"/>
          <w:szCs w:val="22"/>
          <w:lang w:val="es-DO" w:eastAsia="en-US"/>
        </w:rPr>
        <w:t>No se detectó resistencia a ningún ARV en el 22.2% (IC 95% 9.0-45.2%) de las personas que habían recibido TAR por 9-15 meses</w:t>
      </w:r>
      <w:r>
        <w:rPr>
          <w:rFonts w:eastAsia="Calibri"/>
          <w:szCs w:val="22"/>
          <w:lang w:val="es-DO" w:eastAsia="en-US"/>
        </w:rPr>
        <w:t xml:space="preserve"> </w:t>
      </w:r>
      <w:r w:rsidRPr="00345F86">
        <w:rPr>
          <w:rFonts w:eastAsia="Calibri"/>
          <w:szCs w:val="22"/>
          <w:lang w:val="es-DO" w:eastAsia="en-US"/>
        </w:rPr>
        <w:t>y que tenían fallo virológico.</w:t>
      </w:r>
    </w:p>
    <w:p w14:paraId="71D37AB8" w14:textId="5A9B067B" w:rsidR="00A2261E" w:rsidRPr="00E95AE0" w:rsidRDefault="00A2261E" w:rsidP="001D56C8">
      <w:pPr>
        <w:ind w:firstLine="0"/>
        <w:rPr>
          <w:rFonts w:eastAsia="Calibri"/>
          <w:szCs w:val="22"/>
          <w:lang w:val="es-DO" w:eastAsia="en-US"/>
        </w:rPr>
      </w:pPr>
      <w:r w:rsidRPr="00C5084D">
        <w:rPr>
          <w:rFonts w:eastAsia="Calibri"/>
          <w:b/>
          <w:szCs w:val="22"/>
          <w:lang w:val="es-DO" w:eastAsia="en-US"/>
        </w:rPr>
        <w:t>Resistencia adquirida a &gt;48 meses de recibir TAR:</w:t>
      </w:r>
      <w:r w:rsidRPr="00345F86">
        <w:rPr>
          <w:rFonts w:eastAsia="Calibri"/>
          <w:szCs w:val="22"/>
          <w:lang w:val="es-DO" w:eastAsia="en-US"/>
        </w:rPr>
        <w:t xml:space="preserve"> La prevalencia de supresión virológica del VIH en personas que habían recibido TAR por al menos 48 meses fue de 67.0% (IC95% 62.1-71.6%).</w:t>
      </w:r>
      <w:r>
        <w:rPr>
          <w:rFonts w:eastAsia="Calibri"/>
          <w:szCs w:val="22"/>
          <w:lang w:val="es-DO" w:eastAsia="en-US"/>
        </w:rPr>
        <w:t xml:space="preserve"> </w:t>
      </w:r>
      <w:r w:rsidRPr="00345F86">
        <w:rPr>
          <w:rFonts w:eastAsia="Calibri"/>
          <w:szCs w:val="22"/>
          <w:lang w:val="es-DO" w:eastAsia="en-US"/>
        </w:rPr>
        <w:t>La prevalencia de resistencia del VIH en personas que habían recibido TAR por al menos 48 meses fue de 23.9% (IC95%19.8-28.6%),</w:t>
      </w:r>
      <w:r>
        <w:rPr>
          <w:rFonts w:eastAsia="Calibri"/>
          <w:szCs w:val="22"/>
          <w:lang w:val="es-DO" w:eastAsia="en-US"/>
        </w:rPr>
        <w:t xml:space="preserve"> </w:t>
      </w:r>
      <w:r w:rsidRPr="00345F86">
        <w:rPr>
          <w:rFonts w:eastAsia="Calibri"/>
          <w:szCs w:val="22"/>
          <w:lang w:val="es-DO" w:eastAsia="en-US"/>
        </w:rPr>
        <w:t>observándose similar proporción de resistencia a los IN</w:t>
      </w:r>
      <w:r>
        <w:rPr>
          <w:rFonts w:eastAsia="Calibri"/>
          <w:szCs w:val="22"/>
          <w:lang w:val="es-DO" w:eastAsia="en-US"/>
        </w:rPr>
        <w:t xml:space="preserve"> </w:t>
      </w:r>
      <w:r w:rsidRPr="00345F86">
        <w:rPr>
          <w:rFonts w:eastAsia="Calibri"/>
          <w:szCs w:val="22"/>
          <w:lang w:val="es-DO" w:eastAsia="en-US"/>
        </w:rPr>
        <w:t>(t)</w:t>
      </w:r>
      <w:r>
        <w:rPr>
          <w:rFonts w:eastAsia="Calibri"/>
          <w:szCs w:val="22"/>
          <w:lang w:val="es-DO" w:eastAsia="en-US"/>
        </w:rPr>
        <w:t xml:space="preserve"> </w:t>
      </w:r>
      <w:r w:rsidRPr="00345F86">
        <w:rPr>
          <w:rFonts w:eastAsia="Calibri"/>
          <w:szCs w:val="22"/>
          <w:lang w:val="es-DO" w:eastAsia="en-US"/>
        </w:rPr>
        <w:t>TI (21.3% IC95%17.4-25.7%) ya los INNTI (23.2%, IC95%19.1-27.7%).</w:t>
      </w:r>
      <w:r>
        <w:rPr>
          <w:rFonts w:eastAsia="Calibri"/>
          <w:szCs w:val="22"/>
          <w:lang w:val="es-DO" w:eastAsia="en-US"/>
        </w:rPr>
        <w:t xml:space="preserve"> </w:t>
      </w:r>
      <w:r w:rsidRPr="00345F86">
        <w:rPr>
          <w:rFonts w:eastAsia="Calibri"/>
          <w:szCs w:val="22"/>
          <w:lang w:val="es-DO" w:eastAsia="en-US"/>
        </w:rPr>
        <w:t>No se detectó resistencia a ningún ARV en el 27.3% (IC 95% 20.1-35.8%) de las personas con fallo virológico que habían recibido TAR por 48 meses o más.</w:t>
      </w:r>
    </w:p>
    <w:p w14:paraId="6E6A872A" w14:textId="265184FA" w:rsidR="009B24F7" w:rsidRPr="00B73E7C" w:rsidRDefault="00B73E7C" w:rsidP="001D56C8">
      <w:pPr>
        <w:ind w:firstLine="0"/>
        <w:rPr>
          <w:lang w:val="es-MX" w:eastAsia="en-US"/>
        </w:rPr>
      </w:pPr>
      <w:r>
        <w:rPr>
          <w:lang w:val="es-CO" w:eastAsia="en-US"/>
        </w:rPr>
        <w:t xml:space="preserve">Así, la </w:t>
      </w:r>
      <w:r w:rsidRPr="0095779C">
        <w:rPr>
          <w:lang w:val="es-CO" w:eastAsia="en-US"/>
        </w:rPr>
        <w:t>creciente resistencia a líneas de tratamiento para VIH en el país</w:t>
      </w:r>
      <w:r>
        <w:rPr>
          <w:lang w:val="es-CO" w:eastAsia="en-US"/>
        </w:rPr>
        <w:t xml:space="preserve"> y </w:t>
      </w:r>
      <w:r w:rsidRPr="0095779C">
        <w:rPr>
          <w:lang w:val="es-CO" w:eastAsia="en-US"/>
        </w:rPr>
        <w:t>la</w:t>
      </w:r>
      <w:r>
        <w:rPr>
          <w:lang w:val="es-CO" w:eastAsia="en-US"/>
        </w:rPr>
        <w:t xml:space="preserve"> </w:t>
      </w:r>
      <w:r w:rsidRPr="0095779C">
        <w:rPr>
          <w:lang w:val="es-MX" w:eastAsia="en-US"/>
        </w:rPr>
        <w:t>migración a esquemas de alto costo para ARV (2da y 3era línea) pone</w:t>
      </w:r>
      <w:r>
        <w:rPr>
          <w:lang w:val="es-MX" w:eastAsia="en-US"/>
        </w:rPr>
        <w:t>n</w:t>
      </w:r>
      <w:r w:rsidRPr="0095779C">
        <w:rPr>
          <w:lang w:val="es-MX" w:eastAsia="en-US"/>
        </w:rPr>
        <w:t xml:space="preserve"> en riesgo la </w:t>
      </w:r>
      <w:r>
        <w:rPr>
          <w:lang w:val="es-MX" w:eastAsia="en-US"/>
        </w:rPr>
        <w:t xml:space="preserve">sostenibilidad </w:t>
      </w:r>
      <w:r w:rsidRPr="0095779C">
        <w:rPr>
          <w:lang w:val="es-MX" w:eastAsia="en-US"/>
        </w:rPr>
        <w:t xml:space="preserve">del financiamiento por fuente </w:t>
      </w:r>
      <w:r w:rsidR="00FD1229">
        <w:rPr>
          <w:lang w:val="es-MX" w:eastAsia="en-US"/>
        </w:rPr>
        <w:t>pública</w:t>
      </w:r>
      <w:r w:rsidRPr="0095779C">
        <w:rPr>
          <w:lang w:val="es-MX" w:eastAsia="en-US"/>
        </w:rPr>
        <w:t>, agotando las opciones terapéuticas que el país tiene en su cuadro básico y normas.</w:t>
      </w:r>
    </w:p>
    <w:p w14:paraId="1CE82D06" w14:textId="3791EB83" w:rsidR="001D56C8" w:rsidRPr="00594017" w:rsidRDefault="00594017" w:rsidP="001D56C8">
      <w:pPr>
        <w:ind w:firstLine="0"/>
        <w:rPr>
          <w:lang w:val="es-DO" w:eastAsia="en-US"/>
        </w:rPr>
      </w:pPr>
      <w:r>
        <w:rPr>
          <w:lang w:val="es-ES" w:eastAsia="en-US"/>
        </w:rPr>
        <w:t xml:space="preserve">Se estima que para </w:t>
      </w:r>
      <w:r w:rsidRPr="0095779C">
        <w:rPr>
          <w:lang w:val="es-ES" w:eastAsia="en-US"/>
        </w:rPr>
        <w:t>el</w:t>
      </w:r>
      <w:r>
        <w:rPr>
          <w:lang w:val="es-ES" w:eastAsia="en-US"/>
        </w:rPr>
        <w:t xml:space="preserve"> 2019, las</w:t>
      </w:r>
      <w:r w:rsidRPr="0095779C">
        <w:rPr>
          <w:lang w:val="es-ES" w:eastAsia="en-US"/>
        </w:rPr>
        <w:t xml:space="preserve"> PVIH que se encuentran en 1era línea </w:t>
      </w:r>
      <w:r>
        <w:rPr>
          <w:lang w:val="es-ES" w:eastAsia="en-US"/>
        </w:rPr>
        <w:t xml:space="preserve">(el 88% del total de PVIH) </w:t>
      </w:r>
      <w:r w:rsidRPr="0095779C">
        <w:rPr>
          <w:lang w:val="es-ES" w:eastAsia="en-US"/>
        </w:rPr>
        <w:t xml:space="preserve">requerirán el 69% del presupuesto </w:t>
      </w:r>
      <w:r>
        <w:rPr>
          <w:lang w:val="es-ES" w:eastAsia="en-US"/>
        </w:rPr>
        <w:t xml:space="preserve">de ARV </w:t>
      </w:r>
      <w:r w:rsidRPr="0095779C">
        <w:rPr>
          <w:lang w:val="es-ES" w:eastAsia="en-US"/>
        </w:rPr>
        <w:t xml:space="preserve">(aproximadamente US$ 1.4 millones); el 11% en 2da línea requerirá el 18% del presupuesto (US$ 378 mil) y el 1% </w:t>
      </w:r>
      <w:r>
        <w:rPr>
          <w:lang w:val="es-ES" w:eastAsia="en-US"/>
        </w:rPr>
        <w:t xml:space="preserve">en </w:t>
      </w:r>
      <w:r w:rsidRPr="0095779C">
        <w:rPr>
          <w:lang w:val="es-ES" w:eastAsia="en-US"/>
        </w:rPr>
        <w:t>3era línea requerirá el 12% (US$ 252 mil) del presupuesto.</w:t>
      </w:r>
      <w:r w:rsidRPr="0095779C">
        <w:rPr>
          <w:vertAlign w:val="superscript"/>
          <w:lang w:val="es-ES" w:eastAsia="en-US"/>
        </w:rPr>
        <w:footnoteReference w:id="13"/>
      </w:r>
      <w:r>
        <w:rPr>
          <w:lang w:val="es-DO" w:eastAsia="en-US"/>
        </w:rPr>
        <w:t xml:space="preserve"> </w:t>
      </w:r>
      <w:r w:rsidR="001D56C8" w:rsidRPr="0095779C">
        <w:rPr>
          <w:lang w:val="es-DO" w:eastAsia="en-US"/>
        </w:rPr>
        <w:t xml:space="preserve">Aunque la proporción de PVIH en 1er, 2do y 3era línea se apega a estándares internacionales, en los reportes de consumo provistos por la </w:t>
      </w:r>
      <w:r w:rsidR="00034C2A" w:rsidRPr="0095779C">
        <w:rPr>
          <w:bCs/>
          <w:lang w:val="es-419" w:eastAsia="en-US"/>
        </w:rPr>
        <w:t>Unidad de Logística de Medicamentos, Insumos y Equipamiento (</w:t>
      </w:r>
      <w:r w:rsidR="001D56C8" w:rsidRPr="0095779C">
        <w:rPr>
          <w:lang w:val="es-DO" w:eastAsia="en-US"/>
        </w:rPr>
        <w:t>ULMIE</w:t>
      </w:r>
      <w:r w:rsidR="00034C2A" w:rsidRPr="0095779C">
        <w:rPr>
          <w:lang w:val="es-DO" w:eastAsia="en-US"/>
        </w:rPr>
        <w:t>)</w:t>
      </w:r>
      <w:r w:rsidR="001D56C8" w:rsidRPr="0095779C">
        <w:rPr>
          <w:lang w:val="es-DO" w:eastAsia="en-US"/>
        </w:rPr>
        <w:t>, se evidencia un crecimiento de 82% en el consumo de medicamentos de 3era línea durante enero-agosto del 2018. Esto se constituye en un riesgo que impacta en el financiamiento de los ARV</w:t>
      </w:r>
      <w:r>
        <w:rPr>
          <w:lang w:val="es-DO" w:eastAsia="en-US"/>
        </w:rPr>
        <w:t xml:space="preserve">, ya que los costos de la </w:t>
      </w:r>
      <w:r w:rsidRPr="0095779C">
        <w:rPr>
          <w:lang w:val="es-ES" w:eastAsia="en-US"/>
        </w:rPr>
        <w:t xml:space="preserve">2da y 3ra líneas </w:t>
      </w:r>
      <w:r>
        <w:rPr>
          <w:lang w:val="es-ES" w:eastAsia="en-US"/>
        </w:rPr>
        <w:t>siguen siendo altos</w:t>
      </w:r>
      <w:r w:rsidRPr="0095779C">
        <w:rPr>
          <w:lang w:val="es-ES" w:eastAsia="en-US"/>
        </w:rPr>
        <w:t>, US$ 375 y US$ 4,568, respectivamente.</w:t>
      </w:r>
      <w:r w:rsidRPr="0095779C">
        <w:rPr>
          <w:vertAlign w:val="superscript"/>
          <w:lang w:val="es-ES" w:eastAsia="en-US"/>
        </w:rPr>
        <w:footnoteReference w:id="14"/>
      </w:r>
      <w:r w:rsidRPr="0095779C">
        <w:rPr>
          <w:lang w:val="es-ES" w:eastAsia="en-US"/>
        </w:rPr>
        <w:t xml:space="preserve"> </w:t>
      </w:r>
      <w:r w:rsidR="001D56C8" w:rsidRPr="0095779C">
        <w:rPr>
          <w:lang w:val="es-DO" w:eastAsia="en-US"/>
        </w:rPr>
        <w:t xml:space="preserve"> </w:t>
      </w:r>
      <w:r>
        <w:rPr>
          <w:lang w:val="es-DO" w:eastAsia="en-US"/>
        </w:rPr>
        <w:t>Paralelamente esta situación</w:t>
      </w:r>
      <w:r w:rsidR="001D56C8" w:rsidRPr="0095779C">
        <w:rPr>
          <w:lang w:val="es-DO" w:eastAsia="en-US"/>
        </w:rPr>
        <w:t xml:space="preserve"> </w:t>
      </w:r>
      <w:r w:rsidR="00930CA1">
        <w:rPr>
          <w:lang w:val="es-DO" w:eastAsia="en-US"/>
        </w:rPr>
        <w:t xml:space="preserve">fomenta </w:t>
      </w:r>
      <w:r w:rsidR="001D56C8" w:rsidRPr="0095779C">
        <w:rPr>
          <w:lang w:val="es-DO" w:eastAsia="en-US"/>
        </w:rPr>
        <w:t>desabastos frecuentes debido a los cambios de esquemas</w:t>
      </w:r>
      <w:r w:rsidR="001D56C8" w:rsidRPr="0095779C">
        <w:rPr>
          <w:lang w:val="es-ES" w:eastAsia="en-US"/>
        </w:rPr>
        <w:t>.</w:t>
      </w:r>
    </w:p>
    <w:p w14:paraId="64CD4F1C" w14:textId="0723FEBF" w:rsidR="009B24F7" w:rsidRPr="002D3EE8" w:rsidRDefault="00594017" w:rsidP="001D56C8">
      <w:pPr>
        <w:ind w:firstLine="0"/>
        <w:rPr>
          <w:i/>
          <w:lang w:val="es-DO" w:eastAsia="en-US"/>
        </w:rPr>
      </w:pPr>
      <w:r>
        <w:rPr>
          <w:lang w:val="es-DO" w:eastAsia="en-US"/>
        </w:rPr>
        <w:t xml:space="preserve">A partir de la publicación del estudio, se han realizado acciones </w:t>
      </w:r>
      <w:r w:rsidR="00C9387D">
        <w:rPr>
          <w:lang w:val="es-DO" w:eastAsia="en-US"/>
        </w:rPr>
        <w:t>con el objetivo</w:t>
      </w:r>
      <w:r w:rsidR="00EB00E6">
        <w:rPr>
          <w:lang w:val="es-DO" w:eastAsia="en-US"/>
        </w:rPr>
        <w:t xml:space="preserve"> </w:t>
      </w:r>
      <w:r w:rsidR="00C9387D">
        <w:rPr>
          <w:lang w:val="es-DO" w:eastAsia="en-US"/>
        </w:rPr>
        <w:t xml:space="preserve">de incluir como opción de primera línea la combinación de </w:t>
      </w:r>
      <w:proofErr w:type="spellStart"/>
      <w:r w:rsidR="00C9387D">
        <w:rPr>
          <w:lang w:val="es-DO" w:eastAsia="en-US"/>
        </w:rPr>
        <w:t>Dolutegravir</w:t>
      </w:r>
      <w:proofErr w:type="spellEnd"/>
      <w:r w:rsidR="00C9387D">
        <w:rPr>
          <w:lang w:val="es-DO" w:eastAsia="en-US"/>
        </w:rPr>
        <w:t xml:space="preserve"> + </w:t>
      </w:r>
      <w:proofErr w:type="spellStart"/>
      <w:r w:rsidR="00C9387D">
        <w:rPr>
          <w:lang w:val="es-DO" w:eastAsia="en-US"/>
        </w:rPr>
        <w:t>Lamivudina</w:t>
      </w:r>
      <w:proofErr w:type="spellEnd"/>
      <w:r w:rsidR="00C9387D">
        <w:rPr>
          <w:lang w:val="es-DO" w:eastAsia="en-US"/>
        </w:rPr>
        <w:t xml:space="preserve"> + </w:t>
      </w:r>
      <w:proofErr w:type="spellStart"/>
      <w:r w:rsidR="00C9387D">
        <w:rPr>
          <w:lang w:val="es-DO" w:eastAsia="en-US"/>
        </w:rPr>
        <w:t>Tenofovir</w:t>
      </w:r>
      <w:proofErr w:type="spellEnd"/>
      <w:r w:rsidR="00C9387D">
        <w:rPr>
          <w:lang w:val="es-DO" w:eastAsia="en-US"/>
        </w:rPr>
        <w:t xml:space="preserve"> e implementar de manera progresiva el inicio del TAR </w:t>
      </w:r>
      <w:proofErr w:type="gramStart"/>
      <w:r w:rsidR="00C9387D">
        <w:rPr>
          <w:lang w:val="es-DO" w:eastAsia="en-US"/>
        </w:rPr>
        <w:t>de acuerdo a</w:t>
      </w:r>
      <w:proofErr w:type="gramEnd"/>
      <w:r w:rsidR="00C9387D">
        <w:rPr>
          <w:lang w:val="es-DO" w:eastAsia="en-US"/>
        </w:rPr>
        <w:t xml:space="preserve"> los criterios establecidos por la Mesa Técnica de ARV. </w:t>
      </w:r>
      <w:r w:rsidR="00A14882">
        <w:rPr>
          <w:lang w:val="es-DO" w:eastAsia="en-US"/>
        </w:rPr>
        <w:t>Sin embargo</w:t>
      </w:r>
      <w:r w:rsidR="00B36A3E">
        <w:rPr>
          <w:lang w:val="es-DO" w:eastAsia="en-US"/>
        </w:rPr>
        <w:t>,</w:t>
      </w:r>
      <w:r w:rsidR="001D7BD5">
        <w:rPr>
          <w:lang w:val="es-DO" w:eastAsia="en-US"/>
        </w:rPr>
        <w:t xml:space="preserve"> es necesario </w:t>
      </w:r>
      <w:r w:rsidR="00A14882">
        <w:rPr>
          <w:lang w:val="es-DO" w:eastAsia="en-US"/>
        </w:rPr>
        <w:t>seguir impulsando estrategias</w:t>
      </w:r>
      <w:r w:rsidR="00C9387D">
        <w:rPr>
          <w:lang w:val="es-DO" w:eastAsia="en-US"/>
        </w:rPr>
        <w:t xml:space="preserve"> de adherencia</w:t>
      </w:r>
      <w:r w:rsidR="002D3EE8">
        <w:rPr>
          <w:lang w:val="es-DO" w:eastAsia="en-US"/>
        </w:rPr>
        <w:t>, ya que ante</w:t>
      </w:r>
      <w:r w:rsidR="002D3EE8" w:rsidRPr="0095779C">
        <w:rPr>
          <w:lang w:val="es-DO" w:eastAsia="en-US"/>
        </w:rPr>
        <w:t xml:space="preserve"> el creciente número de casos </w:t>
      </w:r>
      <w:r w:rsidR="002D3EE8">
        <w:rPr>
          <w:lang w:val="es-DO" w:eastAsia="en-US"/>
        </w:rPr>
        <w:t xml:space="preserve">de resistencia y la disminución en el financiamiento externo, </w:t>
      </w:r>
      <w:r w:rsidR="002D3EE8" w:rsidRPr="0095779C">
        <w:rPr>
          <w:lang w:val="es-DO" w:eastAsia="en-US"/>
        </w:rPr>
        <w:t xml:space="preserve">el gasto </w:t>
      </w:r>
      <w:r w:rsidR="002D3EE8">
        <w:rPr>
          <w:lang w:val="es-DO" w:eastAsia="en-US"/>
        </w:rPr>
        <w:t>público</w:t>
      </w:r>
      <w:r w:rsidR="002D3EE8" w:rsidRPr="0095779C">
        <w:rPr>
          <w:lang w:val="es-DO" w:eastAsia="en-US"/>
        </w:rPr>
        <w:t xml:space="preserve"> </w:t>
      </w:r>
      <w:r w:rsidR="002D3EE8">
        <w:rPr>
          <w:lang w:val="es-DO" w:eastAsia="en-US"/>
        </w:rPr>
        <w:t>en</w:t>
      </w:r>
      <w:r w:rsidR="002D3EE8" w:rsidRPr="0095779C">
        <w:rPr>
          <w:lang w:val="es-DO" w:eastAsia="en-US"/>
        </w:rPr>
        <w:t xml:space="preserve"> el </w:t>
      </w:r>
      <w:r w:rsidR="002D3EE8">
        <w:rPr>
          <w:lang w:val="es-DO" w:eastAsia="en-US"/>
        </w:rPr>
        <w:t>TAR</w:t>
      </w:r>
      <w:r w:rsidR="002D3EE8" w:rsidRPr="0095779C">
        <w:rPr>
          <w:lang w:val="es-DO" w:eastAsia="en-US"/>
        </w:rPr>
        <w:t xml:space="preserve"> </w:t>
      </w:r>
      <w:r w:rsidR="002D3EE8">
        <w:rPr>
          <w:lang w:val="es-DO" w:eastAsia="en-US"/>
        </w:rPr>
        <w:t>podría aumentar rápidamente.</w:t>
      </w:r>
    </w:p>
    <w:p w14:paraId="6ACF9520" w14:textId="4B97C6CD" w:rsidR="001D56C8" w:rsidRPr="0013609F" w:rsidRDefault="00B476B3" w:rsidP="001D56C8">
      <w:pPr>
        <w:pStyle w:val="Heading3"/>
        <w:tabs>
          <w:tab w:val="clear" w:pos="851"/>
          <w:tab w:val="left" w:pos="90"/>
          <w:tab w:val="left" w:pos="1170"/>
        </w:tabs>
        <w:ind w:left="90" w:hanging="270"/>
        <w:jc w:val="both"/>
        <w:rPr>
          <w:rFonts w:ascii="Times New Roman" w:hAnsi="Times New Roman"/>
          <w:sz w:val="22"/>
          <w:lang w:val="es-CO"/>
        </w:rPr>
      </w:pPr>
      <w:r w:rsidRPr="0013609F">
        <w:rPr>
          <w:rFonts w:ascii="Times New Roman" w:hAnsi="Times New Roman"/>
          <w:sz w:val="22"/>
          <w:lang w:val="es-CO"/>
        </w:rPr>
        <w:lastRenderedPageBreak/>
        <w:t>Elaborar el “Plan nacional de abordaje a la resistencia de los ARV en Honduras”</w:t>
      </w:r>
      <w:r w:rsidR="0071382F" w:rsidRPr="0013609F">
        <w:rPr>
          <w:rFonts w:ascii="Times New Roman" w:hAnsi="Times New Roman"/>
          <w:b w:val="0"/>
          <w:bCs/>
          <w:szCs w:val="20"/>
          <w:lang w:val="es-CO" w:eastAsia="fr-FR"/>
        </w:rPr>
        <w:t xml:space="preserve"> </w:t>
      </w:r>
      <w:r w:rsidR="0071382F" w:rsidRPr="0013609F">
        <w:rPr>
          <w:rFonts w:ascii="Times New Roman" w:hAnsi="Times New Roman"/>
          <w:bCs/>
          <w:sz w:val="22"/>
          <w:lang w:val="es-CO"/>
        </w:rPr>
        <w:t xml:space="preserve">que aborda las acciones </w:t>
      </w:r>
      <w:r w:rsidR="0013609F" w:rsidRPr="0013609F">
        <w:rPr>
          <w:rFonts w:ascii="Times New Roman" w:hAnsi="Times New Roman"/>
          <w:bCs/>
          <w:sz w:val="22"/>
          <w:lang w:val="es-CO"/>
        </w:rPr>
        <w:t>(</w:t>
      </w:r>
      <w:r w:rsidR="0071382F" w:rsidRPr="0013609F">
        <w:rPr>
          <w:rFonts w:ascii="Times New Roman" w:hAnsi="Times New Roman"/>
          <w:bCs/>
          <w:sz w:val="22"/>
          <w:lang w:val="es-CO"/>
        </w:rPr>
        <w:t>b-</w:t>
      </w:r>
      <w:r w:rsidR="0013609F" w:rsidRPr="0013609F">
        <w:rPr>
          <w:rFonts w:ascii="Times New Roman" w:hAnsi="Times New Roman"/>
          <w:bCs/>
          <w:sz w:val="22"/>
          <w:lang w:val="es-CO"/>
        </w:rPr>
        <w:t>d)</w:t>
      </w:r>
    </w:p>
    <w:p w14:paraId="5CD69D5E" w14:textId="23BEF82C" w:rsidR="001D56C8" w:rsidRDefault="00B36A3E" w:rsidP="001D56C8">
      <w:pPr>
        <w:ind w:firstLine="0"/>
        <w:rPr>
          <w:lang w:val="es-MX" w:eastAsia="en-US"/>
        </w:rPr>
      </w:pPr>
      <w:r>
        <w:rPr>
          <w:lang w:val="es-MX" w:eastAsia="en-US"/>
        </w:rPr>
        <w:t>Como acción de mitigación se propuso la elaboración de un</w:t>
      </w:r>
      <w:r w:rsidR="001D56C8" w:rsidRPr="0095779C">
        <w:rPr>
          <w:lang w:val="es-MX" w:eastAsia="en-US"/>
        </w:rPr>
        <w:t xml:space="preserve"> “Plan </w:t>
      </w:r>
      <w:r w:rsidR="001D56C8" w:rsidRPr="0095779C">
        <w:rPr>
          <w:lang w:val="es-CO" w:eastAsia="en-US"/>
        </w:rPr>
        <w:t>nacional de abordaje a la resistencia de los ARV en Honduras</w:t>
      </w:r>
      <w:r w:rsidR="001D56C8" w:rsidRPr="0095779C">
        <w:rPr>
          <w:lang w:val="es-MX" w:eastAsia="en-US"/>
        </w:rPr>
        <w:t>.”</w:t>
      </w:r>
      <w:r>
        <w:rPr>
          <w:lang w:val="es-MX" w:eastAsia="en-US"/>
        </w:rPr>
        <w:t xml:space="preserve"> Para ellos se sugirió designar a un comité técnico que inicie el desarrollo del plan </w:t>
      </w:r>
      <w:r w:rsidR="009211E7">
        <w:rPr>
          <w:lang w:val="es-MX" w:eastAsia="en-US"/>
        </w:rPr>
        <w:t>e identifi</w:t>
      </w:r>
      <w:r w:rsidR="006169F5">
        <w:rPr>
          <w:lang w:val="es-MX" w:eastAsia="en-US"/>
        </w:rPr>
        <w:t>que</w:t>
      </w:r>
      <w:r w:rsidR="001A6BE9">
        <w:rPr>
          <w:lang w:val="es-MX" w:eastAsia="en-US"/>
        </w:rPr>
        <w:t xml:space="preserve"> a</w:t>
      </w:r>
      <w:r w:rsidR="009211E7">
        <w:rPr>
          <w:lang w:val="es-MX" w:eastAsia="en-US"/>
        </w:rPr>
        <w:t xml:space="preserve"> una</w:t>
      </w:r>
      <w:r w:rsidR="00E01453">
        <w:rPr>
          <w:lang w:val="es-MX" w:eastAsia="en-US"/>
        </w:rPr>
        <w:t xml:space="preserve"> instancia de la SESAL </w:t>
      </w:r>
      <w:r w:rsidR="009211E7">
        <w:rPr>
          <w:lang w:val="es-MX" w:eastAsia="en-US"/>
        </w:rPr>
        <w:t>para su</w:t>
      </w:r>
      <w:r>
        <w:rPr>
          <w:lang w:val="es-MX" w:eastAsia="en-US"/>
        </w:rPr>
        <w:t xml:space="preserve"> conducción y monitoreo.</w:t>
      </w:r>
      <w:r w:rsidR="00D75C5D">
        <w:rPr>
          <w:lang w:val="es-MX" w:eastAsia="en-US"/>
        </w:rPr>
        <w:t xml:space="preserve"> El objetivo principal del plan se</w:t>
      </w:r>
      <w:r w:rsidR="00E7339E">
        <w:rPr>
          <w:lang w:val="es-MX" w:eastAsia="en-US"/>
        </w:rPr>
        <w:t>rá</w:t>
      </w:r>
      <w:r w:rsidR="00D75C5D">
        <w:rPr>
          <w:lang w:val="es-MX" w:eastAsia="en-US"/>
        </w:rPr>
        <w:t xml:space="preserve"> facilitar la transición </w:t>
      </w:r>
      <w:r w:rsidR="006169F5">
        <w:rPr>
          <w:lang w:val="es-MX" w:eastAsia="en-US"/>
        </w:rPr>
        <w:t xml:space="preserve">de </w:t>
      </w:r>
      <w:r w:rsidR="00F91F5C">
        <w:rPr>
          <w:lang w:val="es-MX" w:eastAsia="en-US"/>
        </w:rPr>
        <w:t xml:space="preserve">los </w:t>
      </w:r>
      <w:r w:rsidR="00D75C5D">
        <w:rPr>
          <w:lang w:val="es-MX" w:eastAsia="en-US"/>
        </w:rPr>
        <w:t>nuevos esquemas de ARV</w:t>
      </w:r>
      <w:r w:rsidR="00F91F5C">
        <w:rPr>
          <w:lang w:val="es-MX" w:eastAsia="en-US"/>
        </w:rPr>
        <w:t xml:space="preserve"> </w:t>
      </w:r>
      <w:r w:rsidR="00D75C5D">
        <w:rPr>
          <w:lang w:val="es-MX" w:eastAsia="en-US"/>
        </w:rPr>
        <w:t xml:space="preserve">a escala nacional (considerando </w:t>
      </w:r>
      <w:r w:rsidR="00F91F5C">
        <w:rPr>
          <w:lang w:val="es-MX" w:eastAsia="en-US"/>
        </w:rPr>
        <w:t>su</w:t>
      </w:r>
      <w:r w:rsidR="00D75C5D">
        <w:rPr>
          <w:lang w:val="es-MX" w:eastAsia="en-US"/>
        </w:rPr>
        <w:t xml:space="preserve"> precio unitario,</w:t>
      </w:r>
      <w:r w:rsidR="00F91F5C">
        <w:rPr>
          <w:lang w:val="es-MX" w:eastAsia="en-US"/>
        </w:rPr>
        <w:t xml:space="preserve"> mecanismos de compra </w:t>
      </w:r>
      <w:r w:rsidR="00E7339E">
        <w:rPr>
          <w:lang w:val="es-MX" w:eastAsia="en-US"/>
        </w:rPr>
        <w:t>internacional con precios preferenciales</w:t>
      </w:r>
      <w:r w:rsidR="00F91F5C">
        <w:rPr>
          <w:lang w:val="es-MX" w:eastAsia="en-US"/>
        </w:rPr>
        <w:t xml:space="preserve"> y su</w:t>
      </w:r>
      <w:r w:rsidR="00D75C5D">
        <w:rPr>
          <w:lang w:val="es-MX" w:eastAsia="en-US"/>
        </w:rPr>
        <w:t xml:space="preserve"> impacto presupuestario y normativo)</w:t>
      </w:r>
      <w:r w:rsidR="00182A6C">
        <w:rPr>
          <w:lang w:val="es-MX" w:eastAsia="en-US"/>
        </w:rPr>
        <w:t xml:space="preserve">. Como objetivos secundarios, </w:t>
      </w:r>
      <w:r w:rsidR="00E7339E">
        <w:rPr>
          <w:lang w:val="es-MX" w:eastAsia="en-US"/>
        </w:rPr>
        <w:t>se incluyen el establecimiento de un sistema de vigilancia a la resistencia de los ARV y</w:t>
      </w:r>
      <w:r w:rsidR="00182A6C">
        <w:rPr>
          <w:lang w:val="es-MX" w:eastAsia="en-US"/>
        </w:rPr>
        <w:t xml:space="preserve"> </w:t>
      </w:r>
      <w:r w:rsidR="00CF3A58">
        <w:rPr>
          <w:lang w:val="es-MX" w:eastAsia="en-US"/>
        </w:rPr>
        <w:t xml:space="preserve">la ampliación de </w:t>
      </w:r>
      <w:r w:rsidR="001D56C8" w:rsidRPr="0095779C">
        <w:rPr>
          <w:lang w:val="es-MX" w:eastAsia="en-US"/>
        </w:rPr>
        <w:t xml:space="preserve">la participación multisectorial, con </w:t>
      </w:r>
      <w:r w:rsidR="00182A6C">
        <w:rPr>
          <w:lang w:val="es-MX" w:eastAsia="en-US"/>
        </w:rPr>
        <w:t>un enfoque en DDHH</w:t>
      </w:r>
      <w:r w:rsidR="00E7339E">
        <w:rPr>
          <w:lang w:val="es-MX" w:eastAsia="en-US"/>
        </w:rPr>
        <w:t xml:space="preserve">, y el rol de las </w:t>
      </w:r>
      <w:proofErr w:type="spellStart"/>
      <w:r w:rsidR="00E7339E">
        <w:rPr>
          <w:lang w:val="es-MX" w:eastAsia="en-US"/>
        </w:rPr>
        <w:t>OSCs</w:t>
      </w:r>
      <w:proofErr w:type="spellEnd"/>
      <w:r w:rsidR="00E7339E">
        <w:rPr>
          <w:lang w:val="es-MX" w:eastAsia="en-US"/>
        </w:rPr>
        <w:t xml:space="preserve"> en veeduría e información del </w:t>
      </w:r>
      <w:r w:rsidR="005C72B3">
        <w:rPr>
          <w:lang w:val="es-MX" w:eastAsia="en-US"/>
        </w:rPr>
        <w:t>paciente</w:t>
      </w:r>
      <w:r w:rsidR="0071715B">
        <w:rPr>
          <w:lang w:val="es-MX" w:eastAsia="en-US"/>
        </w:rPr>
        <w:t xml:space="preserve">. </w:t>
      </w:r>
      <w:r w:rsidR="008950DC" w:rsidRPr="008950DC">
        <w:rPr>
          <w:lang w:val="es-MX" w:eastAsia="en-US"/>
        </w:rPr>
        <w:t>También se podría considerar la creación de grupos comunitarios de apoyo para la adherencia o monitoreo basado en la comunidad.</w:t>
      </w:r>
    </w:p>
    <w:p w14:paraId="500C305B" w14:textId="5CD818BE" w:rsidR="00C3106E" w:rsidRPr="0095779C" w:rsidRDefault="00C3106E" w:rsidP="001D56C8">
      <w:pPr>
        <w:ind w:firstLine="0"/>
        <w:rPr>
          <w:lang w:val="es-MX" w:eastAsia="en-US"/>
        </w:rPr>
      </w:pPr>
      <w:r>
        <w:rPr>
          <w:lang w:val="es-MX" w:eastAsia="en-US"/>
        </w:rPr>
        <w:t>Un ejemplo que puede guiar este ejercicio es el “Plan Nacional de Acción contra la Resistencia Antimicrobiana” publicado por Uruguay en octubre de 2018.</w:t>
      </w:r>
      <w:r>
        <w:rPr>
          <w:rStyle w:val="FootnoteReference"/>
          <w:lang w:val="es-MX" w:eastAsia="en-US"/>
        </w:rPr>
        <w:footnoteReference w:id="15"/>
      </w:r>
      <w:r>
        <w:rPr>
          <w:lang w:val="es-MX" w:eastAsia="en-US"/>
        </w:rPr>
        <w:t xml:space="preserve"> En dicho plan se incluye no solo la vigilancia a la resistencia en VIH, sino a TB-MDR, antifúngi</w:t>
      </w:r>
      <w:r w:rsidR="00B06CBB">
        <w:rPr>
          <w:lang w:val="es-MX" w:eastAsia="en-US"/>
        </w:rPr>
        <w:t>c</w:t>
      </w:r>
      <w:r>
        <w:rPr>
          <w:lang w:val="es-MX" w:eastAsia="en-US"/>
        </w:rPr>
        <w:t>os, bacilos causantes de infecciones hospitalarias y consumo de antimicrobianos.</w:t>
      </w:r>
    </w:p>
    <w:p w14:paraId="522D576A" w14:textId="3A5BB6A0" w:rsidR="001D56C8" w:rsidRPr="00431F8A" w:rsidRDefault="00B476B3" w:rsidP="001D56C8">
      <w:pPr>
        <w:pStyle w:val="Heading3"/>
        <w:tabs>
          <w:tab w:val="clear" w:pos="851"/>
          <w:tab w:val="left" w:pos="90"/>
          <w:tab w:val="left" w:pos="1170"/>
        </w:tabs>
        <w:ind w:left="90" w:hanging="270"/>
        <w:jc w:val="both"/>
        <w:rPr>
          <w:rFonts w:ascii="Times New Roman" w:hAnsi="Times New Roman"/>
          <w:sz w:val="22"/>
          <w:lang w:val="es-CO"/>
        </w:rPr>
      </w:pPr>
      <w:r w:rsidRPr="00431F8A">
        <w:rPr>
          <w:rFonts w:ascii="Times New Roman" w:hAnsi="Times New Roman"/>
          <w:sz w:val="22"/>
          <w:lang w:val="es-CO"/>
        </w:rPr>
        <w:t>Establecer un sistema de vigilancia a la resistencia de los ARV</w:t>
      </w:r>
    </w:p>
    <w:p w14:paraId="506DF4F7" w14:textId="0AF09BDB" w:rsidR="0059238A" w:rsidRDefault="00A20065" w:rsidP="001D56C8">
      <w:pPr>
        <w:ind w:firstLine="0"/>
        <w:rPr>
          <w:lang w:val="es-MX" w:eastAsia="en-US"/>
        </w:rPr>
      </w:pPr>
      <w:r>
        <w:rPr>
          <w:lang w:val="es-CO" w:eastAsia="en-US"/>
        </w:rPr>
        <w:t>El propósito de este sistema</w:t>
      </w:r>
      <w:r w:rsidR="0059238A">
        <w:rPr>
          <w:lang w:val="es-MX" w:eastAsia="en-US"/>
        </w:rPr>
        <w:t xml:space="preserve"> </w:t>
      </w:r>
      <w:r>
        <w:rPr>
          <w:lang w:val="es-MX" w:eastAsia="en-US"/>
        </w:rPr>
        <w:t>es</w:t>
      </w:r>
      <w:r w:rsidR="0059238A">
        <w:rPr>
          <w:lang w:val="es-MX" w:eastAsia="en-US"/>
        </w:rPr>
        <w:t xml:space="preserve"> generar</w:t>
      </w:r>
      <w:r w:rsidR="00F71E7D">
        <w:rPr>
          <w:lang w:val="es-MX" w:eastAsia="en-US"/>
        </w:rPr>
        <w:t xml:space="preserve"> periódicamente la</w:t>
      </w:r>
      <w:r w:rsidR="001D56C8" w:rsidRPr="0095779C">
        <w:rPr>
          <w:lang w:val="es-MX" w:eastAsia="en-US"/>
        </w:rPr>
        <w:t xml:space="preserve"> evidencia</w:t>
      </w:r>
      <w:r w:rsidR="00F71E7D">
        <w:rPr>
          <w:lang w:val="es-MX" w:eastAsia="en-US"/>
        </w:rPr>
        <w:t xml:space="preserve"> necesaria</w:t>
      </w:r>
      <w:r w:rsidR="001D56C8" w:rsidRPr="0095779C">
        <w:rPr>
          <w:lang w:val="es-MX" w:eastAsia="en-US"/>
        </w:rPr>
        <w:t xml:space="preserve"> para la toma de decisi</w:t>
      </w:r>
      <w:r w:rsidR="0059238A">
        <w:rPr>
          <w:lang w:val="es-MX" w:eastAsia="en-US"/>
        </w:rPr>
        <w:t>ones</w:t>
      </w:r>
      <w:r w:rsidR="001D56C8" w:rsidRPr="0095779C">
        <w:rPr>
          <w:lang w:val="es-MX" w:eastAsia="en-US"/>
        </w:rPr>
        <w:t xml:space="preserve"> </w:t>
      </w:r>
      <w:r w:rsidR="0059238A">
        <w:rPr>
          <w:lang w:val="es-MX" w:eastAsia="en-US"/>
        </w:rPr>
        <w:t>sobre</w:t>
      </w:r>
      <w:r w:rsidR="001D56C8" w:rsidRPr="0095779C">
        <w:rPr>
          <w:lang w:val="es-MX" w:eastAsia="en-US"/>
        </w:rPr>
        <w:t xml:space="preserve"> l</w:t>
      </w:r>
      <w:r w:rsidR="00A12CBD">
        <w:rPr>
          <w:lang w:val="es-MX" w:eastAsia="en-US"/>
        </w:rPr>
        <w:t>a</w:t>
      </w:r>
      <w:r w:rsidR="001D56C8" w:rsidRPr="0095779C">
        <w:rPr>
          <w:lang w:val="es-MX" w:eastAsia="en-US"/>
        </w:rPr>
        <w:t xml:space="preserve">s moléculas o principios activos de nueva inclusión en el país. </w:t>
      </w:r>
      <w:r>
        <w:rPr>
          <w:lang w:val="es-MX" w:eastAsia="en-US"/>
        </w:rPr>
        <w:t>Con él sería factible evaluar el desempeño actual de las intervenciones nacionales para la supresión virológica en PVIH, así como evaluar la migración a esquemas de alto impacto financiero.</w:t>
      </w:r>
      <w:r w:rsidR="007E0638">
        <w:rPr>
          <w:lang w:val="es-MX" w:eastAsia="en-US"/>
        </w:rPr>
        <w:t xml:space="preserve"> </w:t>
      </w:r>
      <w:r w:rsidR="00120F1A">
        <w:rPr>
          <w:lang w:val="es-MX" w:eastAsia="en-US"/>
        </w:rPr>
        <w:t>La</w:t>
      </w:r>
      <w:r w:rsidR="007E0638">
        <w:rPr>
          <w:lang w:val="es-MX" w:eastAsia="en-US"/>
        </w:rPr>
        <w:t xml:space="preserve"> información </w:t>
      </w:r>
      <w:r w:rsidR="00120F1A">
        <w:rPr>
          <w:lang w:val="es-MX" w:eastAsia="en-US"/>
        </w:rPr>
        <w:t xml:space="preserve">disponible también </w:t>
      </w:r>
      <w:r w:rsidR="007E0638">
        <w:rPr>
          <w:lang w:val="es-MX" w:eastAsia="en-US"/>
        </w:rPr>
        <w:t xml:space="preserve">contribuiría a la supervisión educativa de los prescriptores </w:t>
      </w:r>
      <w:r w:rsidR="00AB29E5">
        <w:rPr>
          <w:lang w:val="es-MX" w:eastAsia="en-US"/>
        </w:rPr>
        <w:t>que garantice</w:t>
      </w:r>
      <w:r w:rsidR="007E0638">
        <w:rPr>
          <w:lang w:val="es-MX" w:eastAsia="en-US"/>
        </w:rPr>
        <w:t xml:space="preserve"> su apego a las normas y guías clínicas a nivel regional y nacional (vigilancia del marco normativo).</w:t>
      </w:r>
      <w:r w:rsidR="00063213">
        <w:rPr>
          <w:lang w:val="es-MX" w:eastAsia="en-US"/>
        </w:rPr>
        <w:t xml:space="preserve"> Un ejemplo de este tipo de sistemas es el Sistema de Administración, Logística y Vigilancia de Antirretrovirales (SALVAR) implementado por México, cuyo objetivo ha sido el automatizar y facilitar el seguimiento y administración del TAR</w:t>
      </w:r>
      <w:r w:rsidR="00F9112E">
        <w:rPr>
          <w:lang w:val="es-MX" w:eastAsia="en-US"/>
        </w:rPr>
        <w:t xml:space="preserve">. Este sistema ha sido beneficioso tanto para la planeación y control de inventarios de medicamentos ARV como en la vigilancia de la calidad de la prescripción médica </w:t>
      </w:r>
      <w:proofErr w:type="gramStart"/>
      <w:r w:rsidR="00F9112E">
        <w:rPr>
          <w:lang w:val="es-MX" w:eastAsia="en-US"/>
        </w:rPr>
        <w:t>de acuerdo a</w:t>
      </w:r>
      <w:proofErr w:type="gramEnd"/>
      <w:r w:rsidR="00F9112E">
        <w:rPr>
          <w:lang w:val="es-MX" w:eastAsia="en-US"/>
        </w:rPr>
        <w:t xml:space="preserve"> la Guía de Manejo Antirretroviral nacional.</w:t>
      </w:r>
    </w:p>
    <w:p w14:paraId="2CD971F8" w14:textId="6E25EC92" w:rsidR="001D56C8" w:rsidRPr="00431F8A" w:rsidRDefault="00B476B3" w:rsidP="009B24F7">
      <w:pPr>
        <w:pStyle w:val="Heading3"/>
        <w:tabs>
          <w:tab w:val="clear" w:pos="851"/>
          <w:tab w:val="left" w:pos="90"/>
          <w:tab w:val="left" w:pos="1170"/>
        </w:tabs>
        <w:ind w:left="90" w:hanging="270"/>
        <w:jc w:val="both"/>
        <w:rPr>
          <w:rFonts w:ascii="Times New Roman" w:hAnsi="Times New Roman"/>
          <w:sz w:val="22"/>
          <w:lang w:val="es-CO"/>
        </w:rPr>
      </w:pPr>
      <w:r w:rsidRPr="00431F8A">
        <w:rPr>
          <w:rFonts w:ascii="Times New Roman" w:hAnsi="Times New Roman"/>
          <w:sz w:val="22"/>
          <w:lang w:val="es-CO"/>
        </w:rPr>
        <w:t>Actualizar normas, guías y protocolos nacionales en función al perfil de resistencia a los ARV</w:t>
      </w:r>
    </w:p>
    <w:p w14:paraId="19D1F24D" w14:textId="0E52872A" w:rsidR="001D56C8" w:rsidRDefault="001D56C8" w:rsidP="001D56C8">
      <w:pPr>
        <w:ind w:firstLine="0"/>
        <w:rPr>
          <w:lang w:val="es-CO" w:eastAsia="en-US"/>
        </w:rPr>
      </w:pPr>
      <w:r w:rsidRPr="0095779C">
        <w:rPr>
          <w:lang w:val="es-MX" w:eastAsia="en-US"/>
        </w:rPr>
        <w:t xml:space="preserve">A través del apoyo de </w:t>
      </w:r>
      <w:r w:rsidRPr="0095779C">
        <w:rPr>
          <w:lang w:val="es-CO" w:eastAsia="en-US"/>
        </w:rPr>
        <w:t xml:space="preserve">la Unidad de Vigilancia de la Salud, el sistema de vigilancia a la resistencia de los ARV debe ser utilizado para establecer los lineamientos de la vigilancia a la resistencia a los ARV (cada 2 años) tomando en cuenta las recomendaciones de OPS/OMS.  </w:t>
      </w:r>
      <w:r w:rsidR="00DC6BEA">
        <w:rPr>
          <w:lang w:val="es-CO" w:eastAsia="en-US"/>
        </w:rPr>
        <w:t>Como ac</w:t>
      </w:r>
      <w:r w:rsidR="001435A6">
        <w:rPr>
          <w:lang w:val="es-CO" w:eastAsia="en-US"/>
        </w:rPr>
        <w:t xml:space="preserve">tividad de </w:t>
      </w:r>
      <w:r w:rsidR="00DC6BEA">
        <w:rPr>
          <w:lang w:val="es-CO" w:eastAsia="en-US"/>
        </w:rPr>
        <w:t>corto plazo, la</w:t>
      </w:r>
      <w:r w:rsidRPr="0095779C">
        <w:rPr>
          <w:lang w:val="es-CO" w:eastAsia="en-US"/>
        </w:rPr>
        <w:t xml:space="preserve"> Dirección General de Normalización debe</w:t>
      </w:r>
      <w:r w:rsidR="00DC6BEA">
        <w:rPr>
          <w:lang w:val="es-CO" w:eastAsia="en-US"/>
        </w:rPr>
        <w:t>rá</w:t>
      </w:r>
      <w:r w:rsidRPr="0095779C">
        <w:rPr>
          <w:lang w:val="es-CO" w:eastAsia="en-US"/>
        </w:rPr>
        <w:t xml:space="preserve"> ser involucrada en la modificación del marco normativo (incluyendo guías y protocolos de manejo) para incluir los esquemas propuestos en la Encuesta resistencia del VIH a los medicamentos antirretrovirales en Honduras de 2016-2017</w:t>
      </w:r>
      <w:r w:rsidR="00910288">
        <w:rPr>
          <w:lang w:val="es-CO" w:eastAsia="en-US"/>
        </w:rPr>
        <w:t>.</w:t>
      </w:r>
    </w:p>
    <w:p w14:paraId="508589B6" w14:textId="1FAC25B9" w:rsidR="00E27D9D" w:rsidRDefault="0013609F" w:rsidP="00F32981">
      <w:pPr>
        <w:pStyle w:val="Heading3"/>
        <w:tabs>
          <w:tab w:val="clear" w:pos="851"/>
          <w:tab w:val="left" w:pos="90"/>
          <w:tab w:val="left" w:pos="1170"/>
        </w:tabs>
        <w:ind w:left="90" w:hanging="270"/>
        <w:jc w:val="both"/>
        <w:rPr>
          <w:rFonts w:ascii="Times New Roman" w:hAnsi="Times New Roman"/>
          <w:sz w:val="22"/>
          <w:lang w:val="es-CO"/>
        </w:rPr>
      </w:pPr>
      <w:r w:rsidRPr="00E27D9D">
        <w:rPr>
          <w:rFonts w:ascii="Times New Roman" w:hAnsi="Times New Roman"/>
          <w:sz w:val="22"/>
          <w:lang w:val="es-CO"/>
        </w:rPr>
        <w:t xml:space="preserve">Elaborar un “Plan de migración de pacientes a un nuevo esquema de tratamiento basado en TLD (dosis diaria fija que combina </w:t>
      </w:r>
      <w:proofErr w:type="spellStart"/>
      <w:r w:rsidRPr="00E27D9D">
        <w:rPr>
          <w:rFonts w:ascii="Times New Roman" w:hAnsi="Times New Roman"/>
          <w:sz w:val="22"/>
          <w:lang w:val="es-CO"/>
        </w:rPr>
        <w:t>Tenofovir</w:t>
      </w:r>
      <w:proofErr w:type="spellEnd"/>
      <w:r w:rsidRPr="00E27D9D">
        <w:rPr>
          <w:rFonts w:ascii="Times New Roman" w:hAnsi="Times New Roman"/>
          <w:sz w:val="22"/>
          <w:lang w:val="es-CO"/>
        </w:rPr>
        <w:t xml:space="preserve">, </w:t>
      </w:r>
      <w:proofErr w:type="spellStart"/>
      <w:r w:rsidRPr="00E27D9D">
        <w:rPr>
          <w:rFonts w:ascii="Times New Roman" w:hAnsi="Times New Roman"/>
          <w:sz w:val="22"/>
          <w:lang w:val="es-CO"/>
        </w:rPr>
        <w:t>Disoproxilo</w:t>
      </w:r>
      <w:proofErr w:type="spellEnd"/>
      <w:r w:rsidRPr="00E27D9D">
        <w:rPr>
          <w:rFonts w:ascii="Times New Roman" w:hAnsi="Times New Roman"/>
          <w:sz w:val="22"/>
          <w:lang w:val="es-CO"/>
        </w:rPr>
        <w:t xml:space="preserve"> fumarato, </w:t>
      </w:r>
      <w:proofErr w:type="spellStart"/>
      <w:r w:rsidRPr="00E27D9D">
        <w:rPr>
          <w:rFonts w:ascii="Times New Roman" w:hAnsi="Times New Roman"/>
          <w:sz w:val="22"/>
          <w:lang w:val="es-CO"/>
        </w:rPr>
        <w:t>Lamivudina</w:t>
      </w:r>
      <w:proofErr w:type="spellEnd"/>
      <w:r w:rsidRPr="00E27D9D">
        <w:rPr>
          <w:rFonts w:ascii="Times New Roman" w:hAnsi="Times New Roman"/>
          <w:sz w:val="22"/>
          <w:lang w:val="es-CO"/>
        </w:rPr>
        <w:t xml:space="preserve"> y </w:t>
      </w:r>
      <w:proofErr w:type="spellStart"/>
      <w:r w:rsidRPr="00E27D9D">
        <w:rPr>
          <w:rFonts w:ascii="Times New Roman" w:hAnsi="Times New Roman"/>
          <w:sz w:val="22"/>
          <w:lang w:val="es-CO"/>
        </w:rPr>
        <w:t>Dolutegravir</w:t>
      </w:r>
      <w:proofErr w:type="spellEnd"/>
      <w:r w:rsidRPr="00E27D9D">
        <w:rPr>
          <w:rFonts w:ascii="Times New Roman" w:hAnsi="Times New Roman"/>
          <w:sz w:val="22"/>
          <w:lang w:val="es-CO"/>
        </w:rPr>
        <w:t>)”</w:t>
      </w:r>
    </w:p>
    <w:p w14:paraId="0F180803" w14:textId="11F6DDFA" w:rsidR="0013609F" w:rsidRPr="0013609F" w:rsidRDefault="00F32981" w:rsidP="001D56C8">
      <w:pPr>
        <w:ind w:firstLine="0"/>
        <w:rPr>
          <w:lang w:val="es-MX" w:eastAsia="en-US"/>
        </w:rPr>
      </w:pPr>
      <w:r>
        <w:rPr>
          <w:lang w:val="es-CO" w:eastAsia="en-US"/>
        </w:rPr>
        <w:t xml:space="preserve">El TLD ofrece respecto a las terapias anteriores, </w:t>
      </w:r>
      <w:proofErr w:type="gramStart"/>
      <w:r>
        <w:rPr>
          <w:lang w:val="es-CO" w:eastAsia="en-US"/>
        </w:rPr>
        <w:t>mayor tolerabilidad y mayor barrera</w:t>
      </w:r>
      <w:proofErr w:type="gramEnd"/>
      <w:r>
        <w:rPr>
          <w:lang w:val="es-CO" w:eastAsia="en-US"/>
        </w:rPr>
        <w:t xml:space="preserve"> a la resistencia. Por esta razón su introducción ha sido promovid</w:t>
      </w:r>
      <w:r w:rsidR="00120A8F">
        <w:rPr>
          <w:lang w:val="es-CO" w:eastAsia="en-US"/>
        </w:rPr>
        <w:t xml:space="preserve">o extensamente </w:t>
      </w:r>
      <w:r w:rsidR="00103308">
        <w:rPr>
          <w:lang w:val="es-CO" w:eastAsia="en-US"/>
        </w:rPr>
        <w:t>por</w:t>
      </w:r>
      <w:r w:rsidR="00120A8F">
        <w:rPr>
          <w:lang w:val="es-CO" w:eastAsia="en-US"/>
        </w:rPr>
        <w:t xml:space="preserve"> las agencias internacionales, </w:t>
      </w:r>
      <w:r w:rsidR="00103308">
        <w:rPr>
          <w:lang w:val="es-CO" w:eastAsia="en-US"/>
        </w:rPr>
        <w:t xml:space="preserve">en especial por </w:t>
      </w:r>
      <w:r w:rsidR="00120A8F">
        <w:rPr>
          <w:lang w:val="es-CO" w:eastAsia="en-US"/>
        </w:rPr>
        <w:t>PEPFAR</w:t>
      </w:r>
      <w:r w:rsidR="000B48F3">
        <w:rPr>
          <w:lang w:val="es-CO" w:eastAsia="en-US"/>
        </w:rPr>
        <w:t xml:space="preserve"> y ONUSIDA.</w:t>
      </w:r>
      <w:r w:rsidR="00BB34FE">
        <w:rPr>
          <w:lang w:val="es-CO" w:eastAsia="en-US"/>
        </w:rPr>
        <w:t xml:space="preserve"> Para poder adoptar este esquema en Honduras, se deberán realizar ajustes en la</w:t>
      </w:r>
      <w:r w:rsidR="00203842">
        <w:rPr>
          <w:lang w:val="es-CO" w:eastAsia="en-US"/>
        </w:rPr>
        <w:t>s</w:t>
      </w:r>
      <w:r w:rsidR="00BB34FE">
        <w:rPr>
          <w:lang w:val="es-CO" w:eastAsia="en-US"/>
        </w:rPr>
        <w:t xml:space="preserve"> compras,</w:t>
      </w:r>
      <w:r w:rsidR="00D225DB">
        <w:rPr>
          <w:lang w:val="es-CO" w:eastAsia="en-US"/>
        </w:rPr>
        <w:t xml:space="preserve"> capacitar al personal de salud y sensibilizar a las PVIH sobre las ventajas de este tratamiento. Como guía de este proceso, existe un </w:t>
      </w:r>
      <w:proofErr w:type="spellStart"/>
      <w:r w:rsidR="00D225DB">
        <w:rPr>
          <w:lang w:val="es-CO" w:eastAsia="en-US"/>
        </w:rPr>
        <w:t>checklist</w:t>
      </w:r>
      <w:proofErr w:type="spellEnd"/>
      <w:r w:rsidR="00D225DB">
        <w:rPr>
          <w:lang w:val="es-CO" w:eastAsia="en-US"/>
        </w:rPr>
        <w:t xml:space="preserve"> con acciones a considerar </w:t>
      </w:r>
      <w:r w:rsidR="006F5667">
        <w:rPr>
          <w:lang w:val="es-CO" w:eastAsia="en-US"/>
        </w:rPr>
        <w:t xml:space="preserve">en </w:t>
      </w:r>
      <w:r w:rsidR="00D225DB">
        <w:rPr>
          <w:lang w:val="es-CO" w:eastAsia="en-US"/>
        </w:rPr>
        <w:t>este Plan.</w:t>
      </w:r>
      <w:r w:rsidR="00D225DB">
        <w:rPr>
          <w:rStyle w:val="FootnoteReference"/>
          <w:lang w:val="es-CO" w:eastAsia="en-US"/>
        </w:rPr>
        <w:footnoteReference w:id="16"/>
      </w:r>
    </w:p>
    <w:p w14:paraId="0032F24B" w14:textId="77777777" w:rsidR="001D56C8" w:rsidRPr="006C11B6" w:rsidRDefault="001D56C8" w:rsidP="001D56C8">
      <w:pPr>
        <w:ind w:firstLine="0"/>
        <w:rPr>
          <w:i/>
          <w:u w:val="single"/>
          <w:lang w:val="es-CO" w:eastAsia="en-US"/>
        </w:rPr>
      </w:pPr>
      <w:r w:rsidRPr="006C11B6">
        <w:rPr>
          <w:i/>
          <w:u w:val="single"/>
          <w:lang w:val="es-CO" w:eastAsia="en-US"/>
        </w:rPr>
        <w:lastRenderedPageBreak/>
        <w:t>Resistencia a medicamentos de TB</w:t>
      </w:r>
    </w:p>
    <w:p w14:paraId="3D85D16E" w14:textId="52EF92CE" w:rsidR="001D56C8" w:rsidRPr="0095779C" w:rsidRDefault="001D56C8" w:rsidP="001D56C8">
      <w:pPr>
        <w:ind w:firstLine="0"/>
        <w:rPr>
          <w:lang w:val="es-MX" w:eastAsia="en-US"/>
        </w:rPr>
      </w:pPr>
      <w:r w:rsidRPr="0095779C">
        <w:rPr>
          <w:lang w:val="es-MX" w:eastAsia="en-US"/>
        </w:rPr>
        <w:t>La</w:t>
      </w:r>
      <w:r w:rsidR="009C4E37" w:rsidRPr="009C4E37">
        <w:rPr>
          <w:lang w:val="es-419" w:eastAsia="en-US"/>
        </w:rPr>
        <w:t xml:space="preserve"> </w:t>
      </w:r>
      <w:r w:rsidR="009C4E37" w:rsidRPr="0095779C">
        <w:rPr>
          <w:lang w:val="es-419" w:eastAsia="en-US"/>
        </w:rPr>
        <w:t>tuberculosis resistente a la primera línea de tratamiento</w:t>
      </w:r>
      <w:r w:rsidRPr="0095779C">
        <w:rPr>
          <w:lang w:val="es-MX" w:eastAsia="en-US"/>
        </w:rPr>
        <w:t xml:space="preserve"> </w:t>
      </w:r>
      <w:r w:rsidR="009C4E37">
        <w:rPr>
          <w:lang w:val="es-MX" w:eastAsia="en-US"/>
        </w:rPr>
        <w:t>(</w:t>
      </w:r>
      <w:r w:rsidRPr="0095779C">
        <w:rPr>
          <w:lang w:val="es-MX" w:eastAsia="en-US"/>
        </w:rPr>
        <w:t>TB-MDR</w:t>
      </w:r>
      <w:r w:rsidR="009C4E37">
        <w:rPr>
          <w:lang w:val="es-MX" w:eastAsia="en-US"/>
        </w:rPr>
        <w:t>)</w:t>
      </w:r>
      <w:r w:rsidRPr="0095779C">
        <w:rPr>
          <w:lang w:val="es-MX" w:eastAsia="en-US"/>
        </w:rPr>
        <w:t xml:space="preserve"> produce mayor mortalidad que los casos de TB sensible al tratamiento antituberculoso. </w:t>
      </w:r>
      <w:r w:rsidR="00242029">
        <w:rPr>
          <w:lang w:val="es-MX" w:eastAsia="en-US"/>
        </w:rPr>
        <w:t>E</w:t>
      </w:r>
      <w:r w:rsidRPr="0095779C">
        <w:rPr>
          <w:lang w:val="es-MX" w:eastAsia="en-US"/>
        </w:rPr>
        <w:t>l mayor costo del tratamiento de TB-MDR, representa un riesgo financiero para la sostenibilidad del programa dado el mayor costo de los medicamentos</w:t>
      </w:r>
      <w:r w:rsidR="00DD61F8">
        <w:rPr>
          <w:lang w:val="es-MX" w:eastAsia="en-US"/>
        </w:rPr>
        <w:t xml:space="preserve"> (más de US$ 2 mil)</w:t>
      </w:r>
      <w:r w:rsidRPr="0095779C">
        <w:rPr>
          <w:lang w:val="es-MX" w:eastAsia="en-US"/>
        </w:rPr>
        <w:t xml:space="preserve"> y duración del cuidado para tratar </w:t>
      </w:r>
      <w:r w:rsidR="009A6DA2">
        <w:rPr>
          <w:lang w:val="es-MX" w:eastAsia="en-US"/>
        </w:rPr>
        <w:t xml:space="preserve">la </w:t>
      </w:r>
      <w:r w:rsidRPr="0095779C">
        <w:rPr>
          <w:lang w:val="es-MX" w:eastAsia="en-US"/>
        </w:rPr>
        <w:t xml:space="preserve">TB-MDR </w:t>
      </w:r>
      <w:r w:rsidR="00DD61F8">
        <w:rPr>
          <w:lang w:val="es-MX" w:eastAsia="en-US"/>
        </w:rPr>
        <w:t xml:space="preserve">(hasta 18 meses) </w:t>
      </w:r>
      <w:r w:rsidRPr="0095779C">
        <w:rPr>
          <w:lang w:val="es-MX" w:eastAsia="en-US"/>
        </w:rPr>
        <w:t>en comparación con</w:t>
      </w:r>
      <w:r w:rsidR="00552ECF">
        <w:rPr>
          <w:lang w:val="es-MX" w:eastAsia="en-US"/>
        </w:rPr>
        <w:t xml:space="preserve"> la</w:t>
      </w:r>
      <w:r w:rsidRPr="0095779C">
        <w:rPr>
          <w:lang w:val="es-MX" w:eastAsia="en-US"/>
        </w:rPr>
        <w:t xml:space="preserve"> TB sensible.</w:t>
      </w:r>
    </w:p>
    <w:p w14:paraId="666D7573" w14:textId="2076997A" w:rsidR="00650E5A" w:rsidRPr="00C54BC2" w:rsidRDefault="005448A9" w:rsidP="001D56C8">
      <w:pPr>
        <w:ind w:firstLine="0"/>
        <w:rPr>
          <w:lang w:val="es-419" w:eastAsia="en-US"/>
        </w:rPr>
      </w:pPr>
      <w:r>
        <w:rPr>
          <w:lang w:val="es-ES" w:eastAsia="en-US"/>
        </w:rPr>
        <w:t>E</w:t>
      </w:r>
      <w:r>
        <w:rPr>
          <w:lang w:val="es-MX" w:eastAsia="en-US"/>
        </w:rPr>
        <w:t>n los últimos años el</w:t>
      </w:r>
      <w:r w:rsidRPr="0095779C">
        <w:rPr>
          <w:lang w:val="es-ES" w:eastAsia="en-US"/>
        </w:rPr>
        <w:t xml:space="preserve"> país ha </w:t>
      </w:r>
      <w:r>
        <w:rPr>
          <w:lang w:val="es-ES" w:eastAsia="en-US"/>
        </w:rPr>
        <w:t>fortalecido</w:t>
      </w:r>
      <w:r w:rsidRPr="0095779C">
        <w:rPr>
          <w:lang w:val="es-ES" w:eastAsia="en-US"/>
        </w:rPr>
        <w:t xml:space="preserve"> la vigilancia de </w:t>
      </w:r>
      <w:r w:rsidRPr="0095779C">
        <w:rPr>
          <w:lang w:val="es-419" w:eastAsia="en-US"/>
        </w:rPr>
        <w:t>la TB-MDR</w:t>
      </w:r>
      <w:r w:rsidRPr="0095779C">
        <w:rPr>
          <w:lang w:val="es-ES" w:eastAsia="en-US"/>
        </w:rPr>
        <w:t>, lo que se evidencia en el incremento de las Pruebas de Sensibilidad (PSD) realizadas en los pacientes antes tratados, que ha pasado de 34% en el 2011 a 51% en el 2017.</w:t>
      </w:r>
      <w:r>
        <w:rPr>
          <w:lang w:val="es-MX" w:eastAsia="en-US"/>
        </w:rPr>
        <w:t xml:space="preserve"> </w:t>
      </w:r>
      <w:r w:rsidR="00650E5A">
        <w:rPr>
          <w:lang w:val="es-MX" w:eastAsia="en-US"/>
        </w:rPr>
        <w:t xml:space="preserve">A partir de la </w:t>
      </w:r>
      <w:r w:rsidR="00CC5E05">
        <w:rPr>
          <w:lang w:val="es-MX" w:eastAsia="en-US"/>
        </w:rPr>
        <w:t>introducción en el país del</w:t>
      </w:r>
      <w:r w:rsidR="00650E5A">
        <w:rPr>
          <w:lang w:val="es-MX" w:eastAsia="en-US"/>
        </w:rPr>
        <w:t xml:space="preserve"> equipamiento Gene</w:t>
      </w:r>
      <w:r w:rsidR="00321F4E">
        <w:rPr>
          <w:lang w:val="es-MX" w:eastAsia="en-US"/>
        </w:rPr>
        <w:t>-</w:t>
      </w:r>
      <w:proofErr w:type="spellStart"/>
      <w:r w:rsidR="00650E5A">
        <w:rPr>
          <w:lang w:val="es-MX" w:eastAsia="en-US"/>
        </w:rPr>
        <w:t>Xpert</w:t>
      </w:r>
      <w:proofErr w:type="spellEnd"/>
      <w:r w:rsidR="00321F4E">
        <w:rPr>
          <w:lang w:val="es-MX" w:eastAsia="en-US"/>
        </w:rPr>
        <w:t xml:space="preserve"> MTB/RIF</w:t>
      </w:r>
      <w:r w:rsidR="00650E5A">
        <w:rPr>
          <w:lang w:val="es-MX" w:eastAsia="en-US"/>
        </w:rPr>
        <w:t>, el país ha incrementado el número de casos</w:t>
      </w:r>
      <w:r w:rsidR="007C6B16">
        <w:rPr>
          <w:lang w:val="es-MX" w:eastAsia="en-US"/>
        </w:rPr>
        <w:t xml:space="preserve"> </w:t>
      </w:r>
      <w:r>
        <w:rPr>
          <w:lang w:val="es-MX" w:eastAsia="en-US"/>
        </w:rPr>
        <w:t xml:space="preserve">de </w:t>
      </w:r>
      <w:r w:rsidR="00650E5A">
        <w:rPr>
          <w:lang w:val="es-MX" w:eastAsia="en-US"/>
        </w:rPr>
        <w:t>TB-MDR</w:t>
      </w:r>
      <w:r>
        <w:rPr>
          <w:lang w:val="es-MX" w:eastAsia="en-US"/>
        </w:rPr>
        <w:t xml:space="preserve"> </w:t>
      </w:r>
      <w:r w:rsidR="00321F4E">
        <w:rPr>
          <w:lang w:val="es-MX" w:eastAsia="en-US"/>
        </w:rPr>
        <w:t>detectados</w:t>
      </w:r>
      <w:r w:rsidR="007C6B16">
        <w:rPr>
          <w:lang w:val="es-MX" w:eastAsia="en-US"/>
        </w:rPr>
        <w:t xml:space="preserve"> pasando de </w:t>
      </w:r>
      <w:r w:rsidR="00321F4E">
        <w:rPr>
          <w:lang w:val="es-MX" w:eastAsia="en-US"/>
        </w:rPr>
        <w:t>5</w:t>
      </w:r>
      <w:r w:rsidR="007C6B16">
        <w:rPr>
          <w:lang w:val="es-MX" w:eastAsia="en-US"/>
        </w:rPr>
        <w:t xml:space="preserve"> </w:t>
      </w:r>
      <w:r w:rsidR="00321F4E">
        <w:rPr>
          <w:lang w:val="es-MX" w:eastAsia="en-US"/>
        </w:rPr>
        <w:t>casos anuales antes del 2014</w:t>
      </w:r>
      <w:r w:rsidR="007C6B16">
        <w:rPr>
          <w:lang w:val="es-MX" w:eastAsia="en-US"/>
        </w:rPr>
        <w:t xml:space="preserve"> a </w:t>
      </w:r>
      <w:r w:rsidR="00321F4E">
        <w:rPr>
          <w:lang w:val="es-MX" w:eastAsia="en-US"/>
        </w:rPr>
        <w:t>20</w:t>
      </w:r>
      <w:r w:rsidR="007C6B16">
        <w:rPr>
          <w:lang w:val="es-MX" w:eastAsia="en-US"/>
        </w:rPr>
        <w:t xml:space="preserve"> en </w:t>
      </w:r>
      <w:r w:rsidR="00321F4E">
        <w:rPr>
          <w:lang w:val="es-MX" w:eastAsia="en-US"/>
        </w:rPr>
        <w:t>el 2016</w:t>
      </w:r>
      <w:r w:rsidR="00650E5A">
        <w:rPr>
          <w:lang w:val="es-MX" w:eastAsia="en-US"/>
        </w:rPr>
        <w:t>. No obstante, este número sigue siendo bajo en comparación con los casos estimados por OPS/OMS (21 casos detectados</w:t>
      </w:r>
      <w:r w:rsidR="00FC0126">
        <w:rPr>
          <w:lang w:val="es-MX" w:eastAsia="en-US"/>
        </w:rPr>
        <w:t xml:space="preserve"> en 2017</w:t>
      </w:r>
      <w:r w:rsidR="00650E5A">
        <w:rPr>
          <w:lang w:val="es-MX" w:eastAsia="en-US"/>
        </w:rPr>
        <w:t xml:space="preserve"> de</w:t>
      </w:r>
      <w:r w:rsidR="00FC0126">
        <w:rPr>
          <w:lang w:val="es-MX" w:eastAsia="en-US"/>
        </w:rPr>
        <w:t xml:space="preserve"> los</w:t>
      </w:r>
      <w:r w:rsidR="00650E5A">
        <w:rPr>
          <w:lang w:val="es-MX" w:eastAsia="en-US"/>
        </w:rPr>
        <w:t xml:space="preserve"> 103</w:t>
      </w:r>
      <w:r w:rsidR="006F3DFF">
        <w:rPr>
          <w:lang w:val="es-MX" w:eastAsia="en-US"/>
        </w:rPr>
        <w:t xml:space="preserve"> estimados</w:t>
      </w:r>
      <w:r w:rsidR="00650E5A">
        <w:rPr>
          <w:lang w:val="es-MX" w:eastAsia="en-US"/>
        </w:rPr>
        <w:t>)</w:t>
      </w:r>
      <w:r w:rsidR="00E068E0">
        <w:rPr>
          <w:lang w:val="es-MX" w:eastAsia="en-US"/>
        </w:rPr>
        <w:t>. A</w:t>
      </w:r>
      <w:r w:rsidR="007C6B16">
        <w:rPr>
          <w:lang w:val="es-MX" w:eastAsia="en-US"/>
        </w:rPr>
        <w:t>demás</w:t>
      </w:r>
      <w:r w:rsidR="00FD435B">
        <w:rPr>
          <w:lang w:val="es-MX" w:eastAsia="en-US"/>
        </w:rPr>
        <w:t>,</w:t>
      </w:r>
      <w:r w:rsidR="007C6B16">
        <w:rPr>
          <w:lang w:val="es-MX" w:eastAsia="en-US"/>
        </w:rPr>
        <w:t xml:space="preserve"> </w:t>
      </w:r>
      <w:r w:rsidR="007C6B16" w:rsidRPr="0095779C">
        <w:rPr>
          <w:lang w:val="es-ES" w:eastAsia="en-US"/>
        </w:rPr>
        <w:t>p</w:t>
      </w:r>
      <w:proofErr w:type="spellStart"/>
      <w:r w:rsidR="007C6B16" w:rsidRPr="0095779C">
        <w:rPr>
          <w:lang w:val="es-419" w:eastAsia="en-US"/>
        </w:rPr>
        <w:t>ersiste</w:t>
      </w:r>
      <w:proofErr w:type="spellEnd"/>
      <w:r w:rsidR="007C6B16" w:rsidRPr="0095779C">
        <w:rPr>
          <w:lang w:val="es-419" w:eastAsia="en-US"/>
        </w:rPr>
        <w:t xml:space="preserve"> un porcentaje de alrededor del 30% de extendidos diagnósticos de mala calidad realizados por personal no capacitado</w:t>
      </w:r>
      <w:r w:rsidR="00E068E0">
        <w:rPr>
          <w:lang w:val="es-419" w:eastAsia="en-US"/>
        </w:rPr>
        <w:t xml:space="preserve"> y se reporta una subutilización del equipo Gene-</w:t>
      </w:r>
      <w:proofErr w:type="spellStart"/>
      <w:r w:rsidR="00E068E0">
        <w:rPr>
          <w:lang w:val="es-419" w:eastAsia="en-US"/>
        </w:rPr>
        <w:t>Xpert</w:t>
      </w:r>
      <w:proofErr w:type="spellEnd"/>
      <w:r w:rsidR="00E068E0">
        <w:rPr>
          <w:lang w:val="es-419" w:eastAsia="en-US"/>
        </w:rPr>
        <w:t xml:space="preserve"> (10% de utilización)</w:t>
      </w:r>
      <w:r w:rsidR="00650E5A">
        <w:rPr>
          <w:lang w:val="es-MX" w:eastAsia="en-US"/>
        </w:rPr>
        <w:t>.</w:t>
      </w:r>
      <w:r w:rsidR="007C6B16" w:rsidRPr="0095779C">
        <w:rPr>
          <w:vertAlign w:val="superscript"/>
          <w:lang w:val="es-ES" w:eastAsia="en-US"/>
        </w:rPr>
        <w:footnoteReference w:id="17"/>
      </w:r>
      <w:r w:rsidR="00DB558A">
        <w:rPr>
          <w:rStyle w:val="FootnoteReference"/>
          <w:lang w:val="es-MX" w:eastAsia="en-US"/>
        </w:rPr>
        <w:footnoteReference w:id="18"/>
      </w:r>
    </w:p>
    <w:p w14:paraId="697C7D73" w14:textId="53A01EC8" w:rsidR="004A3C97" w:rsidRDefault="006475F6" w:rsidP="001D56C8">
      <w:pPr>
        <w:ind w:firstLine="0"/>
        <w:rPr>
          <w:lang w:val="es-419" w:eastAsia="en-US"/>
        </w:rPr>
      </w:pPr>
      <w:r w:rsidRPr="0095779C">
        <w:rPr>
          <w:lang w:val="es-CO" w:eastAsia="en-US"/>
        </w:rPr>
        <w:t>Para fortalecer la búsqueda de casos de TB-MDR, es im</w:t>
      </w:r>
      <w:bookmarkStart w:id="39" w:name="_GoBack"/>
      <w:bookmarkEnd w:id="39"/>
      <w:r w:rsidRPr="0095779C">
        <w:rPr>
          <w:lang w:val="es-CO" w:eastAsia="en-US"/>
        </w:rPr>
        <w:t>portante mejorar la capacidad local de realizar investigaciones de contactos y convivientes de una persona con la enfermedad</w:t>
      </w:r>
      <w:r>
        <w:rPr>
          <w:lang w:val="es-CO" w:eastAsia="en-US"/>
        </w:rPr>
        <w:t xml:space="preserve">. </w:t>
      </w:r>
      <w:r w:rsidR="001D56C8" w:rsidRPr="0095779C">
        <w:rPr>
          <w:lang w:val="es-MX" w:eastAsia="en-US"/>
        </w:rPr>
        <w:t xml:space="preserve">Las </w:t>
      </w:r>
      <w:r w:rsidR="0062452A">
        <w:rPr>
          <w:lang w:val="es-MX" w:eastAsia="en-US"/>
        </w:rPr>
        <w:t xml:space="preserve">limitaciones </w:t>
      </w:r>
      <w:r w:rsidR="001D56C8" w:rsidRPr="0095779C">
        <w:rPr>
          <w:lang w:val="es-MX" w:eastAsia="en-US"/>
        </w:rPr>
        <w:t>detectadas por el país</w:t>
      </w:r>
      <w:r w:rsidR="001C7640">
        <w:rPr>
          <w:lang w:val="es-MX" w:eastAsia="en-US"/>
        </w:rPr>
        <w:t xml:space="preserve"> en la búsqueda de</w:t>
      </w:r>
      <w:r w:rsidR="001C7640" w:rsidRPr="0095779C">
        <w:rPr>
          <w:lang w:val="es-MX" w:eastAsia="en-US"/>
        </w:rPr>
        <w:t xml:space="preserve"> casos de TB-MDR</w:t>
      </w:r>
      <w:r w:rsidR="001D56C8" w:rsidRPr="0095779C">
        <w:rPr>
          <w:lang w:val="es-MX" w:eastAsia="en-US"/>
        </w:rPr>
        <w:t xml:space="preserve"> </w:t>
      </w:r>
      <w:r w:rsidR="0062452A">
        <w:rPr>
          <w:lang w:val="es-MX" w:eastAsia="en-US"/>
        </w:rPr>
        <w:t>fueron</w:t>
      </w:r>
      <w:r w:rsidR="001D56C8" w:rsidRPr="0095779C">
        <w:rPr>
          <w:lang w:val="es-MX" w:eastAsia="en-US"/>
        </w:rPr>
        <w:t xml:space="preserve"> la falta de personal para la detección y seguimiento de pacientes por falta de recursos financieros y la dificultad de acceso a los casos por la inseguridad que enfrenta el personal de salud asociada por la violencia </w:t>
      </w:r>
      <w:r w:rsidR="005C72B3" w:rsidRPr="0095779C">
        <w:rPr>
          <w:lang w:val="es-MX" w:eastAsia="en-US"/>
        </w:rPr>
        <w:t>social</w:t>
      </w:r>
      <w:r w:rsidR="001D56C8" w:rsidRPr="0095779C">
        <w:rPr>
          <w:lang w:val="es-MX" w:eastAsia="en-US"/>
        </w:rPr>
        <w:t xml:space="preserve">. </w:t>
      </w:r>
      <w:r w:rsidR="001D56C8" w:rsidRPr="0095779C">
        <w:rPr>
          <w:lang w:val="es-419" w:eastAsia="en-US"/>
        </w:rPr>
        <w:t>Además, el presupuesto asignado para las actividades de diagnóstico laboratorial y estudios de sensibilidad a medicamentos antituberculosos, así como el destinado al monitoreo, supervisión, evaluación y capacitación es insuficiente.</w:t>
      </w:r>
    </w:p>
    <w:p w14:paraId="02D2FCC6" w14:textId="513402A1" w:rsidR="0058464D" w:rsidRPr="00431F8A" w:rsidRDefault="0058464D" w:rsidP="0058464D">
      <w:pPr>
        <w:pStyle w:val="Heading3"/>
        <w:tabs>
          <w:tab w:val="clear" w:pos="851"/>
          <w:tab w:val="left" w:pos="90"/>
          <w:tab w:val="left" w:pos="1170"/>
        </w:tabs>
        <w:ind w:left="90" w:hanging="270"/>
        <w:jc w:val="both"/>
        <w:rPr>
          <w:rFonts w:ascii="Times New Roman" w:hAnsi="Times New Roman"/>
          <w:sz w:val="22"/>
          <w:lang w:val="es-CO"/>
        </w:rPr>
      </w:pPr>
      <w:r w:rsidRPr="00431F8A">
        <w:rPr>
          <w:rFonts w:ascii="Times New Roman" w:hAnsi="Times New Roman"/>
          <w:sz w:val="22"/>
          <w:lang w:val="es-CO"/>
        </w:rPr>
        <w:t>Realizar investigación de contactos y convivientes</w:t>
      </w:r>
      <w:r w:rsidR="00367125">
        <w:rPr>
          <w:rFonts w:ascii="Times New Roman" w:hAnsi="Times New Roman"/>
          <w:sz w:val="22"/>
          <w:lang w:val="es-CO"/>
        </w:rPr>
        <w:t xml:space="preserve"> de pacientes </w:t>
      </w:r>
      <w:r w:rsidR="005F647B">
        <w:rPr>
          <w:rFonts w:ascii="Times New Roman" w:hAnsi="Times New Roman"/>
          <w:sz w:val="22"/>
          <w:lang w:val="es-CO"/>
        </w:rPr>
        <w:t>con TB</w:t>
      </w:r>
      <w:r w:rsidRPr="00431F8A">
        <w:rPr>
          <w:rFonts w:ascii="Times New Roman" w:hAnsi="Times New Roman"/>
          <w:sz w:val="22"/>
          <w:lang w:val="es-CO"/>
        </w:rPr>
        <w:t xml:space="preserve"> a nivel comunitario</w:t>
      </w:r>
      <w:r w:rsidR="00406A3D">
        <w:rPr>
          <w:rFonts w:ascii="Times New Roman" w:hAnsi="Times New Roman"/>
          <w:sz w:val="22"/>
          <w:lang w:val="es-CO"/>
        </w:rPr>
        <w:t xml:space="preserve"> </w:t>
      </w:r>
    </w:p>
    <w:p w14:paraId="0E9A859B" w14:textId="07B7DFF6" w:rsidR="0058464D" w:rsidRDefault="003E36FE" w:rsidP="001D56C8">
      <w:pPr>
        <w:ind w:firstLine="0"/>
        <w:rPr>
          <w:lang w:val="es-CO" w:eastAsia="en-US"/>
        </w:rPr>
      </w:pPr>
      <w:r>
        <w:rPr>
          <w:lang w:val="es-CO" w:eastAsia="en-US"/>
        </w:rPr>
        <w:t>Se sugirió</w:t>
      </w:r>
      <w:r w:rsidR="00E41571">
        <w:rPr>
          <w:lang w:val="es-CO" w:eastAsia="en-US"/>
        </w:rPr>
        <w:t xml:space="preserve"> </w:t>
      </w:r>
      <w:r w:rsidR="000F38E4">
        <w:rPr>
          <w:lang w:val="es-CO" w:eastAsia="en-US"/>
        </w:rPr>
        <w:t xml:space="preserve">la </w:t>
      </w:r>
      <w:r w:rsidR="00E41571">
        <w:rPr>
          <w:lang w:val="es-CO" w:eastAsia="en-US"/>
        </w:rPr>
        <w:t>investigación de contactos y convivientes de pacientes con TB (especialmente aquellos con TB-MDR). La ejecución regular de esta actividad permitirá realizar un diagnóstico oportuno y contener el contagio en el hogar o en el lugar de trabajo a través de la implementación de las medidas preventivas recomendadas en la normativa.</w:t>
      </w:r>
      <w:r w:rsidR="006932C0">
        <w:rPr>
          <w:lang w:val="es-CO" w:eastAsia="en-US"/>
        </w:rPr>
        <w:t xml:space="preserve"> A pesar de que la normativa establece que es responsabilidad de las autoridades regionales y municipales el garantizar la búsqueda de contactos, la responsabilidad de realizar las visitas de terreno recae en las Unidades de Salud, las cuales se encuentran saturadas con la atención primaria y frecuentemente carecen de la capacitación para realizar esta labor de prevención y vigilancia epidemiológica.</w:t>
      </w:r>
      <w:r w:rsidR="000D01D3" w:rsidRPr="000D01D3">
        <w:rPr>
          <w:lang w:val="es-CO" w:eastAsia="en-US"/>
        </w:rPr>
        <w:t xml:space="preserve"> </w:t>
      </w:r>
      <w:r w:rsidR="000F38E4">
        <w:rPr>
          <w:lang w:val="es-CO" w:eastAsia="en-US"/>
        </w:rPr>
        <w:t xml:space="preserve">La búsqueda de contactos se incluyó dentro de las actualizaciones más recientes a la normativa, sin </w:t>
      </w:r>
      <w:r w:rsidR="00CB369C">
        <w:rPr>
          <w:lang w:val="es-CO" w:eastAsia="en-US"/>
        </w:rPr>
        <w:t>embargo,</w:t>
      </w:r>
      <w:r w:rsidR="000F38E4">
        <w:rPr>
          <w:lang w:val="es-CO" w:eastAsia="en-US"/>
        </w:rPr>
        <w:t xml:space="preserve"> es necesario pero factible el difundirlo a los niveles locales.</w:t>
      </w:r>
    </w:p>
    <w:p w14:paraId="01E17E32" w14:textId="3A06FB17" w:rsidR="00E17395" w:rsidRDefault="00F95094" w:rsidP="00E17395">
      <w:pPr>
        <w:pStyle w:val="Heading3"/>
        <w:tabs>
          <w:tab w:val="clear" w:pos="851"/>
          <w:tab w:val="left" w:pos="90"/>
          <w:tab w:val="left" w:pos="1170"/>
        </w:tabs>
        <w:ind w:left="90" w:hanging="270"/>
        <w:jc w:val="both"/>
        <w:rPr>
          <w:rFonts w:ascii="Times New Roman" w:hAnsi="Times New Roman"/>
          <w:sz w:val="22"/>
          <w:lang w:val="es-CO"/>
        </w:rPr>
      </w:pPr>
      <w:r>
        <w:rPr>
          <w:rFonts w:ascii="Times New Roman" w:hAnsi="Times New Roman"/>
          <w:sz w:val="22"/>
          <w:lang w:val="es-CO"/>
        </w:rPr>
        <w:t>Evaluar la factibilidad de ajuste normativo y presupuestal para la implementación de las nuevas guías de la OMS para el tratamiento de la TB-MDR</w:t>
      </w:r>
    </w:p>
    <w:p w14:paraId="55FA8A4E" w14:textId="1CD65B27" w:rsidR="00F03731" w:rsidRDefault="00B054A6" w:rsidP="00C12647">
      <w:pPr>
        <w:ind w:firstLine="0"/>
        <w:rPr>
          <w:lang w:val="es-CO" w:eastAsia="en-US"/>
        </w:rPr>
      </w:pPr>
      <w:r>
        <w:rPr>
          <w:lang w:val="es-CO" w:eastAsia="en-US"/>
        </w:rPr>
        <w:t>En diciembre</w:t>
      </w:r>
      <w:r w:rsidRPr="00B054A6">
        <w:rPr>
          <w:lang w:val="es-CO" w:eastAsia="en-US"/>
        </w:rPr>
        <w:t xml:space="preserve"> de 2018, la OMS publicó sus nuevas guías de tratamiento para TB-MDR y TB-RR (Tuberculosis resistente a la rifampicina), en donde se marca una importante separación de los enfoques previos para el tratamiento. Los regímenes orales se vuelven preferenciales sobre los inyectables, y las fluoroquinolonas (levofloxacina o </w:t>
      </w:r>
      <w:proofErr w:type="spellStart"/>
      <w:r w:rsidRPr="00B054A6">
        <w:rPr>
          <w:lang w:val="es-CO" w:eastAsia="en-US"/>
        </w:rPr>
        <w:t>moxifloxacina</w:t>
      </w:r>
      <w:proofErr w:type="spellEnd"/>
      <w:r w:rsidRPr="00B054A6">
        <w:rPr>
          <w:lang w:val="es-CO" w:eastAsia="en-US"/>
        </w:rPr>
        <w:t xml:space="preserve">), </w:t>
      </w:r>
      <w:proofErr w:type="spellStart"/>
      <w:r w:rsidRPr="00B054A6">
        <w:rPr>
          <w:lang w:val="es-CO" w:eastAsia="en-US"/>
        </w:rPr>
        <w:t>bedaquilina</w:t>
      </w:r>
      <w:proofErr w:type="spellEnd"/>
      <w:r w:rsidRPr="00B054A6">
        <w:rPr>
          <w:lang w:val="es-CO" w:eastAsia="en-US"/>
        </w:rPr>
        <w:t xml:space="preserve"> y </w:t>
      </w:r>
      <w:proofErr w:type="spellStart"/>
      <w:r w:rsidRPr="00B054A6">
        <w:rPr>
          <w:lang w:val="es-CO" w:eastAsia="en-US"/>
        </w:rPr>
        <w:t>linezolida</w:t>
      </w:r>
      <w:proofErr w:type="spellEnd"/>
      <w:r w:rsidRPr="00B054A6">
        <w:rPr>
          <w:lang w:val="es-CO" w:eastAsia="en-US"/>
        </w:rPr>
        <w:t xml:space="preserve"> se recomiendan fuertemente para los regímenes largos. El régimen corto (9 a 12 meses) se sugiere para pacientes elegibles, con el riesgo de una menor efectividad que los regímenes largos.</w:t>
      </w:r>
      <w:r w:rsidR="00C10FE5">
        <w:rPr>
          <w:lang w:val="es-CO" w:eastAsia="en-US"/>
        </w:rPr>
        <w:t xml:space="preserve"> </w:t>
      </w:r>
      <w:r w:rsidR="00435F31" w:rsidRPr="00435F31">
        <w:rPr>
          <w:lang w:val="es-MX" w:eastAsia="en-US"/>
        </w:rPr>
        <w:t>La Secretaría de Salud</w:t>
      </w:r>
      <w:r w:rsidR="00326B68">
        <w:rPr>
          <w:lang w:val="es-MX" w:eastAsia="en-US"/>
        </w:rPr>
        <w:t xml:space="preserve"> de Honduras</w:t>
      </w:r>
      <w:r w:rsidR="00435F31" w:rsidRPr="00435F31">
        <w:rPr>
          <w:lang w:val="es-MX" w:eastAsia="en-US"/>
        </w:rPr>
        <w:t xml:space="preserve"> el año pasado realizó la actualización del Manual </w:t>
      </w:r>
      <w:proofErr w:type="gramStart"/>
      <w:r w:rsidR="00435F31" w:rsidRPr="00435F31">
        <w:rPr>
          <w:lang w:val="es-MX" w:eastAsia="en-US"/>
        </w:rPr>
        <w:t>del atención</w:t>
      </w:r>
      <w:proofErr w:type="gramEnd"/>
      <w:r w:rsidR="00435F31" w:rsidRPr="00435F31">
        <w:rPr>
          <w:lang w:val="es-MX" w:eastAsia="en-US"/>
        </w:rPr>
        <w:t xml:space="preserve"> de la persona con Tuberculosis dejando el tiempo de administración del medicamento a 18 meses y en casos especiales se considera el esquema acortado ya que se cuenta con </w:t>
      </w:r>
      <w:proofErr w:type="spellStart"/>
      <w:r w:rsidR="00435F31" w:rsidRPr="00435F31">
        <w:rPr>
          <w:lang w:val="es-MX" w:eastAsia="en-US"/>
        </w:rPr>
        <w:t>Bedaquilina</w:t>
      </w:r>
      <w:proofErr w:type="spellEnd"/>
      <w:r w:rsidR="00435F31" w:rsidRPr="00435F31">
        <w:rPr>
          <w:lang w:val="es-MX" w:eastAsia="en-US"/>
        </w:rPr>
        <w:t xml:space="preserve"> y </w:t>
      </w:r>
      <w:proofErr w:type="spellStart"/>
      <w:r w:rsidR="00435F31" w:rsidRPr="00435F31">
        <w:rPr>
          <w:lang w:val="es-MX" w:eastAsia="en-US"/>
        </w:rPr>
        <w:t>Delamand</w:t>
      </w:r>
      <w:proofErr w:type="spellEnd"/>
      <w:r w:rsidR="00435F31" w:rsidRPr="00435F31">
        <w:rPr>
          <w:lang w:val="es-MX" w:eastAsia="en-US"/>
        </w:rPr>
        <w:t xml:space="preserve"> dentro de las compras de medicamentos</w:t>
      </w:r>
    </w:p>
    <w:p w14:paraId="779CB1C2" w14:textId="20E56695" w:rsidR="00B054A6" w:rsidRDefault="00B054A6" w:rsidP="00C12647">
      <w:pPr>
        <w:ind w:firstLine="0"/>
        <w:rPr>
          <w:lang w:val="es-MX" w:eastAsia="en-US"/>
        </w:rPr>
      </w:pPr>
      <w:r>
        <w:rPr>
          <w:lang w:val="es-MX" w:eastAsia="en-US"/>
        </w:rPr>
        <w:lastRenderedPageBreak/>
        <w:t xml:space="preserve">Si Honduras decide adaptarse a las nuevas guías </w:t>
      </w:r>
      <w:r w:rsidRPr="00B054A6">
        <w:rPr>
          <w:lang w:val="es-MX" w:eastAsia="en-US"/>
        </w:rPr>
        <w:t>será necesario ajustar los protocolos de atención</w:t>
      </w:r>
      <w:r w:rsidR="00CA0017">
        <w:rPr>
          <w:lang w:val="es-MX" w:eastAsia="en-US"/>
        </w:rPr>
        <w:t xml:space="preserve"> y el presupuesto requerido</w:t>
      </w:r>
      <w:r w:rsidRPr="00B054A6">
        <w:rPr>
          <w:lang w:val="es-MX" w:eastAsia="en-US"/>
        </w:rPr>
        <w:t xml:space="preserve"> para responder a las nuevas guías de la OMS. </w:t>
      </w:r>
      <w:r w:rsidR="00CA0017">
        <w:rPr>
          <w:lang w:val="es-MX" w:eastAsia="en-US"/>
        </w:rPr>
        <w:t>El</w:t>
      </w:r>
      <w:r w:rsidRPr="00B054A6">
        <w:rPr>
          <w:lang w:val="es-MX" w:eastAsia="en-US"/>
        </w:rPr>
        <w:t xml:space="preserve"> cambio de </w:t>
      </w:r>
      <w:proofErr w:type="spellStart"/>
      <w:r w:rsidRPr="00B054A6">
        <w:rPr>
          <w:lang w:val="es-MX" w:eastAsia="en-US"/>
        </w:rPr>
        <w:t>etionamida</w:t>
      </w:r>
      <w:proofErr w:type="spellEnd"/>
      <w:r w:rsidRPr="00B054A6">
        <w:rPr>
          <w:lang w:val="es-MX" w:eastAsia="en-US"/>
        </w:rPr>
        <w:t xml:space="preserve"> a </w:t>
      </w:r>
      <w:proofErr w:type="spellStart"/>
      <w:r w:rsidRPr="00B054A6">
        <w:rPr>
          <w:lang w:val="es-MX" w:eastAsia="en-US"/>
        </w:rPr>
        <w:t>moxifloxacina</w:t>
      </w:r>
      <w:proofErr w:type="spellEnd"/>
      <w:r w:rsidRPr="00B054A6">
        <w:rPr>
          <w:lang w:val="es-MX" w:eastAsia="en-US"/>
        </w:rPr>
        <w:t xml:space="preserve"> representa un incremento del 300% </w:t>
      </w:r>
      <w:r w:rsidR="008A5AF5">
        <w:rPr>
          <w:lang w:val="es-MX" w:eastAsia="en-US"/>
        </w:rPr>
        <w:t xml:space="preserve">en comparación con la </w:t>
      </w:r>
      <w:proofErr w:type="spellStart"/>
      <w:r w:rsidR="008A5AF5">
        <w:rPr>
          <w:lang w:val="es-MX" w:eastAsia="en-US"/>
        </w:rPr>
        <w:t>etionamida</w:t>
      </w:r>
      <w:proofErr w:type="spellEnd"/>
      <w:r w:rsidRPr="00B054A6">
        <w:rPr>
          <w:lang w:val="es-MX" w:eastAsia="en-US"/>
        </w:rPr>
        <w:t xml:space="preserve">. Adicionalmente, la recomendación de </w:t>
      </w:r>
      <w:proofErr w:type="spellStart"/>
      <w:r w:rsidRPr="00B054A6">
        <w:rPr>
          <w:lang w:val="es-MX" w:eastAsia="en-US"/>
        </w:rPr>
        <w:t>bedaquilina</w:t>
      </w:r>
      <w:proofErr w:type="spellEnd"/>
      <w:r w:rsidRPr="00B054A6">
        <w:rPr>
          <w:lang w:val="es-MX" w:eastAsia="en-US"/>
        </w:rPr>
        <w:t xml:space="preserve"> para pacientes mayores de 21 años podría incrementar el costo por paciente al año significativamente</w:t>
      </w:r>
      <w:r w:rsidR="00CA0017">
        <w:rPr>
          <w:lang w:val="es-MX" w:eastAsia="en-US"/>
        </w:rPr>
        <w:t>, ya que este medicamento es el más caro dentro del catálogo de medicamentos para TB-MDR en Honduras</w:t>
      </w:r>
      <w:r w:rsidR="00F82496">
        <w:rPr>
          <w:lang w:val="es-MX" w:eastAsia="en-US"/>
        </w:rPr>
        <w:t xml:space="preserve"> $4.6 USD</w:t>
      </w:r>
      <w:r w:rsidR="00CA0017">
        <w:rPr>
          <w:lang w:val="es-MX" w:eastAsia="en-US"/>
        </w:rPr>
        <w:t xml:space="preserve"> ($</w:t>
      </w:r>
      <w:r w:rsidR="00CA0017" w:rsidRPr="00CA0017">
        <w:rPr>
          <w:lang w:val="es-MX" w:eastAsia="en-US"/>
        </w:rPr>
        <w:t>L 113.80</w:t>
      </w:r>
      <w:r w:rsidR="00CA0017">
        <w:rPr>
          <w:lang w:val="es-MX" w:eastAsia="en-US"/>
        </w:rPr>
        <w:t>)</w:t>
      </w:r>
      <w:r w:rsidR="00F82496">
        <w:rPr>
          <w:lang w:val="es-MX" w:eastAsia="en-US"/>
        </w:rPr>
        <w:t xml:space="preserve"> por unidad adquirida. E</w:t>
      </w:r>
      <w:r w:rsidR="008C11F8">
        <w:rPr>
          <w:lang w:val="es-MX" w:eastAsia="en-US"/>
        </w:rPr>
        <w:t xml:space="preserve">l posible incremento en el </w:t>
      </w:r>
      <w:r w:rsidR="00F82496">
        <w:rPr>
          <w:lang w:val="es-MX" w:eastAsia="en-US"/>
        </w:rPr>
        <w:t>costo del tratamiento</w:t>
      </w:r>
      <w:r w:rsidR="008C11F8">
        <w:rPr>
          <w:lang w:val="es-MX" w:eastAsia="en-US"/>
        </w:rPr>
        <w:t xml:space="preserve"> TB-MDR</w:t>
      </w:r>
      <w:r w:rsidR="00F82496">
        <w:rPr>
          <w:lang w:val="es-MX" w:eastAsia="en-US"/>
        </w:rPr>
        <w:t xml:space="preserve"> </w:t>
      </w:r>
      <w:r w:rsidR="00974473">
        <w:rPr>
          <w:lang w:val="es-MX" w:eastAsia="en-US"/>
        </w:rPr>
        <w:t>representa</w:t>
      </w:r>
      <w:r w:rsidR="00F82496">
        <w:rPr>
          <w:lang w:val="es-MX" w:eastAsia="en-US"/>
        </w:rPr>
        <w:t xml:space="preserve"> un riesgo a la sostenibilidad frente a la disminución de recursos esperada durante la próxima subvención del FM</w:t>
      </w:r>
      <w:r w:rsidR="00A906B7">
        <w:rPr>
          <w:lang w:val="es-MX" w:eastAsia="en-US"/>
        </w:rPr>
        <w:t xml:space="preserve"> y a los 85 casos de TB-MDR que aún no son tratados</w:t>
      </w:r>
      <w:r w:rsidR="00B337EB">
        <w:rPr>
          <w:lang w:val="es-MX" w:eastAsia="en-US"/>
        </w:rPr>
        <w:t xml:space="preserve"> (al menos US$170 mil </w:t>
      </w:r>
      <w:r w:rsidR="009E1F77">
        <w:rPr>
          <w:lang w:val="es-MX" w:eastAsia="en-US"/>
        </w:rPr>
        <w:t xml:space="preserve">adicionales </w:t>
      </w:r>
      <w:r w:rsidR="00B337EB">
        <w:rPr>
          <w:lang w:val="es-MX" w:eastAsia="en-US"/>
        </w:rPr>
        <w:t>bajo el esquema actual).</w:t>
      </w:r>
    </w:p>
    <w:p w14:paraId="784F1F11" w14:textId="77777777" w:rsidR="009E0C08" w:rsidRPr="00431F8A" w:rsidRDefault="009E0C08" w:rsidP="009E0C08">
      <w:pPr>
        <w:pStyle w:val="Heading3"/>
        <w:tabs>
          <w:tab w:val="clear" w:pos="851"/>
          <w:tab w:val="left" w:pos="90"/>
          <w:tab w:val="left" w:pos="1170"/>
        </w:tabs>
        <w:ind w:left="90" w:hanging="270"/>
        <w:jc w:val="both"/>
        <w:rPr>
          <w:sz w:val="22"/>
          <w:lang w:val="es-ES"/>
        </w:rPr>
      </w:pPr>
      <w:r w:rsidRPr="000B15F4">
        <w:rPr>
          <w:rFonts w:ascii="Times New Roman" w:hAnsi="Times New Roman"/>
          <w:sz w:val="22"/>
          <w:lang w:val="es-CO"/>
        </w:rPr>
        <w:t>Mejorar la coordinación intersectorial y el cumplimiento efectivo de las acciones conjuntas entre el programa e instituciones públicas en la lucha contra la TB</w:t>
      </w:r>
    </w:p>
    <w:p w14:paraId="0E67C9C3" w14:textId="5E4BEEE8" w:rsidR="009E0C08" w:rsidRDefault="009E0C08" w:rsidP="009E0C08">
      <w:pPr>
        <w:ind w:firstLine="0"/>
        <w:rPr>
          <w:lang w:val="es-CO" w:eastAsia="en-US"/>
        </w:rPr>
      </w:pPr>
      <w:r w:rsidRPr="00A250B4">
        <w:rPr>
          <w:lang w:val="es-CO" w:eastAsia="en-US"/>
        </w:rPr>
        <w:t xml:space="preserve">Para maximizar progreso en el área de vigilancia y monitoreo de la TB y la resistencia a medicamentos, es esencial involucrar y alinear los esfuerzos de actores clave del programa con los de instituciones públicas incluyendo al Instituto Penitenciario, a la </w:t>
      </w:r>
      <w:r w:rsidRPr="00A250B4">
        <w:rPr>
          <w:bCs/>
          <w:lang w:val="es-419" w:eastAsia="en-US"/>
        </w:rPr>
        <w:t>Secretaria de Desarrollo e Inclusión Social (</w:t>
      </w:r>
      <w:r w:rsidRPr="00A250B4">
        <w:rPr>
          <w:lang w:val="es-CO" w:eastAsia="en-US"/>
        </w:rPr>
        <w:t xml:space="preserve">SEDIS), y a la SEDH. </w:t>
      </w:r>
      <w:r>
        <w:rPr>
          <w:lang w:val="es-CO" w:eastAsia="en-US"/>
        </w:rPr>
        <w:t>Por ejemplo, el Instituto Penitencia</w:t>
      </w:r>
      <w:r w:rsidR="005268EC">
        <w:rPr>
          <w:lang w:val="es-CO" w:eastAsia="en-US"/>
        </w:rPr>
        <w:t>rio</w:t>
      </w:r>
      <w:r>
        <w:rPr>
          <w:lang w:val="es-CO" w:eastAsia="en-US"/>
        </w:rPr>
        <w:t xml:space="preserve"> necesita fortalecer el apego a la normativa y el reporte de información a la SESAL, mientras que SEDIS puede apoyar con los incentivos alimentarios </w:t>
      </w:r>
      <w:r w:rsidRPr="005268EC">
        <w:rPr>
          <w:lang w:val="es-CO" w:eastAsia="en-US"/>
        </w:rPr>
        <w:t xml:space="preserve">y </w:t>
      </w:r>
      <w:r w:rsidR="00301962" w:rsidRPr="005268EC">
        <w:rPr>
          <w:lang w:val="es-CO" w:eastAsia="en-US"/>
        </w:rPr>
        <w:t xml:space="preserve">la </w:t>
      </w:r>
      <w:r w:rsidRPr="005268EC">
        <w:rPr>
          <w:lang w:val="es-CO" w:eastAsia="en-US"/>
        </w:rPr>
        <w:t>SEDH debe prevenir y monitorear las violaciones a DDHH en la población vulnerable con TB. Al inicio, SESAL</w:t>
      </w:r>
      <w:r w:rsidRPr="00A250B4">
        <w:rPr>
          <w:lang w:val="es-CO" w:eastAsia="en-US"/>
        </w:rPr>
        <w:t xml:space="preserve"> debe generar un mapeo de actores claves en esta área</w:t>
      </w:r>
      <w:r>
        <w:rPr>
          <w:lang w:val="es-CO" w:eastAsia="en-US"/>
        </w:rPr>
        <w:t>, p</w:t>
      </w:r>
      <w:r w:rsidRPr="00A250B4">
        <w:rPr>
          <w:lang w:val="es-CO" w:eastAsia="en-US"/>
        </w:rPr>
        <w:t>ara facilitar la discusión y prevenir la duplicación del trabajo entre los diferentes actore</w:t>
      </w:r>
      <w:r>
        <w:rPr>
          <w:lang w:val="es-CO" w:eastAsia="en-US"/>
        </w:rPr>
        <w:t>s</w:t>
      </w:r>
      <w:r w:rsidRPr="00A250B4">
        <w:rPr>
          <w:lang w:val="es-CO" w:eastAsia="en-US"/>
        </w:rPr>
        <w:t>. Además, los actores desarrollarán un mecanismo para monitorear y alinear su trabajo futuro – a través de mesas intersectoriales al menos tres veces por año.</w:t>
      </w:r>
    </w:p>
    <w:p w14:paraId="3F3C3EAD" w14:textId="77777777" w:rsidR="006F5667" w:rsidRDefault="006F5667" w:rsidP="009E0C08">
      <w:pPr>
        <w:ind w:firstLine="0"/>
        <w:rPr>
          <w:lang w:val="es-CO" w:eastAsia="en-US"/>
        </w:rPr>
      </w:pPr>
    </w:p>
    <w:p w14:paraId="724D1F54" w14:textId="2F2509CA" w:rsidR="00DE13C9" w:rsidRPr="007439D8" w:rsidRDefault="00F37A47" w:rsidP="00DE13C9">
      <w:pPr>
        <w:pStyle w:val="Heading2"/>
        <w:tabs>
          <w:tab w:val="left" w:pos="450"/>
        </w:tabs>
        <w:ind w:left="0" w:firstLine="0"/>
        <w:jc w:val="both"/>
        <w:rPr>
          <w:rFonts w:ascii="Times New Roman" w:hAnsi="Times New Roman" w:cs="Times New Roman"/>
          <w:lang w:val="es-ES"/>
        </w:rPr>
      </w:pPr>
      <w:bookmarkStart w:id="40" w:name="_Toc8381161"/>
      <w:r w:rsidRPr="007439D8">
        <w:rPr>
          <w:rFonts w:ascii="Times New Roman" w:hAnsi="Times New Roman" w:cs="Times New Roman"/>
        </w:rPr>
        <w:t xml:space="preserve">Objetivo 2. </w:t>
      </w:r>
      <w:r w:rsidR="00160930" w:rsidRPr="007439D8">
        <w:rPr>
          <w:rFonts w:ascii="Times New Roman" w:hAnsi="Times New Roman" w:cs="Times New Roman"/>
        </w:rPr>
        <w:t>Fortalecimiento de los</w:t>
      </w:r>
      <w:r w:rsidR="009F5396" w:rsidRPr="007439D8">
        <w:rPr>
          <w:rFonts w:ascii="Times New Roman" w:hAnsi="Times New Roman" w:cs="Times New Roman"/>
          <w:lang w:val="es-ES"/>
        </w:rPr>
        <w:t xml:space="preserve"> Recursos Humanos dedicados a VIH</w:t>
      </w:r>
      <w:r w:rsidR="00203842">
        <w:rPr>
          <w:rFonts w:ascii="Times New Roman" w:hAnsi="Times New Roman" w:cs="Times New Roman"/>
          <w:lang w:val="es-ES"/>
        </w:rPr>
        <w:t xml:space="preserve"> y </w:t>
      </w:r>
      <w:r w:rsidR="009F5396" w:rsidRPr="007439D8">
        <w:rPr>
          <w:rFonts w:ascii="Times New Roman" w:hAnsi="Times New Roman" w:cs="Times New Roman"/>
          <w:lang w:val="es-ES"/>
        </w:rPr>
        <w:t>TB</w:t>
      </w:r>
      <w:r w:rsidR="00160930" w:rsidRPr="007439D8">
        <w:rPr>
          <w:rFonts w:ascii="Times New Roman" w:hAnsi="Times New Roman" w:cs="Times New Roman"/>
          <w:lang w:val="es-ES"/>
        </w:rPr>
        <w:t xml:space="preserve"> </w:t>
      </w:r>
      <w:r w:rsidR="00383628" w:rsidRPr="007439D8">
        <w:rPr>
          <w:rFonts w:ascii="Times New Roman" w:hAnsi="Times New Roman" w:cs="Times New Roman"/>
          <w:lang w:val="es-ES"/>
        </w:rPr>
        <w:t xml:space="preserve">a través de su </w:t>
      </w:r>
      <w:r w:rsidR="00160930" w:rsidRPr="007439D8">
        <w:rPr>
          <w:rFonts w:ascii="Times New Roman" w:hAnsi="Times New Roman" w:cs="Times New Roman"/>
          <w:lang w:val="es-ES"/>
        </w:rPr>
        <w:t>contratación</w:t>
      </w:r>
      <w:r w:rsidR="00383628" w:rsidRPr="007439D8">
        <w:rPr>
          <w:rFonts w:ascii="Times New Roman" w:hAnsi="Times New Roman" w:cs="Times New Roman"/>
          <w:lang w:val="es-ES"/>
        </w:rPr>
        <w:t xml:space="preserve"> regular, certificación</w:t>
      </w:r>
      <w:r w:rsidR="00D75AC4">
        <w:rPr>
          <w:rFonts w:ascii="Times New Roman" w:hAnsi="Times New Roman" w:cs="Times New Roman"/>
          <w:lang w:val="es-ES"/>
        </w:rPr>
        <w:t>,</w:t>
      </w:r>
      <w:r w:rsidR="00383628" w:rsidRPr="007439D8">
        <w:rPr>
          <w:rFonts w:ascii="Times New Roman" w:hAnsi="Times New Roman" w:cs="Times New Roman"/>
          <w:lang w:val="es-ES"/>
        </w:rPr>
        <w:t xml:space="preserve"> desarrollo profesional</w:t>
      </w:r>
      <w:r w:rsidR="00D75AC4">
        <w:rPr>
          <w:rFonts w:ascii="Times New Roman" w:hAnsi="Times New Roman" w:cs="Times New Roman"/>
          <w:lang w:val="es-ES"/>
        </w:rPr>
        <w:t xml:space="preserve"> y asignación eficiente</w:t>
      </w:r>
      <w:bookmarkEnd w:id="40"/>
    </w:p>
    <w:p w14:paraId="7E621824" w14:textId="3CF9A7DB" w:rsidR="00B11C84" w:rsidRDefault="0078649E" w:rsidP="00B11C84">
      <w:pPr>
        <w:ind w:firstLine="0"/>
        <w:rPr>
          <w:lang w:val="es-MX" w:eastAsia="en-US"/>
        </w:rPr>
      </w:pPr>
      <w:r w:rsidRPr="0095779C">
        <w:rPr>
          <w:lang w:val="es-MX" w:eastAsia="en-US"/>
        </w:rPr>
        <w:t xml:space="preserve">Durante entrevistas, actores de los diferentes sectores dieron a conocer sus preocupaciones sobre la alta rotación del personal de salud a nivel de los establecimientos; así como las irregularidades en los contratos de servicios, los cuales son intermitentes y </w:t>
      </w:r>
      <w:r w:rsidR="00184EAD">
        <w:rPr>
          <w:lang w:val="es-MX" w:eastAsia="en-US"/>
        </w:rPr>
        <w:t xml:space="preserve">ocasionando que el </w:t>
      </w:r>
      <w:r w:rsidRPr="0095779C">
        <w:rPr>
          <w:lang w:val="es-MX" w:eastAsia="en-US"/>
        </w:rPr>
        <w:t>personal dur</w:t>
      </w:r>
      <w:r w:rsidR="00184EAD">
        <w:rPr>
          <w:lang w:val="es-MX" w:eastAsia="en-US"/>
        </w:rPr>
        <w:t>e</w:t>
      </w:r>
      <w:r w:rsidRPr="0095779C">
        <w:rPr>
          <w:lang w:val="es-MX" w:eastAsia="en-US"/>
        </w:rPr>
        <w:t xml:space="preserve"> meses sin percibir ingresos. Esta situación que promueve </w:t>
      </w:r>
      <w:r w:rsidR="007F6F0F">
        <w:rPr>
          <w:lang w:val="es-MX" w:eastAsia="en-US"/>
        </w:rPr>
        <w:t xml:space="preserve">el </w:t>
      </w:r>
      <w:r w:rsidRPr="0095779C">
        <w:rPr>
          <w:lang w:val="es-MX" w:eastAsia="en-US"/>
        </w:rPr>
        <w:t xml:space="preserve">descontento y desmotivación del personal que trabaja en la prestación de servicios a nivel local; así como </w:t>
      </w:r>
      <w:r w:rsidR="007F6F0F">
        <w:rPr>
          <w:lang w:val="es-MX" w:eastAsia="en-US"/>
        </w:rPr>
        <w:t>d</w:t>
      </w:r>
      <w:r w:rsidRPr="0095779C">
        <w:rPr>
          <w:lang w:val="es-MX" w:eastAsia="en-US"/>
        </w:rPr>
        <w:t>el personal técnico calificado que labora nivel central. Esto pone en riesgo la continuidad de las intervenciones y mantenimiento de los programas.</w:t>
      </w:r>
    </w:p>
    <w:p w14:paraId="50A94191" w14:textId="14AD93CC" w:rsidR="00110C4E" w:rsidRPr="0095779C" w:rsidRDefault="00110C4E" w:rsidP="00B11C84">
      <w:pPr>
        <w:ind w:firstLine="0"/>
        <w:rPr>
          <w:lang w:val="es-MX" w:eastAsia="en-US"/>
        </w:rPr>
      </w:pPr>
      <w:r>
        <w:rPr>
          <w:lang w:val="es-MX" w:eastAsia="en-US"/>
        </w:rPr>
        <w:t xml:space="preserve">Esta situación representa un problema estructural que afecta a todo el personal de la SESAL. La SESAL no cuenta con una política de RRHH, por lo que los contratos se otorgan con base en una partida presupuestaria asignada por la SEFIN dentro de los presupuestos anuales. Esta fuente de incertidumbre </w:t>
      </w:r>
      <w:r w:rsidR="00245DA2">
        <w:rPr>
          <w:lang w:val="es-MX" w:eastAsia="en-US"/>
        </w:rPr>
        <w:t xml:space="preserve">ocasiona que </w:t>
      </w:r>
      <w:r>
        <w:rPr>
          <w:lang w:val="es-MX" w:eastAsia="en-US"/>
        </w:rPr>
        <w:t>la mayoría de las plazas se emit</w:t>
      </w:r>
      <w:r w:rsidR="00245DA2">
        <w:rPr>
          <w:lang w:val="es-MX" w:eastAsia="en-US"/>
        </w:rPr>
        <w:t>an</w:t>
      </w:r>
      <w:r>
        <w:rPr>
          <w:lang w:val="es-MX" w:eastAsia="en-US"/>
        </w:rPr>
        <w:t xml:space="preserve"> a través de contratos trimestrales, semestrales </w:t>
      </w:r>
      <w:r w:rsidR="00CE4073">
        <w:rPr>
          <w:lang w:val="es-MX" w:eastAsia="en-US"/>
        </w:rPr>
        <w:t>o</w:t>
      </w:r>
      <w:r>
        <w:rPr>
          <w:lang w:val="es-MX" w:eastAsia="en-US"/>
        </w:rPr>
        <w:t xml:space="preserve"> anuales.</w:t>
      </w:r>
      <w:r w:rsidR="00245DA2">
        <w:rPr>
          <w:lang w:val="es-MX" w:eastAsia="en-US"/>
        </w:rPr>
        <w:t xml:space="preserve"> Si bien las plazas permanentes existen, los criterios para su asignación dependen de la administración en turno, </w:t>
      </w:r>
      <w:r w:rsidR="001F25EB">
        <w:rPr>
          <w:lang w:val="es-MX" w:eastAsia="en-US"/>
        </w:rPr>
        <w:t xml:space="preserve">y no de </w:t>
      </w:r>
      <w:r w:rsidR="00245DA2">
        <w:rPr>
          <w:lang w:val="es-MX" w:eastAsia="en-US"/>
        </w:rPr>
        <w:t>una carrera administrativa.</w:t>
      </w:r>
      <w:r w:rsidR="00C607D2">
        <w:rPr>
          <w:lang w:val="es-MX" w:eastAsia="en-US"/>
        </w:rPr>
        <w:t xml:space="preserve"> En la mayoría de los países ocurre la situación inversa, las plazas permanentes s</w:t>
      </w:r>
      <w:r w:rsidR="00CE4073">
        <w:rPr>
          <w:lang w:val="es-MX" w:eastAsia="en-US"/>
        </w:rPr>
        <w:t xml:space="preserve">on de servicio profesional </w:t>
      </w:r>
      <w:r w:rsidR="00C607D2">
        <w:rPr>
          <w:lang w:val="es-MX" w:eastAsia="en-US"/>
        </w:rPr>
        <w:t>y las plazas eventuales dependen de la administración en turno.</w:t>
      </w:r>
    </w:p>
    <w:p w14:paraId="4E122F8C" w14:textId="2AB6EFCB" w:rsidR="0093598F" w:rsidRPr="0095779C" w:rsidRDefault="00295BAB" w:rsidP="00B11C84">
      <w:pPr>
        <w:ind w:firstLine="0"/>
        <w:rPr>
          <w:lang w:val="es-DO" w:eastAsia="en-US"/>
        </w:rPr>
      </w:pPr>
      <w:r w:rsidRPr="0095779C">
        <w:rPr>
          <w:lang w:val="es-DO" w:eastAsia="en-US"/>
        </w:rPr>
        <w:t>E</w:t>
      </w:r>
      <w:r w:rsidR="004E65EE" w:rsidRPr="0095779C">
        <w:rPr>
          <w:lang w:val="es-DO" w:eastAsia="en-US"/>
        </w:rPr>
        <w:t>n particular, el</w:t>
      </w:r>
      <w:r w:rsidRPr="0095779C">
        <w:rPr>
          <w:lang w:val="es-DO" w:eastAsia="en-US"/>
        </w:rPr>
        <w:t xml:space="preserve"> financiamiento de R</w:t>
      </w:r>
      <w:r w:rsidR="00342620" w:rsidRPr="0095779C">
        <w:rPr>
          <w:lang w:val="es-DO" w:eastAsia="en-US"/>
        </w:rPr>
        <w:t>R</w:t>
      </w:r>
      <w:r w:rsidRPr="0095779C">
        <w:rPr>
          <w:lang w:val="es-DO" w:eastAsia="en-US"/>
        </w:rPr>
        <w:t>H</w:t>
      </w:r>
      <w:r w:rsidR="00342620" w:rsidRPr="0095779C">
        <w:rPr>
          <w:lang w:val="es-DO" w:eastAsia="en-US"/>
        </w:rPr>
        <w:t>H</w:t>
      </w:r>
      <w:r w:rsidRPr="0095779C">
        <w:rPr>
          <w:lang w:val="es-DO" w:eastAsia="en-US"/>
        </w:rPr>
        <w:t xml:space="preserve"> clave a nivel central de la SESAL (i.e. personal de monitoreo y evaluación</w:t>
      </w:r>
      <w:r w:rsidR="00187657">
        <w:rPr>
          <w:lang w:val="es-DO" w:eastAsia="en-US"/>
        </w:rPr>
        <w:t xml:space="preserve">, </w:t>
      </w:r>
      <w:r w:rsidRPr="0095779C">
        <w:rPr>
          <w:lang w:val="es-DO" w:eastAsia="en-US"/>
        </w:rPr>
        <w:t>logística</w:t>
      </w:r>
      <w:r w:rsidR="00187657">
        <w:rPr>
          <w:lang w:val="es-DO" w:eastAsia="en-US"/>
        </w:rPr>
        <w:t xml:space="preserve"> o fortalecimiento de sistemas de salud resilientes</w:t>
      </w:r>
      <w:r w:rsidRPr="0095779C">
        <w:rPr>
          <w:lang w:val="es-DO" w:eastAsia="en-US"/>
        </w:rPr>
        <w:t>)</w:t>
      </w:r>
      <w:r w:rsidR="00187657">
        <w:rPr>
          <w:lang w:val="es-DO" w:eastAsia="en-US"/>
        </w:rPr>
        <w:t xml:space="preserve"> y </w:t>
      </w:r>
      <w:r w:rsidRPr="0095779C">
        <w:rPr>
          <w:lang w:val="es-DO" w:eastAsia="en-US"/>
        </w:rPr>
        <w:t xml:space="preserve">el </w:t>
      </w:r>
      <w:r w:rsidR="00187657">
        <w:rPr>
          <w:lang w:val="es-DO" w:eastAsia="en-US"/>
        </w:rPr>
        <w:t xml:space="preserve">del </w:t>
      </w:r>
      <w:r w:rsidRPr="0095779C">
        <w:rPr>
          <w:lang w:val="es-DO" w:eastAsia="en-US"/>
        </w:rPr>
        <w:t xml:space="preserve">personal que realiza trabajo comunitario a través de las ONG, </w:t>
      </w:r>
      <w:r w:rsidR="001A20B6">
        <w:rPr>
          <w:lang w:val="es-DO" w:eastAsia="en-US"/>
        </w:rPr>
        <w:t>proviene de la</w:t>
      </w:r>
      <w:r w:rsidRPr="0095779C">
        <w:rPr>
          <w:lang w:val="es-DO" w:eastAsia="en-US"/>
        </w:rPr>
        <w:t xml:space="preserve"> cooperación</w:t>
      </w:r>
      <w:r w:rsidR="001A20B6">
        <w:rPr>
          <w:lang w:val="es-DO" w:eastAsia="en-US"/>
        </w:rPr>
        <w:t xml:space="preserve"> externa</w:t>
      </w:r>
      <w:r w:rsidRPr="0095779C">
        <w:rPr>
          <w:lang w:val="es-DO" w:eastAsia="en-US"/>
        </w:rPr>
        <w:t>. También se expresó que las ONG dependen altamente de personal voluntario también con alta rotación, lo que dificulta las estrategias de vinculación y comunicación con personal clave.</w:t>
      </w:r>
      <w:r w:rsidR="004E65EE" w:rsidRPr="0095779C">
        <w:rPr>
          <w:lang w:val="es-DO" w:eastAsia="en-US"/>
        </w:rPr>
        <w:t xml:space="preserve"> El desconocimiento de los protocolos de atención y capacitación </w:t>
      </w:r>
      <w:r w:rsidR="00632D24">
        <w:rPr>
          <w:lang w:val="es-DO" w:eastAsia="en-US"/>
        </w:rPr>
        <w:t>en los proveedores de servicios</w:t>
      </w:r>
      <w:r w:rsidR="004E65EE" w:rsidRPr="0095779C">
        <w:rPr>
          <w:lang w:val="es-DO" w:eastAsia="en-US"/>
        </w:rPr>
        <w:t xml:space="preserve"> de VIH y TB también se registró como una debilidad de los servicios de salud. </w:t>
      </w:r>
      <w:r w:rsidRPr="0095779C">
        <w:rPr>
          <w:lang w:val="es-DO" w:eastAsia="en-US"/>
        </w:rPr>
        <w:t>En general, la situación actual de los R</w:t>
      </w:r>
      <w:r w:rsidR="00961AC3">
        <w:rPr>
          <w:lang w:val="es-DO" w:eastAsia="en-US"/>
        </w:rPr>
        <w:t>RH</w:t>
      </w:r>
      <w:r w:rsidRPr="0095779C">
        <w:rPr>
          <w:lang w:val="es-DO" w:eastAsia="en-US"/>
        </w:rPr>
        <w:t>H atenta contra la sostenibilidad de los programas.</w:t>
      </w:r>
    </w:p>
    <w:p w14:paraId="28351E38" w14:textId="090151CE" w:rsidR="009F5396" w:rsidRPr="00431F8A" w:rsidRDefault="00CC63AF" w:rsidP="00E43561">
      <w:pPr>
        <w:pStyle w:val="Heading3"/>
        <w:tabs>
          <w:tab w:val="clear" w:pos="851"/>
          <w:tab w:val="left" w:pos="90"/>
          <w:tab w:val="left" w:pos="1170"/>
        </w:tabs>
        <w:ind w:left="90" w:hanging="270"/>
        <w:jc w:val="both"/>
        <w:rPr>
          <w:rFonts w:ascii="Times New Roman" w:hAnsi="Times New Roman"/>
          <w:sz w:val="22"/>
          <w:lang w:val="es-CO"/>
        </w:rPr>
      </w:pPr>
      <w:r w:rsidRPr="00431F8A">
        <w:rPr>
          <w:rFonts w:ascii="Times New Roman" w:hAnsi="Times New Roman"/>
          <w:sz w:val="22"/>
          <w:lang w:val="es-CO"/>
        </w:rPr>
        <w:lastRenderedPageBreak/>
        <w:t>Dar seguimiento a los convenios firmados ante la SESAL y los proyectos de cooperación para la</w:t>
      </w:r>
      <w:r w:rsidR="00186C1A" w:rsidRPr="00431F8A">
        <w:rPr>
          <w:rFonts w:ascii="Times New Roman" w:hAnsi="Times New Roman"/>
          <w:sz w:val="22"/>
          <w:lang w:val="es-CO"/>
        </w:rPr>
        <w:t xml:space="preserve"> </w:t>
      </w:r>
      <w:r w:rsidRPr="00431F8A">
        <w:rPr>
          <w:rFonts w:ascii="Times New Roman" w:hAnsi="Times New Roman"/>
          <w:sz w:val="22"/>
          <w:lang w:val="es-CO"/>
        </w:rPr>
        <w:t>regularización permanente de la contratación del personal que ya fue absorbido por la SESAL</w:t>
      </w:r>
    </w:p>
    <w:p w14:paraId="0814297F" w14:textId="3564F31B" w:rsidR="002E52D8" w:rsidRPr="0095779C" w:rsidRDefault="002E52D8" w:rsidP="002E52D8">
      <w:pPr>
        <w:ind w:firstLine="0"/>
        <w:rPr>
          <w:lang w:val="es-MX" w:eastAsia="en-US"/>
        </w:rPr>
      </w:pPr>
      <w:r w:rsidRPr="0095779C">
        <w:rPr>
          <w:lang w:val="es-MX" w:eastAsia="en-US"/>
        </w:rPr>
        <w:t>Como parte de los compromisos establecidos en las subvenciones del Fondo Mundial, el gobierno de Honduras ha aceptado absorber gradualmente al personal que es financiado por este donante. A pesar de que estos compromisos se han respetado por parte de la SESAL, se observa que el personal es contratado irregularmente, con contratos a corto plazo o con retrasos significativos en su contratación o pago salarial. Por otro lado, aún existen recursos humanos clave para la</w:t>
      </w:r>
      <w:r w:rsidR="00203842">
        <w:rPr>
          <w:lang w:val="es-MX" w:eastAsia="en-US"/>
        </w:rPr>
        <w:t>s</w:t>
      </w:r>
      <w:r w:rsidRPr="0095779C">
        <w:rPr>
          <w:lang w:val="es-MX" w:eastAsia="en-US"/>
        </w:rPr>
        <w:t xml:space="preserve"> respuestas que trabajan bajo la contratación de los cooperantes, por ejemplo, en posiciones de monitoreo y evaluación o realizando las estimaciones de compras de insumos tanto para VIH como para TB. Se estima que las posiciones sin absorción representan un monto de US$68 mil para VIH, US$115 mil TB y US$50 </w:t>
      </w:r>
      <w:r w:rsidR="000210CC">
        <w:rPr>
          <w:lang w:val="es-MX" w:eastAsia="en-US"/>
        </w:rPr>
        <w:t xml:space="preserve">mil </w:t>
      </w:r>
      <w:r w:rsidRPr="0095779C">
        <w:rPr>
          <w:lang w:val="es-MX" w:eastAsia="en-US"/>
        </w:rPr>
        <w:t>para el fortalecimiento de sistemas de salud resilientes</w:t>
      </w:r>
      <w:r w:rsidR="000210CC">
        <w:rPr>
          <w:lang w:val="es-MX" w:eastAsia="en-US"/>
        </w:rPr>
        <w:t xml:space="preserve"> (total de US$233,000</w:t>
      </w:r>
      <w:r w:rsidR="00E0720C">
        <w:rPr>
          <w:lang w:val="es-MX" w:eastAsia="en-US"/>
        </w:rPr>
        <w:t xml:space="preserve"> por </w:t>
      </w:r>
      <w:r w:rsidR="000210CC">
        <w:rPr>
          <w:lang w:val="es-MX" w:eastAsia="en-US"/>
        </w:rPr>
        <w:t>a</w:t>
      </w:r>
      <w:r w:rsidR="00E0720C">
        <w:rPr>
          <w:lang w:val="es-MX" w:eastAsia="en-US"/>
        </w:rPr>
        <w:t>ñ</w:t>
      </w:r>
      <w:r w:rsidR="000210CC">
        <w:rPr>
          <w:lang w:val="es-MX" w:eastAsia="en-US"/>
        </w:rPr>
        <w:t>o)</w:t>
      </w:r>
      <w:r w:rsidRPr="0095779C">
        <w:rPr>
          <w:lang w:val="es-MX" w:eastAsia="en-US"/>
        </w:rPr>
        <w:t>.</w:t>
      </w:r>
      <w:r w:rsidR="00FC4B37">
        <w:rPr>
          <w:rStyle w:val="FootnoteReference"/>
          <w:lang w:val="es-MX" w:eastAsia="en-US"/>
        </w:rPr>
        <w:footnoteReference w:id="19"/>
      </w:r>
    </w:p>
    <w:p w14:paraId="260EBDE6" w14:textId="051235F5" w:rsidR="00722F15" w:rsidRDefault="00C03A5B" w:rsidP="00C03A5B">
      <w:pPr>
        <w:ind w:firstLine="0"/>
        <w:rPr>
          <w:lang w:val="es-MX" w:eastAsia="en-US"/>
        </w:rPr>
      </w:pPr>
      <w:r w:rsidRPr="0095779C">
        <w:rPr>
          <w:lang w:val="es-MX" w:eastAsia="en-US"/>
        </w:rPr>
        <w:t>Dado el reciente cambio en</w:t>
      </w:r>
      <w:r w:rsidR="00335515">
        <w:rPr>
          <w:lang w:val="es-MX" w:eastAsia="en-US"/>
        </w:rPr>
        <w:t xml:space="preserve"> el liderazgo</w:t>
      </w:r>
      <w:r w:rsidRPr="0095779C">
        <w:rPr>
          <w:lang w:val="es-MX" w:eastAsia="en-US"/>
        </w:rPr>
        <w:t xml:space="preserve"> de la SESAL, es necesario retomar el seguimiento a los convenio</w:t>
      </w:r>
      <w:r w:rsidR="00AA74F7" w:rsidRPr="0095779C">
        <w:rPr>
          <w:lang w:val="es-MX" w:eastAsia="en-US"/>
        </w:rPr>
        <w:t>s a través de la formalización de un acuerdo entre la SESAL y los proyectos de cooperación para la regularización permanente de la contratación del personal que ya fue absorbido por la SESAL y</w:t>
      </w:r>
      <w:r w:rsidR="00595DD3">
        <w:rPr>
          <w:lang w:val="es-MX" w:eastAsia="en-US"/>
        </w:rPr>
        <w:t xml:space="preserve"> el cumplimiento de los compromisos existentes para</w:t>
      </w:r>
      <w:r w:rsidR="00AA74F7" w:rsidRPr="0095779C">
        <w:rPr>
          <w:lang w:val="es-MX" w:eastAsia="en-US"/>
        </w:rPr>
        <w:t xml:space="preserve"> la absorción del personal activo </w:t>
      </w:r>
      <w:r w:rsidR="009407BF" w:rsidRPr="0095779C">
        <w:rPr>
          <w:lang w:val="es-MX" w:eastAsia="en-US"/>
        </w:rPr>
        <w:t xml:space="preserve">para evitar rupturas en los procesos claves </w:t>
      </w:r>
      <w:r w:rsidR="006912F5" w:rsidRPr="0095779C">
        <w:rPr>
          <w:lang w:val="es-MX" w:eastAsia="en-US"/>
        </w:rPr>
        <w:t>de las respuestas</w:t>
      </w:r>
      <w:r w:rsidR="00D81F96" w:rsidRPr="0095779C">
        <w:rPr>
          <w:lang w:val="es-MX" w:eastAsia="en-US"/>
        </w:rPr>
        <w:t xml:space="preserve"> al VIH y </w:t>
      </w:r>
      <w:r w:rsidR="005C6482" w:rsidRPr="0095779C">
        <w:rPr>
          <w:lang w:val="es-MX" w:eastAsia="en-US"/>
        </w:rPr>
        <w:t xml:space="preserve">a </w:t>
      </w:r>
      <w:r w:rsidR="00D81F96" w:rsidRPr="0095779C">
        <w:rPr>
          <w:lang w:val="es-MX" w:eastAsia="en-US"/>
        </w:rPr>
        <w:t>la TB.</w:t>
      </w:r>
    </w:p>
    <w:p w14:paraId="2A017D91" w14:textId="6C460FBB" w:rsidR="00431F8A" w:rsidRPr="004A4103" w:rsidRDefault="00431F8A" w:rsidP="002F3D03">
      <w:pPr>
        <w:pStyle w:val="Heading3"/>
        <w:tabs>
          <w:tab w:val="clear" w:pos="851"/>
          <w:tab w:val="left" w:pos="90"/>
          <w:tab w:val="left" w:pos="1170"/>
        </w:tabs>
        <w:ind w:left="90" w:hanging="270"/>
        <w:jc w:val="both"/>
        <w:rPr>
          <w:rFonts w:ascii="Times New Roman" w:hAnsi="Times New Roman"/>
          <w:sz w:val="22"/>
          <w:lang w:val="es-CO"/>
        </w:rPr>
      </w:pPr>
      <w:r w:rsidRPr="004A4103">
        <w:rPr>
          <w:rFonts w:ascii="Times New Roman" w:hAnsi="Times New Roman"/>
          <w:sz w:val="22"/>
          <w:lang w:val="es-CO"/>
        </w:rPr>
        <w:t>Gestionar recursos financieros para el aumento de la contratación de personal capacitado en TB y</w:t>
      </w:r>
      <w:r w:rsidR="00F06130" w:rsidRPr="004A4103">
        <w:rPr>
          <w:rFonts w:ascii="Times New Roman" w:hAnsi="Times New Roman"/>
          <w:sz w:val="22"/>
          <w:lang w:val="es-CO"/>
        </w:rPr>
        <w:t xml:space="preserve"> para</w:t>
      </w:r>
      <w:r w:rsidRPr="004A4103">
        <w:rPr>
          <w:rFonts w:ascii="Times New Roman" w:hAnsi="Times New Roman"/>
          <w:sz w:val="22"/>
          <w:lang w:val="es-CO"/>
        </w:rPr>
        <w:t xml:space="preserve"> una mayor logística </w:t>
      </w:r>
      <w:r w:rsidR="00663761" w:rsidRPr="004A4103">
        <w:rPr>
          <w:rFonts w:ascii="Times New Roman" w:hAnsi="Times New Roman"/>
          <w:sz w:val="22"/>
          <w:lang w:val="es-CO"/>
        </w:rPr>
        <w:t>para</w:t>
      </w:r>
      <w:r w:rsidR="00F06130" w:rsidRPr="004A4103">
        <w:rPr>
          <w:rFonts w:ascii="Times New Roman" w:hAnsi="Times New Roman"/>
          <w:sz w:val="22"/>
          <w:lang w:val="es-CO"/>
        </w:rPr>
        <w:t xml:space="preserve"> su</w:t>
      </w:r>
      <w:r w:rsidRPr="004A4103">
        <w:rPr>
          <w:rFonts w:ascii="Times New Roman" w:hAnsi="Times New Roman"/>
          <w:sz w:val="22"/>
          <w:lang w:val="es-CO"/>
        </w:rPr>
        <w:t xml:space="preserve"> movilización</w:t>
      </w:r>
    </w:p>
    <w:p w14:paraId="281EF100" w14:textId="440DC099" w:rsidR="00DA27B7" w:rsidRDefault="00431F8A" w:rsidP="00C03A5B">
      <w:pPr>
        <w:ind w:firstLine="0"/>
        <w:rPr>
          <w:lang w:val="es-CO" w:eastAsia="en-US"/>
        </w:rPr>
      </w:pPr>
      <w:r w:rsidRPr="00120AA5">
        <w:rPr>
          <w:lang w:val="es-CO" w:eastAsia="en-US"/>
        </w:rPr>
        <w:t xml:space="preserve">Es esencial que </w:t>
      </w:r>
      <w:r>
        <w:rPr>
          <w:lang w:val="es-CO" w:eastAsia="en-US"/>
        </w:rPr>
        <w:t>se invierta en</w:t>
      </w:r>
      <w:r w:rsidRPr="00120AA5">
        <w:rPr>
          <w:lang w:val="es-CO" w:eastAsia="en-US"/>
        </w:rPr>
        <w:t xml:space="preserve"> la contratación de personal capacitado en TB </w:t>
      </w:r>
      <w:r>
        <w:rPr>
          <w:lang w:val="es-CO" w:eastAsia="en-US"/>
        </w:rPr>
        <w:t xml:space="preserve">que </w:t>
      </w:r>
      <w:r w:rsidRPr="00120AA5">
        <w:rPr>
          <w:lang w:val="es-CO" w:eastAsia="en-US"/>
        </w:rPr>
        <w:t>apoy</w:t>
      </w:r>
      <w:r>
        <w:rPr>
          <w:lang w:val="es-CO" w:eastAsia="en-US"/>
        </w:rPr>
        <w:t>e</w:t>
      </w:r>
      <w:r w:rsidRPr="00120AA5">
        <w:rPr>
          <w:lang w:val="es-CO" w:eastAsia="en-US"/>
        </w:rPr>
        <w:t xml:space="preserve"> la realización de las actividades programáticas clave</w:t>
      </w:r>
      <w:r>
        <w:rPr>
          <w:lang w:val="es-CO" w:eastAsia="en-US"/>
        </w:rPr>
        <w:t xml:space="preserve"> del Programa de TB</w:t>
      </w:r>
      <w:r w:rsidRPr="00120AA5">
        <w:rPr>
          <w:lang w:val="es-CO" w:eastAsia="en-US"/>
        </w:rPr>
        <w:t>.</w:t>
      </w:r>
      <w:r w:rsidR="00DA27B7">
        <w:rPr>
          <w:lang w:val="es-CO" w:eastAsia="en-US"/>
        </w:rPr>
        <w:t xml:space="preserve"> Actualmente el FM apoya con 2 técnicos que realizan visitas a 157 pacientes de TB sensible de forma trimestral y 2 técnicos que visitan a los 17 pacientes de TB-MDR. Adicionalmente cubre incentivos para la adherencia al tratamiento y movilización de pacientes que viven en áreas remotas. Estas actividades quedarían sin financiamiento si no se comienzan a trasladar gradualmente al presupuesto de la SESAL.</w:t>
      </w:r>
    </w:p>
    <w:p w14:paraId="462E40FC" w14:textId="4BEB58C1" w:rsidR="006F3BC4" w:rsidRDefault="00431F8A" w:rsidP="00C03A5B">
      <w:pPr>
        <w:ind w:firstLine="0"/>
        <w:rPr>
          <w:lang w:val="es-CO" w:eastAsia="en-US"/>
        </w:rPr>
      </w:pPr>
      <w:r w:rsidRPr="00120AA5">
        <w:rPr>
          <w:lang w:val="es-CO" w:eastAsia="en-US"/>
        </w:rPr>
        <w:t xml:space="preserve"> </w:t>
      </w:r>
      <w:r w:rsidR="00DF007D">
        <w:rPr>
          <w:lang w:val="es-CO" w:eastAsia="en-US"/>
        </w:rPr>
        <w:t>El país junto con la OPS</w:t>
      </w:r>
      <w:r w:rsidR="00825B2F">
        <w:rPr>
          <w:lang w:val="es-CO" w:eastAsia="en-US"/>
        </w:rPr>
        <w:t xml:space="preserve"> ha documentado la falta de personal profesional y técnico en las Unidades de Salud que permita dar la atención adecuada al paciente de TB en su diagnóstico, tratamiento y seguimiento de los casos para evitar el abandono y generación de resistencias.</w:t>
      </w:r>
      <w:r w:rsidR="00DF007D">
        <w:rPr>
          <w:lang w:val="es-CO" w:eastAsia="en-US"/>
        </w:rPr>
        <w:t xml:space="preserve"> Asimismo, se requiere fortalecer el equipo de monitoreo y supervisión de actividades programáticas. Para impulsar esta iniciativa se debe realizar un Plan de desarrollo de RRHH a nivel central y regional</w:t>
      </w:r>
      <w:r w:rsidR="00167FB5">
        <w:rPr>
          <w:lang w:val="es-CO" w:eastAsia="en-US"/>
        </w:rPr>
        <w:t xml:space="preserve"> con personal y costos asociados</w:t>
      </w:r>
      <w:r w:rsidR="00DF007D">
        <w:rPr>
          <w:lang w:val="es-CO" w:eastAsia="en-US"/>
        </w:rPr>
        <w:t>.</w:t>
      </w:r>
    </w:p>
    <w:p w14:paraId="178AA543" w14:textId="18725CEC" w:rsidR="006F3BC4" w:rsidRDefault="006F3BC4" w:rsidP="00311B33">
      <w:pPr>
        <w:pStyle w:val="Heading3"/>
        <w:tabs>
          <w:tab w:val="clear" w:pos="851"/>
          <w:tab w:val="left" w:pos="90"/>
          <w:tab w:val="left" w:pos="1170"/>
        </w:tabs>
        <w:ind w:left="90" w:hanging="270"/>
        <w:jc w:val="both"/>
        <w:rPr>
          <w:rFonts w:ascii="Times New Roman" w:hAnsi="Times New Roman"/>
          <w:sz w:val="22"/>
          <w:lang w:val="es-CO"/>
        </w:rPr>
      </w:pPr>
      <w:r w:rsidRPr="00311B33">
        <w:rPr>
          <w:rFonts w:ascii="Times New Roman" w:hAnsi="Times New Roman"/>
          <w:sz w:val="22"/>
          <w:lang w:val="es-CO"/>
        </w:rPr>
        <w:t>Adoptar las recomendaciones de la OMS sobre servicios diferenciados de atención de VIH</w:t>
      </w:r>
      <w:r w:rsidR="00946E68">
        <w:rPr>
          <w:rFonts w:ascii="Times New Roman" w:hAnsi="Times New Roman"/>
          <w:sz w:val="22"/>
          <w:lang w:val="es-CO"/>
        </w:rPr>
        <w:t xml:space="preserve">, </w:t>
      </w:r>
      <w:proofErr w:type="gramStart"/>
      <w:r w:rsidR="00946E68" w:rsidRPr="00946E68">
        <w:rPr>
          <w:rFonts w:ascii="Times New Roman" w:hAnsi="Times New Roman"/>
          <w:sz w:val="22"/>
          <w:lang w:val="es-CO"/>
        </w:rPr>
        <w:t>de acuerdo a</w:t>
      </w:r>
      <w:proofErr w:type="gramEnd"/>
      <w:r w:rsidR="00946E68" w:rsidRPr="00946E68">
        <w:rPr>
          <w:rFonts w:ascii="Times New Roman" w:hAnsi="Times New Roman"/>
          <w:sz w:val="22"/>
          <w:lang w:val="es-CO"/>
        </w:rPr>
        <w:t xml:space="preserve"> las necesidades y capacidades instaladas del país</w:t>
      </w:r>
    </w:p>
    <w:p w14:paraId="0128DBF3" w14:textId="4A0423B8" w:rsidR="006F3BC4" w:rsidRPr="00FC4916" w:rsidRDefault="00311B33" w:rsidP="00C03A5B">
      <w:pPr>
        <w:ind w:firstLine="0"/>
        <w:rPr>
          <w:lang w:val="es-CO" w:eastAsia="en-US"/>
        </w:rPr>
      </w:pPr>
      <w:r>
        <w:rPr>
          <w:lang w:val="es-CO" w:eastAsia="en-US"/>
        </w:rPr>
        <w:t xml:space="preserve">Este punto representa un aspecto clave para mejorar la calidad y eficiencia de la atención en VIH. </w:t>
      </w:r>
      <w:r w:rsidR="0042197A">
        <w:rPr>
          <w:lang w:val="es-CO" w:eastAsia="en-US"/>
        </w:rPr>
        <w:t xml:space="preserve">A través de un enfoque centrado en el paciente, se puede incrementar su satisfacción y adherencia, </w:t>
      </w:r>
      <w:r w:rsidR="00153E3C">
        <w:rPr>
          <w:lang w:val="es-CO" w:eastAsia="en-US"/>
        </w:rPr>
        <w:t>al</w:t>
      </w:r>
      <w:r w:rsidR="0042197A">
        <w:rPr>
          <w:lang w:val="es-CO" w:eastAsia="en-US"/>
        </w:rPr>
        <w:t xml:space="preserve"> disminuir</w:t>
      </w:r>
      <w:r w:rsidR="00E95AE0">
        <w:rPr>
          <w:lang w:val="es-CO" w:eastAsia="en-US"/>
        </w:rPr>
        <w:t xml:space="preserve"> </w:t>
      </w:r>
      <w:r w:rsidR="00153E3C">
        <w:rPr>
          <w:lang w:val="es-CO" w:eastAsia="en-US"/>
        </w:rPr>
        <w:t>las implicaciones del gasto por movilización a los Establecimientos de Salud</w:t>
      </w:r>
      <w:r w:rsidR="00E95AE0">
        <w:rPr>
          <w:lang w:val="es-CO" w:eastAsia="en-US"/>
        </w:rPr>
        <w:t xml:space="preserve">. </w:t>
      </w:r>
      <w:r w:rsidR="0042197A">
        <w:rPr>
          <w:lang w:val="es-CO" w:eastAsia="en-US"/>
        </w:rPr>
        <w:t xml:space="preserve">Al mismo tiempo que se generan ahorros en recursos (humanos y financieros) que pueden </w:t>
      </w:r>
      <w:r w:rsidR="00513BBF">
        <w:rPr>
          <w:lang w:val="es-CO" w:eastAsia="en-US"/>
        </w:rPr>
        <w:t xml:space="preserve">utilizarse para </w:t>
      </w:r>
      <w:r w:rsidR="0042197A">
        <w:rPr>
          <w:lang w:val="es-CO" w:eastAsia="en-US"/>
        </w:rPr>
        <w:t>ampliar la cobertura de las intervenciones.</w:t>
      </w:r>
      <w:r w:rsidR="00942418">
        <w:rPr>
          <w:lang w:val="es-CO" w:eastAsia="en-US"/>
        </w:rPr>
        <w:t xml:space="preserve"> En Honduras, las PVIH deben acudir mensualmente a las clínicas por su tratamiento. Como indican las recomendaciones, algunos pacientes (</w:t>
      </w:r>
      <w:proofErr w:type="spellStart"/>
      <w:r w:rsidR="00942418">
        <w:rPr>
          <w:lang w:val="es-CO" w:eastAsia="en-US"/>
        </w:rPr>
        <w:t>e.g</w:t>
      </w:r>
      <w:proofErr w:type="spellEnd"/>
      <w:r w:rsidR="00942418">
        <w:rPr>
          <w:lang w:val="es-CO" w:eastAsia="en-US"/>
        </w:rPr>
        <w:t xml:space="preserve">. aquellos con carga viral indetectable o </w:t>
      </w:r>
      <w:r w:rsidR="00513BBF">
        <w:rPr>
          <w:lang w:val="es-CO" w:eastAsia="en-US"/>
        </w:rPr>
        <w:t xml:space="preserve">alta </w:t>
      </w:r>
      <w:r w:rsidR="00942418">
        <w:rPr>
          <w:lang w:val="es-CO" w:eastAsia="en-US"/>
        </w:rPr>
        <w:t>adherencia al tratamiento) pueden reducir la frecuencia de sus visitas al asistir cada 3 o 6 meses.</w:t>
      </w:r>
      <w:r w:rsidR="00513BBF">
        <w:rPr>
          <w:lang w:val="es-CO" w:eastAsia="en-US"/>
        </w:rPr>
        <w:t xml:space="preserve"> La prestación diferenciada también puede incluir una mayor descentralización a intervenciones basadas en la comunidad y a</w:t>
      </w:r>
      <w:r w:rsidR="00447037">
        <w:rPr>
          <w:lang w:val="es-CO" w:eastAsia="en-US"/>
        </w:rPr>
        <w:t>mpliar</w:t>
      </w:r>
      <w:r w:rsidR="00513BBF">
        <w:rPr>
          <w:lang w:val="es-CO" w:eastAsia="en-US"/>
        </w:rPr>
        <w:t xml:space="preserve"> la atención por personal de salud no médico.</w:t>
      </w:r>
      <w:r w:rsidR="00E43397">
        <w:rPr>
          <w:lang w:val="es-CO" w:eastAsia="en-US"/>
        </w:rPr>
        <w:t xml:space="preserve"> </w:t>
      </w:r>
    </w:p>
    <w:p w14:paraId="4BFCE6C2" w14:textId="72A9D480" w:rsidR="00CC63AF" w:rsidRPr="00104E49" w:rsidRDefault="00CC63AF" w:rsidP="000B365C">
      <w:pPr>
        <w:pStyle w:val="Heading3"/>
        <w:tabs>
          <w:tab w:val="clear" w:pos="851"/>
          <w:tab w:val="left" w:pos="90"/>
          <w:tab w:val="left" w:pos="1170"/>
        </w:tabs>
        <w:ind w:left="90" w:hanging="270"/>
        <w:jc w:val="both"/>
        <w:rPr>
          <w:rFonts w:ascii="Times New Roman" w:hAnsi="Times New Roman"/>
          <w:sz w:val="22"/>
          <w:lang w:val="es-CO"/>
        </w:rPr>
      </w:pPr>
      <w:r w:rsidRPr="00104E49">
        <w:rPr>
          <w:rFonts w:ascii="Times New Roman" w:hAnsi="Times New Roman"/>
          <w:sz w:val="22"/>
          <w:lang w:val="es-CO"/>
        </w:rPr>
        <w:lastRenderedPageBreak/>
        <w:t>C</w:t>
      </w:r>
      <w:r w:rsidR="00F06130" w:rsidRPr="00104E49">
        <w:rPr>
          <w:rFonts w:ascii="Times New Roman" w:hAnsi="Times New Roman"/>
          <w:sz w:val="22"/>
          <w:lang w:val="es-CO"/>
        </w:rPr>
        <w:t>apacitar y c</w:t>
      </w:r>
      <w:r w:rsidRPr="00104E49">
        <w:rPr>
          <w:rFonts w:ascii="Times New Roman" w:hAnsi="Times New Roman"/>
          <w:sz w:val="22"/>
          <w:lang w:val="es-CO"/>
        </w:rPr>
        <w:t>ertificar al personal de salud</w:t>
      </w:r>
      <w:r w:rsidR="006E5BCF" w:rsidRPr="00104E49">
        <w:rPr>
          <w:rFonts w:ascii="Times New Roman" w:hAnsi="Times New Roman"/>
          <w:sz w:val="22"/>
          <w:lang w:val="es-CO"/>
        </w:rPr>
        <w:t xml:space="preserve"> y sociedad civil</w:t>
      </w:r>
      <w:r w:rsidRPr="00104E49">
        <w:rPr>
          <w:rFonts w:ascii="Times New Roman" w:hAnsi="Times New Roman"/>
          <w:sz w:val="22"/>
          <w:lang w:val="es-CO"/>
        </w:rPr>
        <w:t xml:space="preserve"> en protocolos de</w:t>
      </w:r>
      <w:r w:rsidR="00F7557A">
        <w:rPr>
          <w:rFonts w:ascii="Times New Roman" w:hAnsi="Times New Roman"/>
          <w:sz w:val="22"/>
          <w:lang w:val="es-CO"/>
        </w:rPr>
        <w:t>l componente de</w:t>
      </w:r>
      <w:r w:rsidRPr="00104E49">
        <w:rPr>
          <w:rFonts w:ascii="Times New Roman" w:hAnsi="Times New Roman"/>
          <w:sz w:val="22"/>
          <w:lang w:val="es-CO"/>
        </w:rPr>
        <w:t xml:space="preserve"> VIH</w:t>
      </w:r>
      <w:r w:rsidR="00AA4CA0">
        <w:rPr>
          <w:rFonts w:ascii="Times New Roman" w:hAnsi="Times New Roman"/>
          <w:sz w:val="22"/>
          <w:lang w:val="es-CO"/>
        </w:rPr>
        <w:t>,</w:t>
      </w:r>
      <w:r w:rsidR="005F681D">
        <w:rPr>
          <w:rFonts w:ascii="Times New Roman" w:hAnsi="Times New Roman"/>
          <w:sz w:val="22"/>
          <w:lang w:val="es-CO"/>
        </w:rPr>
        <w:t xml:space="preserve"> y </w:t>
      </w:r>
      <w:r w:rsidRPr="00104E49">
        <w:rPr>
          <w:rFonts w:ascii="Times New Roman" w:hAnsi="Times New Roman"/>
          <w:sz w:val="22"/>
          <w:lang w:val="es-CO"/>
        </w:rPr>
        <w:t>TB</w:t>
      </w:r>
      <w:r w:rsidR="00F06130" w:rsidRPr="00104E49">
        <w:rPr>
          <w:rFonts w:ascii="Times New Roman" w:hAnsi="Times New Roman"/>
          <w:sz w:val="22"/>
          <w:lang w:val="es-CO"/>
        </w:rPr>
        <w:t xml:space="preserve"> sensible</w:t>
      </w:r>
      <w:r w:rsidR="00AA4CA0">
        <w:rPr>
          <w:rFonts w:ascii="Times New Roman" w:hAnsi="Times New Roman"/>
          <w:sz w:val="22"/>
          <w:lang w:val="es-CO"/>
        </w:rPr>
        <w:t>,</w:t>
      </w:r>
      <w:r w:rsidR="00F06130" w:rsidRPr="00104E49">
        <w:rPr>
          <w:rFonts w:ascii="Times New Roman" w:hAnsi="Times New Roman"/>
          <w:sz w:val="22"/>
          <w:lang w:val="es-CO"/>
        </w:rPr>
        <w:t xml:space="preserve"> TB-MDR</w:t>
      </w:r>
      <w:r w:rsidRPr="00104E49">
        <w:rPr>
          <w:rFonts w:ascii="Times New Roman" w:hAnsi="Times New Roman"/>
          <w:sz w:val="22"/>
          <w:lang w:val="es-CO"/>
        </w:rPr>
        <w:t xml:space="preserve"> y comunicación con el paciente con un enfoque de </w:t>
      </w:r>
      <w:r w:rsidR="00C421D9" w:rsidRPr="00104E49">
        <w:rPr>
          <w:rFonts w:ascii="Times New Roman" w:hAnsi="Times New Roman"/>
          <w:sz w:val="22"/>
          <w:lang w:val="es-CO"/>
        </w:rPr>
        <w:t>derechos humanos</w:t>
      </w:r>
      <w:r w:rsidR="00BA3E16" w:rsidRPr="002C04E4">
        <w:rPr>
          <w:bCs/>
          <w:szCs w:val="20"/>
          <w:lang w:eastAsia="fr-FR"/>
        </w:rPr>
        <w:t>,</w:t>
      </w:r>
      <w:r w:rsidR="00BA3E16" w:rsidRPr="009B48D7">
        <w:rPr>
          <w:bCs/>
          <w:sz w:val="22"/>
          <w:szCs w:val="22"/>
          <w:lang w:eastAsia="fr-FR"/>
        </w:rPr>
        <w:t xml:space="preserve"> </w:t>
      </w:r>
      <w:r w:rsidR="00BA3E16" w:rsidRPr="009B48D7">
        <w:rPr>
          <w:rFonts w:ascii="Times New Roman" w:hAnsi="Times New Roman"/>
          <w:bCs/>
          <w:sz w:val="22"/>
          <w:szCs w:val="22"/>
          <w:lang w:eastAsia="fr-FR"/>
        </w:rPr>
        <w:t>específicamente contra el estigma y la discriminación</w:t>
      </w:r>
    </w:p>
    <w:p w14:paraId="639522BA" w14:textId="784A3985" w:rsidR="00044AD8" w:rsidRPr="00104E49" w:rsidRDefault="006E5BCF" w:rsidP="006E5BCF">
      <w:pPr>
        <w:ind w:firstLine="0"/>
        <w:rPr>
          <w:szCs w:val="22"/>
          <w:lang w:val="es-MX" w:eastAsia="en-US"/>
        </w:rPr>
      </w:pPr>
      <w:r w:rsidRPr="00104E49">
        <w:rPr>
          <w:szCs w:val="22"/>
          <w:lang w:val="es-MX" w:eastAsia="en-US"/>
        </w:rPr>
        <w:t xml:space="preserve">Durante los talleres de sociedad civil y en el taller intersectorial se percibió la necesidad de fortalecer la capacitación </w:t>
      </w:r>
      <w:r w:rsidR="00135A34" w:rsidRPr="00104E49">
        <w:rPr>
          <w:szCs w:val="22"/>
          <w:lang w:val="es-MX" w:eastAsia="en-US"/>
        </w:rPr>
        <w:t>en los protocolos de atención de VIH</w:t>
      </w:r>
      <w:r w:rsidR="00731E1A">
        <w:rPr>
          <w:szCs w:val="22"/>
          <w:lang w:val="es-MX" w:eastAsia="en-US"/>
        </w:rPr>
        <w:t xml:space="preserve"> y </w:t>
      </w:r>
      <w:r w:rsidR="00135A34" w:rsidRPr="00104E49">
        <w:rPr>
          <w:szCs w:val="22"/>
          <w:lang w:val="es-MX" w:eastAsia="en-US"/>
        </w:rPr>
        <w:t>TB, con particular énfasis en comunicación con el paciente y un enfoque de derechos humanos. El objetivo de esta acción es combatir la mala praxis médica, las violaciones a la confidencialidad del paciente y el estigma y discriminación en el entorno clínico.</w:t>
      </w:r>
    </w:p>
    <w:p w14:paraId="3D42D8FF" w14:textId="6A490F38" w:rsidR="007363FF" w:rsidRPr="00104E49" w:rsidRDefault="007363FF" w:rsidP="006E5BCF">
      <w:pPr>
        <w:ind w:firstLine="0"/>
        <w:rPr>
          <w:szCs w:val="22"/>
          <w:lang w:val="es-MX" w:eastAsia="en-US"/>
        </w:rPr>
      </w:pPr>
      <w:r w:rsidRPr="00104E49">
        <w:rPr>
          <w:szCs w:val="22"/>
          <w:lang w:val="es-MX" w:eastAsia="en-US"/>
        </w:rPr>
        <w:t>A grandes rasgos se propuso el incluir la capacitación de VIH</w:t>
      </w:r>
      <w:r w:rsidR="00731E1A">
        <w:rPr>
          <w:szCs w:val="22"/>
          <w:lang w:val="es-MX" w:eastAsia="en-US"/>
        </w:rPr>
        <w:t xml:space="preserve"> y </w:t>
      </w:r>
      <w:r w:rsidRPr="00104E49">
        <w:rPr>
          <w:szCs w:val="22"/>
          <w:lang w:val="es-MX" w:eastAsia="en-US"/>
        </w:rPr>
        <w:t>TB en la inducción al personal de nuevo ingreso e incluir un módulo de VIH</w:t>
      </w:r>
      <w:r w:rsidR="00731E1A">
        <w:rPr>
          <w:szCs w:val="22"/>
          <w:lang w:val="es-MX" w:eastAsia="en-US"/>
        </w:rPr>
        <w:t xml:space="preserve"> y </w:t>
      </w:r>
      <w:r w:rsidRPr="00104E49">
        <w:rPr>
          <w:szCs w:val="22"/>
          <w:lang w:val="es-MX" w:eastAsia="en-US"/>
        </w:rPr>
        <w:t>TB en el currículo del personal de salud. Idealmente se debería capacitar en las actualizaciones médicas en VIH</w:t>
      </w:r>
      <w:r w:rsidR="00731E1A">
        <w:rPr>
          <w:szCs w:val="22"/>
          <w:lang w:val="es-MX" w:eastAsia="en-US"/>
        </w:rPr>
        <w:t xml:space="preserve"> y </w:t>
      </w:r>
      <w:r w:rsidRPr="00104E49">
        <w:rPr>
          <w:szCs w:val="22"/>
          <w:lang w:val="es-MX" w:eastAsia="en-US"/>
        </w:rPr>
        <w:t>TB al menos de forma anual.</w:t>
      </w:r>
    </w:p>
    <w:p w14:paraId="38999615" w14:textId="4D76A1E3" w:rsidR="007363FF" w:rsidRPr="007363FF" w:rsidRDefault="00823C24" w:rsidP="006E5BCF">
      <w:pPr>
        <w:ind w:firstLine="0"/>
        <w:rPr>
          <w:lang w:val="es-CO" w:eastAsia="en-US"/>
        </w:rPr>
      </w:pPr>
      <w:r w:rsidRPr="00104E49">
        <w:rPr>
          <w:lang w:val="es-CO" w:eastAsia="en-US"/>
        </w:rPr>
        <w:t xml:space="preserve">Para mejorar la capacitación del personal de salud existente y futuro en los diferentes tipos de TB, representantes de SESAL, OPS, el </w:t>
      </w:r>
      <w:r w:rsidR="001A3B49">
        <w:rPr>
          <w:lang w:val="es-CO" w:eastAsia="en-US"/>
        </w:rPr>
        <w:t>Centro Nacional de Educación Médica Continua</w:t>
      </w:r>
      <w:r w:rsidRPr="00104E49">
        <w:rPr>
          <w:lang w:val="es-CO" w:eastAsia="en-US"/>
        </w:rPr>
        <w:t xml:space="preserve"> (CENEMEC), universidades, y sociedad civil, deberán trabajar juntos para desarrollar una plataforma virtual para el autoaprendizaje y la certificación del personal de salud en TB. Como primer paso se sugirió la instauración de un grupo de trabajo con universidades y colegios profesionales del área de la salud para solicitar la solicitud de esta certificación con validez del CENEMEC y SESAL como requisito de titulación del personal de salud.</w:t>
      </w:r>
      <w:r w:rsidR="0039076A" w:rsidRPr="00104E49">
        <w:rPr>
          <w:lang w:val="es-CO" w:eastAsia="en-US"/>
        </w:rPr>
        <w:t xml:space="preserve"> Si este modelo funciona </w:t>
      </w:r>
      <w:r w:rsidR="00BE0246" w:rsidRPr="00104E49">
        <w:rPr>
          <w:lang w:val="es-CO" w:eastAsia="en-US"/>
        </w:rPr>
        <w:t>para</w:t>
      </w:r>
      <w:r w:rsidR="0039076A" w:rsidRPr="00104E49">
        <w:rPr>
          <w:lang w:val="es-CO" w:eastAsia="en-US"/>
        </w:rPr>
        <w:t xml:space="preserve"> TB se podría </w:t>
      </w:r>
      <w:r w:rsidR="008C10B1" w:rsidRPr="00104E49">
        <w:rPr>
          <w:lang w:val="es-CO" w:eastAsia="en-US"/>
        </w:rPr>
        <w:t xml:space="preserve">considerar la posibilidad </w:t>
      </w:r>
      <w:r w:rsidR="0039076A" w:rsidRPr="00104E49">
        <w:rPr>
          <w:lang w:val="es-CO" w:eastAsia="en-US"/>
        </w:rPr>
        <w:t>de realizar un certificado similar para VIH</w:t>
      </w:r>
      <w:r w:rsidR="00104E49" w:rsidRPr="00104E49">
        <w:rPr>
          <w:lang w:val="es-CO" w:eastAsia="en-US"/>
        </w:rPr>
        <w:t xml:space="preserve">, </w:t>
      </w:r>
      <w:r w:rsidR="008950DC" w:rsidRPr="008950DC">
        <w:rPr>
          <w:lang w:val="es-CO" w:eastAsia="en-US"/>
        </w:rPr>
        <w:t>sin embargo, se deben promover capacitaciones presenciales dentro de lo posible.</w:t>
      </w:r>
    </w:p>
    <w:p w14:paraId="77E846F4" w14:textId="630138BC" w:rsidR="00044AD8" w:rsidRPr="00636E6E" w:rsidRDefault="00044AD8" w:rsidP="006C47D1">
      <w:pPr>
        <w:pStyle w:val="Heading3"/>
        <w:tabs>
          <w:tab w:val="clear" w:pos="851"/>
          <w:tab w:val="left" w:pos="90"/>
          <w:tab w:val="left" w:pos="1170"/>
        </w:tabs>
        <w:ind w:left="90" w:hanging="270"/>
        <w:jc w:val="both"/>
        <w:rPr>
          <w:rFonts w:ascii="Times New Roman" w:hAnsi="Times New Roman"/>
          <w:sz w:val="22"/>
          <w:lang w:val="es-CO"/>
        </w:rPr>
      </w:pPr>
      <w:r w:rsidRPr="00636E6E">
        <w:rPr>
          <w:rFonts w:ascii="Times New Roman" w:hAnsi="Times New Roman"/>
          <w:sz w:val="22"/>
          <w:lang w:val="es-CO"/>
        </w:rPr>
        <w:t>Proveer oportunidades de promoción a los RRHH para que desarrollen una carrera institucional que disminuya las renuncias y la rotación de personal</w:t>
      </w:r>
      <w:r w:rsidR="00874996" w:rsidRPr="00636E6E">
        <w:rPr>
          <w:rFonts w:ascii="Times New Roman" w:hAnsi="Times New Roman"/>
          <w:sz w:val="22"/>
          <w:lang w:val="es-CO"/>
        </w:rPr>
        <w:t xml:space="preserve"> (proyecto piloto)</w:t>
      </w:r>
    </w:p>
    <w:p w14:paraId="0124AD44" w14:textId="61C71A06" w:rsidR="007E0C46" w:rsidRDefault="004636ED" w:rsidP="006E5BCF">
      <w:pPr>
        <w:ind w:firstLine="0"/>
        <w:rPr>
          <w:szCs w:val="22"/>
          <w:lang w:val="es-MX" w:eastAsia="en-US"/>
        </w:rPr>
      </w:pPr>
      <w:r w:rsidRPr="0095779C">
        <w:rPr>
          <w:szCs w:val="22"/>
          <w:lang w:val="es-MX" w:eastAsia="en-US"/>
        </w:rPr>
        <w:t>La alta rotación de los RRHH es un problema que enfrenta</w:t>
      </w:r>
      <w:r w:rsidR="001F0D9A">
        <w:rPr>
          <w:szCs w:val="22"/>
          <w:lang w:val="es-MX" w:eastAsia="en-US"/>
        </w:rPr>
        <w:t>n</w:t>
      </w:r>
      <w:r w:rsidR="00BD5527">
        <w:rPr>
          <w:szCs w:val="22"/>
          <w:lang w:val="es-MX" w:eastAsia="en-US"/>
        </w:rPr>
        <w:t xml:space="preserve"> </w:t>
      </w:r>
      <w:r w:rsidR="0067467A">
        <w:rPr>
          <w:szCs w:val="22"/>
          <w:lang w:val="es-MX" w:eastAsia="en-US"/>
        </w:rPr>
        <w:t xml:space="preserve">no sólo </w:t>
      </w:r>
      <w:r w:rsidRPr="0095779C">
        <w:rPr>
          <w:szCs w:val="22"/>
          <w:lang w:val="es-MX" w:eastAsia="en-US"/>
        </w:rPr>
        <w:t>las repuestas al VIH y a la TB</w:t>
      </w:r>
      <w:r w:rsidR="0067467A">
        <w:rPr>
          <w:szCs w:val="22"/>
          <w:lang w:val="es-MX" w:eastAsia="en-US"/>
        </w:rPr>
        <w:t xml:space="preserve">, sino </w:t>
      </w:r>
      <w:r w:rsidR="00047ADC">
        <w:rPr>
          <w:szCs w:val="22"/>
          <w:lang w:val="es-MX" w:eastAsia="en-US"/>
        </w:rPr>
        <w:t xml:space="preserve">a </w:t>
      </w:r>
      <w:r w:rsidR="0063490B">
        <w:rPr>
          <w:szCs w:val="22"/>
          <w:lang w:val="es-MX" w:eastAsia="en-US"/>
        </w:rPr>
        <w:t>la SESAL</w:t>
      </w:r>
      <w:r w:rsidR="00BD5527">
        <w:rPr>
          <w:szCs w:val="22"/>
          <w:lang w:val="es-MX" w:eastAsia="en-US"/>
        </w:rPr>
        <w:t xml:space="preserve"> en general</w:t>
      </w:r>
      <w:r w:rsidRPr="0095779C">
        <w:rPr>
          <w:szCs w:val="22"/>
          <w:lang w:val="es-MX" w:eastAsia="en-US"/>
        </w:rPr>
        <w:t xml:space="preserve">. </w:t>
      </w:r>
      <w:r w:rsidR="0067467A">
        <w:rPr>
          <w:szCs w:val="22"/>
          <w:lang w:val="es-MX" w:eastAsia="en-US"/>
        </w:rPr>
        <w:t>Para contribuir a mitigar los efectos negativos de estas políticas se</w:t>
      </w:r>
      <w:r w:rsidRPr="0095779C">
        <w:rPr>
          <w:szCs w:val="22"/>
          <w:lang w:val="es-MX" w:eastAsia="en-US"/>
        </w:rPr>
        <w:t xml:space="preserve"> propone trabajar con la SESAL en </w:t>
      </w:r>
      <w:r w:rsidR="0067467A">
        <w:rPr>
          <w:szCs w:val="22"/>
          <w:lang w:val="es-MX" w:eastAsia="en-US"/>
        </w:rPr>
        <w:t>un piloto de incentivos para la</w:t>
      </w:r>
      <w:r w:rsidRPr="0095779C">
        <w:rPr>
          <w:szCs w:val="22"/>
          <w:lang w:val="es-MX" w:eastAsia="en-US"/>
        </w:rPr>
        <w:t xml:space="preserve"> promoción y desarrollo profesional del personal que labora en los “programas” de control de enfermedades (tanto a nivel central como a nivel local) para promover su continuación y evitar así la perdida de personal capacitado</w:t>
      </w:r>
      <w:r w:rsidR="00431F8A">
        <w:rPr>
          <w:szCs w:val="22"/>
          <w:lang w:val="es-MX" w:eastAsia="en-US"/>
        </w:rPr>
        <w:t>.</w:t>
      </w:r>
      <w:r w:rsidR="0067467A">
        <w:rPr>
          <w:szCs w:val="22"/>
          <w:lang w:val="es-MX" w:eastAsia="en-US"/>
        </w:rPr>
        <w:t xml:space="preserve"> Este piloto se deberá evaluar y compartir con las autoridades del despacho de la SESAL para informar una estrategia de mayor amplitud.</w:t>
      </w:r>
    </w:p>
    <w:p w14:paraId="5B9DF7D3" w14:textId="77777777" w:rsidR="00CF5ADB" w:rsidRPr="0095779C" w:rsidRDefault="00CF5ADB" w:rsidP="006E5BCF">
      <w:pPr>
        <w:ind w:firstLine="0"/>
        <w:rPr>
          <w:szCs w:val="22"/>
          <w:lang w:val="es-MX" w:eastAsia="en-US"/>
        </w:rPr>
      </w:pPr>
    </w:p>
    <w:p w14:paraId="4B33C01B" w14:textId="564A513B" w:rsidR="00CF5ADB" w:rsidRPr="0095779C" w:rsidRDefault="007E0C46" w:rsidP="00CF5ADB">
      <w:pPr>
        <w:pStyle w:val="Heading2"/>
        <w:tabs>
          <w:tab w:val="left" w:pos="450"/>
        </w:tabs>
        <w:ind w:left="0" w:firstLine="0"/>
        <w:jc w:val="both"/>
        <w:rPr>
          <w:rFonts w:ascii="Times New Roman" w:hAnsi="Times New Roman" w:cs="Times New Roman"/>
          <w:lang w:val="es-ES"/>
        </w:rPr>
      </w:pPr>
      <w:bookmarkStart w:id="41" w:name="_Toc8381162"/>
      <w:r w:rsidRPr="0095779C">
        <w:rPr>
          <w:rFonts w:ascii="Times New Roman" w:hAnsi="Times New Roman" w:cs="Times New Roman"/>
          <w:lang w:val="es-ES"/>
        </w:rPr>
        <w:t xml:space="preserve">Objetivo 3. Asegurar la sostenibilidad de la adquisición </w:t>
      </w:r>
      <w:r w:rsidRPr="006B5411">
        <w:rPr>
          <w:rFonts w:ascii="Times New Roman" w:hAnsi="Times New Roman" w:cs="Times New Roman"/>
          <w:color w:val="000000" w:themeColor="text1"/>
          <w:lang w:val="es-ES"/>
        </w:rPr>
        <w:t xml:space="preserve">de insumos </w:t>
      </w:r>
      <w:r w:rsidR="00CF5ADB" w:rsidRPr="006B5411">
        <w:rPr>
          <w:rFonts w:ascii="Times New Roman" w:hAnsi="Times New Roman" w:cs="Times New Roman"/>
          <w:color w:val="000000" w:themeColor="text1"/>
          <w:lang w:val="es-ES"/>
        </w:rPr>
        <w:t xml:space="preserve">incluyendo ARV, pruebas de carga viral, </w:t>
      </w:r>
      <w:r w:rsidR="006B5411">
        <w:rPr>
          <w:rFonts w:ascii="Times New Roman" w:hAnsi="Times New Roman" w:cs="Times New Roman"/>
          <w:color w:val="000000" w:themeColor="text1"/>
          <w:lang w:val="es-ES"/>
        </w:rPr>
        <w:t>e insumos para el diagnóstico</w:t>
      </w:r>
      <w:r w:rsidRPr="006B5411">
        <w:rPr>
          <w:rFonts w:ascii="Times New Roman" w:hAnsi="Times New Roman" w:cs="Times New Roman"/>
          <w:color w:val="000000" w:themeColor="text1"/>
          <w:lang w:val="es-ES"/>
        </w:rPr>
        <w:t xml:space="preserve"> de VIH y TB a través de fuentes </w:t>
      </w:r>
      <w:r w:rsidR="00C85F63">
        <w:rPr>
          <w:rFonts w:ascii="Times New Roman" w:hAnsi="Times New Roman" w:cs="Times New Roman"/>
          <w:color w:val="000000" w:themeColor="text1"/>
          <w:lang w:val="es-ES"/>
        </w:rPr>
        <w:t>públicas</w:t>
      </w:r>
      <w:bookmarkEnd w:id="41"/>
    </w:p>
    <w:p w14:paraId="58075ACC" w14:textId="2EF969CD" w:rsidR="00CF5ADB" w:rsidRDefault="00FD5CF2" w:rsidP="00CF5ADB">
      <w:pPr>
        <w:ind w:firstLine="0"/>
        <w:rPr>
          <w:lang w:val="es-DO" w:eastAsia="en-US"/>
        </w:rPr>
      </w:pPr>
      <w:r w:rsidRPr="001B6FA7">
        <w:rPr>
          <w:b/>
          <w:i/>
          <w:lang w:val="es-DO" w:eastAsia="en-US"/>
        </w:rPr>
        <w:t>VIH</w:t>
      </w:r>
      <w:r w:rsidR="001B6FA7" w:rsidRPr="001B6FA7">
        <w:rPr>
          <w:b/>
          <w:i/>
          <w:lang w:val="es-DO" w:eastAsia="en-US"/>
        </w:rPr>
        <w:t>:</w:t>
      </w:r>
      <w:r>
        <w:rPr>
          <w:i/>
          <w:lang w:val="es-DO" w:eastAsia="en-US"/>
        </w:rPr>
        <w:t xml:space="preserve"> </w:t>
      </w:r>
      <w:r w:rsidR="00CF5ADB" w:rsidRPr="0095779C">
        <w:rPr>
          <w:lang w:val="es-DO" w:eastAsia="en-US"/>
        </w:rPr>
        <w:t xml:space="preserve">Uno de los riesgos principales para el cumplimiento del 1er 90, es que las pruebas de diagnóstico del VIH se adquieren de forma descentralizada a través de las regiones de salud, incrementando los costos de </w:t>
      </w:r>
      <w:proofErr w:type="gramStart"/>
      <w:r w:rsidR="00CF5ADB" w:rsidRPr="0095779C">
        <w:rPr>
          <w:lang w:val="es-DO" w:eastAsia="en-US"/>
        </w:rPr>
        <w:t>las mismas</w:t>
      </w:r>
      <w:proofErr w:type="gramEnd"/>
      <w:r w:rsidR="00CF5ADB" w:rsidRPr="0095779C">
        <w:rPr>
          <w:lang w:val="es-DO" w:eastAsia="en-US"/>
        </w:rPr>
        <w:t xml:space="preserve"> y limitando el acceso a los usuarios, incluyendo poblaciones clave. Además, se han reportado desabastecimientos de las pruebas rápidas para detección de VIH a nivel de los establecimientos.</w:t>
      </w:r>
      <w:r w:rsidR="00CF5ADB" w:rsidRPr="0095779C">
        <w:rPr>
          <w:vertAlign w:val="superscript"/>
          <w:lang w:val="es-DO" w:eastAsia="en-US"/>
        </w:rPr>
        <w:footnoteReference w:id="20"/>
      </w:r>
      <w:r w:rsidR="00BE1B1D">
        <w:rPr>
          <w:lang w:val="es-DO" w:eastAsia="en-US"/>
        </w:rPr>
        <w:t xml:space="preserve"> </w:t>
      </w:r>
    </w:p>
    <w:p w14:paraId="388F05EF" w14:textId="315CB30B" w:rsidR="000F20FA" w:rsidRPr="000F20FA" w:rsidRDefault="00BE1B1D" w:rsidP="000F20FA">
      <w:pPr>
        <w:ind w:firstLine="0"/>
        <w:rPr>
          <w:lang w:val="es-DO" w:eastAsia="en-US"/>
        </w:rPr>
      </w:pPr>
      <w:r w:rsidRPr="0095779C">
        <w:rPr>
          <w:lang w:val="es-DO" w:eastAsia="en-US"/>
        </w:rPr>
        <w:t xml:space="preserve">Establecer un mecanismo de compra conjunta a través de la SESAL y por medio del proveedor actual de compras, contribuirá a ahorros importantes, eficiencias y oportunidad en las entregas.  Una reducción en el costo de adquisición de las pruebas de diagnóstico </w:t>
      </w:r>
      <w:r w:rsidR="00611631">
        <w:rPr>
          <w:lang w:val="es-DO" w:eastAsia="en-US"/>
        </w:rPr>
        <w:t xml:space="preserve">para VIH </w:t>
      </w:r>
      <w:r w:rsidRPr="0095779C">
        <w:rPr>
          <w:lang w:val="es-DO" w:eastAsia="en-US"/>
        </w:rPr>
        <w:t>en un 38.1%, equivalentes a US$ 83 mil dólares anuales si se adquieren las pruebas de diagnóstico a través del mecanismo de compra conjunta internacional actual de la SESAL (OPS) y una disminución de un 103% en los costos, para un total de US$ 198 mil de ahorros a través del mecanismo del FM, en comparación con los precios de adquisición de las pruebas en el mercado local que adquieren las regiones de salud de forma fragmentada.</w:t>
      </w:r>
      <w:r w:rsidRPr="0095779C">
        <w:rPr>
          <w:vertAlign w:val="superscript"/>
          <w:lang w:val="es-DO" w:eastAsia="en-US"/>
        </w:rPr>
        <w:footnoteReference w:id="21"/>
      </w:r>
      <w:r w:rsidRPr="0095779C">
        <w:rPr>
          <w:lang w:val="es-DO" w:eastAsia="en-US"/>
        </w:rPr>
        <w:t xml:space="preserve"> </w:t>
      </w:r>
    </w:p>
    <w:p w14:paraId="55B1101A" w14:textId="1E1844A9" w:rsidR="000F20FA" w:rsidRPr="000F20FA" w:rsidRDefault="000F20FA" w:rsidP="00CF5ADB">
      <w:pPr>
        <w:ind w:firstLine="0"/>
        <w:rPr>
          <w:lang w:val="es-ES" w:eastAsia="en-US"/>
        </w:rPr>
      </w:pPr>
      <w:r>
        <w:rPr>
          <w:lang w:val="es-ES" w:eastAsia="en-US"/>
        </w:rPr>
        <w:lastRenderedPageBreak/>
        <w:t xml:space="preserve">A pesar de que el país ha asumido la compra de la terapia antirretroviral, </w:t>
      </w:r>
      <w:r w:rsidR="007812F7">
        <w:rPr>
          <w:lang w:val="es-ES" w:eastAsia="en-US"/>
        </w:rPr>
        <w:t xml:space="preserve">cada año </w:t>
      </w:r>
      <w:r>
        <w:rPr>
          <w:lang w:val="es-ES" w:eastAsia="en-US"/>
        </w:rPr>
        <w:t>el</w:t>
      </w:r>
      <w:r w:rsidRPr="0095779C">
        <w:rPr>
          <w:lang w:val="es-ES" w:eastAsia="en-US"/>
        </w:rPr>
        <w:t xml:space="preserve"> </w:t>
      </w:r>
      <w:r>
        <w:rPr>
          <w:lang w:val="es-ES" w:eastAsia="en-US"/>
        </w:rPr>
        <w:t>FM sigue apoyando al país en compras emergentes y cuando existen fallas del proveedor</w:t>
      </w:r>
      <w:r w:rsidR="00705805">
        <w:rPr>
          <w:lang w:val="es-ES" w:eastAsia="en-US"/>
        </w:rPr>
        <w:t xml:space="preserve"> (</w:t>
      </w:r>
      <w:r w:rsidR="00300B57">
        <w:rPr>
          <w:lang w:val="es-ES" w:eastAsia="en-US"/>
        </w:rPr>
        <w:t>p</w:t>
      </w:r>
      <w:r w:rsidR="00705805">
        <w:rPr>
          <w:lang w:val="es-ES" w:eastAsia="en-US"/>
        </w:rPr>
        <w:t>ara 2019 se estiman US$ 281 mil en compras de ARV por el FM)</w:t>
      </w:r>
      <w:r>
        <w:rPr>
          <w:lang w:val="es-ES" w:eastAsia="en-US"/>
        </w:rPr>
        <w:t xml:space="preserve">. Es necesario hacer una revisión del proceso de estimación de compras para evitar estos desafíos y contar con stocks de seguridad. Se debe garantizar la continuidad en el </w:t>
      </w:r>
      <w:r w:rsidRPr="0095779C">
        <w:rPr>
          <w:lang w:val="es-ES" w:eastAsia="en-US"/>
        </w:rPr>
        <w:t>acceso a la terapia</w:t>
      </w:r>
      <w:r>
        <w:rPr>
          <w:lang w:val="es-ES" w:eastAsia="en-US"/>
        </w:rPr>
        <w:t>, para el control de la epidemia y el progreso en el segundo 90.</w:t>
      </w:r>
    </w:p>
    <w:p w14:paraId="296678D7" w14:textId="52F732FA" w:rsidR="00CF5ADB" w:rsidRDefault="00BE1B1D" w:rsidP="00CF5ADB">
      <w:pPr>
        <w:ind w:firstLine="0"/>
        <w:rPr>
          <w:lang w:val="es-DO" w:eastAsia="en-US"/>
        </w:rPr>
      </w:pPr>
      <w:r>
        <w:rPr>
          <w:lang w:val="es-ES" w:eastAsia="en-US"/>
        </w:rPr>
        <w:t>Es de especial importancia la dependencia del financiamiento externo para la compra de las pruebas de carga viral</w:t>
      </w:r>
      <w:r w:rsidR="00FD5CF2">
        <w:rPr>
          <w:lang w:val="es-ES" w:eastAsia="en-US"/>
        </w:rPr>
        <w:t xml:space="preserve"> </w:t>
      </w:r>
      <w:r w:rsidR="007812F7">
        <w:rPr>
          <w:lang w:val="es-ES" w:eastAsia="en-US"/>
        </w:rPr>
        <w:t xml:space="preserve">para </w:t>
      </w:r>
      <w:r w:rsidR="00FD5CF2">
        <w:rPr>
          <w:lang w:val="es-ES" w:eastAsia="en-US"/>
        </w:rPr>
        <w:t>VIH</w:t>
      </w:r>
      <w:r w:rsidR="007812F7">
        <w:rPr>
          <w:lang w:val="es-ES" w:eastAsia="en-US"/>
        </w:rPr>
        <w:t xml:space="preserve">, </w:t>
      </w:r>
      <w:r>
        <w:rPr>
          <w:lang w:val="es-ES" w:eastAsia="en-US"/>
        </w:rPr>
        <w:t>ya que sin ellas el registro de la supresión viral quedaría completamente desatendido y no se lograría reportar la información sobre el tercer 90.</w:t>
      </w:r>
      <w:r w:rsidR="006E03FE">
        <w:rPr>
          <w:lang w:val="es-ES" w:eastAsia="en-US"/>
        </w:rPr>
        <w:t xml:space="preserve"> </w:t>
      </w:r>
      <w:r w:rsidR="00516D96">
        <w:rPr>
          <w:lang w:val="es-ES" w:eastAsia="en-US"/>
        </w:rPr>
        <w:t>A la fecha, l</w:t>
      </w:r>
      <w:r w:rsidR="00CF5ADB" w:rsidRPr="0095779C">
        <w:rPr>
          <w:lang w:val="es-DO" w:eastAsia="en-US"/>
        </w:rPr>
        <w:t>os reactivos para la carga viral son adquiridos en su totalidad a través del proyecto del FM</w:t>
      </w:r>
      <w:r w:rsidR="007812F7">
        <w:rPr>
          <w:lang w:val="es-DO" w:eastAsia="en-US"/>
        </w:rPr>
        <w:t xml:space="preserve"> (aproximadamente US$22 mil anuales)</w:t>
      </w:r>
      <w:r w:rsidR="00CF5ADB" w:rsidRPr="0095779C">
        <w:rPr>
          <w:lang w:val="es-DO" w:eastAsia="en-US"/>
        </w:rPr>
        <w:t xml:space="preserve">. Además, las pruebas se realizan en un solo laboratorio, lo que pudiera crear cuellos de botellas en el procesamiento de las muestras y no tener un resultado </w:t>
      </w:r>
      <w:r w:rsidR="00F87931">
        <w:rPr>
          <w:lang w:val="es-DO" w:eastAsia="en-US"/>
        </w:rPr>
        <w:t>oportuno</w:t>
      </w:r>
      <w:r w:rsidR="00CF5ADB" w:rsidRPr="0095779C">
        <w:rPr>
          <w:lang w:val="es-DO" w:eastAsia="en-US"/>
        </w:rPr>
        <w:t xml:space="preserve">. </w:t>
      </w:r>
      <w:r w:rsidR="002C025C">
        <w:rPr>
          <w:lang w:val="es-DO" w:eastAsia="en-US"/>
        </w:rPr>
        <w:t xml:space="preserve">A </w:t>
      </w:r>
      <w:proofErr w:type="gramStart"/>
      <w:r w:rsidR="002C025C">
        <w:rPr>
          <w:lang w:val="es-DO" w:eastAsia="en-US"/>
        </w:rPr>
        <w:t>2015,s</w:t>
      </w:r>
      <w:r w:rsidR="00CF5ADB" w:rsidRPr="0095779C">
        <w:rPr>
          <w:lang w:val="es-DO" w:eastAsia="en-US"/>
        </w:rPr>
        <w:t>olamente</w:t>
      </w:r>
      <w:proofErr w:type="gramEnd"/>
      <w:r w:rsidR="00052C09">
        <w:rPr>
          <w:lang w:val="es-DO" w:eastAsia="en-US"/>
        </w:rPr>
        <w:t xml:space="preserve"> el</w:t>
      </w:r>
      <w:r w:rsidR="00CF5ADB" w:rsidRPr="0095779C">
        <w:rPr>
          <w:lang w:val="es-DO" w:eastAsia="en-US"/>
        </w:rPr>
        <w:t xml:space="preserve"> 71% (34/49) de los </w:t>
      </w:r>
      <w:r w:rsidR="00290393" w:rsidRPr="0095779C">
        <w:rPr>
          <w:lang w:val="es-DO" w:eastAsia="en-US"/>
        </w:rPr>
        <w:t xml:space="preserve">Servicios de Atención Integral para </w:t>
      </w:r>
      <w:r w:rsidR="00006F2B">
        <w:rPr>
          <w:lang w:val="es-DO" w:eastAsia="en-US"/>
        </w:rPr>
        <w:t>p</w:t>
      </w:r>
      <w:r w:rsidR="00290393" w:rsidRPr="0095779C">
        <w:rPr>
          <w:lang w:val="es-DO" w:eastAsia="en-US"/>
        </w:rPr>
        <w:t>ersonas con VIH (</w:t>
      </w:r>
      <w:r w:rsidR="00CF5ADB" w:rsidRPr="0095779C">
        <w:rPr>
          <w:lang w:val="es-DO" w:eastAsia="en-US"/>
        </w:rPr>
        <w:t>SAI</w:t>
      </w:r>
      <w:r w:rsidR="00290393" w:rsidRPr="0095779C">
        <w:rPr>
          <w:lang w:val="es-DO" w:eastAsia="en-US"/>
        </w:rPr>
        <w:t>)</w:t>
      </w:r>
      <w:r w:rsidR="00CF5ADB" w:rsidRPr="0095779C">
        <w:rPr>
          <w:lang w:val="es-DO" w:eastAsia="en-US"/>
        </w:rPr>
        <w:t xml:space="preserve"> brinda</w:t>
      </w:r>
      <w:r w:rsidR="002C025C">
        <w:rPr>
          <w:lang w:val="es-DO" w:eastAsia="en-US"/>
        </w:rPr>
        <w:t>ban</w:t>
      </w:r>
      <w:r w:rsidR="00CF5ADB" w:rsidRPr="0095779C">
        <w:rPr>
          <w:lang w:val="es-DO" w:eastAsia="en-US"/>
        </w:rPr>
        <w:t xml:space="preserve"> el servicio de las pruebas de carga viral en el país. </w:t>
      </w:r>
      <w:r w:rsidR="000D063B">
        <w:rPr>
          <w:rStyle w:val="FootnoteReference"/>
          <w:lang w:val="es-DO" w:eastAsia="en-US"/>
        </w:rPr>
        <w:footnoteReference w:id="22"/>
      </w:r>
      <w:r w:rsidR="002C025C">
        <w:rPr>
          <w:lang w:val="es-DO" w:eastAsia="en-US"/>
        </w:rPr>
        <w:t xml:space="preserve"> Actualmente, el 100 por ciento de los SAI ofrecen este servicio, sin </w:t>
      </w:r>
      <w:proofErr w:type="gramStart"/>
      <w:r w:rsidR="002C025C">
        <w:rPr>
          <w:lang w:val="es-DO" w:eastAsia="en-US"/>
        </w:rPr>
        <w:t>embargo</w:t>
      </w:r>
      <w:proofErr w:type="gramEnd"/>
      <w:r w:rsidR="002C025C">
        <w:rPr>
          <w:lang w:val="es-DO" w:eastAsia="en-US"/>
        </w:rPr>
        <w:t xml:space="preserve"> algunas SAI solo hacen toma de muestra o coordinación con otros centros para la toma de muestra.</w:t>
      </w:r>
      <w:r w:rsidR="002C025C">
        <w:rPr>
          <w:rStyle w:val="FootnoteReference"/>
          <w:lang w:val="es-DO" w:eastAsia="en-US"/>
        </w:rPr>
        <w:footnoteReference w:id="23"/>
      </w:r>
    </w:p>
    <w:p w14:paraId="50A71573" w14:textId="3FFAE997" w:rsidR="00D41639" w:rsidRPr="00D41639" w:rsidRDefault="00D41639" w:rsidP="00CF5ADB">
      <w:pPr>
        <w:ind w:firstLine="0"/>
        <w:rPr>
          <w:lang w:val="es-DO" w:eastAsia="en-US"/>
        </w:rPr>
      </w:pPr>
      <w:r w:rsidRPr="00D41639">
        <w:rPr>
          <w:lang w:val="es-DO" w:eastAsia="en-US"/>
        </w:rPr>
        <w:t>Existen recursos no ejecutados por la SESAL para la compra de ARV, los cuales se convierten en una oportunidad para la sostenibilidad de los medicamentos e insumos diagnósticos.</w:t>
      </w:r>
      <w:r w:rsidR="008772F1">
        <w:rPr>
          <w:lang w:val="es-DO" w:eastAsia="en-US"/>
        </w:rPr>
        <w:t xml:space="preserve"> </w:t>
      </w:r>
      <w:r w:rsidRPr="00D41639">
        <w:rPr>
          <w:lang w:val="es-DO" w:eastAsia="en-US"/>
        </w:rPr>
        <w:t>Durante 2015 y 2016, la Secretaría de Finanzas</w:t>
      </w:r>
      <w:r w:rsidR="00AA2AE5">
        <w:rPr>
          <w:lang w:val="es-DO" w:eastAsia="en-US"/>
        </w:rPr>
        <w:t xml:space="preserve"> (SEFIN)</w:t>
      </w:r>
      <w:r w:rsidRPr="00D41639">
        <w:rPr>
          <w:lang w:val="es-DO" w:eastAsia="en-US"/>
        </w:rPr>
        <w:t xml:space="preserve"> asignó US$3.9 millones por año a la SESAL para la adquisición de los ARV, de los cuales en 2015 se ejecutaron únicamente US$900 mil (dejando un monto disponible de US$ 3 millones) y en 2016 US$ 2.4 millones (dejando un disponible de US$1.4 millones sin ejecutar). En el 2017 lo asignado a la SESAL correspondió en un 100% a lo ejecutado, ya que durante el año se reasignaron fondos al interior de la SESAL, mientras que para el 2018 lo asignado fue US$3.9 millones y lo ejecutado US$2.4 millones, dejando un disponible de US$1.5 millones sin ejecutar.</w:t>
      </w:r>
      <w:r w:rsidRPr="00D41639">
        <w:rPr>
          <w:lang w:eastAsia="en-US"/>
        </w:rPr>
        <w:t xml:space="preserve"> </w:t>
      </w:r>
      <w:r w:rsidRPr="00976D86">
        <w:rPr>
          <w:vertAlign w:val="superscript"/>
          <w:lang w:val="es-DO" w:eastAsia="en-US"/>
        </w:rPr>
        <w:footnoteReference w:id="24"/>
      </w:r>
    </w:p>
    <w:p w14:paraId="5B369377" w14:textId="7404D961" w:rsidR="00CF5ADB" w:rsidRPr="0095779C" w:rsidRDefault="00FD5CF2" w:rsidP="00CF5ADB">
      <w:pPr>
        <w:ind w:firstLine="0"/>
        <w:rPr>
          <w:lang w:val="es-419" w:eastAsia="en-US"/>
        </w:rPr>
      </w:pPr>
      <w:r w:rsidRPr="007812F7">
        <w:rPr>
          <w:b/>
          <w:i/>
          <w:lang w:val="es-ES" w:eastAsia="en-US"/>
        </w:rPr>
        <w:t>TB</w:t>
      </w:r>
      <w:r w:rsidR="007812F7" w:rsidRPr="007812F7">
        <w:rPr>
          <w:b/>
          <w:i/>
          <w:lang w:val="es-ES" w:eastAsia="en-US"/>
        </w:rPr>
        <w:t>:</w:t>
      </w:r>
      <w:r>
        <w:rPr>
          <w:i/>
          <w:lang w:val="es-ES" w:eastAsia="en-US"/>
        </w:rPr>
        <w:t xml:space="preserve"> </w:t>
      </w:r>
      <w:r w:rsidR="00635546">
        <w:rPr>
          <w:lang w:val="es-ES" w:eastAsia="en-US"/>
        </w:rPr>
        <w:t xml:space="preserve">En TB, la compra de medicamentos de primera y segunda línea son comprados por la Secretaría de Salud con fondos </w:t>
      </w:r>
      <w:r w:rsidR="00671EF2">
        <w:rPr>
          <w:lang w:val="es-ES" w:eastAsia="en-US"/>
        </w:rPr>
        <w:t>p</w:t>
      </w:r>
      <w:proofErr w:type="spellStart"/>
      <w:r w:rsidR="00671EF2">
        <w:rPr>
          <w:lang w:val="es-MX" w:eastAsia="en-US"/>
        </w:rPr>
        <w:t>úblicos</w:t>
      </w:r>
      <w:proofErr w:type="spellEnd"/>
      <w:r w:rsidR="00671EF2">
        <w:rPr>
          <w:lang w:val="es-MX" w:eastAsia="en-US"/>
        </w:rPr>
        <w:t xml:space="preserve"> </w:t>
      </w:r>
      <w:r w:rsidR="00635546">
        <w:rPr>
          <w:lang w:val="es-ES" w:eastAsia="en-US"/>
        </w:rPr>
        <w:t>a través del Fondo Estratégico de la OPS.</w:t>
      </w:r>
      <w:r w:rsidR="00F32D52">
        <w:rPr>
          <w:lang w:val="es-ES" w:eastAsia="en-US"/>
        </w:rPr>
        <w:t xml:space="preserve"> </w:t>
      </w:r>
      <w:r w:rsidR="00CF5ADB" w:rsidRPr="0095779C">
        <w:rPr>
          <w:lang w:val="es-ES" w:eastAsia="en-US"/>
        </w:rPr>
        <w:t xml:space="preserve">Con respeto al diagnóstico de TB, </w:t>
      </w:r>
      <w:r w:rsidR="00984FE0">
        <w:rPr>
          <w:lang w:val="es-419" w:eastAsia="en-US"/>
        </w:rPr>
        <w:t>el país implement</w:t>
      </w:r>
      <w:r w:rsidR="00C5533F">
        <w:rPr>
          <w:lang w:val="es-419" w:eastAsia="en-US"/>
        </w:rPr>
        <w:t>a</w:t>
      </w:r>
      <w:r w:rsidR="00CF5ADB" w:rsidRPr="0095779C">
        <w:rPr>
          <w:lang w:val="es-419" w:eastAsia="en-US"/>
        </w:rPr>
        <w:t xml:space="preserve"> pruebas moleculares con</w:t>
      </w:r>
      <w:r w:rsidR="00C5533F">
        <w:rPr>
          <w:lang w:val="es-419" w:eastAsia="en-US"/>
        </w:rPr>
        <w:t xml:space="preserve"> el uso </w:t>
      </w:r>
      <w:r w:rsidR="00EF5935">
        <w:rPr>
          <w:lang w:val="es-419" w:eastAsia="en-US"/>
        </w:rPr>
        <w:t>de equipos</w:t>
      </w:r>
      <w:r w:rsidR="00CF5ADB" w:rsidRPr="0095779C">
        <w:rPr>
          <w:lang w:val="es-419" w:eastAsia="en-US"/>
        </w:rPr>
        <w:t xml:space="preserve"> Gene-</w:t>
      </w:r>
      <w:proofErr w:type="spellStart"/>
      <w:r w:rsidR="00CF5ADB" w:rsidRPr="0095779C">
        <w:rPr>
          <w:lang w:val="es-419" w:eastAsia="en-US"/>
        </w:rPr>
        <w:t>Xpert</w:t>
      </w:r>
      <w:proofErr w:type="spellEnd"/>
      <w:r w:rsidR="00CF5ADB" w:rsidRPr="0095779C">
        <w:rPr>
          <w:lang w:val="es-419" w:eastAsia="en-US"/>
        </w:rPr>
        <w:t xml:space="preserve"> MTB/RIF que cubren a las zonas geográficas de mayor incidencia de TB en el país. El uso del Gene-</w:t>
      </w:r>
      <w:proofErr w:type="spellStart"/>
      <w:r w:rsidR="00CF5ADB" w:rsidRPr="0095779C">
        <w:rPr>
          <w:lang w:val="es-419" w:eastAsia="en-US"/>
        </w:rPr>
        <w:t>Xpert</w:t>
      </w:r>
      <w:proofErr w:type="spellEnd"/>
      <w:r w:rsidR="00CF5ADB" w:rsidRPr="0095779C">
        <w:rPr>
          <w:lang w:val="es-419" w:eastAsia="en-US"/>
        </w:rPr>
        <w:t xml:space="preserve"> MTB/RIF es muy importante porque además de diagnosticar la TB, también realiza un estudio de sensibilidad a la Rifampicina para identificar oportunamente los casos de resistencia. A pesar de la importancia del Gene-</w:t>
      </w:r>
      <w:proofErr w:type="spellStart"/>
      <w:r w:rsidR="00CF5ADB" w:rsidRPr="00976D86">
        <w:rPr>
          <w:lang w:val="es-419" w:eastAsia="en-US"/>
        </w:rPr>
        <w:t>Xpert</w:t>
      </w:r>
      <w:proofErr w:type="spellEnd"/>
      <w:r w:rsidR="00CF5ADB" w:rsidRPr="00976D86">
        <w:rPr>
          <w:lang w:val="es-419" w:eastAsia="en-US"/>
        </w:rPr>
        <w:t>, 100% de los insumos y reactivos para este procedimiento, incluyendo los cartuchos necesarios para la maquina diagn</w:t>
      </w:r>
      <w:r w:rsidR="003A5653" w:rsidRPr="00976D86">
        <w:rPr>
          <w:lang w:val="es-419" w:eastAsia="en-US"/>
        </w:rPr>
        <w:t>ó</w:t>
      </w:r>
      <w:r w:rsidR="00CF5ADB" w:rsidRPr="00976D86">
        <w:rPr>
          <w:lang w:val="es-419" w:eastAsia="en-US"/>
        </w:rPr>
        <w:t>stica, están siendo financiados por el Fondo Mundial</w:t>
      </w:r>
      <w:r w:rsidR="00C478C0">
        <w:rPr>
          <w:lang w:val="es-419" w:eastAsia="en-US"/>
        </w:rPr>
        <w:t xml:space="preserve"> (US$10 por </w:t>
      </w:r>
      <w:r w:rsidR="009B349C">
        <w:rPr>
          <w:lang w:val="es-419" w:eastAsia="en-US"/>
        </w:rPr>
        <w:t>unidad y</w:t>
      </w:r>
      <w:r w:rsidR="00C478C0">
        <w:rPr>
          <w:lang w:val="es-419" w:eastAsia="en-US"/>
        </w:rPr>
        <w:t xml:space="preserve"> </w:t>
      </w:r>
      <w:r w:rsidR="00C478C0" w:rsidRPr="00C478C0">
        <w:rPr>
          <w:lang w:val="es-MX" w:eastAsia="en-US"/>
        </w:rPr>
        <w:t>~5</w:t>
      </w:r>
      <w:r w:rsidR="00C478C0">
        <w:rPr>
          <w:lang w:val="es-MX" w:eastAsia="en-US"/>
        </w:rPr>
        <w:t>,500 cartuchos por año</w:t>
      </w:r>
      <w:r w:rsidR="001F20B1">
        <w:rPr>
          <w:lang w:val="es-MX" w:eastAsia="en-US"/>
        </w:rPr>
        <w:t xml:space="preserve">, aproximadamente US$55 mil por </w:t>
      </w:r>
      <w:r w:rsidR="003C0300">
        <w:rPr>
          <w:lang w:val="es-MX" w:eastAsia="en-US"/>
        </w:rPr>
        <w:t>año</w:t>
      </w:r>
      <w:r w:rsidR="00C478C0">
        <w:rPr>
          <w:lang w:val="es-MX" w:eastAsia="en-US"/>
        </w:rPr>
        <w:t>)</w:t>
      </w:r>
      <w:r w:rsidR="00CF5ADB" w:rsidRPr="0095779C">
        <w:rPr>
          <w:lang w:val="es-419" w:eastAsia="en-US"/>
        </w:rPr>
        <w:t>.</w:t>
      </w:r>
      <w:r w:rsidR="00976D86">
        <w:rPr>
          <w:lang w:val="es-419" w:eastAsia="en-US"/>
        </w:rPr>
        <w:t xml:space="preserve"> A partir</w:t>
      </w:r>
      <w:r w:rsidR="00FB2553">
        <w:rPr>
          <w:lang w:val="es-419" w:eastAsia="en-US"/>
        </w:rPr>
        <w:t xml:space="preserve"> de 2021 se ha programado una transición gradual de esta compra a fondos </w:t>
      </w:r>
      <w:r w:rsidR="00671EF2">
        <w:rPr>
          <w:lang w:val="es-419" w:eastAsia="en-US"/>
        </w:rPr>
        <w:t>públicos</w:t>
      </w:r>
      <w:r w:rsidR="00E846C9">
        <w:rPr>
          <w:lang w:val="es-419" w:eastAsia="en-US"/>
        </w:rPr>
        <w:t xml:space="preserve"> </w:t>
      </w:r>
      <w:r w:rsidR="00FB2553">
        <w:rPr>
          <w:lang w:val="es-419" w:eastAsia="en-US"/>
        </w:rPr>
        <w:t>(26% en 2021 y 42% en 2022).</w:t>
      </w:r>
      <w:r w:rsidR="00CF5ADB" w:rsidRPr="0095779C">
        <w:rPr>
          <w:lang w:val="es-419" w:eastAsia="en-US"/>
        </w:rPr>
        <w:t xml:space="preserve"> Esta dependencia en fondos externos para el diagnóstico de TB</w:t>
      </w:r>
      <w:r w:rsidR="006C47D1">
        <w:rPr>
          <w:lang w:val="es-419" w:eastAsia="en-US"/>
        </w:rPr>
        <w:t xml:space="preserve"> y el mantenimiento del equipamiento</w:t>
      </w:r>
      <w:r w:rsidR="00CF5ADB" w:rsidRPr="0095779C">
        <w:rPr>
          <w:lang w:val="es-419" w:eastAsia="en-US"/>
        </w:rPr>
        <w:t xml:space="preserve"> amenaza la sostenibilidad de la respuesta nacional. </w:t>
      </w:r>
    </w:p>
    <w:p w14:paraId="6237D0EE" w14:textId="449F665A" w:rsidR="00CF5ADB" w:rsidRPr="00265A53" w:rsidRDefault="007E0C46" w:rsidP="00265A53">
      <w:pPr>
        <w:pStyle w:val="Heading3"/>
        <w:tabs>
          <w:tab w:val="clear" w:pos="851"/>
          <w:tab w:val="left" w:pos="90"/>
          <w:tab w:val="left" w:pos="1170"/>
        </w:tabs>
        <w:ind w:left="90" w:hanging="270"/>
        <w:jc w:val="both"/>
        <w:rPr>
          <w:rFonts w:ascii="Times New Roman" w:hAnsi="Times New Roman"/>
          <w:sz w:val="22"/>
          <w:lang w:val="es-CO"/>
        </w:rPr>
      </w:pPr>
      <w:r w:rsidRPr="00265A53">
        <w:rPr>
          <w:rFonts w:ascii="Times New Roman" w:hAnsi="Times New Roman"/>
          <w:sz w:val="22"/>
          <w:lang w:val="es-CO"/>
        </w:rPr>
        <w:t xml:space="preserve">Consolidar </w:t>
      </w:r>
      <w:r w:rsidR="007109DA" w:rsidRPr="00265A53">
        <w:rPr>
          <w:rFonts w:ascii="Times New Roman" w:hAnsi="Times New Roman"/>
          <w:sz w:val="22"/>
          <w:lang w:val="es-CO"/>
        </w:rPr>
        <w:t xml:space="preserve">un </w:t>
      </w:r>
      <w:r w:rsidRPr="00265A53">
        <w:rPr>
          <w:rFonts w:ascii="Times New Roman" w:hAnsi="Times New Roman"/>
          <w:sz w:val="22"/>
          <w:lang w:val="es-CO"/>
        </w:rPr>
        <w:t>plan de transición de compras de ARV e insumos (incluyendo C</w:t>
      </w:r>
      <w:r w:rsidR="00AE788C" w:rsidRPr="00265A53">
        <w:rPr>
          <w:rFonts w:ascii="Times New Roman" w:hAnsi="Times New Roman"/>
          <w:sz w:val="22"/>
          <w:lang w:val="es-CO"/>
        </w:rPr>
        <w:t>arga viral</w:t>
      </w:r>
      <w:r w:rsidRPr="00265A53">
        <w:rPr>
          <w:rFonts w:ascii="Times New Roman" w:hAnsi="Times New Roman"/>
          <w:sz w:val="22"/>
          <w:lang w:val="es-CO"/>
        </w:rPr>
        <w:t xml:space="preserve">, CD4, pruebas </w:t>
      </w:r>
      <w:r w:rsidR="00AE788C" w:rsidRPr="00265A53">
        <w:rPr>
          <w:rFonts w:ascii="Times New Roman" w:hAnsi="Times New Roman"/>
          <w:sz w:val="22"/>
          <w:lang w:val="es-CO"/>
        </w:rPr>
        <w:t>de diagnóstic</w:t>
      </w:r>
      <w:r w:rsidR="00D13B70" w:rsidRPr="00265A53">
        <w:rPr>
          <w:rFonts w:ascii="Times New Roman" w:hAnsi="Times New Roman"/>
          <w:sz w:val="22"/>
          <w:lang w:val="es-CO"/>
        </w:rPr>
        <w:t>o</w:t>
      </w:r>
      <w:r w:rsidRPr="00265A53">
        <w:rPr>
          <w:rFonts w:ascii="Times New Roman" w:hAnsi="Times New Roman"/>
          <w:sz w:val="22"/>
          <w:lang w:val="es-CO"/>
        </w:rPr>
        <w:t>, PCR, genotipo</w:t>
      </w:r>
      <w:r w:rsidR="00CE41D7">
        <w:rPr>
          <w:rFonts w:ascii="Times New Roman" w:hAnsi="Times New Roman"/>
          <w:sz w:val="22"/>
          <w:lang w:val="es-CO"/>
        </w:rPr>
        <w:t xml:space="preserve">, </w:t>
      </w:r>
      <w:r w:rsidRPr="00265A53">
        <w:rPr>
          <w:rFonts w:ascii="Times New Roman" w:hAnsi="Times New Roman"/>
          <w:sz w:val="22"/>
          <w:lang w:val="es-CO"/>
        </w:rPr>
        <w:t>reactivos de Gene</w:t>
      </w:r>
      <w:r w:rsidR="00AF0135" w:rsidRPr="00265A53">
        <w:rPr>
          <w:rFonts w:ascii="Times New Roman" w:hAnsi="Times New Roman"/>
          <w:sz w:val="22"/>
          <w:lang w:val="es-CO"/>
        </w:rPr>
        <w:t>-</w:t>
      </w:r>
      <w:proofErr w:type="spellStart"/>
      <w:r w:rsidRPr="00265A53">
        <w:rPr>
          <w:rFonts w:ascii="Times New Roman" w:hAnsi="Times New Roman"/>
          <w:sz w:val="22"/>
          <w:lang w:val="es-CO"/>
        </w:rPr>
        <w:t>Xpert</w:t>
      </w:r>
      <w:proofErr w:type="spellEnd"/>
      <w:r w:rsidR="00CE41D7">
        <w:rPr>
          <w:rFonts w:ascii="Times New Roman" w:hAnsi="Times New Roman"/>
          <w:sz w:val="22"/>
          <w:lang w:val="es-CO"/>
        </w:rPr>
        <w:t xml:space="preserve"> y reactivos para infecciones oportunistas</w:t>
      </w:r>
      <w:r w:rsidRPr="00265A53">
        <w:rPr>
          <w:rFonts w:ascii="Times New Roman" w:hAnsi="Times New Roman"/>
          <w:sz w:val="22"/>
          <w:lang w:val="es-CO"/>
        </w:rPr>
        <w:t>) y la adquisición centralizada de pruebas diagnósticas con fondos públicos</w:t>
      </w:r>
    </w:p>
    <w:p w14:paraId="56AD9D1B" w14:textId="73E16177" w:rsidR="0009089B" w:rsidRPr="0095779C" w:rsidRDefault="0009089B" w:rsidP="0009089B">
      <w:pPr>
        <w:ind w:firstLine="0"/>
        <w:rPr>
          <w:lang w:val="es-CO" w:eastAsia="en-US"/>
        </w:rPr>
      </w:pPr>
      <w:r w:rsidRPr="0095779C">
        <w:rPr>
          <w:lang w:val="es-CO" w:eastAsia="en-US"/>
        </w:rPr>
        <w:t xml:space="preserve">Para crear un plan de la adquisición centralizada de pruebas diagnósticas, ULMIE, DGRISS, y puntos focales de las respuestas nacionales a VIH y TB deben ser involucrados en la elaboración de estimaciones de ARV e insumos de acuerdo con las metas 90-90-90. Después, </w:t>
      </w:r>
      <w:r w:rsidR="007109DA">
        <w:rPr>
          <w:lang w:val="es-CO" w:eastAsia="en-US"/>
        </w:rPr>
        <w:t>es necesario realizar la gestión de los</w:t>
      </w:r>
      <w:r w:rsidRPr="0095779C">
        <w:rPr>
          <w:lang w:val="es-CO" w:eastAsia="en-US"/>
        </w:rPr>
        <w:t xml:space="preserve"> recursos</w:t>
      </w:r>
      <w:r w:rsidR="007109DA">
        <w:rPr>
          <w:lang w:val="es-CO" w:eastAsia="en-US"/>
        </w:rPr>
        <w:t xml:space="preserve"> necesarios dentro del</w:t>
      </w:r>
      <w:r w:rsidRPr="0095779C">
        <w:rPr>
          <w:lang w:val="es-CO" w:eastAsia="en-US"/>
        </w:rPr>
        <w:t xml:space="preserve"> presupuesto de la SESAL. </w:t>
      </w:r>
      <w:r w:rsidR="002F7558">
        <w:rPr>
          <w:lang w:val="es-CO" w:eastAsia="en-US"/>
        </w:rPr>
        <w:t xml:space="preserve">El país ya ha comenzado con la planificación de la adquisición centralizada de pruebas, </w:t>
      </w:r>
      <w:r w:rsidR="002F7558">
        <w:rPr>
          <w:lang w:val="es-CO" w:eastAsia="en-US"/>
        </w:rPr>
        <w:lastRenderedPageBreak/>
        <w:t xml:space="preserve">sin </w:t>
      </w:r>
      <w:r w:rsidR="001B0E54">
        <w:rPr>
          <w:lang w:val="es-CO" w:eastAsia="en-US"/>
        </w:rPr>
        <w:t>embargo,</w:t>
      </w:r>
      <w:r w:rsidR="002F7558">
        <w:rPr>
          <w:lang w:val="es-CO" w:eastAsia="en-US"/>
        </w:rPr>
        <w:t xml:space="preserve"> es necesario comenzar a adquirir esto</w:t>
      </w:r>
      <w:r w:rsidR="000D6BF2">
        <w:rPr>
          <w:lang w:val="es-CO" w:eastAsia="en-US"/>
        </w:rPr>
        <w:t>s</w:t>
      </w:r>
      <w:r w:rsidR="002F7558">
        <w:rPr>
          <w:lang w:val="es-CO" w:eastAsia="en-US"/>
        </w:rPr>
        <w:t xml:space="preserve"> insumos claves</w:t>
      </w:r>
      <w:r w:rsidR="0086592B">
        <w:rPr>
          <w:lang w:val="es-CO" w:eastAsia="en-US"/>
        </w:rPr>
        <w:t xml:space="preserve"> en </w:t>
      </w:r>
      <w:r w:rsidR="000D6BF2">
        <w:rPr>
          <w:lang w:val="es-CO" w:eastAsia="en-US"/>
        </w:rPr>
        <w:t>2019-2020</w:t>
      </w:r>
      <w:r w:rsidR="002F7558">
        <w:rPr>
          <w:lang w:val="es-CO" w:eastAsia="en-US"/>
        </w:rPr>
        <w:t xml:space="preserve"> con miras a la transición</w:t>
      </w:r>
      <w:r w:rsidR="00030D0A">
        <w:rPr>
          <w:lang w:val="es-CO" w:eastAsia="en-US"/>
        </w:rPr>
        <w:t>. La economía de recursos por la centralización podría</w:t>
      </w:r>
      <w:r w:rsidR="002F7558">
        <w:rPr>
          <w:lang w:val="es-CO" w:eastAsia="en-US"/>
        </w:rPr>
        <w:t xml:space="preserve"> liberar </w:t>
      </w:r>
      <w:r w:rsidR="00030D0A">
        <w:rPr>
          <w:lang w:val="es-CO" w:eastAsia="en-US"/>
        </w:rPr>
        <w:t>entre US$8 mil y US$200 mil por año</w:t>
      </w:r>
      <w:r w:rsidR="000D6BF2">
        <w:rPr>
          <w:lang w:val="es-CO" w:eastAsia="en-US"/>
        </w:rPr>
        <w:t>.</w:t>
      </w:r>
    </w:p>
    <w:p w14:paraId="61473AAA" w14:textId="3D60AEC8" w:rsidR="0009089B" w:rsidRPr="00445866" w:rsidRDefault="007E0C46" w:rsidP="00445866">
      <w:pPr>
        <w:pStyle w:val="Heading3"/>
        <w:tabs>
          <w:tab w:val="clear" w:pos="851"/>
          <w:tab w:val="left" w:pos="90"/>
          <w:tab w:val="left" w:pos="1170"/>
        </w:tabs>
        <w:ind w:left="90" w:hanging="270"/>
        <w:jc w:val="both"/>
        <w:rPr>
          <w:rFonts w:ascii="Times New Roman" w:hAnsi="Times New Roman"/>
          <w:sz w:val="22"/>
          <w:lang w:val="es-CO"/>
        </w:rPr>
      </w:pPr>
      <w:r w:rsidRPr="00445866">
        <w:rPr>
          <w:rFonts w:ascii="Times New Roman" w:hAnsi="Times New Roman"/>
          <w:sz w:val="22"/>
          <w:lang w:val="es-CO"/>
        </w:rPr>
        <w:t>Gestionar nuevos mecanismos de compra nacionales e internacionales para obtener precios de referencia de medicamentos de ARV (incluyendo lo</w:t>
      </w:r>
      <w:r w:rsidR="001130EE" w:rsidRPr="00445866">
        <w:rPr>
          <w:rFonts w:ascii="Times New Roman" w:hAnsi="Times New Roman"/>
          <w:sz w:val="22"/>
          <w:lang w:val="es-CO"/>
        </w:rPr>
        <w:t>s</w:t>
      </w:r>
      <w:r w:rsidRPr="00445866">
        <w:rPr>
          <w:rFonts w:ascii="Times New Roman" w:hAnsi="Times New Roman"/>
          <w:sz w:val="22"/>
          <w:lang w:val="es-CO"/>
        </w:rPr>
        <w:t xml:space="preserve"> de mayor impacto financiero – 3</w:t>
      </w:r>
      <w:r w:rsidR="00D04B3F" w:rsidRPr="00445866">
        <w:rPr>
          <w:rFonts w:ascii="Times New Roman" w:hAnsi="Times New Roman"/>
          <w:sz w:val="22"/>
          <w:lang w:val="es-CO"/>
        </w:rPr>
        <w:t>a</w:t>
      </w:r>
      <w:r w:rsidRPr="00445866">
        <w:rPr>
          <w:rFonts w:ascii="Times New Roman" w:hAnsi="Times New Roman"/>
          <w:sz w:val="22"/>
          <w:lang w:val="es-CO"/>
        </w:rPr>
        <w:t xml:space="preserve"> línea)</w:t>
      </w:r>
    </w:p>
    <w:p w14:paraId="62FE90E0" w14:textId="3AC7D7BC" w:rsidR="009A585B" w:rsidRDefault="009A585B" w:rsidP="009A585B">
      <w:pPr>
        <w:ind w:firstLine="0"/>
        <w:rPr>
          <w:lang w:val="es-CO" w:eastAsia="en-US"/>
        </w:rPr>
      </w:pPr>
      <w:r>
        <w:rPr>
          <w:lang w:val="es-CO" w:eastAsia="en-US"/>
        </w:rPr>
        <w:t xml:space="preserve">La </w:t>
      </w:r>
      <w:r w:rsidR="00F51C7B" w:rsidRPr="0095779C">
        <w:rPr>
          <w:lang w:val="es-CO" w:eastAsia="en-US"/>
        </w:rPr>
        <w:t xml:space="preserve">ULMIE y </w:t>
      </w:r>
      <w:r>
        <w:rPr>
          <w:lang w:val="es-CO" w:eastAsia="en-US"/>
        </w:rPr>
        <w:t xml:space="preserve">autoridades de la </w:t>
      </w:r>
      <w:r w:rsidR="00F51C7B" w:rsidRPr="0095779C">
        <w:rPr>
          <w:lang w:val="es-CO" w:eastAsia="en-US"/>
        </w:rPr>
        <w:t>SESAL debe</w:t>
      </w:r>
      <w:r>
        <w:rPr>
          <w:lang w:val="es-CO" w:eastAsia="en-US"/>
        </w:rPr>
        <w:t>rán</w:t>
      </w:r>
      <w:r w:rsidR="00F51C7B" w:rsidRPr="0095779C">
        <w:rPr>
          <w:lang w:val="es-CO" w:eastAsia="en-US"/>
        </w:rPr>
        <w:t xml:space="preserve"> trabajar juntos para</w:t>
      </w:r>
      <w:r>
        <w:rPr>
          <w:lang w:val="es-CO" w:eastAsia="en-US"/>
        </w:rPr>
        <w:t xml:space="preserve"> analizar los distintos mecanismos de compra para los medicamentos</w:t>
      </w:r>
      <w:r w:rsidR="00EB69AA">
        <w:rPr>
          <w:lang w:val="es-CO" w:eastAsia="en-US"/>
        </w:rPr>
        <w:t>, en especial aquellos</w:t>
      </w:r>
      <w:r>
        <w:rPr>
          <w:lang w:val="es-CO" w:eastAsia="en-US"/>
        </w:rPr>
        <w:t xml:space="preserve"> de tercera línea </w:t>
      </w:r>
      <w:r w:rsidR="00EB69AA">
        <w:rPr>
          <w:lang w:val="es-CO" w:eastAsia="en-US"/>
        </w:rPr>
        <w:t xml:space="preserve">por ser los de mayor impacto financiero, </w:t>
      </w:r>
      <w:r>
        <w:rPr>
          <w:lang w:val="es-CO" w:eastAsia="en-US"/>
        </w:rPr>
        <w:t>y</w:t>
      </w:r>
      <w:r w:rsidR="00F51C7B" w:rsidRPr="0095779C">
        <w:rPr>
          <w:lang w:val="es-CO" w:eastAsia="en-US"/>
        </w:rPr>
        <w:t xml:space="preserve"> crear </w:t>
      </w:r>
      <w:r>
        <w:rPr>
          <w:lang w:val="es-CO" w:eastAsia="en-US"/>
        </w:rPr>
        <w:t>un</w:t>
      </w:r>
      <w:r w:rsidR="00F51C7B" w:rsidRPr="0095779C">
        <w:rPr>
          <w:lang w:val="es-CO" w:eastAsia="en-US"/>
        </w:rPr>
        <w:t xml:space="preserve"> acuerdo ministerial </w:t>
      </w:r>
      <w:r>
        <w:rPr>
          <w:lang w:val="es-CO" w:eastAsia="en-US"/>
        </w:rPr>
        <w:t>que señale el</w:t>
      </w:r>
      <w:r w:rsidR="00F51C7B" w:rsidRPr="0095779C">
        <w:rPr>
          <w:lang w:val="es-CO" w:eastAsia="en-US"/>
        </w:rPr>
        <w:t xml:space="preserve"> mecanismo identificado más costo efectivo para las adquisiciones de los ARV e insumos de VIH para el país, y realizar la primera compra internacional bajo el nuevo mecanismo. </w:t>
      </w:r>
    </w:p>
    <w:p w14:paraId="1FAC0ABC" w14:textId="77777777" w:rsidR="00581747" w:rsidRDefault="00581747" w:rsidP="009A585B">
      <w:pPr>
        <w:ind w:firstLine="0"/>
        <w:rPr>
          <w:lang w:val="es-CO" w:eastAsia="en-US"/>
        </w:rPr>
      </w:pPr>
    </w:p>
    <w:p w14:paraId="30D9CA5C" w14:textId="2E851AE2" w:rsidR="00ED07DD" w:rsidRPr="008F1C42" w:rsidRDefault="00B11C84" w:rsidP="00ED07DD">
      <w:pPr>
        <w:pStyle w:val="Heading2"/>
        <w:tabs>
          <w:tab w:val="left" w:pos="450"/>
        </w:tabs>
        <w:ind w:left="0" w:firstLine="0"/>
        <w:jc w:val="both"/>
        <w:rPr>
          <w:rFonts w:ascii="Times New Roman" w:hAnsi="Times New Roman" w:cs="Times New Roman"/>
          <w:lang w:val="es-ES"/>
        </w:rPr>
      </w:pPr>
      <w:bookmarkStart w:id="43" w:name="_Toc8381163"/>
      <w:r w:rsidRPr="008F1C42">
        <w:rPr>
          <w:rFonts w:ascii="Times New Roman" w:hAnsi="Times New Roman" w:cs="Times New Roman"/>
          <w:lang w:val="es-ES"/>
        </w:rPr>
        <w:t>Objetivo 4. Incrementar el financiamiento de fuentes nacionales destinadas a prevención de VIH y TB</w:t>
      </w:r>
      <w:bookmarkEnd w:id="43"/>
    </w:p>
    <w:p w14:paraId="15F55248" w14:textId="152BD693" w:rsidR="002D5E38" w:rsidRPr="0095779C" w:rsidRDefault="002D5E38" w:rsidP="002D5E38">
      <w:pPr>
        <w:ind w:firstLine="0"/>
        <w:rPr>
          <w:highlight w:val="cyan"/>
          <w:lang w:val="es-ES" w:eastAsia="en-US"/>
        </w:rPr>
      </w:pPr>
      <w:proofErr w:type="gramStart"/>
      <w:r w:rsidRPr="0095779C">
        <w:rPr>
          <w:lang w:val="es-419"/>
        </w:rPr>
        <w:t>De acuerdo al</w:t>
      </w:r>
      <w:proofErr w:type="gramEnd"/>
      <w:r w:rsidRPr="0095779C">
        <w:rPr>
          <w:lang w:val="es-419"/>
        </w:rPr>
        <w:t xml:space="preserve"> Estudio</w:t>
      </w:r>
      <w:r w:rsidR="00DC3E24" w:rsidRPr="0095779C">
        <w:rPr>
          <w:lang w:val="es-419"/>
        </w:rPr>
        <w:t xml:space="preserve"> de </w:t>
      </w:r>
      <w:r w:rsidR="00364928" w:rsidRPr="0095779C">
        <w:rPr>
          <w:lang w:val="es-419"/>
        </w:rPr>
        <w:t>Medición</w:t>
      </w:r>
      <w:r w:rsidR="00DC3E24" w:rsidRPr="0095779C">
        <w:rPr>
          <w:lang w:val="es-419"/>
        </w:rPr>
        <w:t xml:space="preserve"> del Gasto en Sida</w:t>
      </w:r>
      <w:r w:rsidRPr="0095779C">
        <w:rPr>
          <w:lang w:val="es-419"/>
        </w:rPr>
        <w:t xml:space="preserve"> </w:t>
      </w:r>
      <w:r w:rsidR="00DC3E24" w:rsidRPr="0095779C">
        <w:rPr>
          <w:lang w:val="es-419"/>
        </w:rPr>
        <w:t>(</w:t>
      </w:r>
      <w:r w:rsidRPr="0095779C">
        <w:rPr>
          <w:lang w:val="es-419"/>
        </w:rPr>
        <w:t>MEGAS</w:t>
      </w:r>
      <w:r w:rsidR="00DC3E24" w:rsidRPr="0095779C">
        <w:rPr>
          <w:lang w:val="es-419"/>
        </w:rPr>
        <w:t>)</w:t>
      </w:r>
      <w:r w:rsidRPr="0095779C">
        <w:rPr>
          <w:lang w:val="es-419"/>
        </w:rPr>
        <w:t>, el gasto total en salud en 2016 fue de US$589 millones (L$13,557 millones) y el gasto en VIH US$32 millones (L$744 millones) representando el 3.9% del gasto en salud.</w:t>
      </w:r>
      <w:r w:rsidR="00BA7623" w:rsidRPr="0095779C">
        <w:rPr>
          <w:rStyle w:val="FootnoteReference"/>
          <w:lang w:val="es-419"/>
        </w:rPr>
        <w:footnoteReference w:id="25"/>
      </w:r>
      <w:r w:rsidRPr="0095779C">
        <w:rPr>
          <w:lang w:val="es-419"/>
        </w:rPr>
        <w:t xml:space="preserve"> En el mismo año, las fuentes externas representaron el 28% del gasto en VIH.</w:t>
      </w:r>
    </w:p>
    <w:p w14:paraId="21C1DA18" w14:textId="1A354BDF" w:rsidR="002D5E38" w:rsidRPr="0095779C" w:rsidRDefault="002D5E38" w:rsidP="002D5E38">
      <w:pPr>
        <w:spacing w:after="240"/>
        <w:ind w:firstLine="0"/>
        <w:rPr>
          <w:lang w:val="es-MX"/>
        </w:rPr>
      </w:pPr>
      <w:r w:rsidRPr="0095779C">
        <w:rPr>
          <w:lang w:val="es-MX"/>
        </w:rPr>
        <w:t>Del financiamiento total de VIH, únicamente el 15.1% se destina a población clave.</w:t>
      </w:r>
      <w:r w:rsidRPr="0095779C">
        <w:rPr>
          <w:rStyle w:val="FootnoteReference"/>
          <w:lang w:val="es-MX"/>
        </w:rPr>
        <w:footnoteReference w:id="26"/>
      </w:r>
      <w:r w:rsidRPr="0095779C">
        <w:rPr>
          <w:lang w:val="es-MX"/>
        </w:rPr>
        <w:t xml:space="preserve"> Del cual el 88.9% es financiado a través de fuentes internacionales y únicamente 11.1% por fuentes públicas. Más relevante aún, las intervenciones dirigidas a profesionales masculinos del sexo travestis</w:t>
      </w:r>
      <w:r w:rsidR="00165DC9">
        <w:rPr>
          <w:lang w:val="es-MX"/>
        </w:rPr>
        <w:t xml:space="preserve"> (y sus clientes)</w:t>
      </w:r>
      <w:r w:rsidRPr="0095779C">
        <w:rPr>
          <w:lang w:val="es-MX"/>
        </w:rPr>
        <w:t xml:space="preserve"> y aquellos no desglosados por sexo, es decir aquellos profesionales </w:t>
      </w:r>
      <w:r w:rsidR="008F1C42">
        <w:rPr>
          <w:lang w:val="es-MX"/>
        </w:rPr>
        <w:t xml:space="preserve">del sexo </w:t>
      </w:r>
      <w:r w:rsidRPr="0095779C">
        <w:rPr>
          <w:lang w:val="es-MX"/>
        </w:rPr>
        <w:t>no femeninos, dependen 100% del financiamiento internacional. Esto aun cuando la prevalencia en población TRANS es casi dos veces más alta que aquella de MTS.</w:t>
      </w:r>
    </w:p>
    <w:p w14:paraId="0F813629" w14:textId="7865E99E" w:rsidR="002D5E38" w:rsidRDefault="004807C7" w:rsidP="00964DD4">
      <w:pPr>
        <w:spacing w:after="240"/>
        <w:ind w:firstLine="0"/>
        <w:rPr>
          <w:lang w:val="es-419"/>
        </w:rPr>
      </w:pPr>
      <w:r w:rsidRPr="0095779C">
        <w:rPr>
          <w:lang w:val="es-419"/>
        </w:rPr>
        <w:t>A pesar de que</w:t>
      </w:r>
      <w:r w:rsidR="0093336E" w:rsidRPr="0095779C">
        <w:rPr>
          <w:lang w:val="es-419"/>
        </w:rPr>
        <w:t xml:space="preserve"> prevención es la categoría con mayor gasto (60%; US$</w:t>
      </w:r>
      <w:r w:rsidR="0093336E" w:rsidRPr="0095779C">
        <w:rPr>
          <w:color w:val="000000" w:themeColor="text1"/>
          <w:lang w:val="es-DO"/>
        </w:rPr>
        <w:t>19 millones</w:t>
      </w:r>
      <w:r w:rsidR="0093336E" w:rsidRPr="0095779C">
        <w:rPr>
          <w:lang w:val="es-419"/>
        </w:rPr>
        <w:t>), únicamente el 25% provino de fuentes públicas, demostrando una brecha significativa y alta dependencia de este rubro de la cooperación externa</w:t>
      </w:r>
      <w:r w:rsidR="0037457A">
        <w:rPr>
          <w:lang w:val="es-419"/>
        </w:rPr>
        <w:t xml:space="preserve"> y del gasto de bolsillo</w:t>
      </w:r>
      <w:r w:rsidR="002D5E38" w:rsidRPr="0095779C">
        <w:rPr>
          <w:lang w:val="es-419"/>
        </w:rPr>
        <w:t>.</w:t>
      </w:r>
      <w:r w:rsidR="003B50FF">
        <w:rPr>
          <w:lang w:val="es-419"/>
        </w:rPr>
        <w:t xml:space="preserve"> S</w:t>
      </w:r>
      <w:r w:rsidRPr="0095779C">
        <w:rPr>
          <w:lang w:val="es-419"/>
        </w:rPr>
        <w:t>e estima que únicamente el 10% del gasto en prevención entre población clave es financiado por el país mientras que PEPFAR y el FM contribuyen con el 66% y 20% del total</w:t>
      </w:r>
      <w:r w:rsidR="00405DAD" w:rsidRPr="0095779C">
        <w:rPr>
          <w:lang w:val="es-419"/>
        </w:rPr>
        <w:t>.</w:t>
      </w:r>
    </w:p>
    <w:p w14:paraId="48BC0D73" w14:textId="77777777" w:rsidR="00036ABA" w:rsidRDefault="00964DD4" w:rsidP="00036ABA">
      <w:pPr>
        <w:tabs>
          <w:tab w:val="left" w:pos="4615"/>
        </w:tabs>
        <w:spacing w:after="240"/>
        <w:ind w:firstLine="0"/>
        <w:rPr>
          <w:lang w:val="es-419"/>
        </w:rPr>
      </w:pPr>
      <w:r w:rsidRPr="0095779C">
        <w:rPr>
          <w:lang w:val="es-419"/>
        </w:rPr>
        <w:t>Para TB, el PENTB cuenta con un presupuesto estimado para el periodo 2016-2020 de US$ 16 millones (L$373 millones), o un promedio anual de US$3 millones (L$74 millones). Sin embargo, a diferencia de VIH, para TB no se cuenta con estudios periódicos del gasto como el MEGAS que permitan estimar el monto total de recursos ejercidos en la Respuesta al TB.</w:t>
      </w:r>
      <w:r w:rsidR="00036ABA">
        <w:rPr>
          <w:lang w:val="es-419"/>
        </w:rPr>
        <w:t xml:space="preserve"> </w:t>
      </w:r>
    </w:p>
    <w:p w14:paraId="3845E73B" w14:textId="58880309" w:rsidR="00964DD4" w:rsidRPr="00036ABA" w:rsidRDefault="00964DD4" w:rsidP="00036ABA">
      <w:pPr>
        <w:tabs>
          <w:tab w:val="left" w:pos="4615"/>
        </w:tabs>
        <w:spacing w:after="240"/>
        <w:ind w:firstLine="0"/>
        <w:rPr>
          <w:lang w:val="es-419"/>
        </w:rPr>
      </w:pPr>
      <w:proofErr w:type="gramStart"/>
      <w:r w:rsidRPr="0095779C">
        <w:rPr>
          <w:lang w:val="es-MX"/>
        </w:rPr>
        <w:t>De acuerdo a</w:t>
      </w:r>
      <w:proofErr w:type="gramEnd"/>
      <w:r w:rsidRPr="0095779C">
        <w:rPr>
          <w:lang w:val="es-MX"/>
        </w:rPr>
        <w:t xml:space="preserve"> estimación de la OMS y el Fondo Mundial, para 2017 se estiman necesidades por US$11 millones para TB. De ello se espera que US$1.9 millones </w:t>
      </w:r>
      <w:r w:rsidR="00362EEC">
        <w:rPr>
          <w:lang w:val="es-MX"/>
        </w:rPr>
        <w:t xml:space="preserve">(30%) </w:t>
      </w:r>
      <w:r w:rsidRPr="0095779C">
        <w:rPr>
          <w:lang w:val="es-MX"/>
        </w:rPr>
        <w:t xml:space="preserve">sean cubiertos por el gobierno y US$3.4 millones </w:t>
      </w:r>
      <w:r w:rsidR="00362EEC">
        <w:rPr>
          <w:lang w:val="es-MX"/>
        </w:rPr>
        <w:t xml:space="preserve">(70%) </w:t>
      </w:r>
      <w:r w:rsidRPr="0095779C">
        <w:rPr>
          <w:lang w:val="es-MX"/>
        </w:rPr>
        <w:t>por fuentes externas (US$2 millones correspondientes al FM), quedando una brecha de 5.7 millones sin financiamiento</w:t>
      </w:r>
      <w:r w:rsidR="00036ABA">
        <w:rPr>
          <w:lang w:val="es-MX"/>
        </w:rPr>
        <w:t>. Est</w:t>
      </w:r>
      <w:r w:rsidR="00362EEC">
        <w:rPr>
          <w:lang w:val="es-MX"/>
        </w:rPr>
        <w:t>a situación</w:t>
      </w:r>
      <w:r w:rsidR="00036ABA">
        <w:rPr>
          <w:lang w:val="es-MX"/>
        </w:rPr>
        <w:t xml:space="preserve"> se agrava al considerar que la nueva subvención de TB incluye una reducción </w:t>
      </w:r>
      <w:r w:rsidR="009B18E5">
        <w:rPr>
          <w:lang w:val="es-MX"/>
        </w:rPr>
        <w:t>del 60% pasando de US$6.9 millones en 2015-2018 a US$2.7 millones en 2018-2022.</w:t>
      </w:r>
    </w:p>
    <w:p w14:paraId="4555CF66" w14:textId="2678FFFA" w:rsidR="00405DAD" w:rsidRPr="0095779C" w:rsidRDefault="00405DAD" w:rsidP="00964DD4">
      <w:pPr>
        <w:spacing w:after="240"/>
        <w:ind w:firstLine="0"/>
        <w:rPr>
          <w:lang w:val="es-MX"/>
        </w:rPr>
      </w:pPr>
      <w:r w:rsidRPr="0095779C">
        <w:rPr>
          <w:lang w:val="es-MX"/>
        </w:rPr>
        <w:t>Si se analizan las necesidades</w:t>
      </w:r>
      <w:r w:rsidR="00E11268">
        <w:rPr>
          <w:lang w:val="es-MX"/>
        </w:rPr>
        <w:t xml:space="preserve"> en TB</w:t>
      </w:r>
      <w:r w:rsidRPr="0095779C">
        <w:rPr>
          <w:lang w:val="es-MX"/>
        </w:rPr>
        <w:t xml:space="preserve"> por fuente de financiamiento, se observa que las áreas con mayor dependencia de financiamiento externo (mayor al 50%) son asistencia técnica (82%), costos de programa asociados a TB resistente (81%), supervisión monitoreo y evaluación (78%), actividades de colaboración TB-VIH (76%), abogacía y comunicación (74%), vigilancia rutinaria (72%) e infraestructura, equipo y suministros de laboratorio (59%). Asimismo, durante del taller intersectorial se destacó la necesidad de mayores recursos financieros para </w:t>
      </w:r>
      <w:r w:rsidRPr="0095779C">
        <w:rPr>
          <w:lang w:val="es-MX"/>
        </w:rPr>
        <w:lastRenderedPageBreak/>
        <w:t>poder fortalecer la búsqueda de casos y evaluación d</w:t>
      </w:r>
      <w:r w:rsidR="00475458" w:rsidRPr="0095779C">
        <w:rPr>
          <w:lang w:val="es-MX"/>
        </w:rPr>
        <w:t xml:space="preserve">e </w:t>
      </w:r>
      <w:r w:rsidRPr="0095779C">
        <w:rPr>
          <w:lang w:val="es-MX"/>
        </w:rPr>
        <w:t>contactos</w:t>
      </w:r>
      <w:r w:rsidR="00475458" w:rsidRPr="0095779C">
        <w:rPr>
          <w:lang w:val="es-MX"/>
        </w:rPr>
        <w:t xml:space="preserve">, </w:t>
      </w:r>
      <w:r w:rsidR="00941882">
        <w:rPr>
          <w:lang w:val="es-MX"/>
        </w:rPr>
        <w:t>actividades claves para la</w:t>
      </w:r>
      <w:r w:rsidRPr="0095779C">
        <w:rPr>
          <w:lang w:val="es-MX"/>
        </w:rPr>
        <w:t xml:space="preserve"> prevención</w:t>
      </w:r>
      <w:r w:rsidR="005A0CD2">
        <w:rPr>
          <w:lang w:val="es-MX"/>
        </w:rPr>
        <w:t xml:space="preserve"> y control de la</w:t>
      </w:r>
      <w:r w:rsidRPr="0095779C">
        <w:rPr>
          <w:lang w:val="es-MX"/>
        </w:rPr>
        <w:t xml:space="preserve"> TB</w:t>
      </w:r>
      <w:r w:rsidR="00475458" w:rsidRPr="0095779C">
        <w:rPr>
          <w:lang w:val="es-MX"/>
        </w:rPr>
        <w:t>.</w:t>
      </w:r>
    </w:p>
    <w:p w14:paraId="780533AE" w14:textId="32266343" w:rsidR="00B11C84" w:rsidRPr="000B54D0" w:rsidRDefault="00B11C84" w:rsidP="000B54D0">
      <w:pPr>
        <w:pStyle w:val="Heading3"/>
        <w:tabs>
          <w:tab w:val="clear" w:pos="851"/>
          <w:tab w:val="left" w:pos="90"/>
          <w:tab w:val="left" w:pos="1170"/>
        </w:tabs>
        <w:ind w:left="90" w:hanging="270"/>
        <w:jc w:val="both"/>
        <w:rPr>
          <w:rFonts w:ascii="Times New Roman" w:hAnsi="Times New Roman"/>
          <w:sz w:val="22"/>
          <w:lang w:val="es-CO"/>
        </w:rPr>
      </w:pPr>
      <w:r w:rsidRPr="000B54D0">
        <w:rPr>
          <w:rFonts w:ascii="Times New Roman" w:hAnsi="Times New Roman"/>
          <w:sz w:val="22"/>
          <w:lang w:val="es-CO"/>
        </w:rPr>
        <w:t xml:space="preserve">Elaborar un plan de movilización de fondos nacionales para financiar las intervenciones de prevención con recursos de la SESAL, la Seguridad Social y/o alianzas con el sector privado </w:t>
      </w:r>
    </w:p>
    <w:p w14:paraId="0392E247" w14:textId="39AF6D66" w:rsidR="00BE1B1D" w:rsidRPr="006C154E" w:rsidRDefault="00475458" w:rsidP="003506A8">
      <w:pPr>
        <w:spacing w:after="240"/>
        <w:ind w:firstLine="0"/>
        <w:rPr>
          <w:szCs w:val="22"/>
          <w:lang w:val="es-CO" w:eastAsia="en-US"/>
        </w:rPr>
      </w:pPr>
      <w:r w:rsidRPr="0095779C">
        <w:rPr>
          <w:szCs w:val="22"/>
          <w:lang w:val="es-CO" w:eastAsia="en-US"/>
        </w:rPr>
        <w:t>Se sugiere la elaboración de un plan de movilización de recursos para las respuestas nacionales al VIH y TB con un enfoque en la prevención de ambas enfermedades. Dicho plan deberá contener</w:t>
      </w:r>
      <w:r w:rsidR="00C123CC" w:rsidRPr="0095779C">
        <w:rPr>
          <w:szCs w:val="22"/>
          <w:lang w:val="es-CO" w:eastAsia="en-US"/>
        </w:rPr>
        <w:t xml:space="preserve"> los ahorros estimados por eficiencias</w:t>
      </w:r>
      <w:r w:rsidR="00AA0749">
        <w:rPr>
          <w:szCs w:val="22"/>
          <w:lang w:val="es-CO" w:eastAsia="en-US"/>
        </w:rPr>
        <w:t xml:space="preserve"> (</w:t>
      </w:r>
      <w:proofErr w:type="spellStart"/>
      <w:r w:rsidR="00AA0749">
        <w:rPr>
          <w:szCs w:val="22"/>
          <w:lang w:val="es-CO" w:eastAsia="en-US"/>
        </w:rPr>
        <w:t>e.g</w:t>
      </w:r>
      <w:proofErr w:type="spellEnd"/>
      <w:r w:rsidR="00AA0749">
        <w:rPr>
          <w:szCs w:val="22"/>
          <w:lang w:val="es-CO" w:eastAsia="en-US"/>
        </w:rPr>
        <w:t>. por la compra centralizada de pruebas rápidas)</w:t>
      </w:r>
      <w:r w:rsidR="00C123CC" w:rsidRPr="0095779C">
        <w:rPr>
          <w:szCs w:val="22"/>
          <w:lang w:val="es-CO" w:eastAsia="en-US"/>
        </w:rPr>
        <w:t xml:space="preserve">, </w:t>
      </w:r>
      <w:r w:rsidR="00E00D8D">
        <w:rPr>
          <w:szCs w:val="22"/>
          <w:lang w:val="es-CO" w:eastAsia="en-US"/>
        </w:rPr>
        <w:t>líneas presupuestarias para insumos de VIH</w:t>
      </w:r>
      <w:r w:rsidR="008772F1">
        <w:rPr>
          <w:szCs w:val="22"/>
          <w:lang w:val="es-CO" w:eastAsia="en-US"/>
        </w:rPr>
        <w:t xml:space="preserve"> y</w:t>
      </w:r>
      <w:r w:rsidR="00E95AE0">
        <w:rPr>
          <w:szCs w:val="22"/>
          <w:lang w:val="es-CO" w:eastAsia="en-US"/>
        </w:rPr>
        <w:t xml:space="preserve"> </w:t>
      </w:r>
      <w:r w:rsidR="00E00D8D">
        <w:rPr>
          <w:szCs w:val="22"/>
          <w:lang w:val="es-CO" w:eastAsia="en-US"/>
        </w:rPr>
        <w:t xml:space="preserve">TB, </w:t>
      </w:r>
      <w:r w:rsidR="00C123CC" w:rsidRPr="0095779C">
        <w:rPr>
          <w:szCs w:val="22"/>
          <w:lang w:val="es-CO" w:eastAsia="en-US"/>
        </w:rPr>
        <w:t>ejecución del gasto asignado, reasignación de gasto a aquellas actividades con mayor impacto en la epidemia (prevención, diagnóstico y tratamiento de las poblaciones con mayor prevalencia)</w:t>
      </w:r>
      <w:r w:rsidR="00E67C28">
        <w:rPr>
          <w:szCs w:val="22"/>
          <w:lang w:val="es-CO" w:eastAsia="en-US"/>
        </w:rPr>
        <w:t xml:space="preserve">, e idealmente, una </w:t>
      </w:r>
      <w:r w:rsidR="00C123CC" w:rsidRPr="0095779C">
        <w:rPr>
          <w:szCs w:val="22"/>
          <w:lang w:val="es-CO" w:eastAsia="en-US"/>
        </w:rPr>
        <w:t>nueva asignación etiquetada para prevención de VIH</w:t>
      </w:r>
      <w:r w:rsidR="008772F1">
        <w:rPr>
          <w:szCs w:val="22"/>
          <w:lang w:val="es-CO" w:eastAsia="en-US"/>
        </w:rPr>
        <w:t xml:space="preserve"> y </w:t>
      </w:r>
      <w:r w:rsidR="00C123CC" w:rsidRPr="0095779C">
        <w:rPr>
          <w:szCs w:val="22"/>
          <w:lang w:val="es-CO" w:eastAsia="en-US"/>
        </w:rPr>
        <w:t xml:space="preserve">TB y </w:t>
      </w:r>
      <w:r w:rsidR="00C123CC" w:rsidRPr="004940AB">
        <w:rPr>
          <w:szCs w:val="22"/>
          <w:lang w:val="es-CO" w:eastAsia="en-US"/>
        </w:rPr>
        <w:t xml:space="preserve">que </w:t>
      </w:r>
      <w:r w:rsidR="0043290A" w:rsidRPr="004940AB">
        <w:rPr>
          <w:szCs w:val="22"/>
          <w:lang w:val="es-CO" w:eastAsia="en-US"/>
        </w:rPr>
        <w:t xml:space="preserve">pueda </w:t>
      </w:r>
      <w:r w:rsidR="00C123CC" w:rsidRPr="004940AB">
        <w:rPr>
          <w:szCs w:val="22"/>
          <w:lang w:val="es-CO" w:eastAsia="en-US"/>
        </w:rPr>
        <w:t xml:space="preserve">ejecutarse </w:t>
      </w:r>
      <w:r w:rsidR="00012B30" w:rsidRPr="004940AB">
        <w:rPr>
          <w:szCs w:val="22"/>
          <w:lang w:val="es-CO" w:eastAsia="en-US"/>
        </w:rPr>
        <w:t>tanto por</w:t>
      </w:r>
      <w:r w:rsidR="00C123CC" w:rsidRPr="004940AB">
        <w:rPr>
          <w:szCs w:val="22"/>
          <w:lang w:val="es-CO" w:eastAsia="en-US"/>
        </w:rPr>
        <w:t xml:space="preserve"> la SESAL</w:t>
      </w:r>
      <w:r w:rsidR="00012B30" w:rsidRPr="004940AB">
        <w:rPr>
          <w:szCs w:val="22"/>
          <w:lang w:val="es-CO" w:eastAsia="en-US"/>
        </w:rPr>
        <w:t xml:space="preserve"> como</w:t>
      </w:r>
      <w:r w:rsidR="00C123CC" w:rsidRPr="004940AB">
        <w:rPr>
          <w:szCs w:val="22"/>
          <w:lang w:val="es-CO" w:eastAsia="en-US"/>
        </w:rPr>
        <w:t xml:space="preserve"> por las </w:t>
      </w:r>
      <w:proofErr w:type="spellStart"/>
      <w:r w:rsidR="006C154E" w:rsidRPr="004940AB">
        <w:rPr>
          <w:szCs w:val="22"/>
          <w:lang w:val="es-CO" w:eastAsia="en-US"/>
        </w:rPr>
        <w:t>OSCs</w:t>
      </w:r>
      <w:proofErr w:type="spellEnd"/>
      <w:r w:rsidR="00C123CC" w:rsidRPr="004940AB">
        <w:rPr>
          <w:szCs w:val="22"/>
          <w:lang w:val="es-CO" w:eastAsia="en-US"/>
        </w:rPr>
        <w:t xml:space="preserve"> que prestan estos servicios.</w:t>
      </w:r>
      <w:r w:rsidR="006C154E" w:rsidRPr="004940AB">
        <w:rPr>
          <w:szCs w:val="22"/>
          <w:lang w:val="es-CO" w:eastAsia="en-US"/>
        </w:rPr>
        <w:t xml:space="preserve"> </w:t>
      </w:r>
      <w:r w:rsidR="00E67C28" w:rsidRPr="004940AB">
        <w:rPr>
          <w:szCs w:val="22"/>
          <w:lang w:val="es-CO" w:eastAsia="en-US"/>
        </w:rPr>
        <w:t xml:space="preserve">Para TB es urgente asegurar que el gobierno cubra la brecha que quedará sin cubrir </w:t>
      </w:r>
      <w:r w:rsidR="004823D6" w:rsidRPr="004940AB">
        <w:rPr>
          <w:szCs w:val="22"/>
          <w:lang w:val="es-CO" w:eastAsia="en-US"/>
        </w:rPr>
        <w:t>a partir de</w:t>
      </w:r>
      <w:r w:rsidR="00E67C28" w:rsidRPr="004940AB">
        <w:rPr>
          <w:szCs w:val="22"/>
          <w:lang w:val="es-CO" w:eastAsia="en-US"/>
        </w:rPr>
        <w:t xml:space="preserve"> la </w:t>
      </w:r>
      <w:r w:rsidR="00204CCD" w:rsidRPr="004940AB">
        <w:rPr>
          <w:szCs w:val="22"/>
          <w:lang w:val="es-CO" w:eastAsia="en-US"/>
        </w:rPr>
        <w:t xml:space="preserve">implementación de la </w:t>
      </w:r>
      <w:r w:rsidR="00E67C28" w:rsidRPr="004940AB">
        <w:rPr>
          <w:szCs w:val="22"/>
          <w:lang w:val="es-CO" w:eastAsia="en-US"/>
        </w:rPr>
        <w:t xml:space="preserve">nueva subvención. </w:t>
      </w:r>
      <w:r w:rsidR="00F724D9" w:rsidRPr="004940AB">
        <w:rPr>
          <w:lang w:val="es-CO" w:eastAsia="en-US"/>
        </w:rPr>
        <w:t>La</w:t>
      </w:r>
      <w:r w:rsidR="00F724D9" w:rsidRPr="004940AB">
        <w:rPr>
          <w:bCs/>
          <w:sz w:val="20"/>
          <w:szCs w:val="19"/>
          <w:lang w:val="es-419"/>
        </w:rPr>
        <w:t xml:space="preserve"> </w:t>
      </w:r>
      <w:r w:rsidR="00F724D9" w:rsidRPr="004940AB">
        <w:rPr>
          <w:bCs/>
          <w:lang w:val="es-419" w:eastAsia="en-US"/>
        </w:rPr>
        <w:t>Unidad</w:t>
      </w:r>
      <w:r w:rsidR="00F724D9" w:rsidRPr="00120AA5">
        <w:rPr>
          <w:bCs/>
          <w:lang w:val="es-419" w:eastAsia="en-US"/>
        </w:rPr>
        <w:t xml:space="preserve"> de Planeamiento y Evaluación de Gestión</w:t>
      </w:r>
      <w:r w:rsidR="00F724D9" w:rsidRPr="00120AA5">
        <w:rPr>
          <w:lang w:val="es-CO" w:eastAsia="en-US"/>
        </w:rPr>
        <w:t xml:space="preserve"> (UPEG) </w:t>
      </w:r>
      <w:r w:rsidR="006C154E">
        <w:rPr>
          <w:lang w:val="es-CO" w:eastAsia="en-US"/>
        </w:rPr>
        <w:t>será clave para la presentación de la solicitud por parte</w:t>
      </w:r>
      <w:r w:rsidR="00F724D9" w:rsidRPr="00120AA5">
        <w:rPr>
          <w:lang w:val="es-CO" w:eastAsia="en-US"/>
        </w:rPr>
        <w:t xml:space="preserve"> de la SESAL ante la SEFIN</w:t>
      </w:r>
      <w:r w:rsidR="00E00D8D">
        <w:rPr>
          <w:lang w:val="es-CO" w:eastAsia="en-US"/>
        </w:rPr>
        <w:t xml:space="preserve">, mientras que el acompañamiento de la </w:t>
      </w:r>
      <w:r w:rsidR="0009383D">
        <w:rPr>
          <w:lang w:val="es-CO" w:eastAsia="en-US"/>
        </w:rPr>
        <w:t>SCGG</w:t>
      </w:r>
      <w:r w:rsidR="00E00D8D">
        <w:rPr>
          <w:lang w:val="es-CO" w:eastAsia="en-US"/>
        </w:rPr>
        <w:t xml:space="preserve"> será clave para asegurar su ejecución.</w:t>
      </w:r>
    </w:p>
    <w:p w14:paraId="796870CF" w14:textId="3D2A858F" w:rsidR="00CF038F" w:rsidRPr="007C2C40" w:rsidRDefault="008772F1" w:rsidP="00CF038F">
      <w:pPr>
        <w:pStyle w:val="Heading3"/>
        <w:tabs>
          <w:tab w:val="clear" w:pos="851"/>
          <w:tab w:val="left" w:pos="90"/>
          <w:tab w:val="left" w:pos="1170"/>
        </w:tabs>
        <w:ind w:left="90" w:hanging="270"/>
        <w:jc w:val="both"/>
        <w:rPr>
          <w:rFonts w:ascii="Times New Roman" w:hAnsi="Times New Roman"/>
          <w:sz w:val="22"/>
          <w:lang w:val="es-CO"/>
        </w:rPr>
      </w:pPr>
      <w:r>
        <w:rPr>
          <w:rFonts w:ascii="Times New Roman" w:hAnsi="Times New Roman"/>
          <w:sz w:val="22"/>
          <w:lang w:val="es-CO"/>
        </w:rPr>
        <w:t>Fortalecer la implementación</w:t>
      </w:r>
      <w:r w:rsidRPr="007C2C40">
        <w:rPr>
          <w:rFonts w:ascii="Times New Roman" w:hAnsi="Times New Roman"/>
          <w:sz w:val="22"/>
          <w:lang w:val="es-CO"/>
        </w:rPr>
        <w:t xml:space="preserve"> </w:t>
      </w:r>
      <w:r>
        <w:rPr>
          <w:rFonts w:ascii="Times New Roman" w:hAnsi="Times New Roman"/>
          <w:sz w:val="22"/>
          <w:lang w:val="es-CO"/>
        </w:rPr>
        <w:t>d</w:t>
      </w:r>
      <w:r w:rsidR="00CF038F" w:rsidRPr="007C2C40">
        <w:rPr>
          <w:rFonts w:ascii="Times New Roman" w:hAnsi="Times New Roman"/>
          <w:sz w:val="22"/>
          <w:lang w:val="es-CO"/>
        </w:rPr>
        <w:t xml:space="preserve">el Paquete específico de prestaciones y servicios para el abordaje integral de las ITS y VIH en poblaciones clave (julio 2015) </w:t>
      </w:r>
      <w:r w:rsidR="007C2C40">
        <w:rPr>
          <w:rFonts w:ascii="Times New Roman" w:hAnsi="Times New Roman"/>
          <w:sz w:val="22"/>
          <w:lang w:val="es-CO"/>
        </w:rPr>
        <w:t>y</w:t>
      </w:r>
      <w:r w:rsidR="00CF038F" w:rsidRPr="007C2C40">
        <w:rPr>
          <w:rFonts w:ascii="Times New Roman" w:hAnsi="Times New Roman"/>
          <w:sz w:val="22"/>
          <w:lang w:val="es-CO"/>
        </w:rPr>
        <w:t xml:space="preserve"> establece</w:t>
      </w:r>
      <w:r w:rsidR="007C2C40">
        <w:rPr>
          <w:rFonts w:ascii="Times New Roman" w:hAnsi="Times New Roman"/>
          <w:sz w:val="22"/>
          <w:lang w:val="es-CO"/>
        </w:rPr>
        <w:t>r</w:t>
      </w:r>
      <w:r w:rsidR="00CF038F" w:rsidRPr="007C2C40">
        <w:rPr>
          <w:rFonts w:ascii="Times New Roman" w:hAnsi="Times New Roman"/>
          <w:sz w:val="22"/>
          <w:lang w:val="es-CO"/>
        </w:rPr>
        <w:t xml:space="preserve"> el paquete mínimo de prevención combinada para VIH en población general y clave,</w:t>
      </w:r>
      <w:r w:rsidR="00581747">
        <w:rPr>
          <w:rFonts w:ascii="Times New Roman" w:hAnsi="Times New Roman"/>
          <w:sz w:val="22"/>
          <w:lang w:val="es-CO"/>
        </w:rPr>
        <w:t xml:space="preserve"> </w:t>
      </w:r>
      <w:proofErr w:type="gramStart"/>
      <w:r w:rsidR="00581747">
        <w:rPr>
          <w:rFonts w:ascii="Times New Roman" w:hAnsi="Times New Roman"/>
          <w:sz w:val="22"/>
          <w:lang w:val="es-CO"/>
        </w:rPr>
        <w:t>de acuerdo a</w:t>
      </w:r>
      <w:proofErr w:type="gramEnd"/>
      <w:r w:rsidR="00581747">
        <w:rPr>
          <w:rFonts w:ascii="Times New Roman" w:hAnsi="Times New Roman"/>
          <w:sz w:val="22"/>
          <w:lang w:val="es-CO"/>
        </w:rPr>
        <w:t xml:space="preserve"> la carte</w:t>
      </w:r>
      <w:r w:rsidR="00E95AE0">
        <w:rPr>
          <w:rFonts w:ascii="Times New Roman" w:hAnsi="Times New Roman"/>
          <w:sz w:val="22"/>
          <w:lang w:val="es-CO"/>
        </w:rPr>
        <w:t>r</w:t>
      </w:r>
      <w:r w:rsidR="00581747">
        <w:rPr>
          <w:rFonts w:ascii="Times New Roman" w:hAnsi="Times New Roman"/>
          <w:sz w:val="22"/>
          <w:lang w:val="es-CO"/>
        </w:rPr>
        <w:t>a de servicios de los Establecimientos de Salud,</w:t>
      </w:r>
      <w:r w:rsidR="00CF038F" w:rsidRPr="007C2C40">
        <w:rPr>
          <w:rFonts w:ascii="Times New Roman" w:hAnsi="Times New Roman"/>
          <w:sz w:val="22"/>
          <w:lang w:val="es-CO"/>
        </w:rPr>
        <w:t xml:space="preserve"> con miras a la institucionalización y financiamiento por la SESAL y el IHSS</w:t>
      </w:r>
    </w:p>
    <w:p w14:paraId="2C851009" w14:textId="613A92E9" w:rsidR="007E0C46" w:rsidRDefault="00FF13F6" w:rsidP="00FF13F6">
      <w:pPr>
        <w:spacing w:after="240"/>
        <w:ind w:firstLine="0"/>
        <w:rPr>
          <w:szCs w:val="22"/>
          <w:lang w:val="es-CO" w:eastAsia="en-US"/>
        </w:rPr>
      </w:pPr>
      <w:r w:rsidRPr="007C2C40">
        <w:rPr>
          <w:szCs w:val="22"/>
          <w:lang w:val="es-CO" w:eastAsia="en-US"/>
        </w:rPr>
        <w:t>Honduras</w:t>
      </w:r>
      <w:r w:rsidR="00A53DE5">
        <w:rPr>
          <w:szCs w:val="22"/>
          <w:lang w:val="es-CO" w:eastAsia="en-US"/>
        </w:rPr>
        <w:t xml:space="preserve"> requiere</w:t>
      </w:r>
      <w:r w:rsidR="008772F1">
        <w:rPr>
          <w:szCs w:val="22"/>
          <w:lang w:val="es-CO" w:eastAsia="en-US"/>
        </w:rPr>
        <w:t xml:space="preserve"> fortalecer la implementación</w:t>
      </w:r>
      <w:r w:rsidR="00A53DE5">
        <w:rPr>
          <w:szCs w:val="22"/>
          <w:lang w:val="es-CO" w:eastAsia="en-US"/>
        </w:rPr>
        <w:t xml:space="preserve"> </w:t>
      </w:r>
      <w:r w:rsidR="008772F1">
        <w:rPr>
          <w:szCs w:val="22"/>
          <w:lang w:val="es-CO" w:eastAsia="en-US"/>
        </w:rPr>
        <w:t>d</w:t>
      </w:r>
      <w:r w:rsidR="00A53DE5">
        <w:rPr>
          <w:szCs w:val="22"/>
          <w:lang w:val="es-CO" w:eastAsia="en-US"/>
        </w:rPr>
        <w:t xml:space="preserve">el paquete </w:t>
      </w:r>
      <w:proofErr w:type="spellStart"/>
      <w:r w:rsidR="00A53DE5">
        <w:rPr>
          <w:szCs w:val="22"/>
          <w:lang w:val="es-CO" w:eastAsia="en-US"/>
        </w:rPr>
        <w:t>espec</w:t>
      </w:r>
      <w:r w:rsidR="00A53DE5">
        <w:rPr>
          <w:szCs w:val="22"/>
          <w:lang w:val="es-MX" w:eastAsia="en-US"/>
        </w:rPr>
        <w:t>ífico</w:t>
      </w:r>
      <w:proofErr w:type="spellEnd"/>
      <w:r w:rsidRPr="007C2C40">
        <w:rPr>
          <w:szCs w:val="22"/>
          <w:lang w:val="es-CO" w:eastAsia="en-US"/>
        </w:rPr>
        <w:t xml:space="preserve"> </w:t>
      </w:r>
      <w:r w:rsidR="00A53DE5" w:rsidRPr="007C2C40">
        <w:rPr>
          <w:lang w:val="es-CO"/>
        </w:rPr>
        <w:t>de prestaciones y servicios para el abordaje integral de las ITS y VIH en poblaciones clave (julio 2015)</w:t>
      </w:r>
      <w:r w:rsidR="00A53DE5">
        <w:rPr>
          <w:lang w:val="es-CO"/>
        </w:rPr>
        <w:t xml:space="preserve">. </w:t>
      </w:r>
      <w:r w:rsidR="008772F1">
        <w:rPr>
          <w:lang w:val="es-CO"/>
        </w:rPr>
        <w:t>De igual forma,</w:t>
      </w:r>
      <w:r w:rsidR="00E95AE0">
        <w:rPr>
          <w:lang w:val="es-CO"/>
        </w:rPr>
        <w:t xml:space="preserve"> </w:t>
      </w:r>
      <w:r w:rsidR="00590A65">
        <w:rPr>
          <w:lang w:val="es-CO"/>
        </w:rPr>
        <w:t>se</w:t>
      </w:r>
      <w:r w:rsidR="00A53DE5">
        <w:rPr>
          <w:lang w:val="es-CO"/>
        </w:rPr>
        <w:t xml:space="preserve"> </w:t>
      </w:r>
      <w:r w:rsidRPr="007C2C40">
        <w:rPr>
          <w:szCs w:val="22"/>
          <w:lang w:val="es-CO" w:eastAsia="en-US"/>
        </w:rPr>
        <w:t>carece de un paquete mínimo de prevención combinada</w:t>
      </w:r>
      <w:r w:rsidR="00D22B06">
        <w:rPr>
          <w:szCs w:val="22"/>
          <w:lang w:val="es-CO" w:eastAsia="en-US"/>
        </w:rPr>
        <w:t xml:space="preserve"> oficial</w:t>
      </w:r>
      <w:r w:rsidR="00A53DE5">
        <w:rPr>
          <w:szCs w:val="22"/>
          <w:lang w:val="es-CO" w:eastAsia="en-US"/>
        </w:rPr>
        <w:t xml:space="preserve"> específico</w:t>
      </w:r>
      <w:r w:rsidRPr="007C2C40">
        <w:rPr>
          <w:szCs w:val="22"/>
          <w:lang w:val="es-CO" w:eastAsia="en-US"/>
        </w:rPr>
        <w:t xml:space="preserve"> para población general y</w:t>
      </w:r>
      <w:r w:rsidR="00A53DE5">
        <w:rPr>
          <w:szCs w:val="22"/>
          <w:lang w:val="es-CO" w:eastAsia="en-US"/>
        </w:rPr>
        <w:t xml:space="preserve"> cada </w:t>
      </w:r>
      <w:r w:rsidR="00590A65">
        <w:rPr>
          <w:szCs w:val="22"/>
          <w:lang w:val="es-CO" w:eastAsia="en-US"/>
        </w:rPr>
        <w:t>una de las poblaciones</w:t>
      </w:r>
      <w:r w:rsidRPr="007C2C40">
        <w:rPr>
          <w:szCs w:val="22"/>
          <w:lang w:val="es-CO" w:eastAsia="en-US"/>
        </w:rPr>
        <w:t xml:space="preserve"> clave</w:t>
      </w:r>
      <w:r w:rsidR="006309E4">
        <w:rPr>
          <w:szCs w:val="22"/>
          <w:lang w:val="es-CO" w:eastAsia="en-US"/>
        </w:rPr>
        <w:t>.</w:t>
      </w:r>
      <w:r w:rsidRPr="007C2C40">
        <w:rPr>
          <w:szCs w:val="22"/>
          <w:lang w:val="es-CO" w:eastAsia="en-US"/>
        </w:rPr>
        <w:t xml:space="preserve"> Se sugiere</w:t>
      </w:r>
      <w:r w:rsidR="000E0454" w:rsidRPr="007C2C40">
        <w:rPr>
          <w:szCs w:val="22"/>
          <w:lang w:val="es-CO" w:eastAsia="en-US"/>
        </w:rPr>
        <w:t xml:space="preserve"> generar evidencia a través de estudios y</w:t>
      </w:r>
      <w:r w:rsidRPr="007C2C40">
        <w:rPr>
          <w:szCs w:val="22"/>
          <w:lang w:val="es-CO" w:eastAsia="en-US"/>
        </w:rPr>
        <w:t xml:space="preserve"> grupos focales con población clave para conocer sus necesidades, así como los puntos adecuados para </w:t>
      </w:r>
      <w:r w:rsidR="00387143" w:rsidRPr="007C2C40">
        <w:rPr>
          <w:szCs w:val="22"/>
          <w:lang w:val="es-CO" w:eastAsia="en-US"/>
        </w:rPr>
        <w:t>la</w:t>
      </w:r>
      <w:r w:rsidRPr="007C2C40">
        <w:rPr>
          <w:szCs w:val="22"/>
          <w:lang w:val="es-CO" w:eastAsia="en-US"/>
        </w:rPr>
        <w:t xml:space="preserve"> distribución</w:t>
      </w:r>
      <w:r w:rsidR="00387143" w:rsidRPr="007C2C40">
        <w:rPr>
          <w:szCs w:val="22"/>
          <w:lang w:val="es-CO" w:eastAsia="en-US"/>
        </w:rPr>
        <w:t xml:space="preserve"> de </w:t>
      </w:r>
      <w:r w:rsidR="00EE58A3" w:rsidRPr="007C2C40">
        <w:rPr>
          <w:szCs w:val="22"/>
          <w:lang w:val="es-CO" w:eastAsia="en-US"/>
        </w:rPr>
        <w:t xml:space="preserve">las intervenciones o </w:t>
      </w:r>
      <w:r w:rsidR="00301962" w:rsidRPr="007C2C40">
        <w:rPr>
          <w:szCs w:val="22"/>
          <w:lang w:val="es-CO" w:eastAsia="en-US"/>
        </w:rPr>
        <w:t>insumos</w:t>
      </w:r>
      <w:r w:rsidRPr="007C2C40">
        <w:rPr>
          <w:szCs w:val="22"/>
          <w:lang w:val="es-CO" w:eastAsia="en-US"/>
        </w:rPr>
        <w:t>. La elaboración de este marco normativo</w:t>
      </w:r>
      <w:r w:rsidR="000E0454" w:rsidRPr="007C2C40">
        <w:rPr>
          <w:szCs w:val="22"/>
          <w:lang w:val="es-CO" w:eastAsia="en-US"/>
        </w:rPr>
        <w:t xml:space="preserve"> (basado en evidencia)</w:t>
      </w:r>
      <w:r w:rsidRPr="007C2C40">
        <w:rPr>
          <w:szCs w:val="22"/>
          <w:lang w:val="es-CO" w:eastAsia="en-US"/>
        </w:rPr>
        <w:t xml:space="preserve"> es necesario</w:t>
      </w:r>
      <w:r w:rsidR="00300BB9" w:rsidRPr="007C2C40">
        <w:rPr>
          <w:szCs w:val="22"/>
          <w:lang w:val="es-CO" w:eastAsia="en-US"/>
        </w:rPr>
        <w:t xml:space="preserve"> </w:t>
      </w:r>
      <w:r w:rsidRPr="007C2C40">
        <w:rPr>
          <w:szCs w:val="22"/>
          <w:lang w:val="es-CO" w:eastAsia="en-US"/>
        </w:rPr>
        <w:t xml:space="preserve">para abogar por </w:t>
      </w:r>
      <w:r w:rsidR="00300BB9" w:rsidRPr="007C2C40">
        <w:rPr>
          <w:szCs w:val="22"/>
          <w:lang w:val="es-CO" w:eastAsia="en-US"/>
        </w:rPr>
        <w:t>el</w:t>
      </w:r>
      <w:r w:rsidRPr="007C2C40">
        <w:rPr>
          <w:szCs w:val="22"/>
          <w:lang w:val="es-CO" w:eastAsia="en-US"/>
        </w:rPr>
        <w:t xml:space="preserve"> financiamiento</w:t>
      </w:r>
      <w:r w:rsidR="00300BB9" w:rsidRPr="007C2C40">
        <w:rPr>
          <w:szCs w:val="22"/>
          <w:lang w:val="es-CO" w:eastAsia="en-US"/>
        </w:rPr>
        <w:t xml:space="preserve"> de este paquete para población general</w:t>
      </w:r>
      <w:r w:rsidRPr="007C2C40">
        <w:rPr>
          <w:szCs w:val="22"/>
          <w:lang w:val="es-CO" w:eastAsia="en-US"/>
        </w:rPr>
        <w:t xml:space="preserve"> por las fuentes tradicionales disponibles </w:t>
      </w:r>
      <w:r w:rsidR="00300BB9" w:rsidRPr="007C2C40">
        <w:rPr>
          <w:szCs w:val="22"/>
          <w:lang w:val="es-CO" w:eastAsia="en-US"/>
        </w:rPr>
        <w:t xml:space="preserve">incluyendo la </w:t>
      </w:r>
      <w:r w:rsidRPr="007C2C40">
        <w:rPr>
          <w:szCs w:val="22"/>
          <w:lang w:val="es-CO" w:eastAsia="en-US"/>
        </w:rPr>
        <w:t>SESAL, la seguridad social y los seguros privados</w:t>
      </w:r>
      <w:r w:rsidR="000E0454" w:rsidRPr="007C2C40">
        <w:rPr>
          <w:szCs w:val="22"/>
          <w:lang w:val="es-CO" w:eastAsia="en-US"/>
        </w:rPr>
        <w:t>.</w:t>
      </w:r>
    </w:p>
    <w:p w14:paraId="44805ABB" w14:textId="080C9FF7" w:rsidR="008F08A8" w:rsidRPr="004657DD" w:rsidRDefault="004657DD" w:rsidP="004657DD">
      <w:pPr>
        <w:pStyle w:val="Heading3"/>
        <w:tabs>
          <w:tab w:val="clear" w:pos="851"/>
          <w:tab w:val="left" w:pos="90"/>
          <w:tab w:val="left" w:pos="1170"/>
        </w:tabs>
        <w:ind w:left="90" w:hanging="270"/>
        <w:jc w:val="both"/>
        <w:rPr>
          <w:rFonts w:ascii="Times New Roman" w:hAnsi="Times New Roman"/>
          <w:sz w:val="22"/>
          <w:lang w:val="es-CO"/>
        </w:rPr>
      </w:pPr>
      <w:r w:rsidRPr="004657DD">
        <w:rPr>
          <w:rFonts w:ascii="Times New Roman" w:hAnsi="Times New Roman"/>
          <w:sz w:val="22"/>
          <w:lang w:val="es-CO"/>
        </w:rPr>
        <w:t xml:space="preserve">Garantizar recursos </w:t>
      </w:r>
      <w:r w:rsidR="00581747">
        <w:rPr>
          <w:rFonts w:ascii="Times New Roman" w:hAnsi="Times New Roman"/>
          <w:sz w:val="22"/>
          <w:lang w:val="es-CO"/>
        </w:rPr>
        <w:t xml:space="preserve">(humanos, de infraestructura, logísticos, medicamentos, insumos y reactivos) </w:t>
      </w:r>
      <w:r w:rsidRPr="004657DD">
        <w:rPr>
          <w:rFonts w:ascii="Times New Roman" w:hAnsi="Times New Roman"/>
          <w:sz w:val="22"/>
          <w:lang w:val="es-CO"/>
        </w:rPr>
        <w:t>para el fortalecimiento de los servicios amigables, VICITS y horarios extendidos</w:t>
      </w:r>
    </w:p>
    <w:p w14:paraId="09D39153" w14:textId="72F13D98" w:rsidR="008F08A8" w:rsidRDefault="00880DA1" w:rsidP="00FF13F6">
      <w:pPr>
        <w:spacing w:after="240"/>
        <w:ind w:firstLine="0"/>
        <w:rPr>
          <w:b/>
          <w:szCs w:val="22"/>
          <w:lang w:val="es-CO"/>
        </w:rPr>
      </w:pPr>
      <w:r w:rsidRPr="008F3509">
        <w:rPr>
          <w:szCs w:val="22"/>
          <w:lang w:val="es-CO"/>
        </w:rPr>
        <w:t xml:space="preserve">La discriminación y estigma en </w:t>
      </w:r>
      <w:r w:rsidR="008772F1">
        <w:rPr>
          <w:szCs w:val="22"/>
          <w:lang w:val="es-CO"/>
        </w:rPr>
        <w:t>los establecimientos de salud</w:t>
      </w:r>
      <w:r w:rsidRPr="008F3509">
        <w:rPr>
          <w:szCs w:val="22"/>
          <w:lang w:val="es-CO"/>
        </w:rPr>
        <w:t xml:space="preserve"> es una de las causas más reportadas del abandono del tratamiento de VIH. El fomento de servicios amigables, especialmente para MTS y TRANS es especialmente importante para garantizar el acceso de estas poblaciones. Las clínicas VICITS han sido muy exitosas en el acercamiento del diagnóstico a las poblaciones clave, sin embargo, existe espacio para reforzar la </w:t>
      </w:r>
      <w:r w:rsidR="004E693A">
        <w:rPr>
          <w:szCs w:val="22"/>
          <w:lang w:val="es-CO"/>
        </w:rPr>
        <w:t>implementación homologada</w:t>
      </w:r>
      <w:r w:rsidR="004E693A" w:rsidRPr="008F3509">
        <w:rPr>
          <w:szCs w:val="22"/>
          <w:lang w:val="es-CO"/>
        </w:rPr>
        <w:t xml:space="preserve"> </w:t>
      </w:r>
      <w:r w:rsidRPr="008F3509">
        <w:rPr>
          <w:szCs w:val="22"/>
          <w:lang w:val="es-CO"/>
        </w:rPr>
        <w:t>de</w:t>
      </w:r>
      <w:r w:rsidR="004E693A">
        <w:rPr>
          <w:szCs w:val="22"/>
          <w:lang w:val="es-CO"/>
        </w:rPr>
        <w:t xml:space="preserve"> los</w:t>
      </w:r>
      <w:r w:rsidRPr="008F3509">
        <w:rPr>
          <w:szCs w:val="22"/>
          <w:lang w:val="es-CO"/>
        </w:rPr>
        <w:t xml:space="preserve"> protocolos </w:t>
      </w:r>
      <w:r w:rsidR="004E693A">
        <w:rPr>
          <w:szCs w:val="22"/>
          <w:lang w:val="es-CO"/>
        </w:rPr>
        <w:t xml:space="preserve">de atención </w:t>
      </w:r>
      <w:r w:rsidRPr="008F3509">
        <w:rPr>
          <w:szCs w:val="22"/>
          <w:lang w:val="es-CO"/>
        </w:rPr>
        <w:t>entre clínicas.</w:t>
      </w:r>
      <w:r w:rsidR="006E18BE">
        <w:rPr>
          <w:szCs w:val="22"/>
          <w:lang w:val="es-CO"/>
        </w:rPr>
        <w:t xml:space="preserve"> I</w:t>
      </w:r>
      <w:r w:rsidRPr="008F3509">
        <w:rPr>
          <w:szCs w:val="22"/>
          <w:lang w:val="es-CO"/>
        </w:rPr>
        <w:t>gualmente se sugiere promover parte de la SESAL</w:t>
      </w:r>
      <w:r w:rsidR="006E18BE">
        <w:rPr>
          <w:szCs w:val="22"/>
          <w:lang w:val="es-CO"/>
        </w:rPr>
        <w:t xml:space="preserve"> las modalidades existentes en los lineamientos para atención a la población clave (por ejemplo</w:t>
      </w:r>
      <w:r w:rsidR="00E95AE0">
        <w:rPr>
          <w:szCs w:val="22"/>
          <w:lang w:val="es-CO"/>
        </w:rPr>
        <w:t>,</w:t>
      </w:r>
      <w:r w:rsidR="006E18BE">
        <w:rPr>
          <w:szCs w:val="22"/>
          <w:lang w:val="es-CO"/>
        </w:rPr>
        <w:t xml:space="preserve"> la extensión de horarios). </w:t>
      </w:r>
    </w:p>
    <w:p w14:paraId="76C1D411" w14:textId="77777777" w:rsidR="00EA66B4" w:rsidRPr="00EA66B4" w:rsidRDefault="00EA66B4" w:rsidP="00422F7E">
      <w:pPr>
        <w:ind w:firstLine="0"/>
        <w:rPr>
          <w:b/>
          <w:szCs w:val="22"/>
          <w:lang w:val="es-CO"/>
        </w:rPr>
      </w:pPr>
    </w:p>
    <w:p w14:paraId="4F6E7E1B" w14:textId="0D5F2382" w:rsidR="00D7468E" w:rsidRPr="00FF3B19" w:rsidRDefault="007E0C46" w:rsidP="00D7468E">
      <w:pPr>
        <w:pStyle w:val="Heading2"/>
        <w:tabs>
          <w:tab w:val="left" w:pos="450"/>
        </w:tabs>
        <w:ind w:left="0" w:firstLine="0"/>
        <w:jc w:val="both"/>
        <w:rPr>
          <w:rFonts w:ascii="Times New Roman" w:hAnsi="Times New Roman" w:cs="Times New Roman"/>
          <w:lang w:val="es-ES"/>
        </w:rPr>
      </w:pPr>
      <w:bookmarkStart w:id="44" w:name="_Toc8381164"/>
      <w:r w:rsidRPr="00FF3B19">
        <w:rPr>
          <w:rFonts w:ascii="Times New Roman" w:hAnsi="Times New Roman" w:cs="Times New Roman"/>
          <w:lang w:val="es-ES"/>
        </w:rPr>
        <w:t>Objetivo 5. Reducir el estigma y la discriminación de la población clave</w:t>
      </w:r>
      <w:bookmarkEnd w:id="44"/>
    </w:p>
    <w:p w14:paraId="16A7FC05" w14:textId="5FC6EF2D" w:rsidR="00D7468E" w:rsidRPr="00FF3B19" w:rsidRDefault="00D7468E" w:rsidP="00D7468E">
      <w:pPr>
        <w:ind w:firstLine="0"/>
        <w:rPr>
          <w:lang w:val="es-ES" w:eastAsia="en-US"/>
        </w:rPr>
      </w:pPr>
      <w:r w:rsidRPr="00FF3B19">
        <w:rPr>
          <w:lang w:val="es-ES" w:eastAsia="en-US"/>
        </w:rPr>
        <w:t xml:space="preserve">Las poblaciones clave y en situación de vulnerabilidad más afectadas por el VIH en Honduras incluyen: las personas con VIH, personas trabajadoras sexuales (particularmente mujeres y mujeres trans), las y los miembros de minorías étnicas (particularmente de </w:t>
      </w:r>
      <w:r w:rsidR="00D82046">
        <w:rPr>
          <w:lang w:val="es-ES" w:eastAsia="en-US"/>
        </w:rPr>
        <w:t xml:space="preserve">la comunidad </w:t>
      </w:r>
      <w:r w:rsidRPr="00FF3B19">
        <w:rPr>
          <w:lang w:val="es-ES" w:eastAsia="en-US"/>
        </w:rPr>
        <w:t xml:space="preserve">Garífuna), los hombres que tienen sexo con hombres y las personas transgéneras/travestis/transexuales. Hay otras poblaciones </w:t>
      </w:r>
      <w:r w:rsidR="0040739F" w:rsidRPr="00FF3B19">
        <w:rPr>
          <w:lang w:val="es-ES" w:eastAsia="en-US"/>
        </w:rPr>
        <w:t>vulnerables</w:t>
      </w:r>
      <w:r w:rsidRPr="00FF3B19">
        <w:rPr>
          <w:lang w:val="es-ES" w:eastAsia="en-US"/>
        </w:rPr>
        <w:t xml:space="preserve"> que necesitan ser identificadas como personas que se inyectan drogas, trabajadores migrantes y sus parejas, niñas y niños vulnerables (incluidos aquellos en situación de orfandad o de calle), y las mujeres.</w:t>
      </w:r>
      <w:r w:rsidR="00CD7F85" w:rsidRPr="00FF3B19">
        <w:rPr>
          <w:lang w:val="es-ES" w:eastAsia="en-US"/>
        </w:rPr>
        <w:t xml:space="preserve"> Para TB destacan como población vulnerable los </w:t>
      </w:r>
      <w:r w:rsidR="00CD7F85" w:rsidRPr="00FF3B19">
        <w:rPr>
          <w:lang w:val="es-ES" w:eastAsia="en-US"/>
        </w:rPr>
        <w:lastRenderedPageBreak/>
        <w:t>privados de libertad y las personas en los extremos de edad (niños y adultos mayores) en donde se registra el mayor incremento de los casos</w:t>
      </w:r>
      <w:r w:rsidR="00F01E4F" w:rsidRPr="00FF3B19">
        <w:rPr>
          <w:lang w:val="es-ES" w:eastAsia="en-US"/>
        </w:rPr>
        <w:t xml:space="preserve"> de TB en los últimos años.</w:t>
      </w:r>
    </w:p>
    <w:p w14:paraId="457C0ECD" w14:textId="0B65FAEC" w:rsidR="00D7468E" w:rsidRPr="00FF3B19" w:rsidRDefault="00D7468E" w:rsidP="00D7468E">
      <w:pPr>
        <w:ind w:firstLine="0"/>
        <w:rPr>
          <w:lang w:val="es-ES" w:eastAsia="en-US"/>
        </w:rPr>
      </w:pPr>
      <w:r w:rsidRPr="00FF3B19">
        <w:rPr>
          <w:lang w:val="es-ES" w:eastAsia="en-US"/>
        </w:rPr>
        <w:t>Las violaciones de derechos humanos y desigualdades de género están ampliamente documentadas</w:t>
      </w:r>
      <w:r w:rsidRPr="00FF3B19">
        <w:rPr>
          <w:vertAlign w:val="superscript"/>
          <w:lang w:val="es-ES" w:eastAsia="en-US"/>
        </w:rPr>
        <w:footnoteReference w:id="27"/>
      </w:r>
      <w:r w:rsidRPr="00FF3B19">
        <w:rPr>
          <w:vertAlign w:val="superscript"/>
          <w:lang w:val="es-ES" w:eastAsia="en-US"/>
        </w:rPr>
        <w:t>,</w:t>
      </w:r>
      <w:r w:rsidRPr="00FF3B19">
        <w:rPr>
          <w:vertAlign w:val="superscript"/>
          <w:lang w:val="es-ES" w:eastAsia="en-US"/>
        </w:rPr>
        <w:footnoteReference w:id="28"/>
      </w:r>
      <w:r w:rsidRPr="00FF3B19">
        <w:rPr>
          <w:lang w:val="es-ES" w:eastAsia="en-US"/>
        </w:rPr>
        <w:t>. Las desigualdades de género limitan el acceso de mujeres especialmente jóvenes a la atención de salud y la educación, representando una alta proporción de nuevas infecciones entre la población que vive con el VIH. La violencia de género, incluida la violación y el matrimonio precoz impiden protegerse adecuadamente del VIH. Las mujeres que viven con el VIH enfrentan desafíos para tomar decisiones autónomas e informadas sobre planificación familiar por falta de información adecuada.</w:t>
      </w:r>
    </w:p>
    <w:p w14:paraId="4350B726" w14:textId="46AD6EDA" w:rsidR="00D7468E" w:rsidRPr="00FF3B19" w:rsidRDefault="006867F6" w:rsidP="00D7468E">
      <w:pPr>
        <w:ind w:firstLine="0"/>
        <w:rPr>
          <w:lang w:val="es-ES" w:eastAsia="en-US"/>
        </w:rPr>
      </w:pPr>
      <w:r w:rsidRPr="00FF3B19">
        <w:rPr>
          <w:lang w:val="es-ES" w:eastAsia="en-US"/>
        </w:rPr>
        <w:t xml:space="preserve">Las </w:t>
      </w:r>
      <w:r w:rsidR="00D7468E" w:rsidRPr="00FF3B19">
        <w:rPr>
          <w:lang w:val="es-ES" w:eastAsia="en-US"/>
        </w:rPr>
        <w:t xml:space="preserve">OSC informan sobre la marginación que sufren hombres que tienen sexo hombres y personas transgénero. En Honduras el trabajo sexual autónomo es una actividad lícita, </w:t>
      </w:r>
      <w:r w:rsidRPr="00FF3B19">
        <w:rPr>
          <w:lang w:val="es-ES" w:eastAsia="en-US"/>
        </w:rPr>
        <w:t>no</w:t>
      </w:r>
      <w:r w:rsidR="00D7468E" w:rsidRPr="00FF3B19">
        <w:rPr>
          <w:lang w:val="es-ES" w:eastAsia="en-US"/>
        </w:rPr>
        <w:t xml:space="preserve"> obstante, la población trabajadora sexual es constantemente estigmatizada y discriminada, y soporta maltrato por acción u omisión de las autoridades y organismos del estado.</w:t>
      </w:r>
      <w:r w:rsidR="00D7468E" w:rsidRPr="00FF3B19">
        <w:rPr>
          <w:vertAlign w:val="superscript"/>
          <w:lang w:val="es-ES" w:eastAsia="en-US"/>
        </w:rPr>
        <w:footnoteReference w:id="29"/>
      </w:r>
      <w:r w:rsidR="00D7468E" w:rsidRPr="00FF3B19">
        <w:rPr>
          <w:lang w:val="es-ES" w:eastAsia="en-US"/>
        </w:rPr>
        <w:t xml:space="preserve"> </w:t>
      </w:r>
    </w:p>
    <w:p w14:paraId="0A8EFD22" w14:textId="3B9B8824" w:rsidR="00D7468E" w:rsidRPr="00FF3B19" w:rsidRDefault="00D7468E" w:rsidP="00D7468E">
      <w:pPr>
        <w:ind w:firstLine="0"/>
        <w:rPr>
          <w:lang w:val="es-ES" w:eastAsia="en-US"/>
        </w:rPr>
      </w:pPr>
      <w:r w:rsidRPr="00FF3B19">
        <w:rPr>
          <w:lang w:val="es-ES" w:eastAsia="en-US"/>
        </w:rPr>
        <w:t>La falta de protecciones legales existentes y la existencia de regulaciones punitivas que afectan a las personas que viven con VIH y a las poblaciones clave</w:t>
      </w:r>
      <w:r w:rsidR="0076702D" w:rsidRPr="00FF3B19">
        <w:rPr>
          <w:lang w:val="es-ES" w:eastAsia="en-US"/>
        </w:rPr>
        <w:t>s y vulnerables</w:t>
      </w:r>
      <w:r w:rsidRPr="00FF3B19">
        <w:rPr>
          <w:lang w:val="es-ES" w:eastAsia="en-US"/>
        </w:rPr>
        <w:t xml:space="preserve">, representan obstáculos persistentes para acceder a servicios de VIH y TB, particularmente las trabajadoras sexuales, los hombres que tienen sexo con hombres, </w:t>
      </w:r>
      <w:r w:rsidR="0076702D" w:rsidRPr="00FF3B19">
        <w:rPr>
          <w:lang w:val="es-ES" w:eastAsia="en-US"/>
        </w:rPr>
        <w:t xml:space="preserve">los privados de libertad </w:t>
      </w:r>
      <w:r w:rsidRPr="00FF3B19">
        <w:rPr>
          <w:lang w:val="es-ES" w:eastAsia="en-US"/>
        </w:rPr>
        <w:t>y las mujeres transgénero/travestis/transexuales.</w:t>
      </w:r>
    </w:p>
    <w:p w14:paraId="404AF50E" w14:textId="58C2A99D" w:rsidR="00D7468E" w:rsidRPr="00FF3B19" w:rsidRDefault="00D7468E" w:rsidP="00D7468E">
      <w:pPr>
        <w:ind w:firstLine="0"/>
        <w:rPr>
          <w:lang w:val="es-ES" w:eastAsia="en-US"/>
        </w:rPr>
      </w:pPr>
      <w:r w:rsidRPr="00FF3B19">
        <w:rPr>
          <w:lang w:val="es-ES" w:eastAsia="en-US"/>
        </w:rPr>
        <w:t>La situación de derechos humanos en Honduras es reflejo de un ambiento cultural e institucional que no otorga prioridad a la concepción y protección</w:t>
      </w:r>
      <w:r w:rsidRPr="00FF3B19" w:rsidDel="00A32475">
        <w:rPr>
          <w:lang w:val="es-ES" w:eastAsia="en-US"/>
        </w:rPr>
        <w:t xml:space="preserve"> </w:t>
      </w:r>
      <w:r w:rsidRPr="00FF3B19">
        <w:rPr>
          <w:lang w:val="es-ES" w:eastAsia="en-US"/>
        </w:rPr>
        <w:t xml:space="preserve">de los derechos humanos en general. Con relación al VIH la situación es aún más crítica por las campañas ideológicas en contra de las personas afectadas y la falta de empatía con ellas. El sistema institucional con leyes y declaraciones </w:t>
      </w:r>
      <w:r w:rsidR="006867F6" w:rsidRPr="00FF3B19">
        <w:rPr>
          <w:lang w:val="es-ES" w:eastAsia="en-US"/>
        </w:rPr>
        <w:t>que</w:t>
      </w:r>
      <w:r w:rsidRPr="00FF3B19">
        <w:rPr>
          <w:lang w:val="es-ES" w:eastAsia="en-US"/>
        </w:rPr>
        <w:t xml:space="preserve"> no se aplican en la práctica. </w:t>
      </w:r>
    </w:p>
    <w:p w14:paraId="3EF1D263" w14:textId="6A230DA8" w:rsidR="0076702D" w:rsidRDefault="0076702D" w:rsidP="00D7468E">
      <w:pPr>
        <w:ind w:firstLine="0"/>
        <w:rPr>
          <w:lang w:val="es-ES" w:eastAsia="en-US"/>
        </w:rPr>
      </w:pPr>
      <w:r w:rsidRPr="00FF3B19">
        <w:rPr>
          <w:lang w:val="es-ES" w:eastAsia="en-US"/>
        </w:rPr>
        <w:t xml:space="preserve">Para atender las brechas existentes en el diagnóstico y ejecución coordinada de políticas públicas en DDHH, el FM ha </w:t>
      </w:r>
      <w:r w:rsidR="008E76A7" w:rsidRPr="00FF3B19">
        <w:rPr>
          <w:lang w:val="es-ES" w:eastAsia="en-US"/>
        </w:rPr>
        <w:t xml:space="preserve">comisionado </w:t>
      </w:r>
      <w:r w:rsidRPr="00FF3B19">
        <w:rPr>
          <w:lang w:val="es-ES" w:eastAsia="en-US"/>
        </w:rPr>
        <w:t xml:space="preserve">una asistencia técnica para la elaboración de una Línea base de DDHH y de </w:t>
      </w:r>
      <w:r w:rsidR="00DE1E88" w:rsidRPr="00FF3B19">
        <w:rPr>
          <w:lang w:val="es-ES" w:eastAsia="en-US"/>
        </w:rPr>
        <w:t>un Plan Quinquenal de Reduc</w:t>
      </w:r>
      <w:r w:rsidR="00860900">
        <w:rPr>
          <w:lang w:val="es-ES" w:eastAsia="en-US"/>
        </w:rPr>
        <w:t>ción de</w:t>
      </w:r>
      <w:r w:rsidR="00DE1E88" w:rsidRPr="00FF3B19">
        <w:rPr>
          <w:lang w:val="es-ES" w:eastAsia="en-US"/>
        </w:rPr>
        <w:t xml:space="preserve"> los Obstáculos Relacionados con los Derechos Humanos al Acceso a los Servicios de VIH </w:t>
      </w:r>
      <w:r w:rsidRPr="00FF3B19">
        <w:rPr>
          <w:lang w:val="es-ES" w:eastAsia="en-US"/>
        </w:rPr>
        <w:t xml:space="preserve">que priorice las propuestas de acción que han surgido de una consulta multisectorial. Esta Estrategia de Sostenibilidad se alineará con </w:t>
      </w:r>
      <w:r w:rsidR="00E65942">
        <w:rPr>
          <w:lang w:val="es-ES" w:eastAsia="en-US"/>
        </w:rPr>
        <w:t>el Plan Quinquenal</w:t>
      </w:r>
      <w:r w:rsidRPr="00FF3B19">
        <w:rPr>
          <w:lang w:val="es-ES" w:eastAsia="en-US"/>
        </w:rPr>
        <w:t xml:space="preserve"> para evitar duplicidades y fortalecer la implementación de acciones críticas.</w:t>
      </w:r>
    </w:p>
    <w:p w14:paraId="467A3421" w14:textId="6DD27107" w:rsidR="00BA3E16" w:rsidRPr="00E95AE0" w:rsidRDefault="00BA3E16" w:rsidP="00BA3E16">
      <w:pPr>
        <w:pStyle w:val="Heading3"/>
        <w:tabs>
          <w:tab w:val="clear" w:pos="851"/>
          <w:tab w:val="left" w:pos="90"/>
          <w:tab w:val="left" w:pos="1170"/>
        </w:tabs>
        <w:ind w:left="90" w:hanging="270"/>
        <w:jc w:val="both"/>
        <w:rPr>
          <w:rFonts w:ascii="Times New Roman" w:hAnsi="Times New Roman"/>
          <w:sz w:val="22"/>
          <w:szCs w:val="22"/>
          <w:lang w:val="es-ES"/>
        </w:rPr>
      </w:pPr>
      <w:r w:rsidRPr="00E95AE0">
        <w:rPr>
          <w:rFonts w:ascii="Times New Roman" w:hAnsi="Times New Roman"/>
          <w:sz w:val="22"/>
          <w:szCs w:val="22"/>
          <w:lang w:val="es-ES"/>
        </w:rPr>
        <w:t>Crear líneas presupuestarias para cubrir los compromisos de cofinanciamiento de las pruebas CD4, PDR, carga viral, leche infantil, inversiones en reactivos ITS, insumos de laboratorio, cartuchos Gene-</w:t>
      </w:r>
      <w:proofErr w:type="spellStart"/>
      <w:r w:rsidRPr="00E95AE0">
        <w:rPr>
          <w:rFonts w:ascii="Times New Roman" w:hAnsi="Times New Roman"/>
          <w:sz w:val="22"/>
          <w:szCs w:val="22"/>
          <w:lang w:val="es-ES"/>
        </w:rPr>
        <w:t>Xpert</w:t>
      </w:r>
      <w:proofErr w:type="spellEnd"/>
      <w:r w:rsidRPr="00E95AE0">
        <w:rPr>
          <w:rFonts w:ascii="Times New Roman" w:hAnsi="Times New Roman"/>
          <w:sz w:val="22"/>
          <w:szCs w:val="22"/>
          <w:lang w:val="es-ES"/>
        </w:rPr>
        <w:t>, respiradores N95, suplemento alimenticio para pacientes con TB-DR, control de infecciones de TB, así como para la prevención de VIH</w:t>
      </w:r>
      <w:r w:rsidR="005F681D" w:rsidRPr="00E95AE0">
        <w:rPr>
          <w:rFonts w:ascii="Times New Roman" w:hAnsi="Times New Roman"/>
          <w:sz w:val="22"/>
          <w:szCs w:val="22"/>
          <w:lang w:val="es-ES"/>
        </w:rPr>
        <w:t xml:space="preserve"> y </w:t>
      </w:r>
      <w:r w:rsidRPr="00E95AE0">
        <w:rPr>
          <w:rFonts w:ascii="Times New Roman" w:hAnsi="Times New Roman"/>
          <w:sz w:val="22"/>
          <w:szCs w:val="22"/>
          <w:lang w:val="es-ES"/>
        </w:rPr>
        <w:t xml:space="preserve">TB a través de la prestación de servicios por parte de las </w:t>
      </w:r>
      <w:proofErr w:type="spellStart"/>
      <w:r w:rsidRPr="00E95AE0">
        <w:rPr>
          <w:rFonts w:ascii="Times New Roman" w:hAnsi="Times New Roman"/>
          <w:sz w:val="22"/>
          <w:szCs w:val="22"/>
          <w:lang w:val="es-ES"/>
        </w:rPr>
        <w:t>OSCs</w:t>
      </w:r>
      <w:proofErr w:type="spellEnd"/>
      <w:r w:rsidRPr="00E95AE0">
        <w:rPr>
          <w:rFonts w:ascii="Times New Roman" w:hAnsi="Times New Roman"/>
          <w:sz w:val="22"/>
          <w:szCs w:val="22"/>
          <w:lang w:val="es-ES"/>
        </w:rPr>
        <w:t xml:space="preserve"> </w:t>
      </w:r>
    </w:p>
    <w:p w14:paraId="514E7082" w14:textId="6034C409" w:rsidR="00C87E05" w:rsidRPr="00C87E05" w:rsidRDefault="004234DF" w:rsidP="00C87E05">
      <w:pPr>
        <w:ind w:firstLine="0"/>
        <w:rPr>
          <w:lang w:val="es-ES"/>
        </w:rPr>
      </w:pPr>
      <w:r>
        <w:rPr>
          <w:lang w:val="es-ES"/>
        </w:rPr>
        <w:t>Como requisito de la nueva subvención</w:t>
      </w:r>
      <w:r w:rsidR="00CC0922">
        <w:rPr>
          <w:lang w:val="es-ES"/>
        </w:rPr>
        <w:t xml:space="preserve"> VIH</w:t>
      </w:r>
      <w:r w:rsidR="005F681D">
        <w:rPr>
          <w:lang w:val="es-ES"/>
        </w:rPr>
        <w:t xml:space="preserve"> y </w:t>
      </w:r>
      <w:r w:rsidR="00CC0922">
        <w:rPr>
          <w:lang w:val="es-ES"/>
        </w:rPr>
        <w:t>TB</w:t>
      </w:r>
      <w:r>
        <w:rPr>
          <w:lang w:val="es-ES"/>
        </w:rPr>
        <w:t xml:space="preserve"> del Fondo Mundial se han establecido compromisos de cofinanciamiento. Estos compromisos buscan la sostenibilidad de las compras de insumos clave para el diagnóstico y tratamiento del VIH y la TB. Para poder garantizar esta transición de responsabilidades financieras será necesario crear líneas presupuestarias para transparentar la absorción paulatina de los pagos por parte de la SESAL y crear un mecanismo transparente para que los presupuestos subsecuentes puedan incluir estos recursos. Esta acción también deberá formar parte del plan de </w:t>
      </w:r>
      <w:r w:rsidRPr="000B54D0">
        <w:rPr>
          <w:lang w:val="es-CO"/>
        </w:rPr>
        <w:t>de movilización de f</w:t>
      </w:r>
      <w:r w:rsidR="00291F91">
        <w:rPr>
          <w:lang w:val="es-CO"/>
        </w:rPr>
        <w:t xml:space="preserve">ondos </w:t>
      </w:r>
      <w:r w:rsidRPr="000B54D0">
        <w:rPr>
          <w:lang w:val="es-CO"/>
        </w:rPr>
        <w:t>nacionales</w:t>
      </w:r>
      <w:r>
        <w:rPr>
          <w:lang w:val="es-CO"/>
        </w:rPr>
        <w:t xml:space="preserve"> (ver acción “o”) y contar con la asistencia técnica de la Secretaría de Finanzas para su implementación.</w:t>
      </w:r>
    </w:p>
    <w:p w14:paraId="27473A82" w14:textId="1DCE197F" w:rsidR="00D7468E" w:rsidRPr="00FF3B19" w:rsidRDefault="007E0C46" w:rsidP="00345768">
      <w:pPr>
        <w:pStyle w:val="Heading3"/>
        <w:tabs>
          <w:tab w:val="clear" w:pos="851"/>
          <w:tab w:val="left" w:pos="90"/>
          <w:tab w:val="left" w:pos="1170"/>
        </w:tabs>
        <w:ind w:left="90" w:hanging="270"/>
        <w:jc w:val="both"/>
        <w:rPr>
          <w:rFonts w:ascii="Times New Roman" w:hAnsi="Times New Roman"/>
          <w:sz w:val="22"/>
          <w:lang w:val="es-CO"/>
        </w:rPr>
      </w:pPr>
      <w:r w:rsidRPr="00FF3B19">
        <w:rPr>
          <w:rFonts w:ascii="Times New Roman" w:hAnsi="Times New Roman"/>
          <w:sz w:val="22"/>
          <w:lang w:val="es-CO"/>
        </w:rPr>
        <w:lastRenderedPageBreak/>
        <w:t>Realizar una alianza estratégica entre la SEDH, AMHON</w:t>
      </w:r>
      <w:r w:rsidR="00A473F0">
        <w:rPr>
          <w:rFonts w:ascii="Times New Roman" w:hAnsi="Times New Roman"/>
          <w:sz w:val="22"/>
          <w:lang w:val="es-CO"/>
        </w:rPr>
        <w:t>,</w:t>
      </w:r>
      <w:r w:rsidRPr="00FF3B19">
        <w:rPr>
          <w:rFonts w:ascii="Times New Roman" w:hAnsi="Times New Roman"/>
          <w:sz w:val="22"/>
          <w:lang w:val="es-CO"/>
        </w:rPr>
        <w:t xml:space="preserve"> el CONADEH</w:t>
      </w:r>
      <w:r w:rsidR="00A473F0">
        <w:rPr>
          <w:rFonts w:ascii="Times New Roman" w:hAnsi="Times New Roman"/>
          <w:sz w:val="22"/>
          <w:lang w:val="es-CO"/>
        </w:rPr>
        <w:t xml:space="preserve"> y el Instituto Penitenciario</w:t>
      </w:r>
      <w:r w:rsidRPr="00FF3B19">
        <w:rPr>
          <w:rFonts w:ascii="Times New Roman" w:hAnsi="Times New Roman"/>
          <w:sz w:val="22"/>
          <w:lang w:val="es-CO"/>
        </w:rPr>
        <w:t xml:space="preserve"> para que </w:t>
      </w:r>
      <w:r w:rsidR="00A473F0">
        <w:rPr>
          <w:rFonts w:ascii="Times New Roman" w:hAnsi="Times New Roman"/>
          <w:sz w:val="22"/>
          <w:lang w:val="es-CO"/>
        </w:rPr>
        <w:t>se implementen acciones en</w:t>
      </w:r>
      <w:r w:rsidRPr="00FF3B19">
        <w:rPr>
          <w:rFonts w:ascii="Times New Roman" w:hAnsi="Times New Roman"/>
          <w:sz w:val="22"/>
          <w:lang w:val="es-CO"/>
        </w:rPr>
        <w:t xml:space="preserve"> defensa de los Derechos Humanos</w:t>
      </w:r>
      <w:r w:rsidR="00A473F0">
        <w:rPr>
          <w:rFonts w:ascii="Times New Roman" w:hAnsi="Times New Roman"/>
          <w:sz w:val="22"/>
          <w:lang w:val="es-CO"/>
        </w:rPr>
        <w:t xml:space="preserve"> de las personas</w:t>
      </w:r>
      <w:r w:rsidR="00820109">
        <w:rPr>
          <w:rFonts w:ascii="Times New Roman" w:hAnsi="Times New Roman"/>
          <w:sz w:val="22"/>
          <w:lang w:val="es-CO"/>
        </w:rPr>
        <w:t xml:space="preserve"> privadas de libertad con TB</w:t>
      </w:r>
      <w:r w:rsidR="00860900">
        <w:rPr>
          <w:rFonts w:ascii="Times New Roman" w:hAnsi="Times New Roman"/>
          <w:sz w:val="22"/>
          <w:lang w:val="es-CO"/>
        </w:rPr>
        <w:t xml:space="preserve"> </w:t>
      </w:r>
      <w:r w:rsidR="00BA3E16">
        <w:rPr>
          <w:rFonts w:ascii="Times New Roman" w:hAnsi="Times New Roman"/>
          <w:sz w:val="22"/>
          <w:lang w:val="es-CO"/>
        </w:rPr>
        <w:t>– con participación y acompañamiento de la sociedad civil</w:t>
      </w:r>
    </w:p>
    <w:p w14:paraId="71CC6FA5" w14:textId="4486F512" w:rsidR="00D7468E" w:rsidRPr="00FF3B19" w:rsidRDefault="00043D26" w:rsidP="00364928">
      <w:pPr>
        <w:ind w:firstLine="0"/>
        <w:rPr>
          <w:lang w:val="es-CO" w:eastAsia="en-US"/>
        </w:rPr>
      </w:pPr>
      <w:r>
        <w:rPr>
          <w:lang w:val="es-CO" w:eastAsia="en-US"/>
        </w:rPr>
        <w:t>S</w:t>
      </w:r>
      <w:r w:rsidR="002F4CED" w:rsidRPr="00FF3B19">
        <w:rPr>
          <w:lang w:val="es-CO" w:eastAsia="en-US"/>
        </w:rPr>
        <w:t>e sugi</w:t>
      </w:r>
      <w:r>
        <w:rPr>
          <w:lang w:val="es-CO" w:eastAsia="en-US"/>
        </w:rPr>
        <w:t xml:space="preserve">ere </w:t>
      </w:r>
      <w:r w:rsidR="002F4CED" w:rsidRPr="00FF3B19">
        <w:rPr>
          <w:lang w:val="es-CO" w:eastAsia="en-US"/>
        </w:rPr>
        <w:t xml:space="preserve">involucrar a la Asociación de Municipios en Honduras (AMHON) </w:t>
      </w:r>
      <w:r>
        <w:rPr>
          <w:lang w:val="es-CO" w:eastAsia="en-US"/>
        </w:rPr>
        <w:t xml:space="preserve">y </w:t>
      </w:r>
      <w:r w:rsidR="00D7468E" w:rsidRPr="00FF3B19">
        <w:rPr>
          <w:lang w:val="es-CO" w:eastAsia="en-US"/>
        </w:rPr>
        <w:t>facilitar un convenio entre SEDH, AMHON, y el CONADEH para desarrollar</w:t>
      </w:r>
      <w:r>
        <w:rPr>
          <w:lang w:val="es-CO" w:eastAsia="en-US"/>
        </w:rPr>
        <w:t xml:space="preserve"> e implementar acciones que coadyuven en la defensa de los DDHH, así como la reducción del estigma y discriminación de las personas privadas de libertad con TB. Algunas de estas acciones podrían incluir</w:t>
      </w:r>
      <w:r w:rsidR="00B82902">
        <w:rPr>
          <w:lang w:val="es-CO" w:eastAsia="en-US"/>
        </w:rPr>
        <w:t xml:space="preserve"> la implementación de modalidades de</w:t>
      </w:r>
      <w:r>
        <w:rPr>
          <w:lang w:val="es-CO" w:eastAsia="en-US"/>
        </w:rPr>
        <w:t xml:space="preserve"> entrega de tratamiento fuera de clínica</w:t>
      </w:r>
      <w:r w:rsidR="00B82902">
        <w:rPr>
          <w:lang w:val="es-CO" w:eastAsia="en-US"/>
        </w:rPr>
        <w:t>,</w:t>
      </w:r>
      <w:r>
        <w:rPr>
          <w:lang w:val="es-CO" w:eastAsia="en-US"/>
        </w:rPr>
        <w:t xml:space="preserve"> para </w:t>
      </w:r>
      <w:r w:rsidR="00B82902">
        <w:rPr>
          <w:lang w:val="es-CO" w:eastAsia="en-US"/>
        </w:rPr>
        <w:t xml:space="preserve">combatir el </w:t>
      </w:r>
      <w:r>
        <w:rPr>
          <w:lang w:val="es-CO" w:eastAsia="en-US"/>
        </w:rPr>
        <w:t>estigma</w:t>
      </w:r>
      <w:r w:rsidR="00B82902">
        <w:rPr>
          <w:lang w:val="es-CO" w:eastAsia="en-US"/>
        </w:rPr>
        <w:t>,</w:t>
      </w:r>
      <w:r>
        <w:rPr>
          <w:lang w:val="es-CO" w:eastAsia="en-US"/>
        </w:rPr>
        <w:t xml:space="preserve"> y diagnósticos rutinarios</w:t>
      </w:r>
      <w:r w:rsidR="00E904F4">
        <w:rPr>
          <w:lang w:val="es-CO" w:eastAsia="en-US"/>
        </w:rPr>
        <w:t xml:space="preserve"> en colaboración con las </w:t>
      </w:r>
      <w:proofErr w:type="spellStart"/>
      <w:r w:rsidR="00E904F4">
        <w:rPr>
          <w:lang w:val="es-CO" w:eastAsia="en-US"/>
        </w:rPr>
        <w:t>OSCs</w:t>
      </w:r>
      <w:proofErr w:type="spellEnd"/>
      <w:r w:rsidR="00D7468E" w:rsidRPr="00FF3B19">
        <w:rPr>
          <w:lang w:val="es-CO" w:eastAsia="en-US"/>
        </w:rPr>
        <w:t>.</w:t>
      </w:r>
    </w:p>
    <w:p w14:paraId="025E46CB" w14:textId="135E8BF3" w:rsidR="00602B9F" w:rsidRPr="00FF3B19" w:rsidRDefault="00296258" w:rsidP="00296258">
      <w:pPr>
        <w:pStyle w:val="Heading3"/>
        <w:tabs>
          <w:tab w:val="clear" w:pos="851"/>
          <w:tab w:val="left" w:pos="90"/>
          <w:tab w:val="left" w:pos="1170"/>
        </w:tabs>
        <w:ind w:left="90" w:hanging="270"/>
        <w:jc w:val="both"/>
        <w:rPr>
          <w:rFonts w:ascii="Times New Roman" w:hAnsi="Times New Roman"/>
          <w:sz w:val="22"/>
          <w:lang w:val="es-CO"/>
        </w:rPr>
      </w:pPr>
      <w:r w:rsidRPr="00FF3B19">
        <w:rPr>
          <w:rFonts w:ascii="Times New Roman" w:hAnsi="Times New Roman"/>
          <w:sz w:val="22"/>
          <w:lang w:val="es-CO"/>
        </w:rPr>
        <w:t>Implementación</w:t>
      </w:r>
      <w:r w:rsidR="009E4EE5">
        <w:rPr>
          <w:rFonts w:ascii="Times New Roman" w:hAnsi="Times New Roman"/>
          <w:sz w:val="22"/>
          <w:lang w:val="es-CO"/>
        </w:rPr>
        <w:t xml:space="preserve"> y monitoreo</w:t>
      </w:r>
      <w:r w:rsidR="00D037CC" w:rsidRPr="00FF3B19">
        <w:rPr>
          <w:rFonts w:ascii="Times New Roman" w:hAnsi="Times New Roman"/>
          <w:sz w:val="22"/>
          <w:lang w:val="es-CO"/>
        </w:rPr>
        <w:t xml:space="preserve"> de</w:t>
      </w:r>
      <w:r w:rsidRPr="00FF3B19">
        <w:rPr>
          <w:rFonts w:ascii="Times New Roman" w:hAnsi="Times New Roman"/>
          <w:sz w:val="22"/>
          <w:lang w:val="es-CO"/>
        </w:rPr>
        <w:t xml:space="preserve"> las acciones del</w:t>
      </w:r>
      <w:r w:rsidR="00D037CC" w:rsidRPr="00FF3B19">
        <w:rPr>
          <w:rFonts w:ascii="Times New Roman" w:hAnsi="Times New Roman"/>
          <w:sz w:val="22"/>
          <w:lang w:val="es-CO"/>
        </w:rPr>
        <w:t xml:space="preserve"> Plan de Reducción de Obstáculos Relacionados con los Derechos Humanos al Acceso a los Servicios de VIH, Plan Quinquenal 2019-2023</w:t>
      </w:r>
    </w:p>
    <w:p w14:paraId="52610CA0" w14:textId="1966DB61" w:rsidR="00294F0F" w:rsidRDefault="002F7113" w:rsidP="00294F0F">
      <w:pPr>
        <w:ind w:firstLine="0"/>
        <w:rPr>
          <w:lang w:val="es-CO" w:eastAsia="en-US"/>
        </w:rPr>
      </w:pPr>
      <w:r w:rsidRPr="00FF3B19">
        <w:rPr>
          <w:lang w:val="es-CO" w:eastAsia="en-US"/>
        </w:rPr>
        <w:t xml:space="preserve">El </w:t>
      </w:r>
      <w:r w:rsidR="00301962" w:rsidRPr="00FF3B19">
        <w:rPr>
          <w:lang w:val="es-CO" w:eastAsia="en-US"/>
        </w:rPr>
        <w:t xml:space="preserve">MCP </w:t>
      </w:r>
      <w:r w:rsidRPr="00FF3B19">
        <w:rPr>
          <w:lang w:val="es-CO" w:eastAsia="en-US"/>
        </w:rPr>
        <w:t xml:space="preserve">está finalizando un Plan </w:t>
      </w:r>
      <w:r w:rsidR="0067514F">
        <w:rPr>
          <w:lang w:val="es-CO" w:eastAsia="en-US"/>
        </w:rPr>
        <w:t>Quinquenal de</w:t>
      </w:r>
      <w:r w:rsidRPr="00FF3B19">
        <w:rPr>
          <w:lang w:val="es-CO" w:eastAsia="en-US"/>
        </w:rPr>
        <w:t xml:space="preserve"> Reducción de Obstáculos Relacionados con los Derechos Humanos al Acceso a los Servicios de VIH para 2019-2023. El desarrollo de este Plan Quinquenal empezó con una evaluación de línea de base realizada en 2018 para entender el contexto nacional y usar esta información</w:t>
      </w:r>
      <w:r w:rsidR="009F4862" w:rsidRPr="00FF3B19">
        <w:rPr>
          <w:lang w:val="es-CO" w:eastAsia="en-US"/>
        </w:rPr>
        <w:t>, en conjunción con talleres intersectorial</w:t>
      </w:r>
      <w:r w:rsidR="0067514F">
        <w:rPr>
          <w:lang w:val="es-CO" w:eastAsia="en-US"/>
        </w:rPr>
        <w:t>es</w:t>
      </w:r>
      <w:r w:rsidR="009F4862" w:rsidRPr="00FF3B19">
        <w:rPr>
          <w:lang w:val="es-CO" w:eastAsia="en-US"/>
        </w:rPr>
        <w:t xml:space="preserve"> y con sociedad civil,</w:t>
      </w:r>
      <w:r w:rsidRPr="00FF3B19">
        <w:rPr>
          <w:lang w:val="es-CO" w:eastAsia="en-US"/>
        </w:rPr>
        <w:t xml:space="preserve"> para informar una respuesta integral a las barreras a los servicios para VIH. Las áreas</w:t>
      </w:r>
      <w:r w:rsidR="0067514F">
        <w:rPr>
          <w:lang w:val="es-CO" w:eastAsia="en-US"/>
        </w:rPr>
        <w:t xml:space="preserve"> claves</w:t>
      </w:r>
      <w:r w:rsidRPr="00FF3B19">
        <w:rPr>
          <w:lang w:val="es-CO" w:eastAsia="en-US"/>
        </w:rPr>
        <w:t xml:space="preserve"> d</w:t>
      </w:r>
      <w:r w:rsidR="0067514F">
        <w:rPr>
          <w:lang w:val="es-CO" w:eastAsia="en-US"/>
        </w:rPr>
        <w:t xml:space="preserve">el </w:t>
      </w:r>
      <w:r w:rsidRPr="00FF3B19">
        <w:rPr>
          <w:lang w:val="es-CO" w:eastAsia="en-US"/>
        </w:rPr>
        <w:t>plan</w:t>
      </w:r>
      <w:r w:rsidR="009C11E3">
        <w:rPr>
          <w:lang w:val="es-CO" w:eastAsia="en-US"/>
        </w:rPr>
        <w:t>, alineadas con las</w:t>
      </w:r>
      <w:r w:rsidR="00E4491E">
        <w:rPr>
          <w:lang w:val="es-CO" w:eastAsia="en-US"/>
        </w:rPr>
        <w:t xml:space="preserve"> áreas programáticas del Reporte Técnico de VIH, Derechos Humanos y Equidad de Género del Fondo Mundial</w:t>
      </w:r>
      <w:r w:rsidR="009C11E3">
        <w:rPr>
          <w:lang w:val="es-CO" w:eastAsia="en-US"/>
        </w:rPr>
        <w:t>,</w:t>
      </w:r>
      <w:r w:rsidRPr="00FF3B19">
        <w:rPr>
          <w:lang w:val="es-CO" w:eastAsia="en-US"/>
        </w:rPr>
        <w:t xml:space="preserve"> incluyen: (1) la reducción del estigma y la discriminación; (2) la capacitación para proveedores de servicios de salud sobre derechos humanos y ética </w:t>
      </w:r>
      <w:r w:rsidR="00E64F61" w:rsidRPr="00FF3B19">
        <w:rPr>
          <w:lang w:val="es-CO" w:eastAsia="en-US"/>
        </w:rPr>
        <w:t>médica</w:t>
      </w:r>
      <w:r w:rsidRPr="00FF3B19">
        <w:rPr>
          <w:lang w:val="es-CO" w:eastAsia="en-US"/>
        </w:rPr>
        <w:t xml:space="preserve"> relacionada con el VIH; (3) la sensibilización de legisladores y funcionarios del sistema legal; (4) la alfabetización legal (“conocer sus derechos”); (5) los servicios legales relacionados con el VIH; (6) el monitoreo y la reforma de las políticas, regulaciones, y leyes; </w:t>
      </w:r>
      <w:r w:rsidR="00600E75" w:rsidRPr="00FF3B19">
        <w:rPr>
          <w:lang w:val="es-CO" w:eastAsia="en-US"/>
        </w:rPr>
        <w:t xml:space="preserve">y </w:t>
      </w:r>
      <w:r w:rsidRPr="00FF3B19">
        <w:rPr>
          <w:lang w:val="es-CO" w:eastAsia="en-US"/>
        </w:rPr>
        <w:t>(7) la reducción de la discriminación contra las mujeres y niñas en el contexto del VIH</w:t>
      </w:r>
      <w:r w:rsidR="00600E75" w:rsidRPr="00FF3B19">
        <w:rPr>
          <w:lang w:val="es-CO" w:eastAsia="en-US"/>
        </w:rPr>
        <w:t>.</w:t>
      </w:r>
      <w:r w:rsidRPr="00FF3B19">
        <w:rPr>
          <w:lang w:val="es-CO" w:eastAsia="en-US"/>
        </w:rPr>
        <w:t xml:space="preserve"> </w:t>
      </w:r>
      <w:r w:rsidR="009B0B4F">
        <w:rPr>
          <w:lang w:val="es-CO" w:eastAsia="en-US"/>
        </w:rPr>
        <w:t xml:space="preserve">La alineación explícita de esta ES con el Plan Quinquenal </w:t>
      </w:r>
      <w:r w:rsidR="00197BEC">
        <w:rPr>
          <w:lang w:val="es-CO" w:eastAsia="en-US"/>
        </w:rPr>
        <w:t>se concentra</w:t>
      </w:r>
      <w:r w:rsidRPr="00FF3B19">
        <w:rPr>
          <w:lang w:val="es-CO" w:eastAsia="en-US"/>
        </w:rPr>
        <w:t xml:space="preserve"> específicamente las áreas programáticas 2, 3, 5, y 6. </w:t>
      </w:r>
      <w:r w:rsidR="00E32466" w:rsidRPr="00FF3B19">
        <w:rPr>
          <w:lang w:val="es-CO" w:eastAsia="en-US"/>
        </w:rPr>
        <w:t xml:space="preserve">Un estimado de USD 900,000 </w:t>
      </w:r>
      <w:r w:rsidR="003443BA" w:rsidRPr="00FF3B19">
        <w:rPr>
          <w:lang w:val="es-CO" w:eastAsia="en-US"/>
        </w:rPr>
        <w:t xml:space="preserve">será </w:t>
      </w:r>
      <w:r w:rsidR="00197BEC">
        <w:rPr>
          <w:lang w:val="es-CO" w:eastAsia="en-US"/>
        </w:rPr>
        <w:t>otorgado</w:t>
      </w:r>
      <w:r w:rsidR="00E32466" w:rsidRPr="00FF3B19">
        <w:rPr>
          <w:lang w:val="es-CO" w:eastAsia="en-US"/>
        </w:rPr>
        <w:t xml:space="preserve"> por el Fondo Mundial </w:t>
      </w:r>
      <w:r w:rsidR="00197BEC">
        <w:rPr>
          <w:lang w:val="es-CO" w:eastAsia="en-US"/>
        </w:rPr>
        <w:t xml:space="preserve">como cofinanciamiento </w:t>
      </w:r>
      <w:r w:rsidR="003443BA" w:rsidRPr="00FF3B19">
        <w:rPr>
          <w:lang w:val="es-CO" w:eastAsia="en-US"/>
        </w:rPr>
        <w:t>como una porción del costo del Plan</w:t>
      </w:r>
      <w:r w:rsidR="00E32466" w:rsidRPr="00FF3B19">
        <w:rPr>
          <w:lang w:val="es-CO" w:eastAsia="en-US"/>
        </w:rPr>
        <w:t>.</w:t>
      </w:r>
    </w:p>
    <w:p w14:paraId="3B137A46" w14:textId="77777777" w:rsidR="00507365" w:rsidRPr="00294F0F" w:rsidRDefault="00507365" w:rsidP="00294F0F">
      <w:pPr>
        <w:ind w:firstLine="0"/>
        <w:rPr>
          <w:lang w:val="es-CO" w:eastAsia="en-US"/>
        </w:rPr>
      </w:pPr>
    </w:p>
    <w:p w14:paraId="5579FC00" w14:textId="1126B52B" w:rsidR="008B46E6" w:rsidRPr="00172934" w:rsidRDefault="007E0C46" w:rsidP="008B46E6">
      <w:pPr>
        <w:pStyle w:val="Heading2"/>
        <w:tabs>
          <w:tab w:val="left" w:pos="450"/>
        </w:tabs>
        <w:ind w:left="0" w:firstLine="0"/>
        <w:jc w:val="both"/>
        <w:rPr>
          <w:rFonts w:ascii="Times New Roman" w:hAnsi="Times New Roman" w:cs="Times New Roman"/>
          <w:lang w:val="es-ES"/>
        </w:rPr>
      </w:pPr>
      <w:bookmarkStart w:id="45" w:name="_Toc8381165"/>
      <w:r w:rsidRPr="00172934">
        <w:rPr>
          <w:rFonts w:ascii="Times New Roman" w:hAnsi="Times New Roman" w:cs="Times New Roman"/>
          <w:lang w:val="es-ES"/>
        </w:rPr>
        <w:t>Objetivo 6. Fortalecimiento financiero y operativo de las OSC trabajando en VIH y TB</w:t>
      </w:r>
      <w:bookmarkEnd w:id="45"/>
    </w:p>
    <w:p w14:paraId="363294F2" w14:textId="43903E9F" w:rsidR="007203EA" w:rsidRDefault="007203EA" w:rsidP="008B46E6">
      <w:pPr>
        <w:ind w:firstLine="0"/>
        <w:rPr>
          <w:lang w:val="es-ES" w:eastAsia="en-US"/>
        </w:rPr>
      </w:pPr>
      <w:r w:rsidRPr="007203EA">
        <w:rPr>
          <w:lang w:val="es-ES" w:eastAsia="en-US"/>
        </w:rPr>
        <w:t>A pesar de que existe consciencia de que el gobierno no siempre puede prestar servicios de salud a poblaciones clave y vulnerables, el apoyo y reconocimiento de la labor de las OSC en Honduras es limitado y difícil. La experiencia del Fondo Mundial indica que en VIH/SIDA, tuberculosis y malaria, las OSC formadas por pares tienen mejor oportunidad de llegar a las poblaciones clave con servicios de prevención, información, defensa, alcance, pruebas rápidas, acceso al tratamiento, seguimiento y atención. Sin embargo, en Honduras, el apoyo financiero, institucional, logístico y operativo de las OSC es mínimo.</w:t>
      </w:r>
    </w:p>
    <w:p w14:paraId="61FBA960" w14:textId="67F99EA8" w:rsidR="00FE702A" w:rsidRDefault="008734DB" w:rsidP="008B46E6">
      <w:pPr>
        <w:ind w:firstLine="0"/>
        <w:rPr>
          <w:lang w:val="es-ES" w:eastAsia="en-US"/>
        </w:rPr>
      </w:pPr>
      <w:r>
        <w:rPr>
          <w:lang w:val="es-ES" w:eastAsia="en-US"/>
        </w:rPr>
        <w:t>Las</w:t>
      </w:r>
      <w:r w:rsidRPr="008734DB">
        <w:rPr>
          <w:lang w:val="es-ES" w:eastAsia="en-US"/>
        </w:rPr>
        <w:t xml:space="preserve"> OSC</w:t>
      </w:r>
      <w:r>
        <w:rPr>
          <w:lang w:val="es-ES" w:eastAsia="en-US"/>
        </w:rPr>
        <w:t xml:space="preserve"> operando en Honduras</w:t>
      </w:r>
      <w:r w:rsidRPr="008734DB">
        <w:rPr>
          <w:lang w:val="es-ES" w:eastAsia="en-US"/>
        </w:rPr>
        <w:t xml:space="preserve"> tienen estatus legal lo que en principio debería permitir el acceso a la financiación, pública y privada.</w:t>
      </w:r>
      <w:r>
        <w:rPr>
          <w:lang w:val="es-ES" w:eastAsia="en-US"/>
        </w:rPr>
        <w:t xml:space="preserve"> </w:t>
      </w:r>
      <w:r w:rsidRPr="008734DB">
        <w:rPr>
          <w:lang w:val="es-ES" w:eastAsia="en-US"/>
        </w:rPr>
        <w:t>Ley Especial de Fomento para las Organizaciones No-Gubernamentales de Desarrollo, Decreto 32/2011</w:t>
      </w:r>
      <w:r>
        <w:rPr>
          <w:lang w:val="es-ES" w:eastAsia="en-US"/>
        </w:rPr>
        <w:t xml:space="preserve">, permite el financiamiento público de </w:t>
      </w:r>
      <w:r w:rsidR="0037088B">
        <w:rPr>
          <w:lang w:val="es-ES" w:eastAsia="en-US"/>
        </w:rPr>
        <w:t>estas organizaciones</w:t>
      </w:r>
      <w:r w:rsidR="00E104F7">
        <w:rPr>
          <w:lang w:val="es-ES" w:eastAsia="en-US"/>
        </w:rPr>
        <w:t xml:space="preserve">. </w:t>
      </w:r>
      <w:r w:rsidR="00A54190">
        <w:rPr>
          <w:lang w:val="es-ES" w:eastAsia="en-US"/>
        </w:rPr>
        <w:t>A</w:t>
      </w:r>
      <w:r w:rsidR="00E104F7">
        <w:rPr>
          <w:lang w:val="es-ES" w:eastAsia="en-US"/>
        </w:rPr>
        <w:t xml:space="preserve"> nivel sector, </w:t>
      </w:r>
      <w:r w:rsidR="00ED300F">
        <w:rPr>
          <w:lang w:val="es-ES" w:eastAsia="en-US"/>
        </w:rPr>
        <w:t>en</w:t>
      </w:r>
      <w:r w:rsidR="00A54190">
        <w:rPr>
          <w:lang w:val="es-ES" w:eastAsia="en-US"/>
        </w:rPr>
        <w:t xml:space="preserve"> el</w:t>
      </w:r>
      <w:r w:rsidR="00E104F7">
        <w:rPr>
          <w:lang w:val="es-ES" w:eastAsia="en-US"/>
        </w:rPr>
        <w:t xml:space="preserve"> 2019 se presupuestaron $US 49 M</w:t>
      </w:r>
      <w:r w:rsidR="00A54190">
        <w:rPr>
          <w:lang w:val="es-ES" w:eastAsia="en-US"/>
        </w:rPr>
        <w:t xml:space="preserve"> ($L 1,202 M)</w:t>
      </w:r>
      <w:r w:rsidR="00E104F7">
        <w:rPr>
          <w:lang w:val="es-ES" w:eastAsia="en-US"/>
        </w:rPr>
        <w:t xml:space="preserve"> en transferencias a instituciones sin fines de lucro y $US 3 M</w:t>
      </w:r>
      <w:r w:rsidR="00A54190">
        <w:rPr>
          <w:lang w:val="es-ES" w:eastAsia="en-US"/>
        </w:rPr>
        <w:t xml:space="preserve"> (L$ 79 M)</w:t>
      </w:r>
      <w:r w:rsidR="00E104F7">
        <w:rPr>
          <w:lang w:val="es-ES" w:eastAsia="en-US"/>
        </w:rPr>
        <w:t xml:space="preserve"> en transferencias a asociaciones sin fines de lucro.</w:t>
      </w:r>
      <w:r w:rsidR="00561A33">
        <w:rPr>
          <w:lang w:val="es-ES" w:eastAsia="en-US"/>
        </w:rPr>
        <w:t xml:space="preserve"> </w:t>
      </w:r>
      <w:r w:rsidR="00904E98">
        <w:rPr>
          <w:lang w:val="es-ES" w:eastAsia="en-US"/>
        </w:rPr>
        <w:t xml:space="preserve">Sin embargo, las </w:t>
      </w:r>
      <w:r w:rsidR="00816886">
        <w:rPr>
          <w:lang w:val="es-ES" w:eastAsia="en-US"/>
        </w:rPr>
        <w:t xml:space="preserve">dos </w:t>
      </w:r>
      <w:r w:rsidR="00561A33">
        <w:rPr>
          <w:lang w:val="es-ES" w:eastAsia="en-US"/>
        </w:rPr>
        <w:t>únicas organizaciones con trabajo en VIH que se incluyeron en el presupuesto 2019 fueron FOROSIDA con $US 56 mil ($L1.3 M) y la Cruz Roja Hondureña con $US 408 mil ($L 10 M)</w:t>
      </w:r>
      <w:r w:rsidR="00316A4B">
        <w:rPr>
          <w:lang w:val="es-ES" w:eastAsia="en-US"/>
        </w:rPr>
        <w:t>.</w:t>
      </w:r>
      <w:r w:rsidR="00F56D26">
        <w:rPr>
          <w:lang w:val="es-ES" w:eastAsia="en-US"/>
        </w:rPr>
        <w:t xml:space="preserve"> </w:t>
      </w:r>
      <w:r w:rsidR="00316A4B">
        <w:rPr>
          <w:lang w:val="es-ES" w:eastAsia="en-US"/>
        </w:rPr>
        <w:t>L</w:t>
      </w:r>
      <w:r w:rsidR="00F56D26">
        <w:rPr>
          <w:lang w:val="es-ES" w:eastAsia="en-US"/>
        </w:rPr>
        <w:t xml:space="preserve">os recursos canalizados a través de convenios </w:t>
      </w:r>
      <w:r w:rsidR="00700E5B">
        <w:rPr>
          <w:lang w:val="es-ES" w:eastAsia="en-US"/>
        </w:rPr>
        <w:t xml:space="preserve">o </w:t>
      </w:r>
      <w:r w:rsidR="00C53938">
        <w:rPr>
          <w:lang w:val="es-ES" w:eastAsia="en-US"/>
        </w:rPr>
        <w:t>contratos con las municipalidades</w:t>
      </w:r>
      <w:r w:rsidR="00316A4B">
        <w:rPr>
          <w:lang w:val="es-ES" w:eastAsia="en-US"/>
        </w:rPr>
        <w:t xml:space="preserve"> no se registran y logran visualizar a nivel central por la SEFIN</w:t>
      </w:r>
      <w:r w:rsidR="00C53938">
        <w:rPr>
          <w:lang w:val="es-ES" w:eastAsia="en-US"/>
        </w:rPr>
        <w:t>. A pesar de que esto muestra voluntad positiva y un vínculo más cercano entre las autoridades y las organizaciones trabajando en VIH, son pocos los recursos que se logran obtener a partir de estas fuentes y los procesos se reportan como burocráticos</w:t>
      </w:r>
      <w:r w:rsidR="00C254D0">
        <w:rPr>
          <w:lang w:val="es-ES" w:eastAsia="en-US"/>
        </w:rPr>
        <w:t xml:space="preserve"> y poco transparentes</w:t>
      </w:r>
      <w:r w:rsidR="00C53938">
        <w:rPr>
          <w:lang w:val="es-ES" w:eastAsia="en-US"/>
        </w:rPr>
        <w:t>.</w:t>
      </w:r>
    </w:p>
    <w:p w14:paraId="08999268" w14:textId="1DA1CE92" w:rsidR="00350DDE" w:rsidRDefault="00350DDE" w:rsidP="008B46E6">
      <w:pPr>
        <w:ind w:firstLine="0"/>
        <w:rPr>
          <w:lang w:val="es-ES" w:eastAsia="en-US"/>
        </w:rPr>
      </w:pPr>
      <w:r w:rsidRPr="00350DDE">
        <w:rPr>
          <w:lang w:val="es-ES" w:eastAsia="en-US"/>
        </w:rPr>
        <w:t xml:space="preserve">Las OSC se financian por medio de aportes de miembros, actividades sociales de recaudación de fondos. Algunas también tienen acceso a financiación externa, pública y privada. Algunas OSC reconocen que en ciertos casos estas fuentes de financiamiento externo ponen condiciones que limitan su acción. Una limitante a la contratación </w:t>
      </w:r>
      <w:r w:rsidR="00E60FC4">
        <w:rPr>
          <w:lang w:val="es-ES" w:eastAsia="en-US"/>
        </w:rPr>
        <w:t xml:space="preserve">de </w:t>
      </w:r>
      <w:proofErr w:type="spellStart"/>
      <w:r w:rsidR="00E60FC4">
        <w:rPr>
          <w:lang w:val="es-ES" w:eastAsia="en-US"/>
        </w:rPr>
        <w:t>OSCs</w:t>
      </w:r>
      <w:proofErr w:type="spellEnd"/>
      <w:r w:rsidR="00E60FC4">
        <w:rPr>
          <w:lang w:val="es-ES" w:eastAsia="en-US"/>
        </w:rPr>
        <w:t xml:space="preserve"> para la provisión de servicios de salud</w:t>
      </w:r>
      <w:r w:rsidRPr="00350DDE">
        <w:rPr>
          <w:lang w:val="es-ES" w:eastAsia="en-US"/>
        </w:rPr>
        <w:t xml:space="preserve"> con fondos públicos es la posible restricción a la labor de </w:t>
      </w:r>
      <w:r w:rsidRPr="00350DDE">
        <w:rPr>
          <w:lang w:val="es-ES" w:eastAsia="en-US"/>
        </w:rPr>
        <w:lastRenderedPageBreak/>
        <w:t>promoción ("</w:t>
      </w:r>
      <w:proofErr w:type="spellStart"/>
      <w:r w:rsidRPr="00350DDE">
        <w:rPr>
          <w:lang w:val="es-ES" w:eastAsia="en-US"/>
        </w:rPr>
        <w:t>advocacy</w:t>
      </w:r>
      <w:proofErr w:type="spellEnd"/>
      <w:r w:rsidRPr="00350DDE">
        <w:rPr>
          <w:lang w:val="es-ES" w:eastAsia="en-US"/>
        </w:rPr>
        <w:t>") de las OSC si ello envuelve planteamientos contrarios o críticos de la labor del Estado en VIH, TB y con respecto a la labor de las OSC en general en la sociedad.</w:t>
      </w:r>
    </w:p>
    <w:p w14:paraId="468F5FE4" w14:textId="727B7807" w:rsidR="00202B33" w:rsidRDefault="007203EA" w:rsidP="008B46E6">
      <w:pPr>
        <w:ind w:firstLine="0"/>
        <w:rPr>
          <w:lang w:val="es-ES" w:eastAsia="en-US"/>
        </w:rPr>
      </w:pPr>
      <w:r w:rsidRPr="007203EA">
        <w:rPr>
          <w:lang w:val="es-ES" w:eastAsia="en-US"/>
        </w:rPr>
        <w:t>Una limitante importante para la acción de las OSC es que sus actividades están sujetas al pago de impuestos, como Impuesto al Valor Agregado por compras o realización de eventos. En República Dominicana y en Chile, por ejemplo, las OSC constituidas y registradas con la autoridad de impuestos como sin fines de lucros, están exentas de impuestos. Algunas OSC indican que logran establecer una buena relación con municipios para la realización de sus campañas para obtener recursos y se les exime de hecho del pago de permisos para la ejecución de eventos públicos.</w:t>
      </w:r>
    </w:p>
    <w:p w14:paraId="29E3C63F" w14:textId="30D907C0" w:rsidR="007E0C46" w:rsidRPr="0095779C" w:rsidRDefault="007E0C46" w:rsidP="00CF038F">
      <w:pPr>
        <w:pStyle w:val="Heading3"/>
        <w:tabs>
          <w:tab w:val="clear" w:pos="851"/>
          <w:tab w:val="left" w:pos="90"/>
          <w:tab w:val="left" w:pos="1170"/>
        </w:tabs>
        <w:ind w:left="90" w:hanging="270"/>
        <w:jc w:val="both"/>
        <w:rPr>
          <w:rFonts w:ascii="Times New Roman" w:hAnsi="Times New Roman"/>
          <w:sz w:val="22"/>
          <w:szCs w:val="22"/>
          <w:lang w:val="es-CO"/>
        </w:rPr>
      </w:pPr>
      <w:r w:rsidRPr="0095779C">
        <w:rPr>
          <w:rFonts w:ascii="Times New Roman" w:hAnsi="Times New Roman"/>
          <w:sz w:val="22"/>
          <w:szCs w:val="22"/>
          <w:lang w:val="es-CO"/>
        </w:rPr>
        <w:t>Fortalecimiento y reestructuración de la CONASIDA para que pueda fungir como mecanismo coordinador y gestor de recursos financieros para OSC</w:t>
      </w:r>
      <w:r w:rsidR="00332506">
        <w:rPr>
          <w:rFonts w:ascii="Times New Roman" w:hAnsi="Times New Roman"/>
          <w:sz w:val="22"/>
          <w:szCs w:val="22"/>
          <w:lang w:val="es-CO"/>
        </w:rPr>
        <w:t xml:space="preserve"> </w:t>
      </w:r>
    </w:p>
    <w:p w14:paraId="47C311BB" w14:textId="72DFA08D" w:rsidR="00B65272" w:rsidRPr="0095779C" w:rsidRDefault="0010427C" w:rsidP="008B46E6">
      <w:pPr>
        <w:ind w:firstLine="0"/>
        <w:rPr>
          <w:szCs w:val="22"/>
          <w:lang w:val="es-MX" w:eastAsia="en-US"/>
        </w:rPr>
      </w:pPr>
      <w:r>
        <w:rPr>
          <w:szCs w:val="22"/>
          <w:lang w:val="es-MX" w:eastAsia="en-US"/>
        </w:rPr>
        <w:t xml:space="preserve">Si bien en el país existen mecanismos de contratación </w:t>
      </w:r>
      <w:r w:rsidR="00261661">
        <w:rPr>
          <w:szCs w:val="22"/>
          <w:lang w:val="es-MX" w:eastAsia="en-US"/>
        </w:rPr>
        <w:t>púbica de las OSC para la prestación de servicios</w:t>
      </w:r>
      <w:r>
        <w:rPr>
          <w:szCs w:val="22"/>
          <w:lang w:val="es-MX" w:eastAsia="en-US"/>
        </w:rPr>
        <w:t xml:space="preserve"> como los Convenios y </w:t>
      </w:r>
      <w:r w:rsidR="00261661">
        <w:rPr>
          <w:szCs w:val="22"/>
          <w:lang w:val="es-MX" w:eastAsia="en-US"/>
        </w:rPr>
        <w:t>Acuerdos, sobre todo a nivel municipal, n</w:t>
      </w:r>
      <w:r w:rsidR="008A15F8" w:rsidRPr="0095779C">
        <w:rPr>
          <w:szCs w:val="22"/>
          <w:lang w:val="es-MX" w:eastAsia="en-US"/>
        </w:rPr>
        <w:t>o existe un mecanismo institucional formal para que las OSC accedan a</w:t>
      </w:r>
      <w:r w:rsidR="00AB5951">
        <w:rPr>
          <w:szCs w:val="22"/>
          <w:lang w:val="es-MX" w:eastAsia="en-US"/>
        </w:rPr>
        <w:t xml:space="preserve"> una bolsa fija</w:t>
      </w:r>
      <w:r w:rsidR="00261661">
        <w:rPr>
          <w:szCs w:val="22"/>
          <w:lang w:val="es-MX" w:eastAsia="en-US"/>
        </w:rPr>
        <w:t xml:space="preserve"> y representativa</w:t>
      </w:r>
      <w:r w:rsidR="00AB5951">
        <w:rPr>
          <w:szCs w:val="22"/>
          <w:lang w:val="es-MX" w:eastAsia="en-US"/>
        </w:rPr>
        <w:t xml:space="preserve"> de</w:t>
      </w:r>
      <w:r w:rsidR="008A15F8" w:rsidRPr="0095779C">
        <w:rPr>
          <w:szCs w:val="22"/>
          <w:lang w:val="es-MX" w:eastAsia="en-US"/>
        </w:rPr>
        <w:t xml:space="preserve"> recursos de fuentes pública</w:t>
      </w:r>
      <w:r w:rsidR="00261661">
        <w:rPr>
          <w:szCs w:val="22"/>
          <w:lang w:val="es-MX" w:eastAsia="en-US"/>
        </w:rPr>
        <w:t>s</w:t>
      </w:r>
      <w:r w:rsidR="008A15F8" w:rsidRPr="0095779C">
        <w:rPr>
          <w:szCs w:val="22"/>
          <w:lang w:val="es-MX" w:eastAsia="en-US"/>
        </w:rPr>
        <w:t xml:space="preserve"> para el desarrollo de actividades de prevención</w:t>
      </w:r>
      <w:r w:rsidR="00FE4955">
        <w:rPr>
          <w:szCs w:val="22"/>
          <w:lang w:val="es-MX" w:eastAsia="en-US"/>
        </w:rPr>
        <w:t xml:space="preserve">, </w:t>
      </w:r>
      <w:r w:rsidR="008A15F8" w:rsidRPr="0095779C">
        <w:rPr>
          <w:szCs w:val="22"/>
          <w:lang w:val="es-MX" w:eastAsia="en-US"/>
        </w:rPr>
        <w:t xml:space="preserve">promoción y movilización comunitaria. </w:t>
      </w:r>
      <w:r w:rsidR="00261661">
        <w:rPr>
          <w:szCs w:val="22"/>
          <w:lang w:val="es-MX" w:eastAsia="en-US"/>
        </w:rPr>
        <w:t>Para remediar esta situación</w:t>
      </w:r>
      <w:r w:rsidR="008A15F8" w:rsidRPr="0095779C">
        <w:rPr>
          <w:szCs w:val="22"/>
          <w:lang w:val="es-MX" w:eastAsia="en-US"/>
        </w:rPr>
        <w:t xml:space="preserve"> se propuso la creación o identificación de una instancia pública que coordine acuerdos y convenios de prestación de servicios a través de </w:t>
      </w:r>
      <w:proofErr w:type="spellStart"/>
      <w:r w:rsidR="008A15F8" w:rsidRPr="0095779C">
        <w:rPr>
          <w:szCs w:val="22"/>
          <w:lang w:val="es-MX" w:eastAsia="en-US"/>
        </w:rPr>
        <w:t>OSCs</w:t>
      </w:r>
      <w:proofErr w:type="spellEnd"/>
      <w:r w:rsidR="00332506">
        <w:rPr>
          <w:szCs w:val="22"/>
          <w:lang w:val="es-MX" w:eastAsia="en-US"/>
        </w:rPr>
        <w:t xml:space="preserve"> para VIH y TB.</w:t>
      </w:r>
    </w:p>
    <w:p w14:paraId="13490B52" w14:textId="5B6A4336" w:rsidR="00B65272" w:rsidRPr="0095779C" w:rsidRDefault="00261661" w:rsidP="008B46E6">
      <w:pPr>
        <w:ind w:firstLine="0"/>
        <w:rPr>
          <w:szCs w:val="22"/>
          <w:lang w:val="es-MX" w:eastAsia="en-US"/>
        </w:rPr>
      </w:pPr>
      <w:r>
        <w:rPr>
          <w:szCs w:val="22"/>
          <w:lang w:val="es-MX" w:eastAsia="en-US"/>
        </w:rPr>
        <w:t>Actualmente el Reglamento de la Ley Especial del VIH/sida</w:t>
      </w:r>
      <w:r w:rsidR="004C0871">
        <w:rPr>
          <w:szCs w:val="22"/>
          <w:lang w:val="es-MX" w:eastAsia="en-US"/>
        </w:rPr>
        <w:t xml:space="preserve"> 2015</w:t>
      </w:r>
      <w:r>
        <w:rPr>
          <w:szCs w:val="22"/>
          <w:lang w:val="es-MX" w:eastAsia="en-US"/>
        </w:rPr>
        <w:t xml:space="preserve"> se encuentra en elaboración</w:t>
      </w:r>
      <w:r w:rsidR="003078D9">
        <w:rPr>
          <w:szCs w:val="22"/>
          <w:lang w:val="es-MX" w:eastAsia="en-US"/>
        </w:rPr>
        <w:t xml:space="preserve">, donde </w:t>
      </w:r>
      <w:r>
        <w:rPr>
          <w:szCs w:val="22"/>
          <w:lang w:val="es-MX" w:eastAsia="en-US"/>
        </w:rPr>
        <w:t>se ha considerado el r</w:t>
      </w:r>
      <w:r w:rsidR="00B65272" w:rsidRPr="0095779C">
        <w:rPr>
          <w:szCs w:val="22"/>
          <w:lang w:val="es-MX" w:eastAsia="en-US"/>
        </w:rPr>
        <w:t xml:space="preserve">eplanteamiento de </w:t>
      </w:r>
      <w:r>
        <w:rPr>
          <w:szCs w:val="22"/>
          <w:lang w:val="es-MX" w:eastAsia="en-US"/>
        </w:rPr>
        <w:t xml:space="preserve">la </w:t>
      </w:r>
      <w:r w:rsidR="00B65272" w:rsidRPr="0095779C">
        <w:rPr>
          <w:szCs w:val="22"/>
          <w:lang w:val="es-MX" w:eastAsia="en-US"/>
        </w:rPr>
        <w:t>estructura y funciones de la CONASIDA</w:t>
      </w:r>
      <w:r>
        <w:rPr>
          <w:szCs w:val="22"/>
          <w:lang w:val="es-MX" w:eastAsia="en-US"/>
        </w:rPr>
        <w:t>.</w:t>
      </w:r>
      <w:r w:rsidR="00C95CBA">
        <w:rPr>
          <w:szCs w:val="22"/>
          <w:lang w:val="es-MX" w:eastAsia="en-US"/>
        </w:rPr>
        <w:t xml:space="preserve"> </w:t>
      </w:r>
      <w:proofErr w:type="gramStart"/>
      <w:r w:rsidR="00C95CBA">
        <w:rPr>
          <w:szCs w:val="22"/>
          <w:lang w:val="es-MX" w:eastAsia="en-US"/>
        </w:rPr>
        <w:t>De acuerdo a</w:t>
      </w:r>
      <w:proofErr w:type="gramEnd"/>
      <w:r w:rsidR="00C95CBA">
        <w:rPr>
          <w:szCs w:val="22"/>
          <w:lang w:val="es-MX" w:eastAsia="en-US"/>
        </w:rPr>
        <w:t xml:space="preserve"> la Ley Especial del VIH existen los fundamentos para que </w:t>
      </w:r>
      <w:r w:rsidR="00C95CBA" w:rsidRPr="00332506">
        <w:rPr>
          <w:szCs w:val="22"/>
          <w:lang w:val="es-MX" w:eastAsia="en-US"/>
        </w:rPr>
        <w:t xml:space="preserve">CONASIDA pueda </w:t>
      </w:r>
      <w:r w:rsidR="003078D9" w:rsidRPr="00332506">
        <w:rPr>
          <w:szCs w:val="22"/>
          <w:lang w:val="es-MX" w:eastAsia="en-US"/>
        </w:rPr>
        <w:t xml:space="preserve">ejercer la gestión de recursos financieros tanto para su </w:t>
      </w:r>
      <w:r w:rsidR="00FE4955" w:rsidRPr="00332506">
        <w:rPr>
          <w:szCs w:val="22"/>
          <w:lang w:val="es-MX" w:eastAsia="en-US"/>
        </w:rPr>
        <w:t>gestión y actividades</w:t>
      </w:r>
      <w:r w:rsidR="00FE4955">
        <w:rPr>
          <w:szCs w:val="22"/>
          <w:lang w:val="es-MX" w:eastAsia="en-US"/>
        </w:rPr>
        <w:t xml:space="preserve"> cotidianas como para favorecer la continuidad de las actividades actualmente financiadas por los cooperantes externos</w:t>
      </w:r>
      <w:r w:rsidR="00070F3A">
        <w:rPr>
          <w:szCs w:val="22"/>
          <w:lang w:val="es-MX" w:eastAsia="en-US"/>
        </w:rPr>
        <w:t xml:space="preserve"> (ver Anexo)</w:t>
      </w:r>
      <w:r w:rsidR="00FE4955">
        <w:rPr>
          <w:szCs w:val="22"/>
          <w:lang w:val="es-MX" w:eastAsia="en-US"/>
        </w:rPr>
        <w:t xml:space="preserve">. La principal de ellas es la contratación de </w:t>
      </w:r>
      <w:proofErr w:type="spellStart"/>
      <w:r w:rsidR="00FE4955">
        <w:rPr>
          <w:szCs w:val="22"/>
          <w:lang w:val="es-MX" w:eastAsia="en-US"/>
        </w:rPr>
        <w:t>OSCs</w:t>
      </w:r>
      <w:proofErr w:type="spellEnd"/>
      <w:r w:rsidR="00FE4955">
        <w:rPr>
          <w:szCs w:val="22"/>
          <w:lang w:val="es-MX" w:eastAsia="en-US"/>
        </w:rPr>
        <w:t xml:space="preserve"> para proveer servicios de prevención, promoción y movilización comunitaria – especialmente enfocada en población clave (intervenciones con la mayor costo-efectividad).</w:t>
      </w:r>
      <w:r w:rsidR="0077221B">
        <w:rPr>
          <w:szCs w:val="22"/>
          <w:lang w:val="es-MX" w:eastAsia="en-US"/>
        </w:rPr>
        <w:t xml:space="preserve"> Así está en discusión la posibilidad de crear un mecanismo de asignación de fondos concursables similar al implementado en México por CENSIDA. La OPS, el FM y PEPFAR podrían contribuir con asistencia técnica en caso de tener buena recepción por parte de las autoridades nacionales.</w:t>
      </w:r>
    </w:p>
    <w:p w14:paraId="22392852" w14:textId="4F476B19" w:rsidR="007E0C46" w:rsidRPr="0095779C" w:rsidRDefault="007E0C46" w:rsidP="00CF038F">
      <w:pPr>
        <w:pStyle w:val="Heading3"/>
        <w:tabs>
          <w:tab w:val="clear" w:pos="851"/>
          <w:tab w:val="left" w:pos="90"/>
          <w:tab w:val="left" w:pos="1170"/>
        </w:tabs>
        <w:ind w:left="90" w:hanging="270"/>
        <w:jc w:val="both"/>
        <w:rPr>
          <w:rFonts w:ascii="Times New Roman" w:hAnsi="Times New Roman"/>
          <w:sz w:val="22"/>
          <w:szCs w:val="22"/>
          <w:lang w:val="es-CO"/>
        </w:rPr>
      </w:pPr>
      <w:r w:rsidRPr="0095779C">
        <w:rPr>
          <w:rFonts w:ascii="Times New Roman" w:hAnsi="Times New Roman"/>
          <w:sz w:val="22"/>
          <w:szCs w:val="22"/>
          <w:lang w:val="es-CO"/>
        </w:rPr>
        <w:t>Desarrollo de políticas y normas para que el sector privado financie las OSC complementando el financiamiento público, incluidos incentivos a través de donaciones y exoneración de impuestos</w:t>
      </w:r>
    </w:p>
    <w:p w14:paraId="736956F9" w14:textId="361BBDA0" w:rsidR="008B46E6" w:rsidRPr="0095779C" w:rsidRDefault="009A564A" w:rsidP="008B46E6">
      <w:pPr>
        <w:ind w:firstLine="0"/>
        <w:rPr>
          <w:szCs w:val="22"/>
          <w:lang w:val="es-MX" w:eastAsia="en-US"/>
        </w:rPr>
      </w:pPr>
      <w:r w:rsidRPr="0095779C">
        <w:rPr>
          <w:szCs w:val="22"/>
          <w:lang w:val="es-MX" w:eastAsia="en-US"/>
        </w:rPr>
        <w:t xml:space="preserve">Una limitante principal para la obtención de recursos por parte de la sociedad civil es la complejidad burocrática para </w:t>
      </w:r>
      <w:r w:rsidR="00A648AD" w:rsidRPr="0095779C">
        <w:rPr>
          <w:szCs w:val="22"/>
          <w:lang w:val="es-MX" w:eastAsia="en-US"/>
        </w:rPr>
        <w:t>la recepción de donaciones</w:t>
      </w:r>
      <w:r w:rsidR="00A648AD">
        <w:rPr>
          <w:szCs w:val="22"/>
          <w:lang w:val="es-MX" w:eastAsia="en-US"/>
        </w:rPr>
        <w:t xml:space="preserve"> y, especialmente, para</w:t>
      </w:r>
      <w:r w:rsidR="00A648AD" w:rsidRPr="0095779C">
        <w:rPr>
          <w:szCs w:val="22"/>
          <w:lang w:val="es-MX" w:eastAsia="en-US"/>
        </w:rPr>
        <w:t xml:space="preserve"> </w:t>
      </w:r>
      <w:r w:rsidRPr="0095779C">
        <w:rPr>
          <w:szCs w:val="22"/>
          <w:lang w:val="es-MX" w:eastAsia="en-US"/>
        </w:rPr>
        <w:t>la solicitud de exoneración de impuestos. Se sugiere documentar el proceso a partir de las experiencias de</w:t>
      </w:r>
      <w:r w:rsidR="00451469" w:rsidRPr="0095779C">
        <w:rPr>
          <w:szCs w:val="22"/>
          <w:lang w:val="es-MX" w:eastAsia="en-US"/>
        </w:rPr>
        <w:t>l Centro de Promoción en Salud y Asistencia Familiar (</w:t>
      </w:r>
      <w:r w:rsidRPr="0095779C">
        <w:rPr>
          <w:szCs w:val="22"/>
          <w:lang w:val="es-MX" w:eastAsia="en-US"/>
        </w:rPr>
        <w:t>CEPROSAF</w:t>
      </w:r>
      <w:r w:rsidR="00451469" w:rsidRPr="0095779C">
        <w:rPr>
          <w:szCs w:val="22"/>
          <w:lang w:val="es-MX" w:eastAsia="en-US"/>
        </w:rPr>
        <w:t>)</w:t>
      </w:r>
      <w:r w:rsidRPr="0095779C">
        <w:rPr>
          <w:szCs w:val="22"/>
          <w:lang w:val="es-MX" w:eastAsia="en-US"/>
        </w:rPr>
        <w:t xml:space="preserve"> y la Liga de la Lactancia Materna </w:t>
      </w:r>
      <w:r w:rsidR="00A648AD">
        <w:rPr>
          <w:szCs w:val="22"/>
          <w:lang w:val="es-MX" w:eastAsia="en-US"/>
        </w:rPr>
        <w:t>en</w:t>
      </w:r>
      <w:r w:rsidR="00AF5699">
        <w:rPr>
          <w:szCs w:val="22"/>
          <w:lang w:val="es-MX" w:eastAsia="en-US"/>
        </w:rPr>
        <w:t xml:space="preserve"> Honduras </w:t>
      </w:r>
      <w:r w:rsidRPr="0095779C">
        <w:rPr>
          <w:szCs w:val="22"/>
          <w:lang w:val="es-MX" w:eastAsia="en-US"/>
        </w:rPr>
        <w:t xml:space="preserve">que ya cuentan con esta autorización. El mapeo de las barreras y su presentación a las autoridades </w:t>
      </w:r>
      <w:r w:rsidR="0016072A" w:rsidRPr="0095779C">
        <w:rPr>
          <w:szCs w:val="22"/>
          <w:lang w:val="es-MX" w:eastAsia="en-US"/>
        </w:rPr>
        <w:t>correspondientes</w:t>
      </w:r>
      <w:r w:rsidRPr="0095779C">
        <w:rPr>
          <w:szCs w:val="22"/>
          <w:lang w:val="es-MX" w:eastAsia="en-US"/>
        </w:rPr>
        <w:t xml:space="preserve"> puede </w:t>
      </w:r>
      <w:r w:rsidR="00172934">
        <w:rPr>
          <w:szCs w:val="22"/>
          <w:lang w:val="es-MX" w:eastAsia="en-US"/>
        </w:rPr>
        <w:t>impulsar la</w:t>
      </w:r>
      <w:r w:rsidRPr="0095779C">
        <w:rPr>
          <w:szCs w:val="22"/>
          <w:lang w:val="es-MX" w:eastAsia="en-US"/>
        </w:rPr>
        <w:t xml:space="preserve"> </w:t>
      </w:r>
      <w:r w:rsidR="0016072A" w:rsidRPr="0095779C">
        <w:rPr>
          <w:szCs w:val="22"/>
          <w:lang w:val="es-MX" w:eastAsia="en-US"/>
        </w:rPr>
        <w:t>simplificación</w:t>
      </w:r>
      <w:r w:rsidRPr="0095779C">
        <w:rPr>
          <w:szCs w:val="22"/>
          <w:lang w:val="es-MX" w:eastAsia="en-US"/>
        </w:rPr>
        <w:t xml:space="preserve"> de procesos que permitan mayor acceso a fuentes de financiamiento.</w:t>
      </w:r>
      <w:r w:rsidR="0016072A" w:rsidRPr="0095779C">
        <w:rPr>
          <w:szCs w:val="22"/>
          <w:lang w:val="es-MX" w:eastAsia="en-US"/>
        </w:rPr>
        <w:t xml:space="preserve"> De igual forma se puede difundir un folleto</w:t>
      </w:r>
      <w:r w:rsidR="005335AF">
        <w:rPr>
          <w:szCs w:val="22"/>
          <w:lang w:val="es-MX" w:eastAsia="en-US"/>
        </w:rPr>
        <w:t xml:space="preserve"> electrónico</w:t>
      </w:r>
      <w:r w:rsidR="0016072A" w:rsidRPr="0095779C">
        <w:rPr>
          <w:szCs w:val="22"/>
          <w:lang w:val="es-MX" w:eastAsia="en-US"/>
        </w:rPr>
        <w:t xml:space="preserve"> con los pasos necesarios para obtener </w:t>
      </w:r>
      <w:r w:rsidR="00875B14">
        <w:rPr>
          <w:szCs w:val="22"/>
          <w:lang w:val="es-MX" w:eastAsia="en-US"/>
        </w:rPr>
        <w:t>la exoneración de impuestos</w:t>
      </w:r>
      <w:r w:rsidR="0016072A" w:rsidRPr="0095779C">
        <w:rPr>
          <w:szCs w:val="22"/>
          <w:lang w:val="es-MX" w:eastAsia="en-US"/>
        </w:rPr>
        <w:t>, realizar talleres de difusión</w:t>
      </w:r>
      <w:r w:rsidR="00875B14">
        <w:rPr>
          <w:szCs w:val="22"/>
          <w:lang w:val="es-MX" w:eastAsia="en-US"/>
        </w:rPr>
        <w:t xml:space="preserve"> o proveer directamente asistencia legal a las </w:t>
      </w:r>
      <w:proofErr w:type="spellStart"/>
      <w:r w:rsidR="00875B14">
        <w:rPr>
          <w:szCs w:val="22"/>
          <w:lang w:val="es-MX" w:eastAsia="en-US"/>
        </w:rPr>
        <w:t>OSCs</w:t>
      </w:r>
      <w:proofErr w:type="spellEnd"/>
      <w:r w:rsidR="00875B14">
        <w:rPr>
          <w:szCs w:val="22"/>
          <w:lang w:val="es-MX" w:eastAsia="en-US"/>
        </w:rPr>
        <w:t xml:space="preserve"> interesadas.</w:t>
      </w:r>
    </w:p>
    <w:p w14:paraId="05CC8592" w14:textId="57B345AF" w:rsidR="007E0C46" w:rsidRPr="0095779C" w:rsidRDefault="007E0C46" w:rsidP="00CF038F">
      <w:pPr>
        <w:pStyle w:val="Heading3"/>
        <w:tabs>
          <w:tab w:val="clear" w:pos="851"/>
          <w:tab w:val="left" w:pos="90"/>
          <w:tab w:val="left" w:pos="1170"/>
        </w:tabs>
        <w:ind w:left="90" w:hanging="270"/>
        <w:jc w:val="both"/>
        <w:rPr>
          <w:rFonts w:ascii="Times New Roman" w:hAnsi="Times New Roman"/>
          <w:sz w:val="22"/>
          <w:szCs w:val="22"/>
          <w:lang w:val="es-CO"/>
        </w:rPr>
      </w:pPr>
      <w:r w:rsidRPr="0095779C">
        <w:rPr>
          <w:rFonts w:ascii="Times New Roman" w:hAnsi="Times New Roman"/>
          <w:sz w:val="22"/>
          <w:szCs w:val="22"/>
          <w:lang w:val="es-CO"/>
        </w:rPr>
        <w:t>Mejorar la relación, comunicación y enlace con el Consejo Hondureño de la Empresa Privada, para explorar oportunidades de financiamiento privado y de proyectos conjuntos especialmente en discriminación laboral</w:t>
      </w:r>
    </w:p>
    <w:p w14:paraId="46CF2A47" w14:textId="7D2180F6" w:rsidR="009A564A" w:rsidRPr="0095779C" w:rsidRDefault="00107443" w:rsidP="00107443">
      <w:pPr>
        <w:ind w:firstLine="0"/>
        <w:rPr>
          <w:szCs w:val="22"/>
          <w:lang w:val="es-MX" w:eastAsia="en-US"/>
        </w:rPr>
      </w:pPr>
      <w:r w:rsidRPr="0095779C">
        <w:rPr>
          <w:szCs w:val="22"/>
          <w:lang w:val="es-MX" w:eastAsia="en-US"/>
        </w:rPr>
        <w:t xml:space="preserve">Durante los talleres de sociedad civil se </w:t>
      </w:r>
      <w:r w:rsidR="001053E6" w:rsidRPr="0095779C">
        <w:rPr>
          <w:szCs w:val="22"/>
          <w:lang w:val="es-MX" w:eastAsia="en-US"/>
        </w:rPr>
        <w:t>compartieron</w:t>
      </w:r>
      <w:r w:rsidRPr="0095779C">
        <w:rPr>
          <w:szCs w:val="22"/>
          <w:lang w:val="es-MX" w:eastAsia="en-US"/>
        </w:rPr>
        <w:t xml:space="preserve"> experiencias positivas de colaboración entre las OSC y </w:t>
      </w:r>
      <w:r w:rsidR="0008342B">
        <w:rPr>
          <w:szCs w:val="22"/>
          <w:lang w:val="es-MX" w:eastAsia="en-US"/>
        </w:rPr>
        <w:t>el empresariado</w:t>
      </w:r>
      <w:r w:rsidRPr="0095779C">
        <w:rPr>
          <w:szCs w:val="22"/>
          <w:lang w:val="es-MX" w:eastAsia="en-US"/>
        </w:rPr>
        <w:t xml:space="preserve">. </w:t>
      </w:r>
      <w:r w:rsidRPr="00D62602">
        <w:rPr>
          <w:szCs w:val="22"/>
          <w:lang w:val="es-MX" w:eastAsia="en-US"/>
        </w:rPr>
        <w:t xml:space="preserve">Por ejemplo, a través de PASMO se ha logrado </w:t>
      </w:r>
      <w:r w:rsidR="001053E6" w:rsidRPr="00D62602">
        <w:rPr>
          <w:szCs w:val="22"/>
          <w:lang w:val="es-MX" w:eastAsia="en-US"/>
        </w:rPr>
        <w:t xml:space="preserve">realizar diagnósticos de VIH </w:t>
      </w:r>
      <w:r w:rsidRPr="00D62602">
        <w:rPr>
          <w:szCs w:val="22"/>
          <w:lang w:val="es-MX" w:eastAsia="en-US"/>
        </w:rPr>
        <w:t>a</w:t>
      </w:r>
      <w:r w:rsidR="00D62602">
        <w:rPr>
          <w:szCs w:val="22"/>
          <w:lang w:val="es-MX" w:eastAsia="en-US"/>
        </w:rPr>
        <w:t xml:space="preserve"> algunos</w:t>
      </w:r>
      <w:r w:rsidRPr="00D62602">
        <w:rPr>
          <w:szCs w:val="22"/>
          <w:lang w:val="es-MX" w:eastAsia="en-US"/>
        </w:rPr>
        <w:t xml:space="preserve"> trabajadores</w:t>
      </w:r>
      <w:r w:rsidR="00D62602">
        <w:rPr>
          <w:szCs w:val="22"/>
          <w:lang w:val="es-MX" w:eastAsia="en-US"/>
        </w:rPr>
        <w:t xml:space="preserve"> de empresas privadas</w:t>
      </w:r>
      <w:r w:rsidR="001053E6" w:rsidRPr="0095779C">
        <w:rPr>
          <w:szCs w:val="22"/>
          <w:lang w:val="es-MX" w:eastAsia="en-US"/>
        </w:rPr>
        <w:t>, así como otros ejemplos de esfuerzos colaborativos con las maquilas.</w:t>
      </w:r>
      <w:r w:rsidR="00344B28">
        <w:rPr>
          <w:szCs w:val="22"/>
          <w:lang w:val="es-MX" w:eastAsia="en-US"/>
        </w:rPr>
        <w:t xml:space="preserve"> </w:t>
      </w:r>
      <w:r w:rsidR="001053E6" w:rsidRPr="0095779C">
        <w:rPr>
          <w:szCs w:val="22"/>
          <w:lang w:val="es-MX" w:eastAsia="en-US"/>
        </w:rPr>
        <w:t xml:space="preserve"> Es necesario hacer un</w:t>
      </w:r>
      <w:r w:rsidR="007C20C3">
        <w:rPr>
          <w:szCs w:val="22"/>
          <w:lang w:val="es-MX" w:eastAsia="en-US"/>
        </w:rPr>
        <w:t>a revisión de experiencias y un</w:t>
      </w:r>
      <w:r w:rsidR="001053E6" w:rsidRPr="0095779C">
        <w:rPr>
          <w:szCs w:val="22"/>
          <w:lang w:val="es-MX" w:eastAsia="en-US"/>
        </w:rPr>
        <w:t xml:space="preserve"> acercamiento sistemático (de ser posible acompañados de donantes y representantes de SESAL/Secretaría de Trabajo y Seguridad Social</w:t>
      </w:r>
      <w:r w:rsidR="007C20C3">
        <w:rPr>
          <w:szCs w:val="22"/>
          <w:lang w:val="es-MX" w:eastAsia="en-US"/>
        </w:rPr>
        <w:t>),</w:t>
      </w:r>
      <w:r w:rsidR="001053E6" w:rsidRPr="0095779C">
        <w:rPr>
          <w:szCs w:val="22"/>
          <w:lang w:val="es-MX" w:eastAsia="en-US"/>
        </w:rPr>
        <w:t xml:space="preserve"> para sensibilizar a líderes empresariales y a </w:t>
      </w:r>
      <w:r w:rsidR="001053E6" w:rsidRPr="0095779C">
        <w:rPr>
          <w:szCs w:val="22"/>
          <w:lang w:val="es-MX" w:eastAsia="en-US"/>
        </w:rPr>
        <w:lastRenderedPageBreak/>
        <w:t>instarles a contratar a las OSC para realizar pruebas diagn</w:t>
      </w:r>
      <w:r w:rsidR="00D62602">
        <w:rPr>
          <w:szCs w:val="22"/>
          <w:lang w:val="es-MX" w:eastAsia="en-US"/>
        </w:rPr>
        <w:t>ó</w:t>
      </w:r>
      <w:r w:rsidR="001053E6" w:rsidRPr="0095779C">
        <w:rPr>
          <w:szCs w:val="22"/>
          <w:lang w:val="es-MX" w:eastAsia="en-US"/>
        </w:rPr>
        <w:t>sticas a sus trabajadores siguiendo los protocolos de confidencialidad establecidos por SESAL.</w:t>
      </w:r>
    </w:p>
    <w:p w14:paraId="7DAC9DD9" w14:textId="087490FA" w:rsidR="009A564A" w:rsidRPr="0095779C" w:rsidRDefault="00CF038F" w:rsidP="00CF038F">
      <w:pPr>
        <w:pStyle w:val="Heading3"/>
        <w:tabs>
          <w:tab w:val="clear" w:pos="851"/>
          <w:tab w:val="left" w:pos="90"/>
          <w:tab w:val="left" w:pos="1170"/>
        </w:tabs>
        <w:ind w:left="90" w:hanging="270"/>
        <w:jc w:val="both"/>
        <w:rPr>
          <w:rFonts w:ascii="Times New Roman" w:hAnsi="Times New Roman"/>
          <w:sz w:val="22"/>
          <w:szCs w:val="22"/>
          <w:lang w:val="es-CO"/>
        </w:rPr>
      </w:pPr>
      <w:r>
        <w:rPr>
          <w:rFonts w:ascii="Times New Roman" w:hAnsi="Times New Roman"/>
          <w:sz w:val="22"/>
          <w:szCs w:val="22"/>
          <w:lang w:val="es-CO"/>
        </w:rPr>
        <w:t>D</w:t>
      </w:r>
      <w:r w:rsidR="00403C8C" w:rsidRPr="00403C8C">
        <w:rPr>
          <w:rFonts w:ascii="Times New Roman" w:hAnsi="Times New Roman"/>
          <w:sz w:val="22"/>
          <w:szCs w:val="22"/>
          <w:lang w:val="es-CO"/>
        </w:rPr>
        <w:t>emandar las responsabilidades del gobierno en la prestación de servicios de salud y los servicios sociales en TB</w:t>
      </w:r>
      <w:r w:rsidR="009E4EE5">
        <w:rPr>
          <w:rFonts w:ascii="Times New Roman" w:hAnsi="Times New Roman"/>
          <w:sz w:val="22"/>
          <w:szCs w:val="22"/>
          <w:lang w:val="es-CO"/>
        </w:rPr>
        <w:t xml:space="preserve"> y </w:t>
      </w:r>
      <w:r w:rsidR="00403C8C" w:rsidRPr="00403C8C">
        <w:rPr>
          <w:rFonts w:ascii="Times New Roman" w:hAnsi="Times New Roman"/>
          <w:sz w:val="22"/>
          <w:szCs w:val="22"/>
          <w:lang w:val="es-CO"/>
        </w:rPr>
        <w:t>VIH a través de un “Plan de Incidencia Política de la sociedad civil”</w:t>
      </w:r>
    </w:p>
    <w:p w14:paraId="1338061C" w14:textId="2AF9B4D0" w:rsidR="00D8447D" w:rsidRPr="0095779C" w:rsidRDefault="00D8447D" w:rsidP="00D8447D">
      <w:pPr>
        <w:ind w:firstLine="0"/>
        <w:rPr>
          <w:szCs w:val="22"/>
          <w:lang w:val="es-MX" w:eastAsia="en-US"/>
        </w:rPr>
      </w:pPr>
      <w:r w:rsidRPr="0095779C">
        <w:rPr>
          <w:szCs w:val="22"/>
          <w:lang w:val="es-MX" w:eastAsia="en-US"/>
        </w:rPr>
        <w:t xml:space="preserve">Esta acción </w:t>
      </w:r>
      <w:r w:rsidR="006E1100">
        <w:rPr>
          <w:szCs w:val="22"/>
          <w:lang w:val="es-MX" w:eastAsia="en-US"/>
        </w:rPr>
        <w:t xml:space="preserve">tiene como objetivo </w:t>
      </w:r>
      <w:r w:rsidRPr="0095779C">
        <w:rPr>
          <w:szCs w:val="22"/>
          <w:lang w:val="es-MX" w:eastAsia="en-US"/>
        </w:rPr>
        <w:t>garantizar que las OSC puedan seguir realizando las actividades de veeduría e incidencia en políticas públicas para lo que fueron creadas en un principio. Esto requerirá trabajar en esquemas de financiamiento mixto</w:t>
      </w:r>
      <w:r w:rsidR="00BA18B7">
        <w:rPr>
          <w:szCs w:val="22"/>
          <w:lang w:val="es-MX" w:eastAsia="en-US"/>
        </w:rPr>
        <w:t xml:space="preserve"> (público-privado)</w:t>
      </w:r>
      <w:r w:rsidRPr="0095779C">
        <w:rPr>
          <w:szCs w:val="22"/>
          <w:lang w:val="es-MX" w:eastAsia="en-US"/>
        </w:rPr>
        <w:t xml:space="preserve"> que les permitan realizar estas actividades sin financiamiento público, </w:t>
      </w:r>
      <w:r w:rsidR="00522CEC">
        <w:rPr>
          <w:szCs w:val="22"/>
          <w:lang w:val="es-MX" w:eastAsia="en-US"/>
        </w:rPr>
        <w:t>y principalmente, en la elaboración de un “P</w:t>
      </w:r>
      <w:r w:rsidRPr="0095779C">
        <w:rPr>
          <w:szCs w:val="22"/>
          <w:lang w:val="es-MX" w:eastAsia="en-US"/>
        </w:rPr>
        <w:t xml:space="preserve">lan de </w:t>
      </w:r>
      <w:r w:rsidR="00522CEC">
        <w:rPr>
          <w:szCs w:val="22"/>
          <w:lang w:val="es-MX" w:eastAsia="en-US"/>
        </w:rPr>
        <w:t>I</w:t>
      </w:r>
      <w:r w:rsidRPr="0095779C">
        <w:rPr>
          <w:szCs w:val="22"/>
          <w:lang w:val="es-MX" w:eastAsia="en-US"/>
        </w:rPr>
        <w:t>ncidencia</w:t>
      </w:r>
      <w:r w:rsidR="00522CEC">
        <w:rPr>
          <w:szCs w:val="22"/>
          <w:lang w:val="es-MX" w:eastAsia="en-US"/>
        </w:rPr>
        <w:t xml:space="preserve"> Política de la sociedad civil”</w:t>
      </w:r>
      <w:r w:rsidRPr="0095779C">
        <w:rPr>
          <w:szCs w:val="22"/>
          <w:lang w:val="es-MX" w:eastAsia="en-US"/>
        </w:rPr>
        <w:t xml:space="preserve"> </w:t>
      </w:r>
      <w:r w:rsidR="00BA18B7">
        <w:rPr>
          <w:szCs w:val="22"/>
          <w:lang w:val="es-MX" w:eastAsia="en-US"/>
        </w:rPr>
        <w:t>que</w:t>
      </w:r>
      <w:r w:rsidRPr="0095779C">
        <w:rPr>
          <w:szCs w:val="22"/>
          <w:lang w:val="es-MX" w:eastAsia="en-US"/>
        </w:rPr>
        <w:t xml:space="preserve"> aborde las principales áreas de injerencia que se desean trabajar en los próximos 5 años. Sugerimos que estas áreas se prioricen, incluyendo </w:t>
      </w:r>
      <w:r w:rsidR="00BA18B7">
        <w:rPr>
          <w:szCs w:val="22"/>
          <w:lang w:val="es-MX" w:eastAsia="en-US"/>
        </w:rPr>
        <w:t>un fuerte</w:t>
      </w:r>
      <w:r w:rsidRPr="0095779C">
        <w:rPr>
          <w:szCs w:val="22"/>
          <w:lang w:val="es-MX" w:eastAsia="en-US"/>
        </w:rPr>
        <w:t xml:space="preserve"> trabajo a nivel municipal como se solicitó durante los talleres de La Ceiba y San Pedro Sula.</w:t>
      </w:r>
    </w:p>
    <w:p w14:paraId="5CA20AD3" w14:textId="095D6A9C" w:rsidR="007E0C46" w:rsidRPr="0095779C" w:rsidRDefault="007E0C46" w:rsidP="00CF038F">
      <w:pPr>
        <w:pStyle w:val="Heading3"/>
        <w:tabs>
          <w:tab w:val="clear" w:pos="851"/>
          <w:tab w:val="left" w:pos="90"/>
          <w:tab w:val="left" w:pos="1170"/>
        </w:tabs>
        <w:ind w:left="90" w:hanging="270"/>
        <w:jc w:val="both"/>
        <w:rPr>
          <w:rFonts w:ascii="Times New Roman" w:hAnsi="Times New Roman"/>
          <w:sz w:val="22"/>
          <w:szCs w:val="22"/>
          <w:lang w:val="es-CO"/>
        </w:rPr>
      </w:pPr>
      <w:r w:rsidRPr="0095779C">
        <w:rPr>
          <w:rFonts w:ascii="Times New Roman" w:hAnsi="Times New Roman"/>
          <w:sz w:val="22"/>
          <w:szCs w:val="22"/>
          <w:lang w:val="es-CO"/>
        </w:rPr>
        <w:t>Desarrollar un programa nacional de apoyo y sostenimiento institucional y operacional de las OSC con financiamiento público, privado, y externo</w:t>
      </w:r>
    </w:p>
    <w:p w14:paraId="52E11470" w14:textId="3EA8F306" w:rsidR="009A564A" w:rsidRPr="0095779C" w:rsidRDefault="00E84AD2" w:rsidP="00350DDE">
      <w:pPr>
        <w:ind w:firstLine="0"/>
        <w:rPr>
          <w:szCs w:val="22"/>
          <w:lang w:val="es-CO"/>
        </w:rPr>
      </w:pPr>
      <w:r>
        <w:rPr>
          <w:szCs w:val="22"/>
          <w:lang w:val="es-CO" w:eastAsia="en-US"/>
        </w:rPr>
        <w:t xml:space="preserve">El fortalecimiento de las capacidades operativas de las </w:t>
      </w:r>
      <w:proofErr w:type="spellStart"/>
      <w:r>
        <w:rPr>
          <w:szCs w:val="22"/>
          <w:lang w:val="es-CO" w:eastAsia="en-US"/>
        </w:rPr>
        <w:t>OSCs</w:t>
      </w:r>
      <w:proofErr w:type="spellEnd"/>
      <w:r>
        <w:rPr>
          <w:szCs w:val="22"/>
          <w:lang w:val="es-CO" w:eastAsia="en-US"/>
        </w:rPr>
        <w:t xml:space="preserve"> es clave para garantizar su acceso futuro a fuentes de financiamiento públicas y privadas. </w:t>
      </w:r>
      <w:r w:rsidR="00350DDE">
        <w:rPr>
          <w:szCs w:val="22"/>
          <w:lang w:val="es-CO" w:eastAsia="en-US"/>
        </w:rPr>
        <w:t>Algunas de las actividades que necesitan fortalecer son: la o</w:t>
      </w:r>
      <w:proofErr w:type="spellStart"/>
      <w:r w:rsidR="00350DDE" w:rsidRPr="00350DDE">
        <w:rPr>
          <w:szCs w:val="22"/>
          <w:lang w:val="es-MX" w:eastAsia="en-US"/>
        </w:rPr>
        <w:t>btención</w:t>
      </w:r>
      <w:proofErr w:type="spellEnd"/>
      <w:r w:rsidR="00350DDE" w:rsidRPr="00350DDE">
        <w:rPr>
          <w:szCs w:val="22"/>
          <w:lang w:val="es-MX" w:eastAsia="en-US"/>
        </w:rPr>
        <w:t xml:space="preserve"> de personalidad jurídica</w:t>
      </w:r>
      <w:r w:rsidR="00350DDE">
        <w:rPr>
          <w:szCs w:val="22"/>
          <w:lang w:val="es-MX" w:eastAsia="en-US"/>
        </w:rPr>
        <w:t>, la p</w:t>
      </w:r>
      <w:r w:rsidR="00350DDE" w:rsidRPr="00350DDE">
        <w:rPr>
          <w:szCs w:val="22"/>
          <w:lang w:val="es-MX" w:eastAsia="en-US"/>
        </w:rPr>
        <w:t>reparación de propuestas de financiamiento</w:t>
      </w:r>
      <w:r w:rsidR="00350DDE">
        <w:rPr>
          <w:szCs w:val="22"/>
          <w:lang w:val="es-MX" w:eastAsia="en-US"/>
        </w:rPr>
        <w:t>, su capacidad administrativa, manejo financiero, comunicación social y capacidad para cumplir con los requisitos de rendición de cuentas en informes.</w:t>
      </w:r>
      <w:r w:rsidR="00350DDE">
        <w:rPr>
          <w:szCs w:val="22"/>
          <w:lang w:val="es-CO" w:eastAsia="en-US"/>
        </w:rPr>
        <w:t xml:space="preserve"> </w:t>
      </w:r>
      <w:r>
        <w:rPr>
          <w:szCs w:val="22"/>
          <w:lang w:val="es-CO" w:eastAsia="en-US"/>
        </w:rPr>
        <w:t xml:space="preserve">Para realizar este fortalecimiento de forma estratégica, </w:t>
      </w:r>
      <w:r>
        <w:rPr>
          <w:szCs w:val="22"/>
          <w:lang w:val="es-MX" w:eastAsia="en-US"/>
        </w:rPr>
        <w:t>s</w:t>
      </w:r>
      <w:r w:rsidR="00746E3F" w:rsidRPr="0095779C">
        <w:rPr>
          <w:szCs w:val="22"/>
          <w:lang w:val="es-MX" w:eastAsia="en-US"/>
        </w:rPr>
        <w:t>e sugiere consolidar</w:t>
      </w:r>
      <w:r>
        <w:rPr>
          <w:szCs w:val="22"/>
          <w:lang w:val="es-MX" w:eastAsia="en-US"/>
        </w:rPr>
        <w:t xml:space="preserve"> y priorizar</w:t>
      </w:r>
      <w:r w:rsidR="00746E3F" w:rsidRPr="0095779C">
        <w:rPr>
          <w:szCs w:val="22"/>
          <w:lang w:val="es-MX" w:eastAsia="en-US"/>
        </w:rPr>
        <w:t xml:space="preserve"> las necesidades de fortalecimiento operativo recolectadas durante los talleres de sociedad civil</w:t>
      </w:r>
      <w:r w:rsidR="00D86217" w:rsidRPr="0095779C">
        <w:rPr>
          <w:szCs w:val="22"/>
          <w:lang w:val="es-MX" w:eastAsia="en-US"/>
        </w:rPr>
        <w:t xml:space="preserve">, y realizar un plan </w:t>
      </w:r>
      <w:r w:rsidR="00B60E58" w:rsidRPr="0095779C">
        <w:rPr>
          <w:szCs w:val="22"/>
          <w:lang w:val="es-MX" w:eastAsia="en-US"/>
        </w:rPr>
        <w:t xml:space="preserve">de financiamiento para dichas actividades (Ver Reporte de Sociedad Civil </w:t>
      </w:r>
      <w:r w:rsidR="00D8447D" w:rsidRPr="0095779C">
        <w:rPr>
          <w:szCs w:val="22"/>
          <w:lang w:val="es-MX" w:eastAsia="en-US"/>
        </w:rPr>
        <w:t>preparado por esta consultoría</w:t>
      </w:r>
      <w:r w:rsidR="00B60E58" w:rsidRPr="0095779C">
        <w:rPr>
          <w:szCs w:val="22"/>
          <w:lang w:val="es-MX" w:eastAsia="en-US"/>
        </w:rPr>
        <w:t>).</w:t>
      </w:r>
      <w:r>
        <w:rPr>
          <w:szCs w:val="22"/>
          <w:lang w:val="es-MX" w:eastAsia="en-US"/>
        </w:rPr>
        <w:t xml:space="preserve"> Algunas de estas actividades podrían ser cubiertas por agencia</w:t>
      </w:r>
      <w:r w:rsidR="004C0871">
        <w:rPr>
          <w:szCs w:val="22"/>
          <w:lang w:val="es-MX" w:eastAsia="en-US"/>
        </w:rPr>
        <w:t>s</w:t>
      </w:r>
      <w:r>
        <w:rPr>
          <w:szCs w:val="22"/>
          <w:lang w:val="es-MX" w:eastAsia="en-US"/>
        </w:rPr>
        <w:t xml:space="preserve"> de Naciones Unidas, PEPFAR o el FM.</w:t>
      </w:r>
      <w:r w:rsidR="00350DDE" w:rsidRPr="00350DDE">
        <w:t xml:space="preserve"> </w:t>
      </w:r>
      <w:r w:rsidR="007E0C46" w:rsidRPr="0095779C">
        <w:rPr>
          <w:szCs w:val="22"/>
          <w:lang w:val="es-CO"/>
        </w:rPr>
        <w:t>Fomentar y colaborar con redes regionales de sociedad civil con experiencia en promover políticas, desarrollo organizativo, provisión de servicios etc. Estas redes podrían ofrecer un apoyo financiero y operativo</w:t>
      </w:r>
    </w:p>
    <w:p w14:paraId="1637A52C" w14:textId="1A5A4986" w:rsidR="00882C98" w:rsidRDefault="00814FE3" w:rsidP="00C43C80">
      <w:pPr>
        <w:ind w:firstLine="0"/>
        <w:rPr>
          <w:szCs w:val="22"/>
          <w:lang w:val="es-CO" w:eastAsia="en-US"/>
        </w:rPr>
      </w:pPr>
      <w:r>
        <w:rPr>
          <w:szCs w:val="22"/>
          <w:lang w:val="es-CO" w:eastAsia="en-US"/>
        </w:rPr>
        <w:t xml:space="preserve">Se sugirió fomentar la colaboración con redes regionales como la ya existente con REDLACTRANS. Estas redes cuentan con el conocimiento de buenas prácticas en la región, capacitación, desarrollo organizativo, </w:t>
      </w:r>
      <w:r w:rsidR="00093987">
        <w:rPr>
          <w:szCs w:val="22"/>
          <w:lang w:val="es-CO" w:eastAsia="en-US"/>
        </w:rPr>
        <w:t xml:space="preserve">provisión de servicio, </w:t>
      </w:r>
      <w:r>
        <w:rPr>
          <w:szCs w:val="22"/>
          <w:lang w:val="es-CO" w:eastAsia="en-US"/>
        </w:rPr>
        <w:t>sistemas de información y otras herramientas que podrían contribuir al fortalecimiento de la sociedad civil en Honduras. Existe también la posibilidad de que este acercamiento derive en una fuente de recursos ya que estas organizaciones cuentan con financiamiento de los donantes para apoyar a sus países miembros.</w:t>
      </w:r>
    </w:p>
    <w:p w14:paraId="383E54D1" w14:textId="77777777" w:rsidR="00814FE3" w:rsidRPr="00882C98" w:rsidRDefault="00814FE3" w:rsidP="00C43C80">
      <w:pPr>
        <w:ind w:firstLine="0"/>
        <w:rPr>
          <w:szCs w:val="22"/>
          <w:lang w:val="es-CO" w:eastAsia="en-US"/>
        </w:rPr>
      </w:pPr>
    </w:p>
    <w:p w14:paraId="141C1430" w14:textId="4D1408DC" w:rsidR="00390BA0" w:rsidRPr="0095779C" w:rsidRDefault="007E0C46" w:rsidP="00390BA0">
      <w:pPr>
        <w:pStyle w:val="Heading2"/>
        <w:tabs>
          <w:tab w:val="left" w:pos="450"/>
        </w:tabs>
        <w:ind w:left="0" w:firstLine="0"/>
        <w:jc w:val="both"/>
        <w:rPr>
          <w:rFonts w:ascii="Times New Roman" w:hAnsi="Times New Roman" w:cs="Times New Roman"/>
          <w:lang w:val="es-ES"/>
        </w:rPr>
      </w:pPr>
      <w:bookmarkStart w:id="46" w:name="_Toc8381166"/>
      <w:r w:rsidRPr="0095779C">
        <w:rPr>
          <w:rFonts w:ascii="Times New Roman" w:hAnsi="Times New Roman" w:cs="Times New Roman"/>
          <w:lang w:val="es-ES"/>
        </w:rPr>
        <w:t>Objetivo 7. Mejorar la rendición de cuentas y capacidad técnica de alto nivel para los servicios de VIH y TB</w:t>
      </w:r>
      <w:bookmarkEnd w:id="46"/>
    </w:p>
    <w:p w14:paraId="3E22C835" w14:textId="11B7FA55" w:rsidR="00390BA0" w:rsidRDefault="00390BA0" w:rsidP="00390BA0">
      <w:pPr>
        <w:ind w:firstLine="0"/>
        <w:rPr>
          <w:lang w:val="es-DO" w:eastAsia="en-US"/>
        </w:rPr>
      </w:pPr>
      <w:r w:rsidRPr="0095779C">
        <w:rPr>
          <w:lang w:val="es-DO" w:eastAsia="en-US"/>
        </w:rPr>
        <w:t xml:space="preserve">Desde 2009 Honduras ha estado inmersa en un proceso de reforma del sector salud con el fin de fortalecer la función rectora de la SESAL y separar las funciones esenciales de financiamiento, aseguramiento y provisión de servicios. Para liderar el proceso de reforma y solucionar </w:t>
      </w:r>
      <w:r w:rsidR="004C1DF7">
        <w:rPr>
          <w:lang w:val="es-DO" w:eastAsia="en-US"/>
        </w:rPr>
        <w:t>los</w:t>
      </w:r>
      <w:r w:rsidRPr="0095779C">
        <w:rPr>
          <w:lang w:val="es-DO" w:eastAsia="en-US"/>
        </w:rPr>
        <w:t xml:space="preserve"> retos emergentes, la SESAL ha establecido una Comisión Especial para la Transformación del Sistema Nacional de Salud integrada por el Secretario de Estado en el Despacho de Salud y representantes de la sociedad civil. A la fecha no se ha socializado </w:t>
      </w:r>
      <w:r w:rsidR="00530BA3">
        <w:rPr>
          <w:lang w:val="es-DO" w:eastAsia="en-US"/>
        </w:rPr>
        <w:t xml:space="preserve">la ruta crítica </w:t>
      </w:r>
      <w:r w:rsidR="00C95589">
        <w:rPr>
          <w:lang w:val="es-DO" w:eastAsia="en-US"/>
        </w:rPr>
        <w:t>para</w:t>
      </w:r>
      <w:r w:rsidR="00530BA3">
        <w:rPr>
          <w:lang w:val="es-DO" w:eastAsia="en-US"/>
        </w:rPr>
        <w:t xml:space="preserve"> la implementación de esta reforma</w:t>
      </w:r>
      <w:r w:rsidRPr="0095779C">
        <w:rPr>
          <w:lang w:val="es-DO" w:eastAsia="en-US"/>
        </w:rPr>
        <w:t>.</w:t>
      </w:r>
    </w:p>
    <w:p w14:paraId="0164C81D" w14:textId="35592043" w:rsidR="00C66B87" w:rsidRPr="00C66B87" w:rsidRDefault="00C95589" w:rsidP="00390BA0">
      <w:pPr>
        <w:ind w:firstLine="0"/>
      </w:pPr>
      <w:r w:rsidRPr="0095779C">
        <w:rPr>
          <w:lang w:val="es-DO" w:eastAsia="en-US"/>
        </w:rPr>
        <w:t>Como parte de la reforma</w:t>
      </w:r>
      <w:r>
        <w:rPr>
          <w:lang w:val="es-DO" w:eastAsia="en-US"/>
        </w:rPr>
        <w:t xml:space="preserve"> </w:t>
      </w:r>
      <w:r w:rsidRPr="0095779C">
        <w:rPr>
          <w:lang w:val="es-ES" w:eastAsia="en-US"/>
        </w:rPr>
        <w:t>de la SESAL y sus dependencias</w:t>
      </w:r>
      <w:r w:rsidRPr="0095779C">
        <w:rPr>
          <w:lang w:val="es-DO" w:eastAsia="en-US"/>
        </w:rPr>
        <w:t xml:space="preserve">, en años recientes se decidió eliminar la estructura programática de la SESAL, afectando directamente la gobernanza de los </w:t>
      </w:r>
      <w:r>
        <w:rPr>
          <w:lang w:val="es-DO" w:eastAsia="en-US"/>
        </w:rPr>
        <w:t>programas de control de enfermedades, incluyendo</w:t>
      </w:r>
      <w:r w:rsidRPr="0095779C">
        <w:rPr>
          <w:lang w:val="es-DO" w:eastAsia="en-US"/>
        </w:rPr>
        <w:t xml:space="preserve"> </w:t>
      </w:r>
      <w:r>
        <w:rPr>
          <w:lang w:val="es-DO" w:eastAsia="en-US"/>
        </w:rPr>
        <w:t>al</w:t>
      </w:r>
      <w:r w:rsidRPr="0095779C">
        <w:rPr>
          <w:lang w:val="es-DO" w:eastAsia="en-US"/>
        </w:rPr>
        <w:t xml:space="preserve"> VIH y </w:t>
      </w:r>
      <w:r>
        <w:rPr>
          <w:lang w:val="es-DO" w:eastAsia="en-US"/>
        </w:rPr>
        <w:t xml:space="preserve">la </w:t>
      </w:r>
      <w:r w:rsidRPr="0095779C">
        <w:rPr>
          <w:lang w:val="es-DO" w:eastAsia="en-US"/>
        </w:rPr>
        <w:t xml:space="preserve">TB. Esta fragilidad </w:t>
      </w:r>
      <w:r w:rsidR="005B44FF" w:rsidRPr="0095779C">
        <w:rPr>
          <w:lang w:val="es-ES" w:eastAsia="en-US"/>
        </w:rPr>
        <w:t>ha significado una desventaja para la adecuada</w:t>
      </w:r>
      <w:r w:rsidRPr="0095779C">
        <w:rPr>
          <w:lang w:val="es-DO" w:eastAsia="en-US"/>
        </w:rPr>
        <w:t xml:space="preserve"> </w:t>
      </w:r>
      <w:r w:rsidR="00C66B87">
        <w:t xml:space="preserve">rendición de cuentas, monitoreo y evaluación, y </w:t>
      </w:r>
      <w:r w:rsidR="00C66B87" w:rsidRPr="000F5011">
        <w:t>financiamiento de los servicios necesarios para la promoción, prevención, tratamiento y control de las enfermedades.</w:t>
      </w:r>
    </w:p>
    <w:p w14:paraId="16A5A0C3" w14:textId="44BF8B57" w:rsidR="00044AD8" w:rsidRPr="0095779C" w:rsidRDefault="002408C0" w:rsidP="00446837">
      <w:pPr>
        <w:pStyle w:val="Heading3"/>
        <w:tabs>
          <w:tab w:val="clear" w:pos="851"/>
          <w:tab w:val="left" w:pos="90"/>
          <w:tab w:val="left" w:pos="1170"/>
        </w:tabs>
        <w:ind w:left="90" w:hanging="270"/>
        <w:jc w:val="both"/>
        <w:rPr>
          <w:rFonts w:ascii="Times New Roman" w:hAnsi="Times New Roman"/>
          <w:sz w:val="22"/>
          <w:szCs w:val="22"/>
          <w:lang w:val="es-CO"/>
        </w:rPr>
      </w:pPr>
      <w:r w:rsidRPr="00446837">
        <w:rPr>
          <w:rFonts w:ascii="Times New Roman" w:hAnsi="Times New Roman"/>
          <w:sz w:val="22"/>
          <w:szCs w:val="22"/>
          <w:lang w:val="es-CO"/>
        </w:rPr>
        <w:lastRenderedPageBreak/>
        <w:t xml:space="preserve"> Reactivar instancias directas dentro de la SESAL responsables de la coordinación de las acciones en VIH y T</w:t>
      </w:r>
      <w:r w:rsidR="00446837" w:rsidRPr="00446837">
        <w:rPr>
          <w:rFonts w:ascii="Times New Roman" w:hAnsi="Times New Roman"/>
          <w:sz w:val="22"/>
          <w:szCs w:val="22"/>
          <w:lang w:val="es-CO"/>
        </w:rPr>
        <w:t>B</w:t>
      </w:r>
      <w:r w:rsidR="00446837">
        <w:rPr>
          <w:rFonts w:ascii="Times New Roman" w:hAnsi="Times New Roman"/>
          <w:sz w:val="22"/>
          <w:szCs w:val="22"/>
          <w:lang w:val="es-CO"/>
        </w:rPr>
        <w:t xml:space="preserve"> </w:t>
      </w:r>
    </w:p>
    <w:p w14:paraId="5BA4E221" w14:textId="1BCEDAA0" w:rsidR="00403C8C" w:rsidRDefault="00390BA0" w:rsidP="00535E4F">
      <w:pPr>
        <w:ind w:firstLine="0"/>
        <w:rPr>
          <w:bCs/>
          <w:lang w:val="es-CO" w:eastAsia="en-US"/>
        </w:rPr>
      </w:pPr>
      <w:r w:rsidRPr="0095779C">
        <w:rPr>
          <w:lang w:val="es-CO" w:eastAsia="en-US"/>
        </w:rPr>
        <w:t xml:space="preserve">Para </w:t>
      </w:r>
      <w:r w:rsidRPr="0095779C">
        <w:rPr>
          <w:bCs/>
          <w:lang w:val="es-CO" w:eastAsia="en-US"/>
        </w:rPr>
        <w:t xml:space="preserve">resolver la falta de rendición de cuentas y </w:t>
      </w:r>
      <w:r w:rsidR="00460CDD">
        <w:rPr>
          <w:bCs/>
          <w:lang w:val="es-CO" w:eastAsia="en-US"/>
        </w:rPr>
        <w:t xml:space="preserve">la </w:t>
      </w:r>
      <w:r w:rsidRPr="0095779C">
        <w:rPr>
          <w:bCs/>
          <w:lang w:val="es-CO" w:eastAsia="en-US"/>
        </w:rPr>
        <w:t xml:space="preserve">pérdida de capacidad </w:t>
      </w:r>
      <w:r w:rsidR="00460CDD">
        <w:rPr>
          <w:bCs/>
          <w:lang w:val="es-CO" w:eastAsia="en-US"/>
        </w:rPr>
        <w:t xml:space="preserve">y liderazgo </w:t>
      </w:r>
      <w:r w:rsidRPr="0095779C">
        <w:rPr>
          <w:bCs/>
          <w:lang w:val="es-CO" w:eastAsia="en-US"/>
        </w:rPr>
        <w:t>técnic</w:t>
      </w:r>
      <w:r w:rsidR="00460CDD">
        <w:rPr>
          <w:bCs/>
          <w:lang w:val="es-CO" w:eastAsia="en-US"/>
        </w:rPr>
        <w:t>o</w:t>
      </w:r>
      <w:r w:rsidRPr="0095779C">
        <w:rPr>
          <w:bCs/>
          <w:lang w:val="es-CO" w:eastAsia="en-US"/>
        </w:rPr>
        <w:t xml:space="preserve"> de alto nivel</w:t>
      </w:r>
      <w:r w:rsidR="00460CDD">
        <w:rPr>
          <w:bCs/>
          <w:lang w:val="es-CO" w:eastAsia="en-US"/>
        </w:rPr>
        <w:t xml:space="preserve"> el gobierno ha reconocido la necesidad</w:t>
      </w:r>
      <w:r w:rsidRPr="0095779C">
        <w:rPr>
          <w:bCs/>
          <w:lang w:val="es-CO" w:eastAsia="en-US"/>
        </w:rPr>
        <w:t xml:space="preserve"> </w:t>
      </w:r>
      <w:r w:rsidR="00460CDD">
        <w:rPr>
          <w:bCs/>
          <w:lang w:val="es-CO" w:eastAsia="en-US"/>
        </w:rPr>
        <w:t xml:space="preserve">de </w:t>
      </w:r>
      <w:r w:rsidRPr="0095779C">
        <w:rPr>
          <w:bCs/>
          <w:lang w:val="es-CO" w:eastAsia="en-US"/>
        </w:rPr>
        <w:t>reactivar</w:t>
      </w:r>
      <w:r w:rsidR="00446837">
        <w:rPr>
          <w:bCs/>
          <w:lang w:val="es-CO" w:eastAsia="en-US"/>
        </w:rPr>
        <w:t xml:space="preserve"> instancias directas dentro de la SESAL con un rol similar al</w:t>
      </w:r>
      <w:r w:rsidR="00846C61">
        <w:rPr>
          <w:bCs/>
          <w:lang w:val="es-CO" w:eastAsia="en-US"/>
        </w:rPr>
        <w:t xml:space="preserve"> que tenían</w:t>
      </w:r>
      <w:r w:rsidR="00446837">
        <w:rPr>
          <w:bCs/>
          <w:lang w:val="es-CO" w:eastAsia="en-US"/>
        </w:rPr>
        <w:t xml:space="preserve"> </w:t>
      </w:r>
      <w:r w:rsidRPr="0095779C">
        <w:rPr>
          <w:bCs/>
          <w:lang w:val="es-CO" w:eastAsia="en-US"/>
        </w:rPr>
        <w:t xml:space="preserve">los programas nacionales de VIH y TB. Este proceso </w:t>
      </w:r>
      <w:r w:rsidR="00460CDD">
        <w:rPr>
          <w:bCs/>
          <w:lang w:val="es-CO" w:eastAsia="en-US"/>
        </w:rPr>
        <w:t>incluirá</w:t>
      </w:r>
      <w:r w:rsidRPr="0095779C">
        <w:rPr>
          <w:bCs/>
          <w:lang w:val="es-CO" w:eastAsia="en-US"/>
        </w:rPr>
        <w:t xml:space="preserve"> la elaboración del Acuerdo </w:t>
      </w:r>
      <w:r w:rsidR="00460CDD">
        <w:rPr>
          <w:bCs/>
          <w:lang w:val="es-CO" w:eastAsia="en-US"/>
        </w:rPr>
        <w:t>entre el</w:t>
      </w:r>
      <w:r w:rsidRPr="0095779C">
        <w:rPr>
          <w:bCs/>
          <w:lang w:val="es-CO" w:eastAsia="en-US"/>
        </w:rPr>
        <w:t xml:space="preserve"> Programa Nacional de VIH por SESAL y CONASIDA para su reactivación. L</w:t>
      </w:r>
      <w:r w:rsidR="00164DD1">
        <w:rPr>
          <w:bCs/>
          <w:lang w:val="es-CO" w:eastAsia="en-US"/>
        </w:rPr>
        <w:t xml:space="preserve">as nuevas instancias </w:t>
      </w:r>
      <w:r w:rsidRPr="0095779C">
        <w:rPr>
          <w:bCs/>
          <w:lang w:val="es-CO" w:eastAsia="en-US"/>
        </w:rPr>
        <w:t>necesitarán ser asignad</w:t>
      </w:r>
      <w:r w:rsidR="00164DD1">
        <w:rPr>
          <w:bCs/>
          <w:lang w:val="es-CO" w:eastAsia="en-US"/>
        </w:rPr>
        <w:t>a</w:t>
      </w:r>
      <w:r w:rsidRPr="0095779C">
        <w:rPr>
          <w:bCs/>
          <w:lang w:val="es-CO" w:eastAsia="en-US"/>
        </w:rPr>
        <w:t>s a</w:t>
      </w:r>
      <w:r w:rsidR="00164DD1">
        <w:rPr>
          <w:bCs/>
          <w:lang w:val="es-CO" w:eastAsia="en-US"/>
        </w:rPr>
        <w:t xml:space="preserve">l área correspondiente </w:t>
      </w:r>
      <w:r w:rsidRPr="0095779C">
        <w:rPr>
          <w:bCs/>
          <w:lang w:val="es-CO" w:eastAsia="en-US"/>
        </w:rPr>
        <w:t>según la actual estructura organizativa de la SESAL, y tener una estructura operativa que obedezca a los objetivos establecidos – incluyendo una descripción de funciones de cada puesto según la estructura de los programas, la selección y contracción de personal, y la asignación de presupuest</w:t>
      </w:r>
      <w:r w:rsidR="00776DDF">
        <w:rPr>
          <w:bCs/>
          <w:lang w:val="es-CO" w:eastAsia="en-US"/>
        </w:rPr>
        <w:t>o</w:t>
      </w:r>
      <w:r w:rsidRPr="0095779C">
        <w:rPr>
          <w:bCs/>
          <w:lang w:val="es-CO" w:eastAsia="en-US"/>
        </w:rPr>
        <w:t>s.</w:t>
      </w:r>
      <w:r w:rsidR="004073A8">
        <w:rPr>
          <w:bCs/>
          <w:lang w:val="es-CO" w:eastAsia="en-US"/>
        </w:rPr>
        <w:t xml:space="preserve"> Durante este proceso </w:t>
      </w:r>
      <w:r w:rsidR="00FC2522">
        <w:rPr>
          <w:bCs/>
          <w:lang w:val="es-CO" w:eastAsia="en-US"/>
        </w:rPr>
        <w:t>será</w:t>
      </w:r>
      <w:r w:rsidR="004073A8">
        <w:rPr>
          <w:bCs/>
          <w:lang w:val="es-CO" w:eastAsia="en-US"/>
        </w:rPr>
        <w:t xml:space="preserve"> preciso analizar cuál será el nuevo nivel de transversalización</w:t>
      </w:r>
      <w:r w:rsidR="00FC2522">
        <w:rPr>
          <w:bCs/>
          <w:lang w:val="es-CO" w:eastAsia="en-US"/>
        </w:rPr>
        <w:t xml:space="preserve"> de funciones</w:t>
      </w:r>
      <w:r w:rsidR="004073A8">
        <w:rPr>
          <w:bCs/>
          <w:lang w:val="es-CO" w:eastAsia="en-US"/>
        </w:rPr>
        <w:t xml:space="preserve"> que se desea alcanzar: qué funciones verticales (como el liderazgo, dirección técnica, planeación y monitoreo y evaluación) y qué funciones horizontales (como provisión de servicio, compra de insumos y medicamentos, y cadena de </w:t>
      </w:r>
      <w:r w:rsidR="002D3FE5">
        <w:rPr>
          <w:bCs/>
          <w:lang w:val="es-CO" w:eastAsia="en-US"/>
        </w:rPr>
        <w:t>suministro</w:t>
      </w:r>
      <w:r w:rsidR="004073A8">
        <w:rPr>
          <w:bCs/>
          <w:lang w:val="es-CO" w:eastAsia="en-US"/>
        </w:rPr>
        <w:t>) quedarán plasmadas en la nueva estructura.</w:t>
      </w:r>
    </w:p>
    <w:p w14:paraId="42923ACA" w14:textId="436A8B38" w:rsidR="00403C8C" w:rsidRPr="00776DDF" w:rsidRDefault="002408C0" w:rsidP="00776DDF">
      <w:pPr>
        <w:pStyle w:val="Heading3"/>
        <w:tabs>
          <w:tab w:val="clear" w:pos="851"/>
          <w:tab w:val="left" w:pos="90"/>
          <w:tab w:val="left" w:pos="180"/>
          <w:tab w:val="left" w:pos="270"/>
          <w:tab w:val="left" w:pos="450"/>
        </w:tabs>
        <w:ind w:left="90" w:hanging="270"/>
        <w:jc w:val="both"/>
        <w:rPr>
          <w:rFonts w:ascii="Times New Roman" w:hAnsi="Times New Roman"/>
          <w:sz w:val="22"/>
          <w:szCs w:val="22"/>
          <w:lang w:val="es-CO"/>
        </w:rPr>
      </w:pPr>
      <w:r w:rsidRPr="00776DDF">
        <w:rPr>
          <w:rFonts w:ascii="Times New Roman" w:hAnsi="Times New Roman"/>
          <w:sz w:val="22"/>
          <w:szCs w:val="22"/>
          <w:lang w:val="es-CO"/>
        </w:rPr>
        <w:t xml:space="preserve">Establecer el monitoreo de la Estrategia de </w:t>
      </w:r>
      <w:r w:rsidR="00776DDF" w:rsidRPr="00776DDF">
        <w:rPr>
          <w:rFonts w:ascii="Times New Roman" w:hAnsi="Times New Roman"/>
          <w:sz w:val="22"/>
          <w:szCs w:val="22"/>
          <w:lang w:val="es-CO"/>
        </w:rPr>
        <w:t>Sostenibilidad</w:t>
      </w:r>
      <w:r w:rsidRPr="00776DDF">
        <w:rPr>
          <w:rFonts w:ascii="Times New Roman" w:hAnsi="Times New Roman"/>
          <w:sz w:val="22"/>
          <w:szCs w:val="22"/>
          <w:lang w:val="es-CO"/>
        </w:rPr>
        <w:t xml:space="preserve"> con el apoyo a través de la Secretaría de Coordinación </w:t>
      </w:r>
      <w:r w:rsidR="00422F7E">
        <w:rPr>
          <w:rFonts w:ascii="Times New Roman" w:hAnsi="Times New Roman"/>
          <w:sz w:val="22"/>
          <w:szCs w:val="22"/>
          <w:lang w:val="es-CO"/>
        </w:rPr>
        <w:t xml:space="preserve">General </w:t>
      </w:r>
      <w:r w:rsidRPr="00776DDF">
        <w:rPr>
          <w:rFonts w:ascii="Times New Roman" w:hAnsi="Times New Roman"/>
          <w:sz w:val="22"/>
          <w:szCs w:val="22"/>
          <w:lang w:val="es-CO"/>
        </w:rPr>
        <w:t xml:space="preserve">de Gobierno </w:t>
      </w:r>
      <w:r w:rsidR="002F49C5">
        <w:rPr>
          <w:rFonts w:ascii="Times New Roman" w:hAnsi="Times New Roman"/>
          <w:sz w:val="22"/>
          <w:szCs w:val="22"/>
          <w:lang w:val="es-CO"/>
        </w:rPr>
        <w:t>(SCGG)</w:t>
      </w:r>
    </w:p>
    <w:p w14:paraId="0EFF5D03" w14:textId="49F1302F" w:rsidR="00535E4F" w:rsidRPr="00DB402A" w:rsidRDefault="00627A67" w:rsidP="00662EC5">
      <w:pPr>
        <w:ind w:firstLine="0"/>
        <w:rPr>
          <w:szCs w:val="22"/>
          <w:lang w:val="es-CO" w:eastAsia="en-US"/>
        </w:rPr>
      </w:pPr>
      <w:r>
        <w:rPr>
          <w:lang w:val="es-CO" w:eastAsia="en-US"/>
        </w:rPr>
        <w:t xml:space="preserve">Para la exitosa implementación de esta ES </w:t>
      </w:r>
      <w:r w:rsidR="00DC74A7">
        <w:rPr>
          <w:lang w:val="es-CO" w:eastAsia="en-US"/>
        </w:rPr>
        <w:t xml:space="preserve">será necesario </w:t>
      </w:r>
      <w:r>
        <w:rPr>
          <w:lang w:val="es-CO" w:eastAsia="en-US"/>
        </w:rPr>
        <w:t xml:space="preserve">un fuerte monitoreo y supervisión de alto nivel. </w:t>
      </w:r>
      <w:r w:rsidR="00445991">
        <w:rPr>
          <w:lang w:val="es-CO" w:eastAsia="en-US"/>
        </w:rPr>
        <w:t>La</w:t>
      </w:r>
      <w:r>
        <w:rPr>
          <w:lang w:val="es-CO" w:eastAsia="en-US"/>
        </w:rPr>
        <w:t xml:space="preserve"> </w:t>
      </w:r>
      <w:r w:rsidR="002F49C5">
        <w:rPr>
          <w:lang w:val="es-CO" w:eastAsia="en-US"/>
        </w:rPr>
        <w:t>SCGG</w:t>
      </w:r>
      <w:r w:rsidR="00F15BE1">
        <w:rPr>
          <w:lang w:val="es-CO" w:eastAsia="en-US"/>
        </w:rPr>
        <w:t xml:space="preserve"> </w:t>
      </w:r>
      <w:r w:rsidR="00DC74A7">
        <w:rPr>
          <w:lang w:val="es-CO" w:eastAsia="en-US"/>
        </w:rPr>
        <w:t>puede absorber</w:t>
      </w:r>
      <w:r w:rsidR="00445991">
        <w:rPr>
          <w:lang w:val="es-CO" w:eastAsia="en-US"/>
        </w:rPr>
        <w:t xml:space="preserve"> esta función, debido a sus atribuciones de </w:t>
      </w:r>
      <w:r w:rsidR="00C64D8F">
        <w:rPr>
          <w:lang w:val="es-CO" w:eastAsia="en-US"/>
        </w:rPr>
        <w:t>monitoreo</w:t>
      </w:r>
      <w:r w:rsidR="00445991">
        <w:rPr>
          <w:lang w:val="es-CO" w:eastAsia="en-US"/>
        </w:rPr>
        <w:t xml:space="preserve"> y evaluación a nivel intersectorial, a su participación dentro del Gabinete Social y a su relación directa con las agencias de cooperación y organismos multilaterales.</w:t>
      </w:r>
      <w:r>
        <w:rPr>
          <w:lang w:val="es-CO" w:eastAsia="en-US"/>
        </w:rPr>
        <w:t xml:space="preserve"> </w:t>
      </w:r>
      <w:r w:rsidR="00445991">
        <w:rPr>
          <w:lang w:val="es-CO" w:eastAsia="en-US"/>
        </w:rPr>
        <w:t xml:space="preserve">Como acciones específicas, esta </w:t>
      </w:r>
      <w:r w:rsidR="00445991" w:rsidRPr="00E846C9">
        <w:rPr>
          <w:lang w:val="es-CO" w:eastAsia="en-US"/>
        </w:rPr>
        <w:t xml:space="preserve">instancia podría convocar </w:t>
      </w:r>
      <w:r w:rsidR="00B5727C" w:rsidRPr="00E846C9">
        <w:rPr>
          <w:lang w:val="es-CO" w:eastAsia="en-US"/>
        </w:rPr>
        <w:t>al Comité de Sostenibilidad y Transición MCP-SESAL</w:t>
      </w:r>
      <w:r w:rsidR="00445991" w:rsidRPr="00E846C9">
        <w:rPr>
          <w:lang w:val="es-CO" w:eastAsia="en-US"/>
        </w:rPr>
        <w:t xml:space="preserve"> para el m</w:t>
      </w:r>
      <w:r w:rsidR="00445991">
        <w:rPr>
          <w:lang w:val="es-CO" w:eastAsia="en-US"/>
        </w:rPr>
        <w:t xml:space="preserve">onitoreo y ajuste trimestral de las acciones </w:t>
      </w:r>
      <w:r w:rsidR="00445991" w:rsidRPr="003D4FD2">
        <w:rPr>
          <w:szCs w:val="22"/>
          <w:lang w:val="es-CO" w:eastAsia="en-US"/>
        </w:rPr>
        <w:t>priorizadas de este Plan de Trabajo</w:t>
      </w:r>
      <w:r w:rsidR="00662EC5" w:rsidRPr="003D4FD2">
        <w:rPr>
          <w:szCs w:val="22"/>
          <w:lang w:val="es-CO" w:eastAsia="en-US"/>
        </w:rPr>
        <w:t>.</w:t>
      </w:r>
      <w:r w:rsidR="00776DDF">
        <w:rPr>
          <w:szCs w:val="22"/>
          <w:lang w:val="es-CO" w:eastAsia="en-US"/>
        </w:rPr>
        <w:t xml:space="preserve"> </w:t>
      </w:r>
    </w:p>
    <w:p w14:paraId="637C3C65" w14:textId="562BDFA1" w:rsidR="003D4FD2" w:rsidRPr="0063279B" w:rsidRDefault="003D4FD2" w:rsidP="00776DDF">
      <w:pPr>
        <w:pStyle w:val="Heading3"/>
        <w:tabs>
          <w:tab w:val="clear" w:pos="851"/>
          <w:tab w:val="left" w:pos="90"/>
          <w:tab w:val="left" w:pos="180"/>
          <w:tab w:val="left" w:pos="270"/>
          <w:tab w:val="left" w:pos="450"/>
        </w:tabs>
        <w:ind w:left="90" w:hanging="270"/>
        <w:jc w:val="both"/>
        <w:rPr>
          <w:rFonts w:ascii="Times New Roman" w:hAnsi="Times New Roman"/>
          <w:sz w:val="22"/>
          <w:szCs w:val="22"/>
          <w:lang w:val="es-CO"/>
        </w:rPr>
      </w:pPr>
      <w:r w:rsidRPr="0063279B">
        <w:rPr>
          <w:rFonts w:ascii="Times New Roman" w:hAnsi="Times New Roman"/>
          <w:sz w:val="22"/>
          <w:szCs w:val="22"/>
          <w:lang w:val="es-CO"/>
        </w:rPr>
        <w:t>Establecer marcos de desempeño para VIH y TB en el nivel regional, incluyendo las metas para lograr la Estrategia 90-90-90 por cada región del país</w:t>
      </w:r>
    </w:p>
    <w:p w14:paraId="3BC59EAE" w14:textId="63ECB7D6" w:rsidR="0063279B" w:rsidRPr="0063279B" w:rsidRDefault="00FD5D69" w:rsidP="0063279B">
      <w:pPr>
        <w:ind w:firstLine="0"/>
        <w:rPr>
          <w:lang w:val="es-CO" w:eastAsia="en-US"/>
        </w:rPr>
      </w:pPr>
      <w:r>
        <w:rPr>
          <w:lang w:val="es-CO" w:eastAsia="en-US"/>
        </w:rPr>
        <w:t xml:space="preserve">A la fecha únicamente existe la estimación de PVIH a nivel nacional. Para </w:t>
      </w:r>
      <w:r w:rsidR="00645D50">
        <w:rPr>
          <w:lang w:val="es-CO" w:eastAsia="en-US"/>
        </w:rPr>
        <w:t>focalizar</w:t>
      </w:r>
      <w:r>
        <w:rPr>
          <w:lang w:val="es-CO" w:eastAsia="en-US"/>
        </w:rPr>
        <w:t xml:space="preserve"> la búsqueda y captación de las 10,000 PVIH no diagnosticadas </w:t>
      </w:r>
      <w:r w:rsidR="00645D50">
        <w:rPr>
          <w:lang w:val="es-CO" w:eastAsia="en-US"/>
        </w:rPr>
        <w:t>es necesario</w:t>
      </w:r>
      <w:r>
        <w:rPr>
          <w:lang w:val="es-CO" w:eastAsia="en-US"/>
        </w:rPr>
        <w:t xml:space="preserve"> contar con las brechas estimadas a nivel regional. Actualmente, </w:t>
      </w:r>
      <w:r w:rsidR="00526571">
        <w:rPr>
          <w:lang w:val="es-CO" w:eastAsia="en-US"/>
        </w:rPr>
        <w:t xml:space="preserve">la SESAL </w:t>
      </w:r>
      <w:r w:rsidR="002D4A69">
        <w:rPr>
          <w:lang w:val="es-CO" w:eastAsia="en-US"/>
        </w:rPr>
        <w:t>está</w:t>
      </w:r>
      <w:r>
        <w:rPr>
          <w:lang w:val="es-CO" w:eastAsia="en-US"/>
        </w:rPr>
        <w:t xml:space="preserve"> </w:t>
      </w:r>
      <w:r w:rsidR="002D4A69">
        <w:rPr>
          <w:lang w:val="es-CO" w:eastAsia="en-US"/>
        </w:rPr>
        <w:t>desarrollando una metodología</w:t>
      </w:r>
      <w:r w:rsidR="00526571">
        <w:rPr>
          <w:lang w:val="es-CO" w:eastAsia="en-US"/>
        </w:rPr>
        <w:t xml:space="preserve"> para estimar estas brechas</w:t>
      </w:r>
      <w:r w:rsidR="00495DEF">
        <w:rPr>
          <w:lang w:val="es-CO" w:eastAsia="en-US"/>
        </w:rPr>
        <w:t xml:space="preserve"> con base en </w:t>
      </w:r>
      <w:r w:rsidR="000B0B9F">
        <w:rPr>
          <w:lang w:val="es-CO" w:eastAsia="en-US"/>
        </w:rPr>
        <w:t>la notificación de casos en los últimos 5 años</w:t>
      </w:r>
      <w:r w:rsidR="00526571">
        <w:rPr>
          <w:lang w:val="es-CO" w:eastAsia="en-US"/>
        </w:rPr>
        <w:t xml:space="preserve">. Una vez que se cuente con </w:t>
      </w:r>
      <w:r w:rsidR="003051FD">
        <w:rPr>
          <w:lang w:val="es-CO" w:eastAsia="en-US"/>
        </w:rPr>
        <w:t>las estimaciones, éstas</w:t>
      </w:r>
      <w:r w:rsidR="00526571">
        <w:rPr>
          <w:lang w:val="es-CO" w:eastAsia="en-US"/>
        </w:rPr>
        <w:t xml:space="preserve"> se deberán socializar con las regiones e integrar</w:t>
      </w:r>
      <w:r w:rsidR="003051FD">
        <w:rPr>
          <w:lang w:val="es-CO" w:eastAsia="en-US"/>
        </w:rPr>
        <w:t>se</w:t>
      </w:r>
      <w:r w:rsidR="00526571">
        <w:rPr>
          <w:lang w:val="es-CO" w:eastAsia="en-US"/>
        </w:rPr>
        <w:t xml:space="preserve"> dentro de</w:t>
      </w:r>
      <w:r w:rsidR="00270A46">
        <w:rPr>
          <w:lang w:val="es-CO" w:eastAsia="en-US"/>
        </w:rPr>
        <w:t xml:space="preserve"> los planes operativos regionales.</w:t>
      </w:r>
    </w:p>
    <w:p w14:paraId="632FCC55" w14:textId="20402CB5" w:rsidR="003D4FD2" w:rsidRDefault="00776DDF" w:rsidP="00776DDF">
      <w:pPr>
        <w:pStyle w:val="Heading3"/>
        <w:tabs>
          <w:tab w:val="clear" w:pos="851"/>
          <w:tab w:val="left" w:pos="90"/>
          <w:tab w:val="left" w:pos="180"/>
          <w:tab w:val="left" w:pos="270"/>
          <w:tab w:val="left" w:pos="450"/>
        </w:tabs>
        <w:ind w:left="90" w:hanging="270"/>
        <w:jc w:val="both"/>
        <w:rPr>
          <w:rFonts w:ascii="Times New Roman" w:hAnsi="Times New Roman"/>
          <w:sz w:val="22"/>
          <w:szCs w:val="22"/>
          <w:lang w:val="es-CO"/>
        </w:rPr>
      </w:pPr>
      <w:r w:rsidRPr="0063279B">
        <w:rPr>
          <w:rFonts w:ascii="Times New Roman" w:hAnsi="Times New Roman"/>
          <w:sz w:val="22"/>
          <w:szCs w:val="22"/>
          <w:lang w:val="es-CO"/>
        </w:rPr>
        <w:t xml:space="preserve"> </w:t>
      </w:r>
      <w:r w:rsidR="003D4FD2" w:rsidRPr="0063279B">
        <w:rPr>
          <w:rFonts w:ascii="Times New Roman" w:hAnsi="Times New Roman"/>
          <w:sz w:val="22"/>
          <w:szCs w:val="22"/>
          <w:lang w:val="es-CO"/>
        </w:rPr>
        <w:t>Disponibilidad pública de información sobre prestación de servicios de TB y VIH</w:t>
      </w:r>
    </w:p>
    <w:p w14:paraId="58FFE7F4" w14:textId="0B558A8D" w:rsidR="005810D0" w:rsidRPr="005810D0" w:rsidRDefault="004615F2" w:rsidP="005810D0">
      <w:pPr>
        <w:ind w:firstLine="0"/>
        <w:rPr>
          <w:lang w:val="es-CO" w:eastAsia="en-US"/>
        </w:rPr>
      </w:pPr>
      <w:r>
        <w:rPr>
          <w:lang w:val="es-CO" w:eastAsia="en-US"/>
        </w:rPr>
        <w:t>La</w:t>
      </w:r>
      <w:r w:rsidR="0032377D">
        <w:rPr>
          <w:lang w:val="es-CO" w:eastAsia="en-US"/>
        </w:rPr>
        <w:t xml:space="preserve"> transparencia de la información</w:t>
      </w:r>
      <w:r>
        <w:rPr>
          <w:lang w:val="es-CO" w:eastAsia="en-US"/>
        </w:rPr>
        <w:t xml:space="preserve"> es clave para generar rendición de cuentas</w:t>
      </w:r>
      <w:r w:rsidR="0032377D">
        <w:rPr>
          <w:lang w:val="es-CO" w:eastAsia="en-US"/>
        </w:rPr>
        <w:t xml:space="preserve">. En Honduras, la transparencia en VIH y TB se podría fortalecer a través de la difusión de información de forma regular a través de un </w:t>
      </w:r>
      <w:proofErr w:type="spellStart"/>
      <w:r w:rsidR="0032377D">
        <w:rPr>
          <w:lang w:val="es-CO" w:eastAsia="en-US"/>
        </w:rPr>
        <w:t>sito</w:t>
      </w:r>
      <w:proofErr w:type="spellEnd"/>
      <w:r w:rsidR="0032377D">
        <w:rPr>
          <w:lang w:val="es-CO" w:eastAsia="en-US"/>
        </w:rPr>
        <w:t xml:space="preserve"> web (que podría estar a cargo de la CONASIDA). Además de la información sobre prestación de servicios, se podría reportar el avance hacia las metas 90-90-90 para VIH y 90-90 para TB, así como los recursos destinados a las organizaciones de la sociedad civil para la lucha contra el VIH</w:t>
      </w:r>
      <w:r w:rsidR="00D82046">
        <w:rPr>
          <w:lang w:val="es-CO" w:eastAsia="en-US"/>
        </w:rPr>
        <w:t xml:space="preserve"> y </w:t>
      </w:r>
      <w:r w:rsidR="0032377D">
        <w:rPr>
          <w:lang w:val="es-CO" w:eastAsia="en-US"/>
        </w:rPr>
        <w:t>TB.</w:t>
      </w:r>
    </w:p>
    <w:p w14:paraId="17E4F81D" w14:textId="7147CD66" w:rsidR="00776DDF" w:rsidRPr="0063279B" w:rsidRDefault="003D4FD2" w:rsidP="00776DDF">
      <w:pPr>
        <w:pStyle w:val="Heading3"/>
        <w:tabs>
          <w:tab w:val="clear" w:pos="851"/>
          <w:tab w:val="left" w:pos="90"/>
          <w:tab w:val="left" w:pos="180"/>
          <w:tab w:val="left" w:pos="270"/>
          <w:tab w:val="left" w:pos="450"/>
        </w:tabs>
        <w:ind w:left="90" w:hanging="270"/>
        <w:jc w:val="both"/>
        <w:rPr>
          <w:rFonts w:ascii="Times New Roman" w:hAnsi="Times New Roman"/>
          <w:sz w:val="22"/>
          <w:szCs w:val="22"/>
          <w:lang w:val="es-CO"/>
        </w:rPr>
      </w:pPr>
      <w:r w:rsidRPr="0063279B">
        <w:rPr>
          <w:rFonts w:ascii="Times New Roman" w:hAnsi="Times New Roman"/>
          <w:sz w:val="22"/>
          <w:szCs w:val="22"/>
          <w:lang w:val="es-CO"/>
        </w:rPr>
        <w:t>Fortalecimiento del Sistema de Información Integrado en Salud en cumplimento de lo establecido por la SESAL para lograr su operatividad y uso continuo</w:t>
      </w:r>
    </w:p>
    <w:p w14:paraId="027B2012" w14:textId="7A991D5B" w:rsidR="001B545A" w:rsidRPr="00E846C9" w:rsidRDefault="00057833" w:rsidP="00776DDF">
      <w:pPr>
        <w:ind w:firstLine="0"/>
      </w:pPr>
      <w:r>
        <w:rPr>
          <w:bCs/>
          <w:szCs w:val="22"/>
          <w:lang w:val="es-MX" w:eastAsia="fr-FR"/>
        </w:rPr>
        <w:t xml:space="preserve">El </w:t>
      </w:r>
      <w:r w:rsidRPr="00057833">
        <w:rPr>
          <w:bCs/>
          <w:szCs w:val="22"/>
          <w:lang w:val="es-MX" w:eastAsia="fr-FR"/>
        </w:rPr>
        <w:t>“Proyecto Nacional de Fortalecimiento del Sistema de Información Integrado de Malaria, VIH y Tuberculosis en el Marco del Desarrollo del Sistema Integrado de Información en Salud (SIIS)”</w:t>
      </w:r>
      <w:r w:rsidR="002F54C9">
        <w:rPr>
          <w:bCs/>
          <w:szCs w:val="22"/>
          <w:lang w:val="es-MX" w:eastAsia="fr-FR"/>
        </w:rPr>
        <w:t xml:space="preserve">, financiado por el Fondo Mundial y </w:t>
      </w:r>
      <w:r w:rsidR="00484620">
        <w:rPr>
          <w:bCs/>
          <w:szCs w:val="22"/>
          <w:lang w:val="es-MX" w:eastAsia="fr-FR"/>
        </w:rPr>
        <w:t xml:space="preserve">Clinton </w:t>
      </w:r>
      <w:proofErr w:type="spellStart"/>
      <w:r w:rsidR="00484620">
        <w:rPr>
          <w:bCs/>
          <w:szCs w:val="22"/>
          <w:lang w:val="es-MX" w:eastAsia="fr-FR"/>
        </w:rPr>
        <w:t>Health</w:t>
      </w:r>
      <w:proofErr w:type="spellEnd"/>
      <w:r w:rsidR="00484620">
        <w:rPr>
          <w:bCs/>
          <w:szCs w:val="22"/>
          <w:lang w:val="es-MX" w:eastAsia="fr-FR"/>
        </w:rPr>
        <w:t xml:space="preserve"> Access </w:t>
      </w:r>
      <w:proofErr w:type="spellStart"/>
      <w:r w:rsidR="00484620">
        <w:rPr>
          <w:bCs/>
          <w:szCs w:val="22"/>
          <w:lang w:val="es-MX" w:eastAsia="fr-FR"/>
        </w:rPr>
        <w:t>Initiative</w:t>
      </w:r>
      <w:proofErr w:type="spellEnd"/>
      <w:r w:rsidR="00484620">
        <w:rPr>
          <w:bCs/>
          <w:szCs w:val="22"/>
          <w:lang w:val="es-MX" w:eastAsia="fr-FR"/>
        </w:rPr>
        <w:t xml:space="preserve"> (CHAI),</w:t>
      </w:r>
      <w:r w:rsidR="001B545A">
        <w:rPr>
          <w:bCs/>
          <w:szCs w:val="22"/>
          <w:lang w:val="es-MX" w:eastAsia="fr-FR"/>
        </w:rPr>
        <w:t xml:space="preserve"> representa una única oportunidad para generar un sistema integrado para dar seguimiento </w:t>
      </w:r>
      <w:r w:rsidR="001B545A" w:rsidRPr="001B545A">
        <w:rPr>
          <w:bCs/>
          <w:szCs w:val="22"/>
          <w:lang w:val="es-MX" w:eastAsia="fr-FR"/>
        </w:rPr>
        <w:t>al paciente a lo largo del continuo de atención de VIH, además de vincular resultados con aquellos de TB y Malaria.</w:t>
      </w:r>
      <w:r w:rsidR="001B545A">
        <w:rPr>
          <w:lang w:val="es-MX"/>
        </w:rPr>
        <w:t xml:space="preserve"> </w:t>
      </w:r>
      <w:r w:rsidR="001B545A" w:rsidRPr="001B545A">
        <w:rPr>
          <w:bCs/>
          <w:szCs w:val="22"/>
          <w:lang w:val="es-MX" w:eastAsia="fr-FR"/>
        </w:rPr>
        <w:t>A finales de enero de 2019 se reportaban avances significativos en su construcción y se espera su finalización este año. Durante este proceso se buscará vincular algunos de los indicadores más significativos del SIIS al sistema de evaluación y monitoreo de la</w:t>
      </w:r>
      <w:r w:rsidR="0009383D">
        <w:rPr>
          <w:bCs/>
          <w:szCs w:val="22"/>
          <w:lang w:val="es-MX" w:eastAsia="fr-FR"/>
        </w:rPr>
        <w:t xml:space="preserve"> SCGG.</w:t>
      </w:r>
    </w:p>
    <w:p w14:paraId="3A46DEB1" w14:textId="70C5E884" w:rsidR="000A386D" w:rsidRDefault="00EE0F6F" w:rsidP="00F948D1">
      <w:pPr>
        <w:pStyle w:val="Heading1"/>
        <w:ind w:firstLine="0"/>
        <w:rPr>
          <w:lang w:val="es-GT"/>
        </w:rPr>
      </w:pPr>
      <w:bookmarkStart w:id="47" w:name="_Toc8381167"/>
      <w:r w:rsidRPr="001872A3">
        <w:rPr>
          <w:lang w:val="es-GT"/>
        </w:rPr>
        <w:lastRenderedPageBreak/>
        <w:t xml:space="preserve">Plan </w:t>
      </w:r>
      <w:r>
        <w:rPr>
          <w:lang w:val="es-GT"/>
        </w:rPr>
        <w:t>d</w:t>
      </w:r>
      <w:r w:rsidRPr="001872A3">
        <w:rPr>
          <w:lang w:val="es-GT"/>
        </w:rPr>
        <w:t xml:space="preserve">e Trabajo </w:t>
      </w:r>
      <w:r>
        <w:rPr>
          <w:lang w:val="es-GT"/>
        </w:rPr>
        <w:t>para la</w:t>
      </w:r>
      <w:r w:rsidRPr="001872A3">
        <w:rPr>
          <w:lang w:val="es-GT"/>
        </w:rPr>
        <w:t xml:space="preserve"> Sostenibilidad</w:t>
      </w:r>
      <w:bookmarkEnd w:id="47"/>
    </w:p>
    <w:p w14:paraId="4BDA05FD" w14:textId="740E8FE6" w:rsidR="001161DF" w:rsidRDefault="002D6A7A" w:rsidP="00F948D1">
      <w:pPr>
        <w:ind w:firstLine="0"/>
        <w:rPr>
          <w:lang w:val="es-GT" w:eastAsia="en-US"/>
        </w:rPr>
      </w:pPr>
      <w:r w:rsidRPr="0047508B">
        <w:rPr>
          <w:lang w:val="es-GT" w:eastAsia="en-US"/>
        </w:rPr>
        <w:t xml:space="preserve">Esta sección propone un PTS para </w:t>
      </w:r>
      <w:r w:rsidR="0047508B" w:rsidRPr="0047508B">
        <w:rPr>
          <w:lang w:val="es-GT" w:eastAsia="en-US"/>
        </w:rPr>
        <w:t>Honduras</w:t>
      </w:r>
      <w:r w:rsidRPr="0047508B">
        <w:rPr>
          <w:lang w:val="es-GT" w:eastAsia="en-US"/>
        </w:rPr>
        <w:t xml:space="preserve">. Para facilitar su comprensión, la presentación se hace mediante una tabla donde el PTS está organizado en torno a los </w:t>
      </w:r>
      <w:r w:rsidR="0047508B" w:rsidRPr="0047508B">
        <w:rPr>
          <w:lang w:val="es-GT" w:eastAsia="en-US"/>
        </w:rPr>
        <w:t>7</w:t>
      </w:r>
      <w:r w:rsidRPr="0047508B">
        <w:rPr>
          <w:lang w:val="es-GT" w:eastAsia="en-US"/>
        </w:rPr>
        <w:t xml:space="preserve"> objetivos generales y sus respectivas acciones. Cada acción comprende una o varias actividades. Para cada una de éstas, la tabla propone el período de implementación; especifica si será o no necesaria una asistencia técnica; indica si requerirá de un financiamiento adicional y, en caso afirmativo, muestra un monto estimado de financiamiento y propone posibles fuentes para obtenerlo; señala cuáles serían las entidades responsables; identifica posibles agencias de apoyo; especifica la relación con las líneas estratégicas del PEN</w:t>
      </w:r>
      <w:r w:rsidR="00BB6A78">
        <w:rPr>
          <w:lang w:val="es-GT" w:eastAsia="en-US"/>
        </w:rPr>
        <w:t>SIDA y PENTB</w:t>
      </w:r>
      <w:r w:rsidR="00F34C76">
        <w:rPr>
          <w:lang w:val="es-GT" w:eastAsia="en-US"/>
        </w:rPr>
        <w:t xml:space="preserve">, así como la alineación con el </w:t>
      </w:r>
      <w:r w:rsidR="00E1203D" w:rsidRPr="00E1203D">
        <w:rPr>
          <w:lang w:val="es-GT" w:eastAsia="en-US"/>
        </w:rPr>
        <w:t>Plan de Reducción de Obstáculos Relacionados con los Derechos Humanos al Acceso a los Servicios de VIH, Plan Quinquenal 2019-2023</w:t>
      </w:r>
      <w:r w:rsidR="00E1203D">
        <w:rPr>
          <w:lang w:val="es-GT" w:eastAsia="en-US"/>
        </w:rPr>
        <w:t xml:space="preserve"> </w:t>
      </w:r>
      <w:r w:rsidR="00F34C76">
        <w:rPr>
          <w:lang w:val="es-GT" w:eastAsia="en-US"/>
        </w:rPr>
        <w:t xml:space="preserve">y el Informe Final de la Misión técnica de Evaluación integral conjunta de la respuesta del sistema de salud a la infección por el VIH y las ITS y apoyo técnico hacia la innovación, la ampliación y la sostenibilidad </w:t>
      </w:r>
      <w:r w:rsidRPr="0047508B">
        <w:rPr>
          <w:lang w:val="es-GT" w:eastAsia="en-US"/>
        </w:rPr>
        <w:t>; y, finalmente, sugiere un indicador de proceso. Se espera que esta información sirva de guía para la formulación de planes operativos, en los cuales se distribuirán estas actividades en un horizonte de varios años y se calcularán costos detallados para cada actividad y año.</w:t>
      </w:r>
    </w:p>
    <w:p w14:paraId="0022123F" w14:textId="77777777" w:rsidR="00F34C76" w:rsidRDefault="00F34C76" w:rsidP="00F948D1">
      <w:pPr>
        <w:ind w:firstLine="0"/>
        <w:rPr>
          <w:lang w:val="es-GT" w:eastAsia="en-US"/>
        </w:rPr>
      </w:pPr>
    </w:p>
    <w:p w14:paraId="783C372F" w14:textId="77777777" w:rsidR="002D6A7A" w:rsidRDefault="002D6A7A" w:rsidP="00F948D1">
      <w:pPr>
        <w:ind w:firstLine="0"/>
        <w:rPr>
          <w:lang w:val="es-GT" w:eastAsia="en-US"/>
        </w:rPr>
      </w:pPr>
    </w:p>
    <w:p w14:paraId="4CF8452A" w14:textId="77777777" w:rsidR="00263171" w:rsidRDefault="00263171" w:rsidP="00F948D1">
      <w:pPr>
        <w:ind w:firstLine="0"/>
        <w:rPr>
          <w:lang w:val="es-GT" w:eastAsia="en-US"/>
        </w:rPr>
      </w:pPr>
    </w:p>
    <w:p w14:paraId="7DF4C828" w14:textId="77777777" w:rsidR="00263171" w:rsidRDefault="00263171" w:rsidP="00F948D1">
      <w:pPr>
        <w:ind w:firstLine="0"/>
        <w:rPr>
          <w:lang w:val="es-GT" w:eastAsia="en-US"/>
        </w:rPr>
      </w:pPr>
    </w:p>
    <w:p w14:paraId="14CDAC61" w14:textId="77777777" w:rsidR="00263171" w:rsidRDefault="00263171" w:rsidP="00F948D1">
      <w:pPr>
        <w:ind w:firstLine="0"/>
        <w:rPr>
          <w:lang w:val="es-GT" w:eastAsia="en-US"/>
        </w:rPr>
      </w:pPr>
    </w:p>
    <w:p w14:paraId="0092747A" w14:textId="77777777" w:rsidR="00263171" w:rsidRDefault="00263171" w:rsidP="00F948D1">
      <w:pPr>
        <w:ind w:firstLine="0"/>
        <w:rPr>
          <w:lang w:val="es-GT" w:eastAsia="en-US"/>
        </w:rPr>
      </w:pPr>
    </w:p>
    <w:p w14:paraId="2AF6E1D0" w14:textId="77777777" w:rsidR="00263171" w:rsidRDefault="00263171" w:rsidP="00F948D1">
      <w:pPr>
        <w:ind w:firstLine="0"/>
        <w:rPr>
          <w:lang w:val="es-GT" w:eastAsia="en-US"/>
        </w:rPr>
      </w:pPr>
    </w:p>
    <w:p w14:paraId="604BFC5A" w14:textId="77777777" w:rsidR="00263171" w:rsidRDefault="00263171" w:rsidP="00F948D1">
      <w:pPr>
        <w:ind w:firstLine="0"/>
        <w:rPr>
          <w:lang w:val="es-GT" w:eastAsia="en-US"/>
        </w:rPr>
      </w:pPr>
    </w:p>
    <w:p w14:paraId="19F11C7B" w14:textId="77777777" w:rsidR="00263171" w:rsidRDefault="00263171" w:rsidP="00F948D1">
      <w:pPr>
        <w:ind w:firstLine="0"/>
        <w:rPr>
          <w:lang w:val="es-GT" w:eastAsia="en-US"/>
        </w:rPr>
      </w:pPr>
    </w:p>
    <w:p w14:paraId="5A54D673" w14:textId="77777777" w:rsidR="00263171" w:rsidRDefault="00263171" w:rsidP="00F948D1">
      <w:pPr>
        <w:ind w:firstLine="0"/>
        <w:rPr>
          <w:lang w:val="es-GT" w:eastAsia="en-US"/>
        </w:rPr>
      </w:pPr>
    </w:p>
    <w:p w14:paraId="28595D13" w14:textId="77777777" w:rsidR="00263171" w:rsidRDefault="00263171" w:rsidP="00F948D1">
      <w:pPr>
        <w:ind w:firstLine="0"/>
        <w:rPr>
          <w:lang w:val="es-GT" w:eastAsia="en-US"/>
        </w:rPr>
      </w:pPr>
    </w:p>
    <w:p w14:paraId="4EBD1DF6" w14:textId="77777777" w:rsidR="00263171" w:rsidRDefault="00263171" w:rsidP="00F948D1">
      <w:pPr>
        <w:ind w:firstLine="0"/>
        <w:rPr>
          <w:lang w:val="es-GT" w:eastAsia="en-US"/>
        </w:rPr>
      </w:pPr>
    </w:p>
    <w:p w14:paraId="7443BF9E" w14:textId="77777777" w:rsidR="00263171" w:rsidRDefault="00263171" w:rsidP="00F948D1">
      <w:pPr>
        <w:ind w:firstLine="0"/>
        <w:rPr>
          <w:lang w:val="es-GT" w:eastAsia="en-US"/>
        </w:rPr>
      </w:pPr>
    </w:p>
    <w:p w14:paraId="35676C24" w14:textId="77777777" w:rsidR="00263171" w:rsidRDefault="00263171" w:rsidP="00F948D1">
      <w:pPr>
        <w:ind w:firstLine="0"/>
        <w:rPr>
          <w:lang w:val="es-GT" w:eastAsia="en-US"/>
        </w:rPr>
      </w:pPr>
    </w:p>
    <w:p w14:paraId="02957F51" w14:textId="77777777" w:rsidR="00263171" w:rsidRDefault="00263171" w:rsidP="00F948D1">
      <w:pPr>
        <w:ind w:firstLine="0"/>
        <w:rPr>
          <w:lang w:val="es-GT" w:eastAsia="en-US"/>
        </w:rPr>
      </w:pPr>
    </w:p>
    <w:p w14:paraId="476DE380" w14:textId="77777777" w:rsidR="00263171" w:rsidRDefault="00263171" w:rsidP="00F948D1">
      <w:pPr>
        <w:ind w:firstLine="0"/>
        <w:rPr>
          <w:lang w:val="es-GT" w:eastAsia="en-US"/>
        </w:rPr>
      </w:pPr>
    </w:p>
    <w:p w14:paraId="4B4C2CF3" w14:textId="77777777" w:rsidR="00263171" w:rsidRDefault="00263171" w:rsidP="00F948D1">
      <w:pPr>
        <w:ind w:firstLine="0"/>
        <w:rPr>
          <w:lang w:val="es-GT" w:eastAsia="en-US"/>
        </w:rPr>
      </w:pPr>
    </w:p>
    <w:p w14:paraId="58F7C216" w14:textId="77777777" w:rsidR="00263171" w:rsidRDefault="00263171" w:rsidP="00F948D1">
      <w:pPr>
        <w:ind w:firstLine="0"/>
        <w:rPr>
          <w:lang w:val="es-GT" w:eastAsia="en-US"/>
        </w:rPr>
      </w:pPr>
    </w:p>
    <w:p w14:paraId="57C26621" w14:textId="77777777" w:rsidR="00263171" w:rsidRDefault="00263171" w:rsidP="00F948D1">
      <w:pPr>
        <w:ind w:firstLine="0"/>
        <w:rPr>
          <w:lang w:val="es-GT" w:eastAsia="en-US"/>
        </w:rPr>
      </w:pPr>
    </w:p>
    <w:p w14:paraId="1BEC093C" w14:textId="77777777" w:rsidR="00263171" w:rsidRDefault="00263171" w:rsidP="00F948D1">
      <w:pPr>
        <w:ind w:firstLine="0"/>
        <w:rPr>
          <w:lang w:val="es-GT" w:eastAsia="en-US"/>
        </w:rPr>
      </w:pPr>
    </w:p>
    <w:p w14:paraId="0FE91099" w14:textId="77777777" w:rsidR="00263171" w:rsidRDefault="00263171" w:rsidP="00F948D1">
      <w:pPr>
        <w:ind w:firstLine="0"/>
        <w:rPr>
          <w:lang w:val="es-GT" w:eastAsia="en-US"/>
        </w:rPr>
      </w:pPr>
    </w:p>
    <w:p w14:paraId="3F10457E" w14:textId="77777777" w:rsidR="00263171" w:rsidRDefault="00263171" w:rsidP="00F948D1">
      <w:pPr>
        <w:ind w:firstLine="0"/>
        <w:rPr>
          <w:lang w:val="es-GT" w:eastAsia="en-US"/>
        </w:rPr>
      </w:pPr>
    </w:p>
    <w:p w14:paraId="2DCB2D35" w14:textId="77777777" w:rsidR="00263171" w:rsidRDefault="00263171" w:rsidP="00F948D1">
      <w:pPr>
        <w:ind w:firstLine="0"/>
        <w:rPr>
          <w:lang w:val="es-GT" w:eastAsia="en-US"/>
        </w:rPr>
      </w:pPr>
    </w:p>
    <w:p w14:paraId="33F096D3" w14:textId="68998ACA" w:rsidR="00263171" w:rsidRDefault="00263171" w:rsidP="00F948D1">
      <w:pPr>
        <w:ind w:firstLine="0"/>
        <w:rPr>
          <w:lang w:val="es-GT" w:eastAsia="en-US"/>
        </w:rPr>
      </w:pPr>
    </w:p>
    <w:p w14:paraId="0624A503" w14:textId="65C06896" w:rsidR="00263171" w:rsidRDefault="00263171" w:rsidP="00F948D1">
      <w:pPr>
        <w:ind w:firstLine="0"/>
        <w:rPr>
          <w:lang w:val="es-GT" w:eastAsia="en-US"/>
        </w:rPr>
        <w:sectPr w:rsidR="00263171" w:rsidSect="00FD4E1D">
          <w:footerReference w:type="default" r:id="rId14"/>
          <w:pgSz w:w="12240" w:h="15840" w:code="1"/>
          <w:pgMar w:top="1440" w:right="1134" w:bottom="1440" w:left="1134" w:header="720" w:footer="720" w:gutter="0"/>
          <w:pgNumType w:start="1"/>
          <w:cols w:space="720"/>
          <w:docGrid w:linePitch="360"/>
        </w:sectPr>
      </w:pPr>
    </w:p>
    <w:tbl>
      <w:tblPr>
        <w:tblStyle w:val="TableGrid"/>
        <w:tblpPr w:leftFromText="180" w:rightFromText="180" w:vertAnchor="text" w:horzAnchor="margin" w:tblpXSpec="center" w:tblpY="233"/>
        <w:tblW w:w="14410" w:type="dxa"/>
        <w:tblLayout w:type="fixed"/>
        <w:tblLook w:val="04A0" w:firstRow="1" w:lastRow="0" w:firstColumn="1" w:lastColumn="0" w:noHBand="0" w:noVBand="1"/>
      </w:tblPr>
      <w:tblGrid>
        <w:gridCol w:w="265"/>
        <w:gridCol w:w="2440"/>
        <w:gridCol w:w="440"/>
        <w:gridCol w:w="3780"/>
        <w:gridCol w:w="630"/>
        <w:gridCol w:w="1530"/>
        <w:gridCol w:w="540"/>
        <w:gridCol w:w="1440"/>
        <w:gridCol w:w="900"/>
        <w:gridCol w:w="1080"/>
        <w:gridCol w:w="1365"/>
      </w:tblGrid>
      <w:tr w:rsidR="00CC18AD" w:rsidRPr="00535E4F" w14:paraId="7A518B1E" w14:textId="77777777" w:rsidTr="00361102">
        <w:trPr>
          <w:trHeight w:val="420"/>
        </w:trPr>
        <w:tc>
          <w:tcPr>
            <w:tcW w:w="14410" w:type="dxa"/>
            <w:gridSpan w:val="11"/>
            <w:shd w:val="clear" w:color="auto" w:fill="1F4E79" w:themeFill="accent1" w:themeFillShade="80"/>
          </w:tcPr>
          <w:p w14:paraId="239A879E" w14:textId="5EA8CA68" w:rsidR="00CC18AD" w:rsidRPr="00A765C0" w:rsidRDefault="00A765C0" w:rsidP="00263171">
            <w:pPr>
              <w:ind w:firstLine="0"/>
              <w:jc w:val="left"/>
              <w:rPr>
                <w:rFonts w:asciiTheme="majorHAnsi" w:hAnsiTheme="majorHAnsi" w:cstheme="majorHAnsi"/>
                <w:b/>
                <w:lang w:val="es-CO"/>
              </w:rPr>
            </w:pPr>
            <w:bookmarkStart w:id="48" w:name="_Toc536011829"/>
            <w:r>
              <w:rPr>
                <w:rFonts w:asciiTheme="majorHAnsi" w:hAnsiTheme="majorHAnsi" w:cstheme="majorHAnsi"/>
                <w:b/>
                <w:color w:val="FFFFFF" w:themeColor="background1"/>
                <w:sz w:val="24"/>
                <w:lang w:val="es-ES"/>
              </w:rPr>
              <w:lastRenderedPageBreak/>
              <w:t xml:space="preserve">(I) </w:t>
            </w:r>
            <w:r w:rsidR="007867B8">
              <w:rPr>
                <w:rFonts w:asciiTheme="majorHAnsi" w:hAnsiTheme="majorHAnsi" w:cstheme="majorHAnsi"/>
                <w:b/>
                <w:color w:val="FFFFFF" w:themeColor="background1"/>
                <w:sz w:val="24"/>
                <w:lang w:val="es-ES"/>
              </w:rPr>
              <w:t>Implementar</w:t>
            </w:r>
            <w:r>
              <w:rPr>
                <w:rFonts w:asciiTheme="majorHAnsi" w:hAnsiTheme="majorHAnsi" w:cstheme="majorHAnsi"/>
                <w:b/>
                <w:color w:val="FFFFFF" w:themeColor="background1"/>
                <w:sz w:val="24"/>
                <w:lang w:val="es-ES"/>
              </w:rPr>
              <w:t xml:space="preserve"> acciones </w:t>
            </w:r>
            <w:r w:rsidR="007867B8">
              <w:rPr>
                <w:rFonts w:asciiTheme="majorHAnsi" w:hAnsiTheme="majorHAnsi" w:cstheme="majorHAnsi"/>
                <w:b/>
                <w:color w:val="FFFFFF" w:themeColor="background1"/>
                <w:sz w:val="24"/>
                <w:lang w:val="es-ES"/>
              </w:rPr>
              <w:t>programáticas clave que garanticen la sostenibilidad epidemiológica</w:t>
            </w:r>
          </w:p>
        </w:tc>
      </w:tr>
      <w:tr w:rsidR="00CC18AD" w:rsidRPr="00535E4F" w14:paraId="1EFCDB67" w14:textId="77777777" w:rsidTr="00361102">
        <w:trPr>
          <w:trHeight w:val="420"/>
        </w:trPr>
        <w:tc>
          <w:tcPr>
            <w:tcW w:w="14410" w:type="dxa"/>
            <w:gridSpan w:val="11"/>
            <w:shd w:val="clear" w:color="auto" w:fill="DEEAF6" w:themeFill="accent1" w:themeFillTint="33"/>
          </w:tcPr>
          <w:p w14:paraId="79391C3A" w14:textId="6BB0F5B9" w:rsidR="00CC18AD" w:rsidRPr="006F027C" w:rsidRDefault="00C362F4" w:rsidP="00263171">
            <w:pPr>
              <w:ind w:firstLine="0"/>
              <w:jc w:val="left"/>
              <w:rPr>
                <w:rFonts w:asciiTheme="majorHAnsi" w:hAnsiTheme="majorHAnsi" w:cstheme="majorHAnsi"/>
                <w:b/>
                <w:lang w:val="es-419"/>
              </w:rPr>
            </w:pPr>
            <w:r w:rsidRPr="00A1454D">
              <w:rPr>
                <w:rFonts w:asciiTheme="majorHAnsi" w:hAnsiTheme="majorHAnsi" w:cstheme="majorHAnsi"/>
                <w:b/>
                <w:sz w:val="20"/>
                <w:lang w:val="es-ES"/>
              </w:rPr>
              <w:t>Objetivo 1.</w:t>
            </w:r>
            <w:r w:rsidR="00CC18AD" w:rsidRPr="00A1454D">
              <w:rPr>
                <w:rFonts w:asciiTheme="majorHAnsi" w:hAnsiTheme="majorHAnsi" w:cstheme="majorHAnsi"/>
                <w:b/>
                <w:sz w:val="20"/>
                <w:lang w:val="es-ES"/>
              </w:rPr>
              <w:t xml:space="preserve"> Fortalecer la vigilancia y monitoreo de la resistencia a medicamentos de VIH</w:t>
            </w:r>
            <w:r w:rsidR="005F681D">
              <w:rPr>
                <w:rFonts w:asciiTheme="majorHAnsi" w:hAnsiTheme="majorHAnsi" w:cstheme="majorHAnsi"/>
                <w:b/>
                <w:sz w:val="20"/>
                <w:lang w:val="es-ES"/>
              </w:rPr>
              <w:t xml:space="preserve"> y </w:t>
            </w:r>
            <w:r w:rsidR="00CC18AD" w:rsidRPr="00A1454D">
              <w:rPr>
                <w:rFonts w:asciiTheme="majorHAnsi" w:hAnsiTheme="majorHAnsi" w:cstheme="majorHAnsi"/>
                <w:b/>
                <w:sz w:val="20"/>
                <w:lang w:val="es-ES"/>
              </w:rPr>
              <w:t>TB y migración a esquemas de alto costo</w:t>
            </w:r>
            <w:r w:rsidR="000C0360">
              <w:rPr>
                <w:rFonts w:asciiTheme="majorHAnsi" w:hAnsiTheme="majorHAnsi" w:cstheme="majorHAnsi"/>
                <w:b/>
                <w:sz w:val="20"/>
                <w:lang w:val="es-ES"/>
              </w:rPr>
              <w:t xml:space="preserve"> y baja toxicidad</w:t>
            </w:r>
            <w:r w:rsidR="00CC18AD" w:rsidRPr="00A1454D">
              <w:rPr>
                <w:rFonts w:asciiTheme="majorHAnsi" w:hAnsiTheme="majorHAnsi" w:cstheme="majorHAnsi"/>
                <w:b/>
                <w:sz w:val="20"/>
                <w:lang w:val="es-ES"/>
              </w:rPr>
              <w:t>, así como las actividades que favorecen el control de la TB-MDR</w:t>
            </w:r>
          </w:p>
        </w:tc>
      </w:tr>
      <w:tr w:rsidR="00AA78FE" w:rsidRPr="00041A72" w14:paraId="2B121A2C" w14:textId="77777777" w:rsidTr="00AA78FE">
        <w:trPr>
          <w:trHeight w:val="725"/>
        </w:trPr>
        <w:tc>
          <w:tcPr>
            <w:tcW w:w="265" w:type="dxa"/>
            <w:shd w:val="clear" w:color="auto" w:fill="F2F2F2" w:themeFill="background1" w:themeFillShade="F2"/>
            <w:hideMark/>
          </w:tcPr>
          <w:p w14:paraId="0A1A5F50" w14:textId="77777777" w:rsidR="00A765C0" w:rsidRPr="00041A72" w:rsidRDefault="00A765C0" w:rsidP="00263171">
            <w:pPr>
              <w:ind w:firstLine="0"/>
              <w:jc w:val="left"/>
              <w:rPr>
                <w:b/>
                <w:bCs/>
                <w:sz w:val="18"/>
                <w:szCs w:val="18"/>
                <w:lang w:val="es-CO"/>
              </w:rPr>
            </w:pPr>
          </w:p>
        </w:tc>
        <w:tc>
          <w:tcPr>
            <w:tcW w:w="2440" w:type="dxa"/>
            <w:shd w:val="clear" w:color="auto" w:fill="F2F2F2" w:themeFill="background1" w:themeFillShade="F2"/>
            <w:hideMark/>
          </w:tcPr>
          <w:p w14:paraId="30C73CAE" w14:textId="6584F5E9" w:rsidR="00A765C0" w:rsidRPr="00041A72" w:rsidRDefault="00C362F4" w:rsidP="00263171">
            <w:pPr>
              <w:ind w:firstLine="0"/>
              <w:jc w:val="left"/>
              <w:rPr>
                <w:b/>
                <w:bCs/>
                <w:sz w:val="18"/>
                <w:szCs w:val="18"/>
                <w:lang w:val="es-CO"/>
              </w:rPr>
            </w:pPr>
            <w:r w:rsidRPr="00041A72">
              <w:rPr>
                <w:b/>
                <w:bCs/>
                <w:sz w:val="18"/>
                <w:szCs w:val="18"/>
                <w:lang w:val="es-CO"/>
              </w:rPr>
              <w:t>Acciones</w:t>
            </w:r>
          </w:p>
        </w:tc>
        <w:tc>
          <w:tcPr>
            <w:tcW w:w="440" w:type="dxa"/>
            <w:shd w:val="clear" w:color="auto" w:fill="F2F2F2" w:themeFill="background1" w:themeFillShade="F2"/>
            <w:hideMark/>
          </w:tcPr>
          <w:p w14:paraId="666FB706" w14:textId="1D4407C1" w:rsidR="00A765C0" w:rsidRPr="00041A72" w:rsidRDefault="00C362F4" w:rsidP="00263171">
            <w:pPr>
              <w:ind w:firstLine="0"/>
              <w:jc w:val="left"/>
              <w:rPr>
                <w:b/>
                <w:bCs/>
                <w:sz w:val="18"/>
                <w:szCs w:val="18"/>
                <w:lang w:val="es-CO"/>
              </w:rPr>
            </w:pPr>
            <w:proofErr w:type="spellStart"/>
            <w:r w:rsidRPr="00041A72">
              <w:rPr>
                <w:b/>
                <w:bCs/>
                <w:sz w:val="18"/>
                <w:szCs w:val="18"/>
                <w:lang w:val="es-CO"/>
              </w:rPr>
              <w:t>N</w:t>
            </w:r>
            <w:r w:rsidR="00361102">
              <w:rPr>
                <w:b/>
                <w:bCs/>
                <w:sz w:val="18"/>
                <w:szCs w:val="18"/>
                <w:lang w:val="es-CO"/>
              </w:rPr>
              <w:t>°</w:t>
            </w:r>
            <w:proofErr w:type="spellEnd"/>
          </w:p>
        </w:tc>
        <w:tc>
          <w:tcPr>
            <w:tcW w:w="3780" w:type="dxa"/>
            <w:shd w:val="clear" w:color="auto" w:fill="F2F2F2" w:themeFill="background1" w:themeFillShade="F2"/>
            <w:hideMark/>
          </w:tcPr>
          <w:p w14:paraId="66CD5CE2" w14:textId="3F29D170" w:rsidR="00A765C0" w:rsidRPr="00041A72" w:rsidRDefault="00A765C0" w:rsidP="00263171">
            <w:pPr>
              <w:ind w:firstLine="0"/>
              <w:jc w:val="left"/>
              <w:rPr>
                <w:b/>
                <w:bCs/>
                <w:sz w:val="18"/>
                <w:szCs w:val="18"/>
                <w:lang w:val="es-CO"/>
              </w:rPr>
            </w:pPr>
            <w:r w:rsidRPr="00041A72">
              <w:rPr>
                <w:b/>
                <w:bCs/>
                <w:sz w:val="18"/>
                <w:szCs w:val="18"/>
                <w:lang w:val="es-CO"/>
              </w:rPr>
              <w:t>Actividad</w:t>
            </w:r>
            <w:r w:rsidR="00C362F4" w:rsidRPr="00041A72">
              <w:rPr>
                <w:b/>
                <w:bCs/>
                <w:sz w:val="18"/>
                <w:szCs w:val="18"/>
                <w:lang w:val="es-CO"/>
              </w:rPr>
              <w:t>es</w:t>
            </w:r>
          </w:p>
        </w:tc>
        <w:tc>
          <w:tcPr>
            <w:tcW w:w="630" w:type="dxa"/>
            <w:shd w:val="clear" w:color="auto" w:fill="F2F2F2" w:themeFill="background1" w:themeFillShade="F2"/>
            <w:hideMark/>
          </w:tcPr>
          <w:p w14:paraId="6F714608" w14:textId="506EC312" w:rsidR="00A765C0" w:rsidRPr="00041A72" w:rsidRDefault="00C362F4" w:rsidP="00263171">
            <w:pPr>
              <w:ind w:firstLine="0"/>
              <w:jc w:val="left"/>
              <w:rPr>
                <w:b/>
                <w:bCs/>
                <w:sz w:val="18"/>
                <w:szCs w:val="18"/>
                <w:lang w:val="es-CO"/>
              </w:rPr>
            </w:pPr>
            <w:r w:rsidRPr="00041A72">
              <w:rPr>
                <w:b/>
                <w:bCs/>
                <w:sz w:val="18"/>
                <w:szCs w:val="18"/>
                <w:lang w:val="es-CO"/>
              </w:rPr>
              <w:t>Año</w:t>
            </w:r>
            <w:r w:rsidR="00361102" w:rsidRPr="00361102">
              <w:rPr>
                <w:b/>
                <w:bCs/>
                <w:sz w:val="18"/>
                <w:szCs w:val="18"/>
                <w:lang w:val="es-CO"/>
              </w:rPr>
              <w:t>/s</w:t>
            </w:r>
          </w:p>
        </w:tc>
        <w:tc>
          <w:tcPr>
            <w:tcW w:w="1530" w:type="dxa"/>
            <w:shd w:val="clear" w:color="auto" w:fill="F2F2F2" w:themeFill="background1" w:themeFillShade="F2"/>
            <w:hideMark/>
          </w:tcPr>
          <w:p w14:paraId="67988B61" w14:textId="77777777" w:rsidR="00A765C0" w:rsidRPr="00041A72" w:rsidRDefault="00A765C0" w:rsidP="00263171">
            <w:pPr>
              <w:ind w:firstLine="0"/>
              <w:jc w:val="left"/>
              <w:rPr>
                <w:b/>
                <w:bCs/>
                <w:sz w:val="18"/>
                <w:szCs w:val="18"/>
                <w:lang w:val="es-CO"/>
              </w:rPr>
            </w:pPr>
            <w:r w:rsidRPr="00041A72">
              <w:rPr>
                <w:b/>
                <w:bCs/>
                <w:sz w:val="18"/>
                <w:szCs w:val="18"/>
                <w:lang w:val="es-CO"/>
              </w:rPr>
              <w:t>Entidad/es responsable/s</w:t>
            </w:r>
          </w:p>
        </w:tc>
        <w:tc>
          <w:tcPr>
            <w:tcW w:w="540" w:type="dxa"/>
            <w:shd w:val="clear" w:color="auto" w:fill="F2F2F2" w:themeFill="background1" w:themeFillShade="F2"/>
          </w:tcPr>
          <w:p w14:paraId="6227E66C" w14:textId="77777777" w:rsidR="00A765C0" w:rsidRPr="00041A72" w:rsidRDefault="00A765C0" w:rsidP="00263171">
            <w:pPr>
              <w:ind w:firstLine="0"/>
              <w:jc w:val="left"/>
              <w:rPr>
                <w:b/>
                <w:bCs/>
                <w:sz w:val="18"/>
                <w:szCs w:val="18"/>
                <w:lang w:val="es-CO"/>
              </w:rPr>
            </w:pPr>
            <w:r w:rsidRPr="00041A72">
              <w:rPr>
                <w:b/>
                <w:bCs/>
                <w:sz w:val="18"/>
                <w:szCs w:val="18"/>
                <w:lang w:val="es-CO"/>
              </w:rPr>
              <w:t>AT</w:t>
            </w:r>
          </w:p>
        </w:tc>
        <w:tc>
          <w:tcPr>
            <w:tcW w:w="1440" w:type="dxa"/>
            <w:shd w:val="clear" w:color="auto" w:fill="F2F2F2" w:themeFill="background1" w:themeFillShade="F2"/>
          </w:tcPr>
          <w:p w14:paraId="2FBFA370" w14:textId="256FED61" w:rsidR="00A765C0" w:rsidRPr="00041A72" w:rsidRDefault="00C362F4" w:rsidP="00263171">
            <w:pPr>
              <w:ind w:firstLine="0"/>
              <w:jc w:val="left"/>
              <w:rPr>
                <w:b/>
                <w:bCs/>
                <w:sz w:val="18"/>
                <w:szCs w:val="18"/>
                <w:lang w:val="es-CO"/>
              </w:rPr>
            </w:pPr>
            <w:r w:rsidRPr="00041A72">
              <w:rPr>
                <w:b/>
                <w:bCs/>
                <w:sz w:val="18"/>
                <w:szCs w:val="18"/>
                <w:lang w:val="es-CO"/>
              </w:rPr>
              <w:t>Financiamiento requerido</w:t>
            </w:r>
          </w:p>
        </w:tc>
        <w:tc>
          <w:tcPr>
            <w:tcW w:w="900" w:type="dxa"/>
            <w:shd w:val="clear" w:color="auto" w:fill="F2F2F2" w:themeFill="background1" w:themeFillShade="F2"/>
          </w:tcPr>
          <w:p w14:paraId="34FD8890" w14:textId="5B3CD3E2" w:rsidR="00A765C0" w:rsidRPr="00041A72" w:rsidRDefault="00A765C0" w:rsidP="004161E7">
            <w:pPr>
              <w:spacing w:before="0" w:after="0"/>
              <w:ind w:firstLine="0"/>
              <w:jc w:val="left"/>
              <w:rPr>
                <w:b/>
                <w:bCs/>
                <w:sz w:val="18"/>
                <w:szCs w:val="18"/>
                <w:lang w:val="es-CO"/>
              </w:rPr>
            </w:pPr>
            <w:r w:rsidRPr="00041A72">
              <w:rPr>
                <w:b/>
                <w:bCs/>
                <w:sz w:val="18"/>
                <w:szCs w:val="18"/>
                <w:lang w:val="es-CO"/>
              </w:rPr>
              <w:t>Fuentes de</w:t>
            </w:r>
            <w:r w:rsidR="00C362F4" w:rsidRPr="00041A72">
              <w:rPr>
                <w:b/>
                <w:bCs/>
                <w:sz w:val="18"/>
                <w:szCs w:val="18"/>
                <w:lang w:val="es-CO"/>
              </w:rPr>
              <w:t xml:space="preserve"> </w:t>
            </w:r>
            <w:r w:rsidRPr="00041A72">
              <w:rPr>
                <w:b/>
                <w:bCs/>
                <w:sz w:val="18"/>
                <w:szCs w:val="18"/>
                <w:lang w:val="es-CO"/>
              </w:rPr>
              <w:t>financia-</w:t>
            </w:r>
          </w:p>
          <w:p w14:paraId="65EDD03C" w14:textId="6C0DA2E2" w:rsidR="00A765C0" w:rsidRPr="00041A72" w:rsidRDefault="00A765C0" w:rsidP="004161E7">
            <w:pPr>
              <w:spacing w:before="0" w:after="0"/>
              <w:ind w:firstLine="0"/>
              <w:jc w:val="left"/>
              <w:rPr>
                <w:b/>
                <w:bCs/>
                <w:sz w:val="18"/>
                <w:szCs w:val="18"/>
                <w:lang w:val="es-CO"/>
              </w:rPr>
            </w:pPr>
            <w:r w:rsidRPr="00041A72">
              <w:rPr>
                <w:b/>
                <w:bCs/>
                <w:sz w:val="18"/>
                <w:szCs w:val="18"/>
                <w:lang w:val="es-CO"/>
              </w:rPr>
              <w:t>miento</w:t>
            </w:r>
          </w:p>
        </w:tc>
        <w:tc>
          <w:tcPr>
            <w:tcW w:w="1080" w:type="dxa"/>
            <w:shd w:val="clear" w:color="auto" w:fill="F2F2F2" w:themeFill="background1" w:themeFillShade="F2"/>
          </w:tcPr>
          <w:p w14:paraId="6F5A71C0" w14:textId="77777777" w:rsidR="00A765C0" w:rsidRPr="00041A72" w:rsidRDefault="00A765C0" w:rsidP="00263171">
            <w:pPr>
              <w:ind w:firstLine="0"/>
              <w:jc w:val="left"/>
              <w:rPr>
                <w:b/>
                <w:bCs/>
                <w:sz w:val="18"/>
                <w:szCs w:val="18"/>
                <w:lang w:val="es-CO"/>
              </w:rPr>
            </w:pPr>
            <w:r w:rsidRPr="00041A72">
              <w:rPr>
                <w:b/>
                <w:bCs/>
                <w:sz w:val="18"/>
                <w:szCs w:val="18"/>
                <w:lang w:val="es-CO"/>
              </w:rPr>
              <w:t>Alineación con Planes Nacionales</w:t>
            </w:r>
          </w:p>
        </w:tc>
        <w:tc>
          <w:tcPr>
            <w:tcW w:w="1365" w:type="dxa"/>
            <w:shd w:val="clear" w:color="auto" w:fill="F2F2F2" w:themeFill="background1" w:themeFillShade="F2"/>
            <w:hideMark/>
          </w:tcPr>
          <w:p w14:paraId="7BCAB86D" w14:textId="77777777" w:rsidR="00A765C0" w:rsidRPr="00041A72" w:rsidRDefault="00A765C0" w:rsidP="00263171">
            <w:pPr>
              <w:ind w:firstLine="0"/>
              <w:jc w:val="left"/>
              <w:rPr>
                <w:b/>
                <w:bCs/>
                <w:sz w:val="18"/>
                <w:szCs w:val="18"/>
                <w:lang w:val="es-CO"/>
              </w:rPr>
            </w:pPr>
            <w:r w:rsidRPr="00041A72">
              <w:rPr>
                <w:b/>
                <w:bCs/>
                <w:sz w:val="18"/>
                <w:szCs w:val="18"/>
                <w:lang w:val="es-CO"/>
              </w:rPr>
              <w:t>Indicador de proceso</w:t>
            </w:r>
          </w:p>
        </w:tc>
      </w:tr>
      <w:tr w:rsidR="00AA78FE" w:rsidRPr="00041A72" w14:paraId="4D264F5B" w14:textId="77777777" w:rsidTr="00AA78FE">
        <w:trPr>
          <w:trHeight w:val="1391"/>
        </w:trPr>
        <w:tc>
          <w:tcPr>
            <w:tcW w:w="265" w:type="dxa"/>
            <w:vMerge w:val="restart"/>
            <w:hideMark/>
          </w:tcPr>
          <w:p w14:paraId="63D05C59" w14:textId="77777777" w:rsidR="00A765C0" w:rsidRPr="00361102" w:rsidRDefault="00A765C0" w:rsidP="00263171">
            <w:pPr>
              <w:ind w:firstLine="0"/>
              <w:jc w:val="left"/>
              <w:rPr>
                <w:bCs/>
                <w:sz w:val="18"/>
                <w:szCs w:val="18"/>
                <w:lang w:val="es-CO"/>
              </w:rPr>
            </w:pPr>
            <w:r w:rsidRPr="00361102">
              <w:rPr>
                <w:bCs/>
                <w:sz w:val="18"/>
                <w:szCs w:val="18"/>
                <w:lang w:val="es-CO"/>
              </w:rPr>
              <w:t>a</w:t>
            </w:r>
          </w:p>
        </w:tc>
        <w:tc>
          <w:tcPr>
            <w:tcW w:w="2440" w:type="dxa"/>
            <w:vMerge w:val="restart"/>
            <w:hideMark/>
          </w:tcPr>
          <w:p w14:paraId="4B739D5F" w14:textId="7ECFA460" w:rsidR="00A765C0" w:rsidRPr="00361102" w:rsidRDefault="00A765C0" w:rsidP="00263171">
            <w:pPr>
              <w:ind w:firstLine="0"/>
              <w:jc w:val="left"/>
              <w:rPr>
                <w:sz w:val="18"/>
                <w:szCs w:val="18"/>
                <w:lang w:val="es-CO"/>
              </w:rPr>
            </w:pPr>
            <w:r w:rsidRPr="00361102">
              <w:rPr>
                <w:sz w:val="18"/>
                <w:szCs w:val="18"/>
                <w:lang w:val="es-CO"/>
              </w:rPr>
              <w:t>Elaborar el “Plan nacional de abordaje a la resistencia de los ARV en Honduras”</w:t>
            </w:r>
            <w:r w:rsidR="00DB402A">
              <w:t xml:space="preserve"> </w:t>
            </w:r>
            <w:r w:rsidR="00DB402A" w:rsidRPr="00776DDF">
              <w:rPr>
                <w:sz w:val="18"/>
                <w:szCs w:val="18"/>
                <w:lang w:val="es-CO"/>
              </w:rPr>
              <w:t>que aborda las siguientes acciones b-</w:t>
            </w:r>
            <w:r w:rsidR="00776DDF" w:rsidRPr="00776DDF">
              <w:rPr>
                <w:sz w:val="18"/>
                <w:szCs w:val="18"/>
                <w:lang w:val="es-CO"/>
              </w:rPr>
              <w:t>d</w:t>
            </w:r>
          </w:p>
        </w:tc>
        <w:tc>
          <w:tcPr>
            <w:tcW w:w="440" w:type="dxa"/>
            <w:hideMark/>
          </w:tcPr>
          <w:p w14:paraId="2D691397" w14:textId="77777777" w:rsidR="00A765C0" w:rsidRPr="00041A72" w:rsidRDefault="00A765C0" w:rsidP="00263171">
            <w:pPr>
              <w:ind w:firstLine="0"/>
              <w:jc w:val="left"/>
              <w:rPr>
                <w:sz w:val="18"/>
                <w:szCs w:val="18"/>
                <w:lang w:val="es-CO"/>
              </w:rPr>
            </w:pPr>
            <w:r w:rsidRPr="00041A72">
              <w:rPr>
                <w:sz w:val="18"/>
                <w:szCs w:val="18"/>
                <w:lang w:val="es-CO"/>
              </w:rPr>
              <w:t>1</w:t>
            </w:r>
          </w:p>
        </w:tc>
        <w:tc>
          <w:tcPr>
            <w:tcW w:w="3780" w:type="dxa"/>
            <w:hideMark/>
          </w:tcPr>
          <w:p w14:paraId="332145AC" w14:textId="77777777" w:rsidR="00A765C0" w:rsidRPr="00041A72" w:rsidRDefault="00A765C0" w:rsidP="00263171">
            <w:pPr>
              <w:ind w:firstLine="0"/>
              <w:jc w:val="left"/>
              <w:rPr>
                <w:sz w:val="18"/>
                <w:szCs w:val="18"/>
                <w:lang w:val="es-CO"/>
              </w:rPr>
            </w:pPr>
            <w:r w:rsidRPr="00041A72">
              <w:rPr>
                <w:sz w:val="18"/>
                <w:szCs w:val="18"/>
                <w:lang w:val="es-CO"/>
              </w:rPr>
              <w:t xml:space="preserve">Establecimiento de un comité técnico para el desarrollo y conducción del Plan </w:t>
            </w:r>
            <w:r w:rsidRPr="00041A72">
              <w:rPr>
                <w:i/>
                <w:sz w:val="18"/>
                <w:szCs w:val="18"/>
                <w:lang w:val="es-CO"/>
              </w:rPr>
              <w:t>(El plan deberá definir los lineamientos para el sistema de vigilancia a la resistencia: actividad b, y contará con la participación de OSC en representación de usuarios)</w:t>
            </w:r>
          </w:p>
        </w:tc>
        <w:tc>
          <w:tcPr>
            <w:tcW w:w="630" w:type="dxa"/>
            <w:hideMark/>
          </w:tcPr>
          <w:p w14:paraId="1E7AABB5" w14:textId="77777777" w:rsidR="00A765C0" w:rsidRPr="00041A72" w:rsidRDefault="00A765C0" w:rsidP="00263171">
            <w:pPr>
              <w:ind w:firstLine="0"/>
              <w:jc w:val="left"/>
              <w:rPr>
                <w:sz w:val="18"/>
                <w:szCs w:val="18"/>
                <w:lang w:val="es-CO"/>
              </w:rPr>
            </w:pPr>
            <w:r w:rsidRPr="00041A72">
              <w:rPr>
                <w:sz w:val="18"/>
                <w:szCs w:val="18"/>
                <w:lang w:val="es-CO"/>
              </w:rPr>
              <w:t>2019</w:t>
            </w:r>
          </w:p>
        </w:tc>
        <w:tc>
          <w:tcPr>
            <w:tcW w:w="1530" w:type="dxa"/>
            <w:hideMark/>
          </w:tcPr>
          <w:p w14:paraId="53FBBBFB" w14:textId="0BC15275" w:rsidR="00D82046" w:rsidRDefault="00D82046" w:rsidP="00263171">
            <w:pPr>
              <w:ind w:firstLine="0"/>
              <w:jc w:val="left"/>
              <w:rPr>
                <w:sz w:val="18"/>
                <w:szCs w:val="18"/>
                <w:lang w:val="es-CO"/>
              </w:rPr>
            </w:pPr>
            <w:r>
              <w:rPr>
                <w:sz w:val="18"/>
                <w:szCs w:val="18"/>
                <w:lang w:val="es-CO"/>
              </w:rPr>
              <w:t>Unidad Vigilancia de la Salud</w:t>
            </w:r>
          </w:p>
          <w:p w14:paraId="6319F886" w14:textId="7EE205E9" w:rsidR="00A765C0" w:rsidRPr="00041A72" w:rsidRDefault="00A765C0" w:rsidP="00263171">
            <w:pPr>
              <w:ind w:firstLine="0"/>
              <w:jc w:val="left"/>
              <w:rPr>
                <w:sz w:val="18"/>
                <w:szCs w:val="18"/>
                <w:lang w:val="es-CO"/>
              </w:rPr>
            </w:pPr>
          </w:p>
        </w:tc>
        <w:tc>
          <w:tcPr>
            <w:tcW w:w="540" w:type="dxa"/>
          </w:tcPr>
          <w:p w14:paraId="7660083D" w14:textId="77777777" w:rsidR="00A765C0" w:rsidRPr="00041A72" w:rsidRDefault="00A765C0" w:rsidP="00263171">
            <w:pPr>
              <w:ind w:firstLine="0"/>
              <w:jc w:val="left"/>
              <w:rPr>
                <w:sz w:val="18"/>
                <w:szCs w:val="18"/>
                <w:lang w:val="es-CO"/>
              </w:rPr>
            </w:pPr>
            <w:r w:rsidRPr="00041A72">
              <w:rPr>
                <w:sz w:val="18"/>
                <w:szCs w:val="18"/>
                <w:lang w:val="es-CO"/>
              </w:rPr>
              <w:t>No</w:t>
            </w:r>
          </w:p>
        </w:tc>
        <w:tc>
          <w:tcPr>
            <w:tcW w:w="1440" w:type="dxa"/>
          </w:tcPr>
          <w:p w14:paraId="5D290B03" w14:textId="77777777" w:rsidR="00A765C0" w:rsidRPr="00041A72" w:rsidRDefault="00A765C0" w:rsidP="00263171">
            <w:pPr>
              <w:ind w:firstLine="0"/>
              <w:jc w:val="left"/>
              <w:rPr>
                <w:sz w:val="18"/>
                <w:szCs w:val="18"/>
                <w:lang w:val="es-CO"/>
              </w:rPr>
            </w:pPr>
          </w:p>
        </w:tc>
        <w:tc>
          <w:tcPr>
            <w:tcW w:w="900" w:type="dxa"/>
          </w:tcPr>
          <w:p w14:paraId="0A985FDD" w14:textId="77777777" w:rsidR="00A765C0" w:rsidRPr="00041A72" w:rsidRDefault="00A765C0" w:rsidP="00263171">
            <w:pPr>
              <w:ind w:firstLine="0"/>
              <w:jc w:val="left"/>
              <w:rPr>
                <w:sz w:val="18"/>
                <w:szCs w:val="18"/>
                <w:lang w:val="es-419"/>
              </w:rPr>
            </w:pPr>
          </w:p>
        </w:tc>
        <w:tc>
          <w:tcPr>
            <w:tcW w:w="1080" w:type="dxa"/>
            <w:vMerge w:val="restart"/>
          </w:tcPr>
          <w:p w14:paraId="12A258BC" w14:textId="5D0950D7" w:rsidR="00A765C0" w:rsidRPr="00041A72" w:rsidRDefault="00A765C0" w:rsidP="00263171">
            <w:pPr>
              <w:ind w:firstLine="0"/>
              <w:jc w:val="left"/>
              <w:rPr>
                <w:sz w:val="18"/>
                <w:szCs w:val="18"/>
                <w:lang w:val="es-419"/>
              </w:rPr>
            </w:pPr>
            <w:r w:rsidRPr="00041A72">
              <w:rPr>
                <w:sz w:val="18"/>
                <w:szCs w:val="18"/>
                <w:lang w:val="es-419"/>
              </w:rPr>
              <w:t>PENSIDA</w:t>
            </w:r>
          </w:p>
          <w:p w14:paraId="7932E7A7" w14:textId="434FCB74" w:rsidR="00A765C0" w:rsidRDefault="00A765C0" w:rsidP="00263171">
            <w:pPr>
              <w:ind w:firstLine="0"/>
              <w:jc w:val="left"/>
              <w:rPr>
                <w:sz w:val="18"/>
                <w:szCs w:val="18"/>
                <w:lang w:val="es-419"/>
              </w:rPr>
            </w:pPr>
            <w:r w:rsidRPr="00041A72">
              <w:rPr>
                <w:sz w:val="18"/>
                <w:szCs w:val="18"/>
                <w:lang w:val="es-419"/>
              </w:rPr>
              <w:t xml:space="preserve">1.1.1. </w:t>
            </w:r>
          </w:p>
          <w:p w14:paraId="673CE71F" w14:textId="646B2290" w:rsidR="00312713" w:rsidRPr="00041A72" w:rsidRDefault="00312713" w:rsidP="00263171">
            <w:pPr>
              <w:ind w:firstLine="0"/>
              <w:jc w:val="left"/>
              <w:rPr>
                <w:sz w:val="18"/>
                <w:szCs w:val="18"/>
                <w:lang w:val="es-419"/>
              </w:rPr>
            </w:pPr>
            <w:r>
              <w:rPr>
                <w:sz w:val="18"/>
                <w:szCs w:val="18"/>
                <w:lang w:val="es-419"/>
              </w:rPr>
              <w:t>3.1.5</w:t>
            </w:r>
          </w:p>
          <w:p w14:paraId="30EDFD30" w14:textId="77777777" w:rsidR="00A765C0" w:rsidRPr="00041A72" w:rsidRDefault="00A765C0" w:rsidP="00263171">
            <w:pPr>
              <w:ind w:firstLine="0"/>
              <w:jc w:val="left"/>
              <w:rPr>
                <w:sz w:val="18"/>
                <w:szCs w:val="18"/>
                <w:lang w:val="es-419"/>
              </w:rPr>
            </w:pPr>
            <w:r w:rsidRPr="00041A72">
              <w:rPr>
                <w:sz w:val="18"/>
                <w:szCs w:val="18"/>
                <w:lang w:val="es-419"/>
              </w:rPr>
              <w:t>3.1.6</w:t>
            </w:r>
          </w:p>
          <w:p w14:paraId="3516D64E" w14:textId="77777777" w:rsidR="00A765C0" w:rsidRPr="00041A72" w:rsidRDefault="00A765C0" w:rsidP="00263171">
            <w:pPr>
              <w:ind w:firstLine="0"/>
              <w:jc w:val="left"/>
              <w:rPr>
                <w:sz w:val="18"/>
                <w:szCs w:val="18"/>
                <w:lang w:val="es-CO"/>
              </w:rPr>
            </w:pPr>
          </w:p>
        </w:tc>
        <w:tc>
          <w:tcPr>
            <w:tcW w:w="1365" w:type="dxa"/>
            <w:hideMark/>
          </w:tcPr>
          <w:p w14:paraId="48284D32" w14:textId="77777777" w:rsidR="00A765C0" w:rsidRPr="00041A72" w:rsidRDefault="00A765C0" w:rsidP="00263171">
            <w:pPr>
              <w:ind w:firstLine="0"/>
              <w:jc w:val="left"/>
              <w:rPr>
                <w:sz w:val="18"/>
                <w:szCs w:val="18"/>
                <w:lang w:val="es-CO"/>
              </w:rPr>
            </w:pPr>
            <w:r w:rsidRPr="00041A72">
              <w:rPr>
                <w:sz w:val="18"/>
                <w:szCs w:val="18"/>
                <w:lang w:val="es-CO"/>
              </w:rPr>
              <w:t>Comité designado y constituido</w:t>
            </w:r>
          </w:p>
        </w:tc>
      </w:tr>
      <w:tr w:rsidR="00AA78FE" w:rsidRPr="00041A72" w14:paraId="1DF167BE" w14:textId="77777777" w:rsidTr="00AA78FE">
        <w:trPr>
          <w:trHeight w:val="977"/>
        </w:trPr>
        <w:tc>
          <w:tcPr>
            <w:tcW w:w="265" w:type="dxa"/>
            <w:vMerge/>
          </w:tcPr>
          <w:p w14:paraId="2D69CA11" w14:textId="77777777" w:rsidR="00A765C0" w:rsidRPr="00041A72" w:rsidRDefault="00A765C0" w:rsidP="00263171">
            <w:pPr>
              <w:ind w:firstLine="0"/>
              <w:jc w:val="left"/>
              <w:rPr>
                <w:b/>
                <w:bCs/>
                <w:sz w:val="18"/>
                <w:szCs w:val="18"/>
                <w:lang w:val="es-CO"/>
              </w:rPr>
            </w:pPr>
          </w:p>
        </w:tc>
        <w:tc>
          <w:tcPr>
            <w:tcW w:w="2440" w:type="dxa"/>
            <w:vMerge/>
          </w:tcPr>
          <w:p w14:paraId="4E79B429" w14:textId="77777777" w:rsidR="00A765C0" w:rsidRPr="00041A72" w:rsidRDefault="00A765C0" w:rsidP="00263171">
            <w:pPr>
              <w:ind w:firstLine="0"/>
              <w:jc w:val="left"/>
              <w:rPr>
                <w:b/>
                <w:sz w:val="18"/>
                <w:szCs w:val="18"/>
                <w:lang w:val="es-CO"/>
              </w:rPr>
            </w:pPr>
          </w:p>
        </w:tc>
        <w:tc>
          <w:tcPr>
            <w:tcW w:w="440" w:type="dxa"/>
          </w:tcPr>
          <w:p w14:paraId="2E015566" w14:textId="77777777" w:rsidR="00A765C0" w:rsidRPr="00041A72" w:rsidRDefault="00A765C0" w:rsidP="00263171">
            <w:pPr>
              <w:ind w:firstLine="0"/>
              <w:jc w:val="left"/>
              <w:rPr>
                <w:sz w:val="18"/>
                <w:szCs w:val="18"/>
                <w:lang w:val="es-CO"/>
              </w:rPr>
            </w:pPr>
            <w:r w:rsidRPr="00041A72">
              <w:rPr>
                <w:sz w:val="18"/>
                <w:szCs w:val="18"/>
                <w:lang w:val="es-CO"/>
              </w:rPr>
              <w:t>2</w:t>
            </w:r>
          </w:p>
        </w:tc>
        <w:tc>
          <w:tcPr>
            <w:tcW w:w="3780" w:type="dxa"/>
          </w:tcPr>
          <w:p w14:paraId="0435EEFE" w14:textId="4009B268" w:rsidR="00A765C0" w:rsidRPr="00041A72" w:rsidRDefault="00A765C0" w:rsidP="00263171">
            <w:pPr>
              <w:ind w:firstLine="0"/>
              <w:jc w:val="left"/>
              <w:rPr>
                <w:sz w:val="18"/>
                <w:szCs w:val="18"/>
                <w:lang w:val="es-CO"/>
              </w:rPr>
            </w:pPr>
            <w:r w:rsidRPr="00041A72">
              <w:rPr>
                <w:sz w:val="18"/>
                <w:szCs w:val="18"/>
                <w:lang w:val="es-CO"/>
              </w:rPr>
              <w:t>Organización de reuniones de revisión y validación del Plan con amplia participación multisectorial</w:t>
            </w:r>
          </w:p>
        </w:tc>
        <w:tc>
          <w:tcPr>
            <w:tcW w:w="630" w:type="dxa"/>
          </w:tcPr>
          <w:p w14:paraId="241E3DF2" w14:textId="77777777" w:rsidR="00A765C0" w:rsidRPr="00041A72" w:rsidRDefault="00A765C0" w:rsidP="00263171">
            <w:pPr>
              <w:ind w:firstLine="0"/>
              <w:jc w:val="left"/>
              <w:rPr>
                <w:sz w:val="18"/>
                <w:szCs w:val="18"/>
                <w:lang w:val="es-CO"/>
              </w:rPr>
            </w:pPr>
            <w:r w:rsidRPr="00041A72">
              <w:rPr>
                <w:sz w:val="18"/>
                <w:szCs w:val="18"/>
                <w:lang w:val="es-CO"/>
              </w:rPr>
              <w:t>2019</w:t>
            </w:r>
          </w:p>
        </w:tc>
        <w:tc>
          <w:tcPr>
            <w:tcW w:w="1530" w:type="dxa"/>
          </w:tcPr>
          <w:p w14:paraId="2B0FAF52" w14:textId="04A5609D" w:rsidR="00D82046" w:rsidRDefault="00D82046" w:rsidP="00263171">
            <w:pPr>
              <w:ind w:firstLine="0"/>
              <w:jc w:val="left"/>
              <w:rPr>
                <w:sz w:val="18"/>
                <w:szCs w:val="18"/>
                <w:lang w:val="es-CO"/>
              </w:rPr>
            </w:pPr>
            <w:r>
              <w:rPr>
                <w:sz w:val="18"/>
                <w:szCs w:val="18"/>
                <w:lang w:val="es-CO"/>
              </w:rPr>
              <w:t>Unidad Vigilancia de la Salud</w:t>
            </w:r>
          </w:p>
          <w:p w14:paraId="373B452E" w14:textId="6A6A00E6" w:rsidR="00A765C0" w:rsidRPr="00041A72" w:rsidRDefault="00A765C0" w:rsidP="00263171">
            <w:pPr>
              <w:ind w:firstLine="0"/>
              <w:jc w:val="left"/>
              <w:rPr>
                <w:sz w:val="18"/>
                <w:szCs w:val="18"/>
                <w:lang w:val="es-CO"/>
              </w:rPr>
            </w:pPr>
          </w:p>
        </w:tc>
        <w:tc>
          <w:tcPr>
            <w:tcW w:w="540" w:type="dxa"/>
          </w:tcPr>
          <w:p w14:paraId="77D9CE7F" w14:textId="77777777" w:rsidR="00A765C0" w:rsidRPr="00041A72" w:rsidRDefault="00A765C0" w:rsidP="00263171">
            <w:pPr>
              <w:ind w:firstLine="0"/>
              <w:jc w:val="left"/>
              <w:rPr>
                <w:sz w:val="18"/>
                <w:szCs w:val="18"/>
                <w:lang w:val="es-CO"/>
              </w:rPr>
            </w:pPr>
            <w:r w:rsidRPr="00041A72">
              <w:rPr>
                <w:sz w:val="18"/>
                <w:szCs w:val="18"/>
                <w:lang w:val="es-CO"/>
              </w:rPr>
              <w:t>Si</w:t>
            </w:r>
          </w:p>
        </w:tc>
        <w:tc>
          <w:tcPr>
            <w:tcW w:w="1440" w:type="dxa"/>
          </w:tcPr>
          <w:p w14:paraId="79D3E7B4" w14:textId="219BA92F" w:rsidR="00A765C0" w:rsidRPr="00041A72" w:rsidRDefault="00A765C0" w:rsidP="00263171">
            <w:pPr>
              <w:ind w:firstLine="0"/>
              <w:jc w:val="left"/>
              <w:rPr>
                <w:sz w:val="18"/>
                <w:szCs w:val="18"/>
                <w:lang w:val="es-CO"/>
              </w:rPr>
            </w:pPr>
            <w:r w:rsidRPr="00041A72">
              <w:rPr>
                <w:sz w:val="18"/>
                <w:szCs w:val="18"/>
                <w:lang w:val="es-CO"/>
              </w:rPr>
              <w:t>1,130 USD</w:t>
            </w:r>
          </w:p>
        </w:tc>
        <w:tc>
          <w:tcPr>
            <w:tcW w:w="900" w:type="dxa"/>
          </w:tcPr>
          <w:p w14:paraId="516CD11C" w14:textId="77777777" w:rsidR="00A765C0" w:rsidRPr="00041A72" w:rsidRDefault="00A765C0" w:rsidP="00263171">
            <w:pPr>
              <w:ind w:firstLine="0"/>
              <w:jc w:val="left"/>
              <w:rPr>
                <w:sz w:val="18"/>
                <w:szCs w:val="18"/>
                <w:lang w:val="es-419"/>
              </w:rPr>
            </w:pPr>
          </w:p>
        </w:tc>
        <w:tc>
          <w:tcPr>
            <w:tcW w:w="1080" w:type="dxa"/>
            <w:vMerge/>
          </w:tcPr>
          <w:p w14:paraId="569F0E97" w14:textId="77777777" w:rsidR="00A765C0" w:rsidRPr="00041A72" w:rsidRDefault="00A765C0" w:rsidP="00263171">
            <w:pPr>
              <w:ind w:firstLine="0"/>
              <w:jc w:val="left"/>
              <w:rPr>
                <w:sz w:val="18"/>
                <w:szCs w:val="18"/>
                <w:lang w:val="es-419"/>
              </w:rPr>
            </w:pPr>
          </w:p>
        </w:tc>
        <w:tc>
          <w:tcPr>
            <w:tcW w:w="1365" w:type="dxa"/>
          </w:tcPr>
          <w:p w14:paraId="2EFF9484" w14:textId="0F344A70" w:rsidR="00A765C0" w:rsidRPr="00041A72" w:rsidRDefault="00A765C0" w:rsidP="00263171">
            <w:pPr>
              <w:ind w:firstLine="0"/>
              <w:jc w:val="left"/>
              <w:rPr>
                <w:sz w:val="18"/>
                <w:szCs w:val="18"/>
                <w:lang w:val="es-CO"/>
              </w:rPr>
            </w:pPr>
            <w:r w:rsidRPr="00041A72">
              <w:rPr>
                <w:sz w:val="18"/>
                <w:szCs w:val="18"/>
                <w:lang w:val="es-CO"/>
              </w:rPr>
              <w:t xml:space="preserve">Plan nacional revisado y validado </w:t>
            </w:r>
            <w:r w:rsidR="00361102">
              <w:rPr>
                <w:sz w:val="18"/>
                <w:szCs w:val="18"/>
                <w:lang w:val="es-CO"/>
              </w:rPr>
              <w:t>multisectorialmente</w:t>
            </w:r>
            <w:r w:rsidRPr="00041A72">
              <w:rPr>
                <w:sz w:val="18"/>
                <w:szCs w:val="18"/>
                <w:lang w:val="es-CO"/>
              </w:rPr>
              <w:t xml:space="preserve"> durante el 2019</w:t>
            </w:r>
          </w:p>
        </w:tc>
      </w:tr>
      <w:tr w:rsidR="00AA78FE" w:rsidRPr="00041A72" w14:paraId="0BBEB57D" w14:textId="77777777" w:rsidTr="006D1CC4">
        <w:trPr>
          <w:trHeight w:hRule="exact" w:val="817"/>
        </w:trPr>
        <w:tc>
          <w:tcPr>
            <w:tcW w:w="265" w:type="dxa"/>
            <w:vMerge/>
            <w:hideMark/>
          </w:tcPr>
          <w:p w14:paraId="2D20196B" w14:textId="77777777" w:rsidR="00A765C0" w:rsidRPr="00041A72" w:rsidRDefault="00A765C0" w:rsidP="00263171">
            <w:pPr>
              <w:ind w:firstLine="0"/>
              <w:jc w:val="left"/>
              <w:rPr>
                <w:b/>
                <w:bCs/>
                <w:sz w:val="18"/>
                <w:szCs w:val="18"/>
                <w:lang w:val="es-CO"/>
              </w:rPr>
            </w:pPr>
          </w:p>
        </w:tc>
        <w:tc>
          <w:tcPr>
            <w:tcW w:w="2440" w:type="dxa"/>
            <w:vMerge/>
            <w:hideMark/>
          </w:tcPr>
          <w:p w14:paraId="437BF5D6" w14:textId="77777777" w:rsidR="00A765C0" w:rsidRPr="00041A72" w:rsidRDefault="00A765C0" w:rsidP="00263171">
            <w:pPr>
              <w:ind w:firstLine="0"/>
              <w:jc w:val="left"/>
              <w:rPr>
                <w:sz w:val="18"/>
                <w:szCs w:val="18"/>
                <w:lang w:val="es-CO"/>
              </w:rPr>
            </w:pPr>
          </w:p>
        </w:tc>
        <w:tc>
          <w:tcPr>
            <w:tcW w:w="440" w:type="dxa"/>
            <w:hideMark/>
          </w:tcPr>
          <w:p w14:paraId="0592F607" w14:textId="77777777" w:rsidR="00A765C0" w:rsidRPr="00041A72" w:rsidRDefault="00A765C0" w:rsidP="00263171">
            <w:pPr>
              <w:ind w:firstLine="0"/>
              <w:jc w:val="left"/>
              <w:rPr>
                <w:sz w:val="18"/>
                <w:szCs w:val="18"/>
                <w:lang w:val="es-CO"/>
              </w:rPr>
            </w:pPr>
            <w:r w:rsidRPr="00041A72">
              <w:rPr>
                <w:sz w:val="18"/>
                <w:szCs w:val="18"/>
                <w:lang w:val="es-CO"/>
              </w:rPr>
              <w:t>3</w:t>
            </w:r>
          </w:p>
        </w:tc>
        <w:tc>
          <w:tcPr>
            <w:tcW w:w="3780" w:type="dxa"/>
            <w:hideMark/>
          </w:tcPr>
          <w:p w14:paraId="71F51181" w14:textId="77777777" w:rsidR="00A765C0" w:rsidRPr="00041A72" w:rsidRDefault="00A765C0" w:rsidP="00263171">
            <w:pPr>
              <w:ind w:firstLine="0"/>
              <w:jc w:val="left"/>
              <w:rPr>
                <w:sz w:val="18"/>
                <w:szCs w:val="18"/>
                <w:lang w:val="es-CO"/>
              </w:rPr>
            </w:pPr>
            <w:r w:rsidRPr="00041A72">
              <w:rPr>
                <w:sz w:val="18"/>
                <w:szCs w:val="18"/>
                <w:lang w:val="es-CO"/>
              </w:rPr>
              <w:t>Impresión y socialización del Plan</w:t>
            </w:r>
          </w:p>
        </w:tc>
        <w:tc>
          <w:tcPr>
            <w:tcW w:w="630" w:type="dxa"/>
            <w:hideMark/>
          </w:tcPr>
          <w:p w14:paraId="61AD6D15" w14:textId="77777777" w:rsidR="00A765C0" w:rsidRPr="00041A72" w:rsidRDefault="00A765C0" w:rsidP="00263171">
            <w:pPr>
              <w:ind w:firstLine="0"/>
              <w:jc w:val="left"/>
              <w:rPr>
                <w:sz w:val="18"/>
                <w:szCs w:val="18"/>
                <w:lang w:val="es-CO"/>
              </w:rPr>
            </w:pPr>
            <w:r w:rsidRPr="00041A72">
              <w:rPr>
                <w:sz w:val="18"/>
                <w:szCs w:val="18"/>
                <w:lang w:val="es-CO"/>
              </w:rPr>
              <w:t>2019</w:t>
            </w:r>
          </w:p>
        </w:tc>
        <w:tc>
          <w:tcPr>
            <w:tcW w:w="1530" w:type="dxa"/>
            <w:hideMark/>
          </w:tcPr>
          <w:p w14:paraId="1C1B9A7E" w14:textId="0C1370F5" w:rsidR="00D82046" w:rsidRDefault="00D82046" w:rsidP="00D82046">
            <w:pPr>
              <w:ind w:firstLine="0"/>
              <w:jc w:val="left"/>
              <w:rPr>
                <w:sz w:val="18"/>
                <w:szCs w:val="18"/>
                <w:lang w:val="es-CO"/>
              </w:rPr>
            </w:pPr>
            <w:r>
              <w:rPr>
                <w:sz w:val="18"/>
                <w:szCs w:val="18"/>
                <w:lang w:val="es-CO"/>
              </w:rPr>
              <w:t>Unidad Vigilancia de la Salud</w:t>
            </w:r>
          </w:p>
          <w:p w14:paraId="67A2A3E5" w14:textId="77777777" w:rsidR="00D82046" w:rsidRDefault="00D82046" w:rsidP="00263171">
            <w:pPr>
              <w:ind w:firstLine="0"/>
              <w:jc w:val="left"/>
              <w:rPr>
                <w:sz w:val="18"/>
                <w:szCs w:val="18"/>
                <w:lang w:val="es-CO"/>
              </w:rPr>
            </w:pPr>
          </w:p>
          <w:p w14:paraId="553EBC22" w14:textId="7FB15F2D" w:rsidR="00A765C0" w:rsidRPr="00041A72" w:rsidRDefault="00A765C0" w:rsidP="00263171">
            <w:pPr>
              <w:ind w:firstLine="0"/>
              <w:jc w:val="left"/>
              <w:rPr>
                <w:sz w:val="18"/>
                <w:szCs w:val="18"/>
                <w:lang w:val="es-CO"/>
              </w:rPr>
            </w:pPr>
          </w:p>
        </w:tc>
        <w:tc>
          <w:tcPr>
            <w:tcW w:w="540" w:type="dxa"/>
          </w:tcPr>
          <w:p w14:paraId="62C447B4" w14:textId="77777777" w:rsidR="00A765C0" w:rsidRPr="00041A72" w:rsidRDefault="00A765C0" w:rsidP="00263171">
            <w:pPr>
              <w:ind w:firstLine="0"/>
              <w:jc w:val="left"/>
              <w:rPr>
                <w:sz w:val="18"/>
                <w:szCs w:val="18"/>
                <w:lang w:val="es-CO"/>
              </w:rPr>
            </w:pPr>
            <w:r w:rsidRPr="00041A72">
              <w:rPr>
                <w:sz w:val="18"/>
                <w:szCs w:val="18"/>
                <w:lang w:val="es-CO"/>
              </w:rPr>
              <w:t>Si</w:t>
            </w:r>
          </w:p>
        </w:tc>
        <w:tc>
          <w:tcPr>
            <w:tcW w:w="1440" w:type="dxa"/>
          </w:tcPr>
          <w:p w14:paraId="1EFFBF0D" w14:textId="6BB6433E" w:rsidR="00A765C0" w:rsidRPr="00041A72" w:rsidRDefault="00A765C0" w:rsidP="00263171">
            <w:pPr>
              <w:ind w:firstLine="0"/>
              <w:jc w:val="left"/>
              <w:rPr>
                <w:sz w:val="18"/>
                <w:szCs w:val="18"/>
                <w:lang w:val="es-CO"/>
              </w:rPr>
            </w:pPr>
            <w:r w:rsidRPr="00041A72">
              <w:rPr>
                <w:sz w:val="18"/>
                <w:szCs w:val="18"/>
                <w:lang w:val="es-CO"/>
              </w:rPr>
              <w:t xml:space="preserve">1,650 USD </w:t>
            </w:r>
          </w:p>
        </w:tc>
        <w:tc>
          <w:tcPr>
            <w:tcW w:w="900" w:type="dxa"/>
          </w:tcPr>
          <w:p w14:paraId="54511676" w14:textId="77777777" w:rsidR="00A765C0" w:rsidRPr="00041A72" w:rsidRDefault="00A765C0" w:rsidP="00263171">
            <w:pPr>
              <w:ind w:firstLine="0"/>
              <w:jc w:val="left"/>
              <w:rPr>
                <w:sz w:val="18"/>
                <w:szCs w:val="18"/>
                <w:lang w:val="es-CO"/>
              </w:rPr>
            </w:pPr>
          </w:p>
        </w:tc>
        <w:tc>
          <w:tcPr>
            <w:tcW w:w="1080" w:type="dxa"/>
            <w:vMerge/>
          </w:tcPr>
          <w:p w14:paraId="45D7844F" w14:textId="77777777" w:rsidR="00A765C0" w:rsidRPr="00041A72" w:rsidRDefault="00A765C0" w:rsidP="00263171">
            <w:pPr>
              <w:ind w:firstLine="0"/>
              <w:jc w:val="left"/>
              <w:rPr>
                <w:sz w:val="18"/>
                <w:szCs w:val="18"/>
                <w:lang w:val="es-CO"/>
              </w:rPr>
            </w:pPr>
          </w:p>
        </w:tc>
        <w:tc>
          <w:tcPr>
            <w:tcW w:w="1365" w:type="dxa"/>
            <w:hideMark/>
          </w:tcPr>
          <w:p w14:paraId="77FBA390" w14:textId="77777777" w:rsidR="00A765C0" w:rsidRPr="00041A72" w:rsidRDefault="00A765C0" w:rsidP="00263171">
            <w:pPr>
              <w:ind w:firstLine="0"/>
              <w:jc w:val="left"/>
              <w:rPr>
                <w:sz w:val="18"/>
                <w:szCs w:val="18"/>
                <w:lang w:val="es-CO"/>
              </w:rPr>
            </w:pPr>
            <w:r w:rsidRPr="00041A72">
              <w:rPr>
                <w:sz w:val="18"/>
                <w:szCs w:val="18"/>
                <w:lang w:val="es-CO"/>
              </w:rPr>
              <w:t xml:space="preserve">Documento aprobado </w:t>
            </w:r>
          </w:p>
        </w:tc>
      </w:tr>
      <w:tr w:rsidR="00AA78FE" w:rsidRPr="00041A72" w14:paraId="37FF8895" w14:textId="77777777" w:rsidTr="00AA78FE">
        <w:trPr>
          <w:trHeight w:hRule="exact" w:val="1823"/>
        </w:trPr>
        <w:tc>
          <w:tcPr>
            <w:tcW w:w="265" w:type="dxa"/>
            <w:vMerge w:val="restart"/>
            <w:hideMark/>
          </w:tcPr>
          <w:p w14:paraId="31840F88" w14:textId="77777777" w:rsidR="00A765C0" w:rsidRPr="00361102" w:rsidRDefault="00A765C0" w:rsidP="00263171">
            <w:pPr>
              <w:ind w:firstLine="0"/>
              <w:jc w:val="left"/>
              <w:rPr>
                <w:bCs/>
                <w:sz w:val="18"/>
                <w:szCs w:val="18"/>
                <w:lang w:val="es-CO"/>
              </w:rPr>
            </w:pPr>
            <w:r w:rsidRPr="00361102">
              <w:rPr>
                <w:bCs/>
                <w:sz w:val="18"/>
                <w:szCs w:val="18"/>
                <w:lang w:val="es-CO"/>
              </w:rPr>
              <w:t>b</w:t>
            </w:r>
          </w:p>
        </w:tc>
        <w:tc>
          <w:tcPr>
            <w:tcW w:w="2440" w:type="dxa"/>
            <w:vMerge w:val="restart"/>
            <w:hideMark/>
          </w:tcPr>
          <w:p w14:paraId="3254A375" w14:textId="0E7574F0" w:rsidR="00A765C0" w:rsidRPr="00361102" w:rsidRDefault="00A765C0" w:rsidP="00263171">
            <w:pPr>
              <w:ind w:firstLine="0"/>
              <w:jc w:val="left"/>
              <w:rPr>
                <w:sz w:val="18"/>
                <w:szCs w:val="18"/>
                <w:lang w:val="es-CO"/>
              </w:rPr>
            </w:pPr>
            <w:r w:rsidRPr="00361102">
              <w:rPr>
                <w:sz w:val="18"/>
                <w:szCs w:val="18"/>
                <w:lang w:val="es-CO"/>
              </w:rPr>
              <w:t xml:space="preserve">Establecer un sistema de vigilancia a la resistencia </w:t>
            </w:r>
            <w:r w:rsidR="00C5230F">
              <w:rPr>
                <w:sz w:val="18"/>
                <w:szCs w:val="18"/>
                <w:lang w:val="es-CO"/>
              </w:rPr>
              <w:t>a</w:t>
            </w:r>
            <w:r w:rsidRPr="00361102">
              <w:rPr>
                <w:sz w:val="18"/>
                <w:szCs w:val="18"/>
                <w:lang w:val="es-CO"/>
              </w:rPr>
              <w:t xml:space="preserve"> los ARV</w:t>
            </w:r>
          </w:p>
        </w:tc>
        <w:tc>
          <w:tcPr>
            <w:tcW w:w="440" w:type="dxa"/>
            <w:hideMark/>
          </w:tcPr>
          <w:p w14:paraId="740F8B2E" w14:textId="77777777" w:rsidR="00A765C0" w:rsidRPr="00041A72" w:rsidRDefault="00A765C0" w:rsidP="00263171">
            <w:pPr>
              <w:ind w:firstLine="0"/>
              <w:jc w:val="left"/>
              <w:rPr>
                <w:sz w:val="18"/>
                <w:szCs w:val="18"/>
                <w:lang w:val="es-CO"/>
              </w:rPr>
            </w:pPr>
            <w:r w:rsidRPr="00041A72">
              <w:rPr>
                <w:sz w:val="18"/>
                <w:szCs w:val="18"/>
                <w:lang w:val="es-CO"/>
              </w:rPr>
              <w:t>4</w:t>
            </w:r>
          </w:p>
        </w:tc>
        <w:tc>
          <w:tcPr>
            <w:tcW w:w="3780" w:type="dxa"/>
            <w:hideMark/>
          </w:tcPr>
          <w:p w14:paraId="135B4F16" w14:textId="46BC9499" w:rsidR="00A765C0" w:rsidRPr="00041A72" w:rsidRDefault="00A765C0" w:rsidP="00263171">
            <w:pPr>
              <w:ind w:firstLine="0"/>
              <w:jc w:val="left"/>
              <w:rPr>
                <w:sz w:val="18"/>
                <w:szCs w:val="18"/>
                <w:lang w:val="es-CO"/>
              </w:rPr>
            </w:pPr>
            <w:r w:rsidRPr="00041A72">
              <w:rPr>
                <w:sz w:val="18"/>
                <w:szCs w:val="18"/>
                <w:lang w:val="es-CO"/>
              </w:rPr>
              <w:t xml:space="preserve">Diseño y desarrollo del sistema de vigilancia a la resistencia </w:t>
            </w:r>
            <w:r w:rsidR="00C5230F">
              <w:rPr>
                <w:sz w:val="18"/>
                <w:szCs w:val="18"/>
                <w:lang w:val="es-CO"/>
              </w:rPr>
              <w:t>a</w:t>
            </w:r>
            <w:r w:rsidRPr="00041A72">
              <w:rPr>
                <w:sz w:val="18"/>
                <w:szCs w:val="18"/>
                <w:lang w:val="es-CO"/>
              </w:rPr>
              <w:t xml:space="preserve"> los ARV (Niveles nacional y regional)</w:t>
            </w:r>
          </w:p>
        </w:tc>
        <w:tc>
          <w:tcPr>
            <w:tcW w:w="630" w:type="dxa"/>
            <w:hideMark/>
          </w:tcPr>
          <w:p w14:paraId="30F5BDB5" w14:textId="77777777" w:rsidR="00A765C0" w:rsidRPr="00041A72" w:rsidRDefault="00A765C0" w:rsidP="00263171">
            <w:pPr>
              <w:ind w:firstLine="0"/>
              <w:jc w:val="left"/>
              <w:rPr>
                <w:sz w:val="18"/>
                <w:szCs w:val="18"/>
                <w:lang w:val="es-CO"/>
              </w:rPr>
            </w:pPr>
            <w:r w:rsidRPr="00041A72">
              <w:rPr>
                <w:sz w:val="18"/>
                <w:szCs w:val="18"/>
                <w:lang w:val="es-CO"/>
              </w:rPr>
              <w:t>2020</w:t>
            </w:r>
          </w:p>
        </w:tc>
        <w:tc>
          <w:tcPr>
            <w:tcW w:w="1530" w:type="dxa"/>
            <w:hideMark/>
          </w:tcPr>
          <w:p w14:paraId="5E7BA3DD" w14:textId="771C2234" w:rsidR="00A765C0" w:rsidRPr="00041A72" w:rsidRDefault="00A765C0" w:rsidP="00263171">
            <w:pPr>
              <w:ind w:firstLine="0"/>
              <w:jc w:val="left"/>
              <w:rPr>
                <w:sz w:val="18"/>
                <w:szCs w:val="18"/>
                <w:lang w:val="es-CO"/>
              </w:rPr>
            </w:pPr>
            <w:r w:rsidRPr="00041A72">
              <w:rPr>
                <w:sz w:val="18"/>
                <w:szCs w:val="18"/>
                <w:lang w:val="es-CO"/>
              </w:rPr>
              <w:t>Unidad Vigilancia de Salud</w:t>
            </w:r>
          </w:p>
        </w:tc>
        <w:tc>
          <w:tcPr>
            <w:tcW w:w="540" w:type="dxa"/>
          </w:tcPr>
          <w:p w14:paraId="484A50B1" w14:textId="77777777" w:rsidR="00A765C0" w:rsidRPr="00041A72" w:rsidRDefault="00A765C0" w:rsidP="00263171">
            <w:pPr>
              <w:ind w:firstLine="0"/>
              <w:jc w:val="left"/>
              <w:rPr>
                <w:sz w:val="18"/>
                <w:szCs w:val="18"/>
                <w:lang w:val="es-CO"/>
              </w:rPr>
            </w:pPr>
            <w:r w:rsidRPr="00041A72">
              <w:rPr>
                <w:sz w:val="18"/>
                <w:szCs w:val="18"/>
                <w:lang w:val="es-CO"/>
              </w:rPr>
              <w:t>Si</w:t>
            </w:r>
          </w:p>
        </w:tc>
        <w:tc>
          <w:tcPr>
            <w:tcW w:w="1440" w:type="dxa"/>
          </w:tcPr>
          <w:p w14:paraId="6606765B" w14:textId="77777777" w:rsidR="00A765C0" w:rsidRPr="00041A72" w:rsidRDefault="00A765C0" w:rsidP="00263171">
            <w:pPr>
              <w:ind w:firstLine="0"/>
              <w:jc w:val="left"/>
              <w:rPr>
                <w:sz w:val="18"/>
                <w:szCs w:val="18"/>
                <w:lang w:val="es-CO"/>
              </w:rPr>
            </w:pPr>
            <w:r w:rsidRPr="00041A72">
              <w:rPr>
                <w:sz w:val="18"/>
                <w:szCs w:val="18"/>
                <w:lang w:val="es-CO"/>
              </w:rPr>
              <w:t>90,000-100,000 USD</w:t>
            </w:r>
          </w:p>
          <w:p w14:paraId="20F77C05" w14:textId="71E5ADD2" w:rsidR="00A765C0" w:rsidRPr="00041A72" w:rsidRDefault="00A765C0" w:rsidP="00263171">
            <w:pPr>
              <w:ind w:firstLine="0"/>
              <w:jc w:val="left"/>
              <w:rPr>
                <w:i/>
                <w:sz w:val="18"/>
                <w:szCs w:val="18"/>
                <w:lang w:val="es-CO"/>
              </w:rPr>
            </w:pPr>
          </w:p>
        </w:tc>
        <w:tc>
          <w:tcPr>
            <w:tcW w:w="900" w:type="dxa"/>
          </w:tcPr>
          <w:p w14:paraId="515D8210" w14:textId="297B884C" w:rsidR="00A765C0" w:rsidRPr="00041A72" w:rsidRDefault="00A765C0" w:rsidP="00263171">
            <w:pPr>
              <w:ind w:firstLine="0"/>
              <w:jc w:val="left"/>
              <w:rPr>
                <w:sz w:val="18"/>
                <w:szCs w:val="18"/>
                <w:lang w:val="es-419"/>
              </w:rPr>
            </w:pPr>
            <w:r w:rsidRPr="00041A72">
              <w:rPr>
                <w:sz w:val="18"/>
                <w:szCs w:val="18"/>
                <w:lang w:val="es-419"/>
              </w:rPr>
              <w:t>CDC / PEPFAR</w:t>
            </w:r>
          </w:p>
        </w:tc>
        <w:tc>
          <w:tcPr>
            <w:tcW w:w="1080" w:type="dxa"/>
            <w:vMerge w:val="restart"/>
          </w:tcPr>
          <w:p w14:paraId="0B538D23" w14:textId="267E7989" w:rsidR="00A765C0" w:rsidRDefault="00A765C0" w:rsidP="00263171">
            <w:pPr>
              <w:ind w:firstLine="0"/>
              <w:jc w:val="left"/>
              <w:rPr>
                <w:sz w:val="18"/>
                <w:szCs w:val="18"/>
                <w:lang w:val="es-419"/>
              </w:rPr>
            </w:pPr>
            <w:r w:rsidRPr="00041A72">
              <w:rPr>
                <w:sz w:val="18"/>
                <w:szCs w:val="18"/>
                <w:lang w:val="es-419"/>
              </w:rPr>
              <w:t>PENSIDA</w:t>
            </w:r>
          </w:p>
          <w:p w14:paraId="41556ED2" w14:textId="009DB4C6" w:rsidR="004A4424" w:rsidRPr="00041A72" w:rsidRDefault="004A4424" w:rsidP="004A4424">
            <w:pPr>
              <w:ind w:firstLine="0"/>
              <w:jc w:val="left"/>
              <w:rPr>
                <w:sz w:val="18"/>
                <w:szCs w:val="18"/>
                <w:lang w:val="es-419"/>
              </w:rPr>
            </w:pPr>
            <w:r w:rsidRPr="00041A72">
              <w:rPr>
                <w:sz w:val="18"/>
                <w:szCs w:val="18"/>
                <w:lang w:val="es-419"/>
              </w:rPr>
              <w:t>3.1.6</w:t>
            </w:r>
          </w:p>
          <w:p w14:paraId="1F5A2BB8" w14:textId="77777777" w:rsidR="00A765C0" w:rsidRPr="00041A72" w:rsidRDefault="00A765C0" w:rsidP="00263171">
            <w:pPr>
              <w:ind w:firstLine="0"/>
              <w:jc w:val="left"/>
              <w:rPr>
                <w:sz w:val="18"/>
                <w:szCs w:val="18"/>
                <w:lang w:val="es-419"/>
              </w:rPr>
            </w:pPr>
            <w:r w:rsidRPr="00041A72">
              <w:rPr>
                <w:sz w:val="18"/>
                <w:szCs w:val="18"/>
                <w:lang w:val="es-419"/>
              </w:rPr>
              <w:t>4.1.1</w:t>
            </w:r>
          </w:p>
        </w:tc>
        <w:tc>
          <w:tcPr>
            <w:tcW w:w="1365" w:type="dxa"/>
            <w:hideMark/>
          </w:tcPr>
          <w:p w14:paraId="614BE791" w14:textId="77777777" w:rsidR="00A765C0" w:rsidRPr="00041A72" w:rsidRDefault="00A765C0" w:rsidP="00263171">
            <w:pPr>
              <w:ind w:firstLine="0"/>
              <w:jc w:val="left"/>
              <w:rPr>
                <w:sz w:val="18"/>
                <w:szCs w:val="18"/>
                <w:lang w:val="es-CO"/>
              </w:rPr>
            </w:pPr>
            <w:r w:rsidRPr="00041A72">
              <w:rPr>
                <w:sz w:val="18"/>
                <w:szCs w:val="18"/>
                <w:lang w:val="es-CO"/>
              </w:rPr>
              <w:t>Sistema de vigilancia desarrollado e implementado a nivel nacional y regional</w:t>
            </w:r>
          </w:p>
        </w:tc>
      </w:tr>
      <w:tr w:rsidR="00AA78FE" w:rsidRPr="00041A72" w14:paraId="20F04C10" w14:textId="77777777" w:rsidTr="00AA78FE">
        <w:trPr>
          <w:trHeight w:val="261"/>
        </w:trPr>
        <w:tc>
          <w:tcPr>
            <w:tcW w:w="265" w:type="dxa"/>
            <w:vMerge/>
          </w:tcPr>
          <w:p w14:paraId="45582C49" w14:textId="77777777" w:rsidR="00A765C0" w:rsidRPr="00041A72" w:rsidRDefault="00A765C0" w:rsidP="00263171">
            <w:pPr>
              <w:ind w:firstLine="0"/>
              <w:jc w:val="left"/>
              <w:rPr>
                <w:b/>
                <w:bCs/>
                <w:sz w:val="18"/>
                <w:szCs w:val="18"/>
                <w:lang w:val="es-CO"/>
              </w:rPr>
            </w:pPr>
          </w:p>
        </w:tc>
        <w:tc>
          <w:tcPr>
            <w:tcW w:w="2440" w:type="dxa"/>
            <w:vMerge/>
          </w:tcPr>
          <w:p w14:paraId="62A7C1B6" w14:textId="77777777" w:rsidR="00A765C0" w:rsidRPr="00041A72" w:rsidRDefault="00A765C0" w:rsidP="00263171">
            <w:pPr>
              <w:ind w:firstLine="0"/>
              <w:jc w:val="left"/>
              <w:rPr>
                <w:b/>
                <w:sz w:val="18"/>
                <w:szCs w:val="18"/>
                <w:lang w:val="es-CO"/>
              </w:rPr>
            </w:pPr>
          </w:p>
        </w:tc>
        <w:tc>
          <w:tcPr>
            <w:tcW w:w="440" w:type="dxa"/>
          </w:tcPr>
          <w:p w14:paraId="58BF511C" w14:textId="77777777" w:rsidR="00A765C0" w:rsidRPr="00041A72" w:rsidRDefault="00A765C0" w:rsidP="00263171">
            <w:pPr>
              <w:ind w:firstLine="0"/>
              <w:jc w:val="left"/>
              <w:rPr>
                <w:sz w:val="18"/>
                <w:szCs w:val="18"/>
                <w:lang w:val="es-CO"/>
              </w:rPr>
            </w:pPr>
            <w:r w:rsidRPr="00041A72">
              <w:rPr>
                <w:sz w:val="18"/>
                <w:szCs w:val="18"/>
                <w:lang w:val="es-CO"/>
              </w:rPr>
              <w:t>5</w:t>
            </w:r>
          </w:p>
        </w:tc>
        <w:tc>
          <w:tcPr>
            <w:tcW w:w="3780" w:type="dxa"/>
          </w:tcPr>
          <w:p w14:paraId="3E9791E3" w14:textId="0D591FA0" w:rsidR="00A765C0" w:rsidRPr="00041A72" w:rsidRDefault="00A765C0" w:rsidP="00263171">
            <w:pPr>
              <w:ind w:firstLine="0"/>
              <w:jc w:val="left"/>
              <w:rPr>
                <w:sz w:val="18"/>
                <w:szCs w:val="18"/>
                <w:lang w:val="es-CO"/>
              </w:rPr>
            </w:pPr>
            <w:r w:rsidRPr="00041A72">
              <w:rPr>
                <w:sz w:val="18"/>
                <w:szCs w:val="18"/>
                <w:lang w:val="es-CO"/>
              </w:rPr>
              <w:t>Establecimiento de un sistema de monitoreo para seguimiento al Plan y reportes para la toma de decisión a nivel nacional y regional</w:t>
            </w:r>
          </w:p>
        </w:tc>
        <w:tc>
          <w:tcPr>
            <w:tcW w:w="630" w:type="dxa"/>
          </w:tcPr>
          <w:p w14:paraId="57C48ED3" w14:textId="00300BF9" w:rsidR="00A765C0" w:rsidRPr="00041A72" w:rsidRDefault="00A765C0" w:rsidP="00263171">
            <w:pPr>
              <w:ind w:firstLine="0"/>
              <w:jc w:val="left"/>
              <w:rPr>
                <w:sz w:val="18"/>
                <w:szCs w:val="18"/>
                <w:lang w:val="es-CO"/>
              </w:rPr>
            </w:pPr>
            <w:r w:rsidRPr="00041A72">
              <w:rPr>
                <w:sz w:val="18"/>
                <w:szCs w:val="18"/>
                <w:lang w:val="es-CO"/>
              </w:rPr>
              <w:t>202</w:t>
            </w:r>
            <w:r w:rsidR="0079616A">
              <w:rPr>
                <w:sz w:val="18"/>
                <w:szCs w:val="18"/>
                <w:lang w:val="es-CO"/>
              </w:rPr>
              <w:t>0</w:t>
            </w:r>
          </w:p>
        </w:tc>
        <w:tc>
          <w:tcPr>
            <w:tcW w:w="1530" w:type="dxa"/>
          </w:tcPr>
          <w:p w14:paraId="2AA81AEE" w14:textId="2F1F04FC" w:rsidR="00A765C0" w:rsidRPr="00041A72" w:rsidRDefault="00A765C0" w:rsidP="00263171">
            <w:pPr>
              <w:ind w:firstLine="0"/>
              <w:jc w:val="left"/>
              <w:rPr>
                <w:sz w:val="18"/>
                <w:szCs w:val="18"/>
                <w:lang w:val="es-CO"/>
              </w:rPr>
            </w:pPr>
            <w:r w:rsidRPr="00041A72">
              <w:rPr>
                <w:sz w:val="18"/>
                <w:szCs w:val="18"/>
                <w:lang w:val="es-CO"/>
              </w:rPr>
              <w:t>Unidad Vigilancia de Salud</w:t>
            </w:r>
          </w:p>
        </w:tc>
        <w:tc>
          <w:tcPr>
            <w:tcW w:w="540" w:type="dxa"/>
          </w:tcPr>
          <w:p w14:paraId="0E1DF3FB" w14:textId="77777777" w:rsidR="00A765C0" w:rsidRPr="00041A72" w:rsidRDefault="00A765C0" w:rsidP="00263171">
            <w:pPr>
              <w:ind w:firstLine="0"/>
              <w:jc w:val="left"/>
              <w:rPr>
                <w:sz w:val="18"/>
                <w:szCs w:val="18"/>
                <w:lang w:val="es-CO"/>
              </w:rPr>
            </w:pPr>
            <w:r w:rsidRPr="00041A72">
              <w:rPr>
                <w:sz w:val="18"/>
                <w:szCs w:val="18"/>
                <w:lang w:val="es-CO"/>
              </w:rPr>
              <w:t>Si</w:t>
            </w:r>
          </w:p>
        </w:tc>
        <w:tc>
          <w:tcPr>
            <w:tcW w:w="1440" w:type="dxa"/>
          </w:tcPr>
          <w:p w14:paraId="2E259DA8" w14:textId="77777777" w:rsidR="00A765C0" w:rsidRPr="00041A72" w:rsidRDefault="00A765C0" w:rsidP="00263171">
            <w:pPr>
              <w:ind w:firstLine="0"/>
              <w:jc w:val="left"/>
              <w:rPr>
                <w:sz w:val="18"/>
                <w:szCs w:val="18"/>
                <w:lang w:val="es-CO"/>
              </w:rPr>
            </w:pPr>
            <w:r w:rsidRPr="00041A72">
              <w:rPr>
                <w:sz w:val="18"/>
                <w:szCs w:val="18"/>
                <w:lang w:val="es-CO"/>
              </w:rPr>
              <w:t>Incluido en AT de actividad anterior</w:t>
            </w:r>
          </w:p>
        </w:tc>
        <w:tc>
          <w:tcPr>
            <w:tcW w:w="900" w:type="dxa"/>
          </w:tcPr>
          <w:p w14:paraId="741DF5B8" w14:textId="77777777" w:rsidR="00A765C0" w:rsidRPr="00041A72" w:rsidRDefault="00A765C0" w:rsidP="00263171">
            <w:pPr>
              <w:ind w:firstLine="0"/>
              <w:jc w:val="left"/>
              <w:rPr>
                <w:b/>
                <w:sz w:val="18"/>
                <w:szCs w:val="18"/>
                <w:lang w:val="es-419"/>
              </w:rPr>
            </w:pPr>
          </w:p>
        </w:tc>
        <w:tc>
          <w:tcPr>
            <w:tcW w:w="1080" w:type="dxa"/>
            <w:vMerge/>
          </w:tcPr>
          <w:p w14:paraId="3C687CD2" w14:textId="77777777" w:rsidR="00A765C0" w:rsidRPr="00041A72" w:rsidRDefault="00A765C0" w:rsidP="00263171">
            <w:pPr>
              <w:ind w:firstLine="0"/>
              <w:jc w:val="left"/>
              <w:rPr>
                <w:b/>
                <w:sz w:val="18"/>
                <w:szCs w:val="18"/>
                <w:lang w:val="es-419"/>
              </w:rPr>
            </w:pPr>
          </w:p>
        </w:tc>
        <w:tc>
          <w:tcPr>
            <w:tcW w:w="1365" w:type="dxa"/>
          </w:tcPr>
          <w:p w14:paraId="0F894A33" w14:textId="69401B88" w:rsidR="00A765C0" w:rsidRPr="00041A72" w:rsidRDefault="00A765C0" w:rsidP="00263171">
            <w:pPr>
              <w:ind w:firstLine="0"/>
              <w:jc w:val="left"/>
              <w:rPr>
                <w:sz w:val="18"/>
                <w:szCs w:val="18"/>
                <w:lang w:val="es-CO"/>
              </w:rPr>
            </w:pPr>
            <w:r w:rsidRPr="00041A72">
              <w:rPr>
                <w:sz w:val="18"/>
                <w:szCs w:val="18"/>
                <w:lang w:val="es-CO"/>
              </w:rPr>
              <w:t xml:space="preserve">Sistema de monitoreo rutinario para la resistencia a los ARV establecido a nivel nacional </w:t>
            </w:r>
            <w:r w:rsidRPr="00041A72">
              <w:rPr>
                <w:sz w:val="18"/>
                <w:szCs w:val="18"/>
                <w:lang w:val="es-CO"/>
              </w:rPr>
              <w:lastRenderedPageBreak/>
              <w:t>y regional con reportes</w:t>
            </w:r>
            <w:r w:rsidR="00AA78FE">
              <w:rPr>
                <w:sz w:val="18"/>
                <w:szCs w:val="18"/>
                <w:lang w:val="es-CO"/>
              </w:rPr>
              <w:t>.</w:t>
            </w:r>
          </w:p>
        </w:tc>
      </w:tr>
      <w:tr w:rsidR="00AA78FE" w:rsidRPr="00041A72" w14:paraId="79C1FDD8" w14:textId="77777777" w:rsidTr="00AA78FE">
        <w:trPr>
          <w:trHeight w:val="1412"/>
        </w:trPr>
        <w:tc>
          <w:tcPr>
            <w:tcW w:w="265" w:type="dxa"/>
            <w:vMerge/>
          </w:tcPr>
          <w:p w14:paraId="294D844F" w14:textId="77777777" w:rsidR="00A765C0" w:rsidRPr="00041A72" w:rsidRDefault="00A765C0" w:rsidP="00263171">
            <w:pPr>
              <w:ind w:firstLine="0"/>
              <w:jc w:val="left"/>
              <w:rPr>
                <w:b/>
                <w:bCs/>
                <w:sz w:val="18"/>
                <w:szCs w:val="18"/>
                <w:lang w:val="es-CO"/>
              </w:rPr>
            </w:pPr>
          </w:p>
        </w:tc>
        <w:tc>
          <w:tcPr>
            <w:tcW w:w="2440" w:type="dxa"/>
            <w:vMerge/>
          </w:tcPr>
          <w:p w14:paraId="1DD9A67D" w14:textId="77777777" w:rsidR="00A765C0" w:rsidRPr="00041A72" w:rsidRDefault="00A765C0" w:rsidP="00263171">
            <w:pPr>
              <w:ind w:firstLine="0"/>
              <w:jc w:val="left"/>
              <w:rPr>
                <w:b/>
                <w:sz w:val="18"/>
                <w:szCs w:val="18"/>
                <w:lang w:val="es-CO"/>
              </w:rPr>
            </w:pPr>
          </w:p>
        </w:tc>
        <w:tc>
          <w:tcPr>
            <w:tcW w:w="440" w:type="dxa"/>
          </w:tcPr>
          <w:p w14:paraId="41D4D071" w14:textId="77777777" w:rsidR="00A765C0" w:rsidRPr="00041A72" w:rsidRDefault="00A765C0" w:rsidP="00263171">
            <w:pPr>
              <w:ind w:firstLine="0"/>
              <w:jc w:val="left"/>
              <w:rPr>
                <w:sz w:val="18"/>
                <w:szCs w:val="18"/>
                <w:lang w:val="es-CO"/>
              </w:rPr>
            </w:pPr>
            <w:r w:rsidRPr="00041A72">
              <w:rPr>
                <w:sz w:val="18"/>
                <w:szCs w:val="18"/>
                <w:lang w:val="es-CO"/>
              </w:rPr>
              <w:t>6</w:t>
            </w:r>
          </w:p>
        </w:tc>
        <w:tc>
          <w:tcPr>
            <w:tcW w:w="3780" w:type="dxa"/>
          </w:tcPr>
          <w:p w14:paraId="1C4D6063" w14:textId="540EF271" w:rsidR="00A765C0" w:rsidRPr="00041A72" w:rsidRDefault="00A765C0" w:rsidP="00263171">
            <w:pPr>
              <w:ind w:firstLine="0"/>
              <w:jc w:val="left"/>
              <w:rPr>
                <w:sz w:val="18"/>
                <w:szCs w:val="18"/>
                <w:lang w:val="es-CO"/>
              </w:rPr>
            </w:pPr>
            <w:r w:rsidRPr="00041A72">
              <w:rPr>
                <w:sz w:val="18"/>
                <w:szCs w:val="18"/>
                <w:lang w:val="es-CO"/>
              </w:rPr>
              <w:t>Coordinación de reuniones con la Unidad de Vigilancia de la Salud para establecer los lineamientos de la vigilancia a la resistencia a los ARV (cada 2 años) tomando en cuenta las recomendaciones de OPS/OMS</w:t>
            </w:r>
          </w:p>
        </w:tc>
        <w:tc>
          <w:tcPr>
            <w:tcW w:w="630" w:type="dxa"/>
          </w:tcPr>
          <w:p w14:paraId="5F776791" w14:textId="77777777" w:rsidR="00A765C0" w:rsidRPr="00041A72" w:rsidRDefault="00A765C0" w:rsidP="00263171">
            <w:pPr>
              <w:ind w:firstLine="0"/>
              <w:jc w:val="left"/>
              <w:rPr>
                <w:sz w:val="18"/>
                <w:szCs w:val="18"/>
                <w:lang w:val="es-CO"/>
              </w:rPr>
            </w:pPr>
            <w:r w:rsidRPr="00041A72">
              <w:rPr>
                <w:sz w:val="18"/>
                <w:szCs w:val="18"/>
                <w:lang w:val="es-CO"/>
              </w:rPr>
              <w:t>2020</w:t>
            </w:r>
          </w:p>
        </w:tc>
        <w:tc>
          <w:tcPr>
            <w:tcW w:w="1530" w:type="dxa"/>
          </w:tcPr>
          <w:p w14:paraId="02CD08F6" w14:textId="75C375C2" w:rsidR="00A765C0" w:rsidRPr="00041A72" w:rsidRDefault="00A765C0" w:rsidP="00263171">
            <w:pPr>
              <w:ind w:firstLine="0"/>
              <w:jc w:val="left"/>
              <w:rPr>
                <w:sz w:val="18"/>
                <w:szCs w:val="18"/>
                <w:lang w:val="es-CO"/>
              </w:rPr>
            </w:pPr>
            <w:r w:rsidRPr="00041A72">
              <w:rPr>
                <w:sz w:val="18"/>
                <w:szCs w:val="18"/>
                <w:lang w:val="es-CO"/>
              </w:rPr>
              <w:t>Unidad Vigilancia de Salud</w:t>
            </w:r>
          </w:p>
        </w:tc>
        <w:tc>
          <w:tcPr>
            <w:tcW w:w="540" w:type="dxa"/>
          </w:tcPr>
          <w:p w14:paraId="0EDD6C55" w14:textId="77777777" w:rsidR="00A765C0" w:rsidRPr="00041A72" w:rsidRDefault="00A765C0" w:rsidP="00263171">
            <w:pPr>
              <w:ind w:firstLine="0"/>
              <w:jc w:val="left"/>
              <w:rPr>
                <w:sz w:val="18"/>
                <w:szCs w:val="18"/>
                <w:lang w:val="es-CO"/>
              </w:rPr>
            </w:pPr>
            <w:r w:rsidRPr="00041A72">
              <w:rPr>
                <w:sz w:val="18"/>
                <w:szCs w:val="18"/>
                <w:lang w:val="es-CO"/>
              </w:rPr>
              <w:t>No</w:t>
            </w:r>
          </w:p>
        </w:tc>
        <w:tc>
          <w:tcPr>
            <w:tcW w:w="1440" w:type="dxa"/>
          </w:tcPr>
          <w:p w14:paraId="5F91BDBD" w14:textId="77777777" w:rsidR="00A765C0" w:rsidRPr="00041A72" w:rsidRDefault="00A765C0" w:rsidP="00263171">
            <w:pPr>
              <w:ind w:firstLine="0"/>
              <w:jc w:val="left"/>
              <w:rPr>
                <w:sz w:val="18"/>
                <w:szCs w:val="18"/>
                <w:lang w:val="es-CO"/>
              </w:rPr>
            </w:pPr>
          </w:p>
        </w:tc>
        <w:tc>
          <w:tcPr>
            <w:tcW w:w="900" w:type="dxa"/>
          </w:tcPr>
          <w:p w14:paraId="7528E9BA" w14:textId="77777777" w:rsidR="00A765C0" w:rsidRPr="00041A72" w:rsidRDefault="00A765C0" w:rsidP="00263171">
            <w:pPr>
              <w:ind w:firstLine="0"/>
              <w:jc w:val="left"/>
              <w:rPr>
                <w:b/>
                <w:sz w:val="18"/>
                <w:szCs w:val="18"/>
                <w:lang w:val="es-419"/>
              </w:rPr>
            </w:pPr>
          </w:p>
        </w:tc>
        <w:tc>
          <w:tcPr>
            <w:tcW w:w="1080" w:type="dxa"/>
            <w:vMerge/>
          </w:tcPr>
          <w:p w14:paraId="3D9B7E41" w14:textId="77777777" w:rsidR="00A765C0" w:rsidRPr="00041A72" w:rsidRDefault="00A765C0" w:rsidP="00263171">
            <w:pPr>
              <w:ind w:firstLine="0"/>
              <w:jc w:val="left"/>
              <w:rPr>
                <w:b/>
                <w:sz w:val="18"/>
                <w:szCs w:val="18"/>
                <w:lang w:val="es-419"/>
              </w:rPr>
            </w:pPr>
          </w:p>
        </w:tc>
        <w:tc>
          <w:tcPr>
            <w:tcW w:w="1365" w:type="dxa"/>
          </w:tcPr>
          <w:p w14:paraId="11475CDB" w14:textId="77777777" w:rsidR="00A765C0" w:rsidRPr="00041A72" w:rsidRDefault="00A765C0" w:rsidP="00263171">
            <w:pPr>
              <w:ind w:firstLine="0"/>
              <w:jc w:val="left"/>
              <w:rPr>
                <w:sz w:val="18"/>
                <w:szCs w:val="18"/>
                <w:lang w:val="es-CO"/>
              </w:rPr>
            </w:pPr>
            <w:r w:rsidRPr="00041A72">
              <w:rPr>
                <w:sz w:val="18"/>
                <w:szCs w:val="18"/>
                <w:lang w:val="es-CO"/>
              </w:rPr>
              <w:t>Reuniones de coordinación para definir y actualizar los lineamientos del sistema de vigilancia realizadas</w:t>
            </w:r>
          </w:p>
        </w:tc>
      </w:tr>
      <w:tr w:rsidR="00AA78FE" w:rsidRPr="00041A72" w14:paraId="42EF0980" w14:textId="77777777" w:rsidTr="00AA78FE">
        <w:trPr>
          <w:trHeight w:val="1143"/>
        </w:trPr>
        <w:tc>
          <w:tcPr>
            <w:tcW w:w="265" w:type="dxa"/>
          </w:tcPr>
          <w:p w14:paraId="49CE2D51" w14:textId="77777777" w:rsidR="00A765C0" w:rsidRPr="00A1454D" w:rsidRDefault="00A765C0" w:rsidP="00263171">
            <w:pPr>
              <w:ind w:firstLine="0"/>
              <w:jc w:val="left"/>
              <w:rPr>
                <w:bCs/>
                <w:sz w:val="18"/>
                <w:szCs w:val="18"/>
                <w:lang w:val="es-CO"/>
              </w:rPr>
            </w:pPr>
            <w:r w:rsidRPr="00A1454D">
              <w:rPr>
                <w:bCs/>
                <w:sz w:val="18"/>
                <w:szCs w:val="18"/>
                <w:lang w:val="es-CO"/>
              </w:rPr>
              <w:t>c</w:t>
            </w:r>
          </w:p>
        </w:tc>
        <w:tc>
          <w:tcPr>
            <w:tcW w:w="2440" w:type="dxa"/>
          </w:tcPr>
          <w:p w14:paraId="05AD6B53" w14:textId="77777777" w:rsidR="00A765C0" w:rsidRPr="00A1454D" w:rsidRDefault="00A765C0" w:rsidP="00263171">
            <w:pPr>
              <w:ind w:firstLine="0"/>
              <w:jc w:val="left"/>
              <w:rPr>
                <w:sz w:val="18"/>
                <w:szCs w:val="18"/>
                <w:lang w:val="es-CO"/>
              </w:rPr>
            </w:pPr>
            <w:r w:rsidRPr="00A1454D">
              <w:rPr>
                <w:sz w:val="18"/>
                <w:szCs w:val="18"/>
                <w:lang w:val="es-CO"/>
              </w:rPr>
              <w:t>Actualizar normas, guías y protocolos nacionales en función al perfil de resistencia a los ARV</w:t>
            </w:r>
          </w:p>
        </w:tc>
        <w:tc>
          <w:tcPr>
            <w:tcW w:w="440" w:type="dxa"/>
          </w:tcPr>
          <w:p w14:paraId="68FAFC08" w14:textId="77777777" w:rsidR="00A765C0" w:rsidRPr="00041A72" w:rsidRDefault="00A765C0" w:rsidP="00263171">
            <w:pPr>
              <w:ind w:firstLine="0"/>
              <w:jc w:val="left"/>
              <w:rPr>
                <w:sz w:val="18"/>
                <w:szCs w:val="18"/>
                <w:lang w:val="es-CO"/>
              </w:rPr>
            </w:pPr>
            <w:r w:rsidRPr="00041A72">
              <w:rPr>
                <w:sz w:val="18"/>
                <w:szCs w:val="18"/>
                <w:lang w:val="es-CO"/>
              </w:rPr>
              <w:t>7</w:t>
            </w:r>
          </w:p>
        </w:tc>
        <w:tc>
          <w:tcPr>
            <w:tcW w:w="3780" w:type="dxa"/>
          </w:tcPr>
          <w:p w14:paraId="7FA3B78A" w14:textId="668986CA" w:rsidR="00A765C0" w:rsidRPr="00041A72" w:rsidRDefault="00A765C0" w:rsidP="00263171">
            <w:pPr>
              <w:ind w:firstLine="0"/>
              <w:jc w:val="left"/>
              <w:rPr>
                <w:sz w:val="18"/>
                <w:szCs w:val="18"/>
                <w:lang w:val="es-CO"/>
              </w:rPr>
            </w:pPr>
            <w:r w:rsidRPr="00041A72">
              <w:rPr>
                <w:sz w:val="18"/>
                <w:szCs w:val="18"/>
                <w:lang w:val="es-CO"/>
              </w:rPr>
              <w:t>Modificación del marco normativo (incluyendo guías y protocolos de manejo) para incluir los esquemas propuestos en la Encuesta resistencia del VIH a los medicamentos antirretrovirales en Honduras, 2016-2017</w:t>
            </w:r>
          </w:p>
        </w:tc>
        <w:tc>
          <w:tcPr>
            <w:tcW w:w="630" w:type="dxa"/>
          </w:tcPr>
          <w:p w14:paraId="46C513E8" w14:textId="77777777" w:rsidR="00A765C0" w:rsidRPr="00041A72" w:rsidRDefault="00A765C0" w:rsidP="00263171">
            <w:pPr>
              <w:ind w:firstLine="0"/>
              <w:jc w:val="left"/>
              <w:rPr>
                <w:sz w:val="18"/>
                <w:szCs w:val="18"/>
                <w:lang w:val="es-CO"/>
              </w:rPr>
            </w:pPr>
            <w:r w:rsidRPr="00041A72">
              <w:rPr>
                <w:sz w:val="18"/>
                <w:szCs w:val="18"/>
                <w:lang w:val="es-CO"/>
              </w:rPr>
              <w:t>2019</w:t>
            </w:r>
          </w:p>
        </w:tc>
        <w:tc>
          <w:tcPr>
            <w:tcW w:w="1530" w:type="dxa"/>
          </w:tcPr>
          <w:p w14:paraId="11997EFB" w14:textId="4640E3B8" w:rsidR="00A765C0" w:rsidRPr="00041A72" w:rsidRDefault="00A765C0" w:rsidP="00263171">
            <w:pPr>
              <w:ind w:firstLine="0"/>
              <w:jc w:val="left"/>
              <w:rPr>
                <w:sz w:val="18"/>
                <w:szCs w:val="18"/>
                <w:lang w:val="es-CO"/>
              </w:rPr>
            </w:pPr>
            <w:r w:rsidRPr="00041A72">
              <w:rPr>
                <w:sz w:val="18"/>
                <w:szCs w:val="18"/>
                <w:lang w:val="es-CO"/>
              </w:rPr>
              <w:t xml:space="preserve">Dirección General </w:t>
            </w:r>
            <w:r w:rsidR="00100965" w:rsidRPr="00041A72">
              <w:rPr>
                <w:sz w:val="18"/>
                <w:szCs w:val="18"/>
                <w:lang w:val="es-CO"/>
              </w:rPr>
              <w:t>Normalización</w:t>
            </w:r>
          </w:p>
        </w:tc>
        <w:tc>
          <w:tcPr>
            <w:tcW w:w="540" w:type="dxa"/>
          </w:tcPr>
          <w:p w14:paraId="48A9128A" w14:textId="77777777" w:rsidR="00A765C0" w:rsidRPr="00041A72" w:rsidRDefault="00A765C0" w:rsidP="00263171">
            <w:pPr>
              <w:ind w:firstLine="0"/>
              <w:jc w:val="left"/>
              <w:rPr>
                <w:sz w:val="18"/>
                <w:szCs w:val="18"/>
                <w:lang w:val="es-CO"/>
              </w:rPr>
            </w:pPr>
            <w:r w:rsidRPr="00041A72">
              <w:rPr>
                <w:sz w:val="18"/>
                <w:szCs w:val="18"/>
                <w:lang w:val="es-CO"/>
              </w:rPr>
              <w:t>Si</w:t>
            </w:r>
          </w:p>
        </w:tc>
        <w:tc>
          <w:tcPr>
            <w:tcW w:w="1440" w:type="dxa"/>
          </w:tcPr>
          <w:p w14:paraId="19390A2F" w14:textId="33E3FA4E" w:rsidR="00A765C0" w:rsidRPr="00041A72" w:rsidRDefault="00A765C0" w:rsidP="00263171">
            <w:pPr>
              <w:ind w:firstLine="0"/>
              <w:jc w:val="left"/>
              <w:rPr>
                <w:sz w:val="18"/>
                <w:szCs w:val="18"/>
                <w:lang w:val="es-CO"/>
              </w:rPr>
            </w:pPr>
            <w:r w:rsidRPr="00041A72">
              <w:rPr>
                <w:sz w:val="18"/>
                <w:szCs w:val="18"/>
                <w:lang w:val="es-CO"/>
              </w:rPr>
              <w:t xml:space="preserve">7,400 USD </w:t>
            </w:r>
          </w:p>
        </w:tc>
        <w:tc>
          <w:tcPr>
            <w:tcW w:w="900" w:type="dxa"/>
          </w:tcPr>
          <w:p w14:paraId="3C485C94" w14:textId="39410937" w:rsidR="00A765C0" w:rsidRPr="00041A72" w:rsidRDefault="00674924" w:rsidP="00263171">
            <w:pPr>
              <w:ind w:firstLine="0"/>
              <w:jc w:val="left"/>
              <w:rPr>
                <w:sz w:val="18"/>
                <w:szCs w:val="18"/>
                <w:lang w:val="es-CO"/>
              </w:rPr>
            </w:pPr>
            <w:r>
              <w:rPr>
                <w:sz w:val="18"/>
                <w:szCs w:val="18"/>
                <w:lang w:val="es-CO"/>
              </w:rPr>
              <w:t>PEPFAR</w:t>
            </w:r>
          </w:p>
        </w:tc>
        <w:tc>
          <w:tcPr>
            <w:tcW w:w="1080" w:type="dxa"/>
          </w:tcPr>
          <w:p w14:paraId="6985EFD7" w14:textId="77777777" w:rsidR="00A765C0" w:rsidRDefault="0056501A" w:rsidP="00263171">
            <w:pPr>
              <w:ind w:firstLine="0"/>
              <w:jc w:val="left"/>
              <w:rPr>
                <w:sz w:val="18"/>
                <w:szCs w:val="18"/>
                <w:lang w:val="es-419"/>
              </w:rPr>
            </w:pPr>
            <w:r>
              <w:rPr>
                <w:sz w:val="18"/>
                <w:szCs w:val="18"/>
                <w:lang w:val="es-419"/>
              </w:rPr>
              <w:t>PENSIDA</w:t>
            </w:r>
          </w:p>
          <w:p w14:paraId="106FAB9C" w14:textId="6871D4D1" w:rsidR="0056501A" w:rsidRPr="00041A72" w:rsidRDefault="0056501A" w:rsidP="00263171">
            <w:pPr>
              <w:ind w:firstLine="0"/>
              <w:jc w:val="left"/>
              <w:rPr>
                <w:sz w:val="18"/>
                <w:szCs w:val="18"/>
                <w:lang w:val="es-419"/>
              </w:rPr>
            </w:pPr>
            <w:r>
              <w:rPr>
                <w:sz w:val="18"/>
                <w:szCs w:val="18"/>
                <w:lang w:val="es-419"/>
              </w:rPr>
              <w:t>3.1.5</w:t>
            </w:r>
          </w:p>
        </w:tc>
        <w:tc>
          <w:tcPr>
            <w:tcW w:w="1365" w:type="dxa"/>
          </w:tcPr>
          <w:p w14:paraId="27174642" w14:textId="77777777" w:rsidR="00A765C0" w:rsidRPr="00041A72" w:rsidRDefault="00A765C0" w:rsidP="00263171">
            <w:pPr>
              <w:ind w:firstLine="0"/>
              <w:jc w:val="left"/>
              <w:rPr>
                <w:sz w:val="18"/>
                <w:szCs w:val="18"/>
                <w:lang w:val="es-CO"/>
              </w:rPr>
            </w:pPr>
            <w:r w:rsidRPr="00041A72">
              <w:rPr>
                <w:sz w:val="18"/>
                <w:szCs w:val="18"/>
                <w:lang w:val="es-CO"/>
              </w:rPr>
              <w:t>Normativa / Guías y protocolos actualizados</w:t>
            </w:r>
          </w:p>
        </w:tc>
      </w:tr>
      <w:tr w:rsidR="004052DB" w:rsidRPr="00041A72" w14:paraId="5D3E753E" w14:textId="77777777" w:rsidTr="00AA78FE">
        <w:trPr>
          <w:trHeight w:val="1143"/>
        </w:trPr>
        <w:tc>
          <w:tcPr>
            <w:tcW w:w="265" w:type="dxa"/>
          </w:tcPr>
          <w:p w14:paraId="5A1A051C" w14:textId="28C2A906" w:rsidR="004052DB" w:rsidRPr="004052DB" w:rsidRDefault="004052DB" w:rsidP="004052DB">
            <w:pPr>
              <w:ind w:firstLine="0"/>
              <w:jc w:val="left"/>
              <w:rPr>
                <w:bCs/>
                <w:sz w:val="18"/>
                <w:szCs w:val="18"/>
                <w:lang w:val="es-CO"/>
              </w:rPr>
            </w:pPr>
            <w:r w:rsidRPr="004052DB">
              <w:rPr>
                <w:bCs/>
                <w:sz w:val="18"/>
                <w:szCs w:val="18"/>
                <w:lang w:val="es-CO"/>
              </w:rPr>
              <w:t>d</w:t>
            </w:r>
          </w:p>
        </w:tc>
        <w:tc>
          <w:tcPr>
            <w:tcW w:w="2440" w:type="dxa"/>
          </w:tcPr>
          <w:p w14:paraId="3342F42A" w14:textId="19EF00F0" w:rsidR="004052DB" w:rsidRPr="005F109C" w:rsidRDefault="004052DB" w:rsidP="004052DB">
            <w:pPr>
              <w:ind w:firstLine="0"/>
              <w:jc w:val="left"/>
              <w:rPr>
                <w:sz w:val="18"/>
                <w:szCs w:val="18"/>
                <w:lang w:val="es-CO"/>
              </w:rPr>
            </w:pPr>
            <w:r w:rsidRPr="005F109C">
              <w:rPr>
                <w:bCs/>
                <w:color w:val="000000"/>
                <w:sz w:val="18"/>
                <w:szCs w:val="18"/>
                <w:lang w:val="es-ES" w:eastAsia="fr-FR"/>
              </w:rPr>
              <w:t>Elaborar un “Plan de Migración de pacientes a nuevo esquema de tratamiento basado en TLD</w:t>
            </w:r>
            <w:r w:rsidR="00DF3FB3" w:rsidRPr="005F109C">
              <w:rPr>
                <w:bCs/>
                <w:color w:val="000000"/>
                <w:sz w:val="18"/>
                <w:szCs w:val="18"/>
                <w:lang w:val="es-ES" w:eastAsia="fr-FR"/>
              </w:rPr>
              <w:t xml:space="preserve"> (dosis diaria fija que combina </w:t>
            </w:r>
            <w:proofErr w:type="spellStart"/>
            <w:r w:rsidR="00DF3FB3" w:rsidRPr="005F109C">
              <w:rPr>
                <w:bCs/>
                <w:color w:val="000000"/>
                <w:sz w:val="18"/>
                <w:szCs w:val="18"/>
                <w:lang w:val="es-ES" w:eastAsia="fr-FR"/>
              </w:rPr>
              <w:t>Tenofovir</w:t>
            </w:r>
            <w:proofErr w:type="spellEnd"/>
            <w:r w:rsidR="00DF3FB3" w:rsidRPr="005F109C">
              <w:rPr>
                <w:bCs/>
                <w:color w:val="000000"/>
                <w:sz w:val="18"/>
                <w:szCs w:val="18"/>
                <w:lang w:val="es-ES" w:eastAsia="fr-FR"/>
              </w:rPr>
              <w:t xml:space="preserve">, </w:t>
            </w:r>
            <w:proofErr w:type="spellStart"/>
            <w:r w:rsidR="00DF3FB3" w:rsidRPr="005F109C">
              <w:rPr>
                <w:bCs/>
                <w:color w:val="000000"/>
                <w:sz w:val="18"/>
                <w:szCs w:val="18"/>
                <w:lang w:val="es-ES" w:eastAsia="fr-FR"/>
              </w:rPr>
              <w:t>Disoproxilo</w:t>
            </w:r>
            <w:proofErr w:type="spellEnd"/>
            <w:r w:rsidR="00DF3FB3" w:rsidRPr="005F109C">
              <w:rPr>
                <w:bCs/>
                <w:color w:val="000000"/>
                <w:sz w:val="18"/>
                <w:szCs w:val="18"/>
                <w:lang w:val="es-ES" w:eastAsia="fr-FR"/>
              </w:rPr>
              <w:t xml:space="preserve"> fumarato, </w:t>
            </w:r>
            <w:proofErr w:type="spellStart"/>
            <w:r w:rsidR="00DF3FB3" w:rsidRPr="005F109C">
              <w:rPr>
                <w:bCs/>
                <w:color w:val="000000"/>
                <w:sz w:val="18"/>
                <w:szCs w:val="18"/>
                <w:lang w:val="es-ES" w:eastAsia="fr-FR"/>
              </w:rPr>
              <w:t>Lamivudina</w:t>
            </w:r>
            <w:proofErr w:type="spellEnd"/>
            <w:r w:rsidR="00DF3FB3" w:rsidRPr="005F109C">
              <w:rPr>
                <w:bCs/>
                <w:color w:val="000000"/>
                <w:sz w:val="18"/>
                <w:szCs w:val="18"/>
                <w:lang w:val="es-ES" w:eastAsia="fr-FR"/>
              </w:rPr>
              <w:t xml:space="preserve"> y </w:t>
            </w:r>
            <w:proofErr w:type="spellStart"/>
            <w:r w:rsidR="00DF3FB3" w:rsidRPr="005F109C">
              <w:rPr>
                <w:bCs/>
                <w:color w:val="000000"/>
                <w:sz w:val="18"/>
                <w:szCs w:val="18"/>
                <w:lang w:val="es-ES" w:eastAsia="fr-FR"/>
              </w:rPr>
              <w:t>Dolutegravir</w:t>
            </w:r>
            <w:proofErr w:type="spellEnd"/>
            <w:r w:rsidR="00DF3FB3" w:rsidRPr="005F109C">
              <w:rPr>
                <w:bCs/>
                <w:color w:val="000000"/>
                <w:sz w:val="18"/>
                <w:szCs w:val="18"/>
                <w:lang w:val="es-ES" w:eastAsia="fr-FR"/>
              </w:rPr>
              <w:t>)</w:t>
            </w:r>
            <w:r w:rsidRPr="005F109C">
              <w:rPr>
                <w:bCs/>
                <w:color w:val="000000"/>
                <w:sz w:val="18"/>
                <w:szCs w:val="18"/>
                <w:lang w:val="es-ES" w:eastAsia="fr-FR"/>
              </w:rPr>
              <w:t>”</w:t>
            </w:r>
          </w:p>
        </w:tc>
        <w:tc>
          <w:tcPr>
            <w:tcW w:w="440" w:type="dxa"/>
          </w:tcPr>
          <w:p w14:paraId="2A9DC5CD" w14:textId="4EDB06BF" w:rsidR="004052DB" w:rsidRPr="005F109C" w:rsidRDefault="004052DB" w:rsidP="004052DB">
            <w:pPr>
              <w:ind w:firstLine="0"/>
              <w:jc w:val="left"/>
              <w:rPr>
                <w:sz w:val="18"/>
                <w:szCs w:val="18"/>
                <w:lang w:val="es-CO"/>
              </w:rPr>
            </w:pPr>
            <w:r w:rsidRPr="005F109C">
              <w:rPr>
                <w:sz w:val="18"/>
                <w:szCs w:val="18"/>
                <w:lang w:val="es-CO"/>
              </w:rPr>
              <w:t>8</w:t>
            </w:r>
          </w:p>
        </w:tc>
        <w:tc>
          <w:tcPr>
            <w:tcW w:w="3780" w:type="dxa"/>
          </w:tcPr>
          <w:p w14:paraId="01BA1B73" w14:textId="1A710C2C" w:rsidR="004052DB" w:rsidRPr="005F109C" w:rsidRDefault="004052DB" w:rsidP="004052DB">
            <w:pPr>
              <w:ind w:firstLine="0"/>
              <w:jc w:val="left"/>
              <w:rPr>
                <w:sz w:val="18"/>
                <w:szCs w:val="18"/>
                <w:lang w:val="es-CO"/>
              </w:rPr>
            </w:pPr>
            <w:r w:rsidRPr="005F109C">
              <w:rPr>
                <w:sz w:val="18"/>
                <w:szCs w:val="18"/>
                <w:lang w:val="es-CO" w:eastAsia="en-US"/>
              </w:rPr>
              <w:t>Desarrollo del Plan en consideración de las necesidades de programación logística, capacitación y sensibilización de pacientes</w:t>
            </w:r>
          </w:p>
        </w:tc>
        <w:tc>
          <w:tcPr>
            <w:tcW w:w="630" w:type="dxa"/>
          </w:tcPr>
          <w:p w14:paraId="5BBBB350" w14:textId="7DECB0F9" w:rsidR="004052DB" w:rsidRPr="00041A72" w:rsidRDefault="004052DB" w:rsidP="004052DB">
            <w:pPr>
              <w:ind w:firstLine="0"/>
              <w:jc w:val="left"/>
              <w:rPr>
                <w:sz w:val="18"/>
                <w:szCs w:val="18"/>
                <w:lang w:val="es-CO"/>
              </w:rPr>
            </w:pPr>
            <w:r>
              <w:rPr>
                <w:sz w:val="18"/>
                <w:szCs w:val="18"/>
                <w:lang w:val="es-CO"/>
              </w:rPr>
              <w:t>2020</w:t>
            </w:r>
          </w:p>
        </w:tc>
        <w:tc>
          <w:tcPr>
            <w:tcW w:w="1530" w:type="dxa"/>
          </w:tcPr>
          <w:p w14:paraId="4ADAE82B" w14:textId="7C4E3B1C" w:rsidR="004052DB" w:rsidRPr="00041A72" w:rsidRDefault="004052DB" w:rsidP="004052DB">
            <w:pPr>
              <w:ind w:firstLine="0"/>
              <w:jc w:val="left"/>
              <w:rPr>
                <w:sz w:val="18"/>
                <w:szCs w:val="18"/>
                <w:lang w:val="es-CO"/>
              </w:rPr>
            </w:pPr>
            <w:r>
              <w:rPr>
                <w:sz w:val="18"/>
                <w:szCs w:val="18"/>
                <w:lang w:val="es-CO"/>
              </w:rPr>
              <w:t>SESAL, ULMIE,</w:t>
            </w:r>
          </w:p>
        </w:tc>
        <w:tc>
          <w:tcPr>
            <w:tcW w:w="540" w:type="dxa"/>
          </w:tcPr>
          <w:p w14:paraId="4B099DE0" w14:textId="603EAEB6" w:rsidR="004052DB" w:rsidRPr="00041A72" w:rsidRDefault="004052DB" w:rsidP="004052DB">
            <w:pPr>
              <w:ind w:firstLine="0"/>
              <w:jc w:val="left"/>
              <w:rPr>
                <w:sz w:val="18"/>
                <w:szCs w:val="18"/>
                <w:lang w:val="es-CO"/>
              </w:rPr>
            </w:pPr>
            <w:r>
              <w:rPr>
                <w:sz w:val="18"/>
                <w:szCs w:val="18"/>
                <w:lang w:val="es-CO"/>
              </w:rPr>
              <w:t>No</w:t>
            </w:r>
          </w:p>
        </w:tc>
        <w:tc>
          <w:tcPr>
            <w:tcW w:w="1440" w:type="dxa"/>
          </w:tcPr>
          <w:p w14:paraId="4AFA7590" w14:textId="77777777" w:rsidR="004052DB" w:rsidRPr="00041A72" w:rsidRDefault="004052DB" w:rsidP="004052DB">
            <w:pPr>
              <w:ind w:firstLine="0"/>
              <w:jc w:val="left"/>
              <w:rPr>
                <w:sz w:val="18"/>
                <w:szCs w:val="18"/>
                <w:lang w:val="es-CO"/>
              </w:rPr>
            </w:pPr>
          </w:p>
        </w:tc>
        <w:tc>
          <w:tcPr>
            <w:tcW w:w="900" w:type="dxa"/>
          </w:tcPr>
          <w:p w14:paraId="057CF154" w14:textId="77777777" w:rsidR="004052DB" w:rsidRDefault="004052DB" w:rsidP="004052DB">
            <w:pPr>
              <w:ind w:firstLine="0"/>
              <w:jc w:val="left"/>
              <w:rPr>
                <w:sz w:val="18"/>
                <w:szCs w:val="18"/>
                <w:lang w:val="es-CO"/>
              </w:rPr>
            </w:pPr>
          </w:p>
        </w:tc>
        <w:tc>
          <w:tcPr>
            <w:tcW w:w="1080" w:type="dxa"/>
          </w:tcPr>
          <w:p w14:paraId="1D8AA630" w14:textId="77777777" w:rsidR="00FF79E6" w:rsidRDefault="00FF79E6" w:rsidP="004052DB">
            <w:pPr>
              <w:ind w:firstLine="0"/>
              <w:jc w:val="left"/>
              <w:rPr>
                <w:sz w:val="18"/>
                <w:szCs w:val="18"/>
                <w:lang w:val="es-CO"/>
              </w:rPr>
            </w:pPr>
            <w:r>
              <w:rPr>
                <w:sz w:val="18"/>
                <w:szCs w:val="18"/>
                <w:lang w:val="es-CO"/>
              </w:rPr>
              <w:t xml:space="preserve">PENSIDA </w:t>
            </w:r>
          </w:p>
          <w:p w14:paraId="197416A2" w14:textId="77777777" w:rsidR="00FF79E6" w:rsidRDefault="00FF79E6" w:rsidP="004052DB">
            <w:pPr>
              <w:ind w:firstLine="0"/>
              <w:jc w:val="left"/>
              <w:rPr>
                <w:sz w:val="18"/>
                <w:szCs w:val="18"/>
                <w:lang w:val="es-CO"/>
              </w:rPr>
            </w:pPr>
            <w:r>
              <w:rPr>
                <w:sz w:val="18"/>
                <w:szCs w:val="18"/>
                <w:lang w:val="es-CO"/>
              </w:rPr>
              <w:t>3.1.2</w:t>
            </w:r>
          </w:p>
          <w:p w14:paraId="270627BC" w14:textId="1B25FFD7" w:rsidR="00DF44D2" w:rsidRDefault="00DF44D2" w:rsidP="004052DB">
            <w:pPr>
              <w:ind w:firstLine="0"/>
              <w:jc w:val="left"/>
              <w:rPr>
                <w:sz w:val="18"/>
                <w:szCs w:val="18"/>
                <w:lang w:val="es-CO"/>
              </w:rPr>
            </w:pPr>
            <w:r>
              <w:rPr>
                <w:sz w:val="18"/>
                <w:szCs w:val="18"/>
                <w:lang w:val="es-CO"/>
              </w:rPr>
              <w:t>Eval</w:t>
            </w:r>
            <w:r w:rsidR="000C0B37">
              <w:rPr>
                <w:sz w:val="18"/>
                <w:szCs w:val="18"/>
                <w:lang w:val="es-CO"/>
              </w:rPr>
              <w:t>uación Integral Conjunta (</w:t>
            </w:r>
            <w:proofErr w:type="spellStart"/>
            <w:r w:rsidR="000C0B37">
              <w:rPr>
                <w:sz w:val="18"/>
                <w:szCs w:val="18"/>
                <w:lang w:val="es-CO"/>
              </w:rPr>
              <w:t>Eval</w:t>
            </w:r>
            <w:proofErr w:type="spellEnd"/>
            <w:r w:rsidR="000C0B37">
              <w:rPr>
                <w:sz w:val="18"/>
                <w:szCs w:val="18"/>
                <w:lang w:val="es-CO"/>
              </w:rPr>
              <w:t xml:space="preserve">. </w:t>
            </w:r>
            <w:proofErr w:type="spellStart"/>
            <w:r w:rsidR="000C0B37">
              <w:rPr>
                <w:sz w:val="18"/>
                <w:szCs w:val="18"/>
                <w:lang w:val="es-CO"/>
              </w:rPr>
              <w:t>Conj</w:t>
            </w:r>
            <w:proofErr w:type="spellEnd"/>
            <w:r w:rsidR="000C0B37">
              <w:rPr>
                <w:sz w:val="18"/>
                <w:szCs w:val="18"/>
                <w:lang w:val="es-CO"/>
              </w:rPr>
              <w:t>.)</w:t>
            </w:r>
          </w:p>
          <w:p w14:paraId="2542D917" w14:textId="232A55F8" w:rsidR="00DF44D2" w:rsidRDefault="00DF44D2" w:rsidP="004052DB">
            <w:pPr>
              <w:ind w:firstLine="0"/>
              <w:jc w:val="left"/>
              <w:rPr>
                <w:sz w:val="18"/>
                <w:szCs w:val="18"/>
                <w:lang w:val="es-419"/>
              </w:rPr>
            </w:pPr>
            <w:r>
              <w:rPr>
                <w:sz w:val="18"/>
                <w:szCs w:val="18"/>
                <w:lang w:val="es-419"/>
              </w:rPr>
              <w:t>5.3.10</w:t>
            </w:r>
          </w:p>
        </w:tc>
        <w:tc>
          <w:tcPr>
            <w:tcW w:w="1365" w:type="dxa"/>
          </w:tcPr>
          <w:p w14:paraId="108F1C54" w14:textId="77777777" w:rsidR="004052DB" w:rsidRPr="00041A72" w:rsidRDefault="004052DB" w:rsidP="004052DB">
            <w:pPr>
              <w:ind w:firstLine="0"/>
              <w:jc w:val="left"/>
              <w:rPr>
                <w:sz w:val="18"/>
                <w:szCs w:val="18"/>
                <w:lang w:val="es-CO"/>
              </w:rPr>
            </w:pPr>
          </w:p>
        </w:tc>
      </w:tr>
      <w:tr w:rsidR="004052DB" w:rsidRPr="00041A72" w14:paraId="66CB2661" w14:textId="77777777" w:rsidTr="00AA78FE">
        <w:trPr>
          <w:trHeight w:val="1755"/>
        </w:trPr>
        <w:tc>
          <w:tcPr>
            <w:tcW w:w="265" w:type="dxa"/>
            <w:vMerge w:val="restart"/>
            <w:hideMark/>
          </w:tcPr>
          <w:p w14:paraId="72ECCF0C" w14:textId="5F7E5109" w:rsidR="004052DB" w:rsidRPr="00A1454D" w:rsidRDefault="004052DB" w:rsidP="004052DB">
            <w:pPr>
              <w:ind w:firstLine="0"/>
              <w:jc w:val="left"/>
              <w:rPr>
                <w:bCs/>
                <w:sz w:val="18"/>
                <w:szCs w:val="18"/>
                <w:lang w:val="es-CO"/>
              </w:rPr>
            </w:pPr>
            <w:r>
              <w:rPr>
                <w:bCs/>
                <w:sz w:val="18"/>
                <w:szCs w:val="18"/>
                <w:lang w:val="es-CO"/>
              </w:rPr>
              <w:t>e</w:t>
            </w:r>
          </w:p>
        </w:tc>
        <w:tc>
          <w:tcPr>
            <w:tcW w:w="2440" w:type="dxa"/>
            <w:vMerge w:val="restart"/>
            <w:hideMark/>
          </w:tcPr>
          <w:p w14:paraId="01CFE1D2" w14:textId="2A49A1F7" w:rsidR="004052DB" w:rsidRPr="00417955" w:rsidRDefault="004052DB" w:rsidP="004052DB">
            <w:pPr>
              <w:ind w:firstLine="0"/>
              <w:jc w:val="left"/>
              <w:rPr>
                <w:sz w:val="18"/>
                <w:szCs w:val="18"/>
                <w:lang w:val="es-CO"/>
              </w:rPr>
            </w:pPr>
            <w:r w:rsidRPr="00417955">
              <w:rPr>
                <w:sz w:val="18"/>
                <w:szCs w:val="18"/>
                <w:lang w:val="es-CO"/>
              </w:rPr>
              <w:t>Realizar investigación de contactos y convivientes de TB a nivel comunitario</w:t>
            </w:r>
          </w:p>
        </w:tc>
        <w:tc>
          <w:tcPr>
            <w:tcW w:w="440" w:type="dxa"/>
            <w:hideMark/>
          </w:tcPr>
          <w:p w14:paraId="1F16DC7B" w14:textId="3AD532F9" w:rsidR="004052DB" w:rsidRPr="00041A72" w:rsidRDefault="004052DB" w:rsidP="004052DB">
            <w:pPr>
              <w:ind w:firstLine="0"/>
              <w:jc w:val="left"/>
              <w:rPr>
                <w:sz w:val="18"/>
                <w:szCs w:val="18"/>
                <w:lang w:val="es-CO"/>
              </w:rPr>
            </w:pPr>
            <w:r>
              <w:rPr>
                <w:sz w:val="18"/>
                <w:szCs w:val="18"/>
                <w:lang w:val="es-CO"/>
              </w:rPr>
              <w:t>9</w:t>
            </w:r>
          </w:p>
        </w:tc>
        <w:tc>
          <w:tcPr>
            <w:tcW w:w="3780" w:type="dxa"/>
            <w:hideMark/>
          </w:tcPr>
          <w:p w14:paraId="4B150E16" w14:textId="20A399AA" w:rsidR="004052DB" w:rsidRPr="00041A72" w:rsidRDefault="004052DB" w:rsidP="004052DB">
            <w:pPr>
              <w:ind w:firstLine="0"/>
              <w:jc w:val="left"/>
              <w:rPr>
                <w:sz w:val="18"/>
                <w:szCs w:val="18"/>
                <w:lang w:val="es-CO"/>
              </w:rPr>
            </w:pPr>
            <w:r w:rsidRPr="00041A72">
              <w:rPr>
                <w:sz w:val="18"/>
                <w:szCs w:val="18"/>
                <w:lang w:val="es-CO"/>
              </w:rPr>
              <w:t>Conformación del equipo nacional para la elaboración de los lineamientos para la búsqueda de contactos (Posibles miembros del equipo: DGVMM, DGN, DGRISS, U</w:t>
            </w:r>
            <w:r w:rsidR="00531488">
              <w:rPr>
                <w:sz w:val="18"/>
                <w:szCs w:val="18"/>
                <w:lang w:val="es-CO"/>
              </w:rPr>
              <w:t>V</w:t>
            </w:r>
            <w:r w:rsidRPr="00041A72">
              <w:rPr>
                <w:sz w:val="18"/>
                <w:szCs w:val="18"/>
                <w:lang w:val="es-CO"/>
              </w:rPr>
              <w:t xml:space="preserve">S, </w:t>
            </w:r>
            <w:r w:rsidR="00F94628">
              <w:rPr>
                <w:sz w:val="18"/>
                <w:szCs w:val="18"/>
                <w:lang w:val="es-CO"/>
              </w:rPr>
              <w:t>Laboratorios</w:t>
            </w:r>
            <w:r w:rsidRPr="00041A72">
              <w:rPr>
                <w:sz w:val="18"/>
                <w:szCs w:val="18"/>
                <w:lang w:val="es-CO"/>
              </w:rPr>
              <w:t>, RS, E</w:t>
            </w:r>
            <w:r w:rsidR="00F94628">
              <w:rPr>
                <w:sz w:val="18"/>
                <w:szCs w:val="18"/>
                <w:lang w:val="es-CO"/>
              </w:rPr>
              <w:t>stablecimientos de Salud</w:t>
            </w:r>
            <w:r w:rsidRPr="00041A72">
              <w:rPr>
                <w:sz w:val="18"/>
                <w:szCs w:val="18"/>
                <w:lang w:val="es-CO"/>
              </w:rPr>
              <w:t>)</w:t>
            </w:r>
          </w:p>
        </w:tc>
        <w:tc>
          <w:tcPr>
            <w:tcW w:w="630" w:type="dxa"/>
            <w:hideMark/>
          </w:tcPr>
          <w:p w14:paraId="01CA43B4" w14:textId="77777777" w:rsidR="004052DB" w:rsidRPr="00041A72" w:rsidRDefault="004052DB" w:rsidP="004052DB">
            <w:pPr>
              <w:ind w:firstLine="0"/>
              <w:jc w:val="left"/>
              <w:rPr>
                <w:sz w:val="18"/>
                <w:szCs w:val="18"/>
                <w:lang w:val="es-CO"/>
              </w:rPr>
            </w:pPr>
            <w:r w:rsidRPr="00041A72">
              <w:rPr>
                <w:sz w:val="18"/>
                <w:szCs w:val="18"/>
                <w:lang w:val="es-CO"/>
              </w:rPr>
              <w:t>2019</w:t>
            </w:r>
          </w:p>
        </w:tc>
        <w:tc>
          <w:tcPr>
            <w:tcW w:w="1530" w:type="dxa"/>
            <w:hideMark/>
          </w:tcPr>
          <w:p w14:paraId="4793FE79" w14:textId="11E2071A" w:rsidR="004052DB" w:rsidRPr="00041A72" w:rsidRDefault="004052DB" w:rsidP="004052DB">
            <w:pPr>
              <w:ind w:firstLine="0"/>
              <w:jc w:val="left"/>
              <w:rPr>
                <w:sz w:val="18"/>
                <w:szCs w:val="18"/>
                <w:lang w:val="es-CO"/>
              </w:rPr>
            </w:pPr>
            <w:r w:rsidRPr="00041A72">
              <w:rPr>
                <w:sz w:val="18"/>
                <w:szCs w:val="18"/>
                <w:lang w:val="es-CO"/>
              </w:rPr>
              <w:t xml:space="preserve">SESAL – coordinadores de TB regionales / nacional; equipo de RS; mesas intersectoriales – con participación de sociedad civil </w:t>
            </w:r>
          </w:p>
        </w:tc>
        <w:tc>
          <w:tcPr>
            <w:tcW w:w="540" w:type="dxa"/>
          </w:tcPr>
          <w:p w14:paraId="139636A3" w14:textId="607FC695" w:rsidR="004052DB" w:rsidRPr="00041A72" w:rsidRDefault="004052DB" w:rsidP="004052DB">
            <w:pPr>
              <w:ind w:firstLine="0"/>
              <w:jc w:val="left"/>
              <w:rPr>
                <w:sz w:val="18"/>
                <w:szCs w:val="18"/>
                <w:lang w:val="es-CO"/>
              </w:rPr>
            </w:pPr>
            <w:r>
              <w:rPr>
                <w:sz w:val="18"/>
                <w:szCs w:val="18"/>
                <w:lang w:val="es-CO"/>
              </w:rPr>
              <w:t>No</w:t>
            </w:r>
          </w:p>
        </w:tc>
        <w:tc>
          <w:tcPr>
            <w:tcW w:w="1440" w:type="dxa"/>
          </w:tcPr>
          <w:p w14:paraId="04BACB0F" w14:textId="77777777" w:rsidR="004052DB" w:rsidRPr="00041A72" w:rsidRDefault="004052DB" w:rsidP="004052DB">
            <w:pPr>
              <w:ind w:firstLine="0"/>
              <w:jc w:val="left"/>
              <w:rPr>
                <w:sz w:val="18"/>
                <w:szCs w:val="18"/>
                <w:lang w:val="es-CO"/>
              </w:rPr>
            </w:pPr>
          </w:p>
        </w:tc>
        <w:tc>
          <w:tcPr>
            <w:tcW w:w="900" w:type="dxa"/>
          </w:tcPr>
          <w:p w14:paraId="0D0CA8A3" w14:textId="77777777" w:rsidR="004052DB" w:rsidRPr="00041A72" w:rsidRDefault="004052DB" w:rsidP="004052DB">
            <w:pPr>
              <w:ind w:firstLine="0"/>
              <w:jc w:val="left"/>
              <w:rPr>
                <w:sz w:val="18"/>
                <w:szCs w:val="18"/>
                <w:lang w:val="es-CO"/>
              </w:rPr>
            </w:pPr>
          </w:p>
        </w:tc>
        <w:tc>
          <w:tcPr>
            <w:tcW w:w="1080" w:type="dxa"/>
            <w:vMerge w:val="restart"/>
          </w:tcPr>
          <w:p w14:paraId="39AE32CE" w14:textId="0B19303B" w:rsidR="004052DB" w:rsidRPr="00041A72" w:rsidRDefault="004052DB" w:rsidP="004052DB">
            <w:pPr>
              <w:ind w:firstLine="0"/>
              <w:jc w:val="left"/>
              <w:rPr>
                <w:sz w:val="18"/>
                <w:szCs w:val="18"/>
                <w:lang w:val="es-419"/>
              </w:rPr>
            </w:pPr>
            <w:r w:rsidRPr="00041A72">
              <w:rPr>
                <w:sz w:val="18"/>
                <w:szCs w:val="18"/>
                <w:lang w:val="es-CO"/>
              </w:rPr>
              <w:t>PENTB</w:t>
            </w:r>
          </w:p>
          <w:p w14:paraId="6ADFEE83" w14:textId="77777777" w:rsidR="004052DB" w:rsidRPr="00041A72" w:rsidRDefault="004052DB" w:rsidP="004052DB">
            <w:pPr>
              <w:ind w:firstLine="0"/>
              <w:jc w:val="left"/>
              <w:rPr>
                <w:sz w:val="18"/>
                <w:szCs w:val="18"/>
                <w:lang w:val="es-419"/>
              </w:rPr>
            </w:pPr>
            <w:r w:rsidRPr="00041A72">
              <w:rPr>
                <w:sz w:val="18"/>
                <w:szCs w:val="18"/>
                <w:lang w:val="es-419"/>
              </w:rPr>
              <w:t>3.1.1</w:t>
            </w:r>
          </w:p>
          <w:p w14:paraId="2BCE0416" w14:textId="77777777" w:rsidR="004052DB" w:rsidRPr="00041A72" w:rsidRDefault="004052DB" w:rsidP="004052DB">
            <w:pPr>
              <w:ind w:firstLine="0"/>
              <w:jc w:val="left"/>
              <w:rPr>
                <w:sz w:val="18"/>
                <w:szCs w:val="18"/>
                <w:lang w:val="es-419"/>
              </w:rPr>
            </w:pPr>
            <w:r w:rsidRPr="00041A72">
              <w:rPr>
                <w:sz w:val="18"/>
                <w:szCs w:val="18"/>
                <w:lang w:val="es-419"/>
              </w:rPr>
              <w:t>3.1.2</w:t>
            </w:r>
          </w:p>
          <w:p w14:paraId="197F9A6F" w14:textId="77777777" w:rsidR="004052DB" w:rsidRPr="00041A72" w:rsidRDefault="004052DB" w:rsidP="004052DB">
            <w:pPr>
              <w:ind w:firstLine="0"/>
              <w:jc w:val="left"/>
              <w:rPr>
                <w:sz w:val="18"/>
                <w:szCs w:val="18"/>
                <w:lang w:val="es-419"/>
              </w:rPr>
            </w:pPr>
            <w:r w:rsidRPr="00041A72">
              <w:rPr>
                <w:sz w:val="18"/>
                <w:szCs w:val="18"/>
                <w:lang w:val="es-419"/>
              </w:rPr>
              <w:t>1.2.7</w:t>
            </w:r>
          </w:p>
          <w:p w14:paraId="4F545104" w14:textId="77777777" w:rsidR="004052DB" w:rsidRPr="00041A72" w:rsidRDefault="004052DB" w:rsidP="004052DB">
            <w:pPr>
              <w:ind w:firstLine="0"/>
              <w:jc w:val="left"/>
              <w:rPr>
                <w:sz w:val="18"/>
                <w:szCs w:val="18"/>
                <w:lang w:val="es-419"/>
              </w:rPr>
            </w:pPr>
          </w:p>
        </w:tc>
        <w:tc>
          <w:tcPr>
            <w:tcW w:w="1365" w:type="dxa"/>
            <w:hideMark/>
          </w:tcPr>
          <w:p w14:paraId="70B4E53C" w14:textId="77777777" w:rsidR="004052DB" w:rsidRPr="00041A72" w:rsidRDefault="004052DB" w:rsidP="004052DB">
            <w:pPr>
              <w:ind w:firstLine="0"/>
              <w:jc w:val="left"/>
              <w:rPr>
                <w:sz w:val="18"/>
                <w:szCs w:val="18"/>
                <w:lang w:val="es-CO"/>
              </w:rPr>
            </w:pPr>
            <w:r w:rsidRPr="00041A72">
              <w:rPr>
                <w:sz w:val="18"/>
                <w:szCs w:val="18"/>
                <w:lang w:val="es-CO"/>
              </w:rPr>
              <w:t>Elaboración y validación del lineamiento de búsqueda de contactos;</w:t>
            </w:r>
          </w:p>
        </w:tc>
      </w:tr>
      <w:tr w:rsidR="004052DB" w:rsidRPr="00041A72" w14:paraId="1A834436" w14:textId="77777777" w:rsidTr="00AA78FE">
        <w:trPr>
          <w:trHeight w:val="567"/>
        </w:trPr>
        <w:tc>
          <w:tcPr>
            <w:tcW w:w="265" w:type="dxa"/>
            <w:vMerge/>
            <w:hideMark/>
          </w:tcPr>
          <w:p w14:paraId="146DE273" w14:textId="77777777" w:rsidR="004052DB" w:rsidRPr="00041A72" w:rsidRDefault="004052DB" w:rsidP="004052DB">
            <w:pPr>
              <w:ind w:firstLine="0"/>
              <w:jc w:val="left"/>
              <w:rPr>
                <w:b/>
                <w:bCs/>
                <w:sz w:val="18"/>
                <w:szCs w:val="18"/>
                <w:lang w:val="es-CO"/>
              </w:rPr>
            </w:pPr>
          </w:p>
        </w:tc>
        <w:tc>
          <w:tcPr>
            <w:tcW w:w="2440" w:type="dxa"/>
            <w:vMerge/>
            <w:hideMark/>
          </w:tcPr>
          <w:p w14:paraId="56951F48" w14:textId="77777777" w:rsidR="004052DB" w:rsidRPr="00041A72" w:rsidRDefault="004052DB" w:rsidP="004052DB">
            <w:pPr>
              <w:ind w:firstLine="0"/>
              <w:jc w:val="left"/>
              <w:rPr>
                <w:sz w:val="18"/>
                <w:szCs w:val="18"/>
                <w:lang w:val="es-CO"/>
              </w:rPr>
            </w:pPr>
          </w:p>
        </w:tc>
        <w:tc>
          <w:tcPr>
            <w:tcW w:w="440" w:type="dxa"/>
            <w:hideMark/>
          </w:tcPr>
          <w:p w14:paraId="31DDEE44" w14:textId="7A71506E" w:rsidR="004052DB" w:rsidRPr="00041A72" w:rsidRDefault="004052DB" w:rsidP="004052DB">
            <w:pPr>
              <w:ind w:firstLine="0"/>
              <w:jc w:val="left"/>
              <w:rPr>
                <w:sz w:val="18"/>
                <w:szCs w:val="18"/>
                <w:lang w:val="es-CO"/>
              </w:rPr>
            </w:pPr>
            <w:r>
              <w:rPr>
                <w:sz w:val="18"/>
                <w:szCs w:val="18"/>
                <w:lang w:val="es-CO"/>
              </w:rPr>
              <w:t>10</w:t>
            </w:r>
          </w:p>
        </w:tc>
        <w:tc>
          <w:tcPr>
            <w:tcW w:w="3780" w:type="dxa"/>
            <w:hideMark/>
          </w:tcPr>
          <w:p w14:paraId="2A0A69C4" w14:textId="69A79503" w:rsidR="004052DB" w:rsidRPr="00041A72" w:rsidRDefault="004052DB" w:rsidP="004052DB">
            <w:pPr>
              <w:ind w:firstLine="0"/>
              <w:jc w:val="left"/>
              <w:rPr>
                <w:sz w:val="18"/>
                <w:szCs w:val="18"/>
                <w:lang w:val="es-CO"/>
              </w:rPr>
            </w:pPr>
            <w:r w:rsidRPr="00041A72">
              <w:rPr>
                <w:sz w:val="18"/>
                <w:szCs w:val="18"/>
                <w:lang w:val="es-CO"/>
              </w:rPr>
              <w:t>Organización de jornadas de validación y socialización de los lineamientos de búsqueda de contactos a nivel regional, municipal, y local</w:t>
            </w:r>
          </w:p>
        </w:tc>
        <w:tc>
          <w:tcPr>
            <w:tcW w:w="630" w:type="dxa"/>
            <w:hideMark/>
          </w:tcPr>
          <w:p w14:paraId="6C884D7B" w14:textId="4BDDD617" w:rsidR="004052DB" w:rsidRPr="00041A72" w:rsidRDefault="004052DB" w:rsidP="004052DB">
            <w:pPr>
              <w:ind w:firstLine="0"/>
              <w:jc w:val="left"/>
              <w:rPr>
                <w:sz w:val="18"/>
                <w:szCs w:val="18"/>
                <w:lang w:val="es-CO"/>
              </w:rPr>
            </w:pPr>
            <w:r>
              <w:rPr>
                <w:sz w:val="18"/>
                <w:szCs w:val="18"/>
                <w:lang w:val="es-CO"/>
              </w:rPr>
              <w:t>2019</w:t>
            </w:r>
          </w:p>
        </w:tc>
        <w:tc>
          <w:tcPr>
            <w:tcW w:w="1530" w:type="dxa"/>
            <w:hideMark/>
          </w:tcPr>
          <w:p w14:paraId="44115A40" w14:textId="46189FE4" w:rsidR="004052DB" w:rsidRPr="00041A72" w:rsidRDefault="004052DB" w:rsidP="004052DB">
            <w:pPr>
              <w:ind w:firstLine="0"/>
              <w:jc w:val="left"/>
              <w:rPr>
                <w:sz w:val="18"/>
                <w:szCs w:val="18"/>
                <w:lang w:val="es-CO"/>
              </w:rPr>
            </w:pPr>
            <w:r>
              <w:rPr>
                <w:sz w:val="18"/>
                <w:szCs w:val="18"/>
                <w:lang w:val="es-CO"/>
              </w:rPr>
              <w:t>SESAL</w:t>
            </w:r>
            <w:r w:rsidRPr="00041A72">
              <w:rPr>
                <w:sz w:val="18"/>
                <w:szCs w:val="18"/>
                <w:lang w:val="es-CO"/>
              </w:rPr>
              <w:t xml:space="preserve"> </w:t>
            </w:r>
            <w:r>
              <w:rPr>
                <w:sz w:val="18"/>
                <w:szCs w:val="18"/>
                <w:lang w:val="es-CO"/>
              </w:rPr>
              <w:t>-</w:t>
            </w:r>
            <w:r w:rsidRPr="00041A72">
              <w:rPr>
                <w:sz w:val="18"/>
                <w:szCs w:val="18"/>
                <w:lang w:val="es-CO"/>
              </w:rPr>
              <w:t>coordinadores de TB regionales</w:t>
            </w:r>
          </w:p>
        </w:tc>
        <w:tc>
          <w:tcPr>
            <w:tcW w:w="540" w:type="dxa"/>
          </w:tcPr>
          <w:p w14:paraId="68C018BF" w14:textId="77777777" w:rsidR="004052DB" w:rsidRPr="00041A72" w:rsidRDefault="004052DB" w:rsidP="004052DB">
            <w:pPr>
              <w:ind w:firstLine="0"/>
              <w:jc w:val="left"/>
              <w:rPr>
                <w:sz w:val="18"/>
                <w:szCs w:val="18"/>
                <w:lang w:val="es-CO"/>
              </w:rPr>
            </w:pPr>
            <w:r w:rsidRPr="00041A72">
              <w:rPr>
                <w:sz w:val="18"/>
                <w:szCs w:val="18"/>
                <w:lang w:val="es-CO"/>
              </w:rPr>
              <w:t>No</w:t>
            </w:r>
          </w:p>
        </w:tc>
        <w:tc>
          <w:tcPr>
            <w:tcW w:w="1440" w:type="dxa"/>
          </w:tcPr>
          <w:p w14:paraId="2C824CE0" w14:textId="0B0A3E3B" w:rsidR="004052DB" w:rsidRPr="00041A72" w:rsidRDefault="004052DB" w:rsidP="004052DB">
            <w:pPr>
              <w:ind w:firstLine="0"/>
              <w:jc w:val="left"/>
              <w:rPr>
                <w:sz w:val="18"/>
                <w:szCs w:val="18"/>
                <w:lang w:val="es-CO"/>
              </w:rPr>
            </w:pPr>
            <w:r w:rsidRPr="00041A72">
              <w:rPr>
                <w:sz w:val="18"/>
                <w:szCs w:val="18"/>
                <w:lang w:val="es-CO"/>
              </w:rPr>
              <w:t xml:space="preserve">1,130 USD </w:t>
            </w:r>
          </w:p>
        </w:tc>
        <w:tc>
          <w:tcPr>
            <w:tcW w:w="900" w:type="dxa"/>
          </w:tcPr>
          <w:p w14:paraId="1DCC0006" w14:textId="77777777" w:rsidR="004052DB" w:rsidRPr="00041A72" w:rsidRDefault="004052DB" w:rsidP="004052DB">
            <w:pPr>
              <w:ind w:firstLine="0"/>
              <w:jc w:val="left"/>
              <w:rPr>
                <w:sz w:val="18"/>
                <w:szCs w:val="18"/>
                <w:lang w:val="es-CO"/>
              </w:rPr>
            </w:pPr>
          </w:p>
        </w:tc>
        <w:tc>
          <w:tcPr>
            <w:tcW w:w="1080" w:type="dxa"/>
            <w:vMerge/>
          </w:tcPr>
          <w:p w14:paraId="3629A712" w14:textId="77777777" w:rsidR="004052DB" w:rsidRPr="00041A72" w:rsidRDefault="004052DB" w:rsidP="004052DB">
            <w:pPr>
              <w:ind w:firstLine="0"/>
              <w:jc w:val="left"/>
              <w:rPr>
                <w:sz w:val="18"/>
                <w:szCs w:val="18"/>
                <w:lang w:val="es-CO"/>
              </w:rPr>
            </w:pPr>
          </w:p>
        </w:tc>
        <w:tc>
          <w:tcPr>
            <w:tcW w:w="1365" w:type="dxa"/>
            <w:hideMark/>
          </w:tcPr>
          <w:p w14:paraId="76FB1C8D" w14:textId="77777777" w:rsidR="004052DB" w:rsidRPr="00041A72" w:rsidRDefault="004052DB" w:rsidP="004052DB">
            <w:pPr>
              <w:ind w:firstLine="0"/>
              <w:jc w:val="left"/>
              <w:rPr>
                <w:sz w:val="18"/>
                <w:szCs w:val="18"/>
                <w:lang w:val="es-CO"/>
              </w:rPr>
            </w:pPr>
            <w:r w:rsidRPr="00041A72">
              <w:rPr>
                <w:sz w:val="18"/>
                <w:szCs w:val="18"/>
                <w:lang w:val="es-CO"/>
              </w:rPr>
              <w:t>Estrategia de validación de lineamientos.</w:t>
            </w:r>
          </w:p>
        </w:tc>
      </w:tr>
      <w:tr w:rsidR="004052DB" w:rsidRPr="00041A72" w14:paraId="3CE52AED" w14:textId="77777777" w:rsidTr="00AA78FE">
        <w:trPr>
          <w:trHeight w:val="1448"/>
        </w:trPr>
        <w:tc>
          <w:tcPr>
            <w:tcW w:w="265" w:type="dxa"/>
            <w:vMerge/>
            <w:hideMark/>
          </w:tcPr>
          <w:p w14:paraId="0093EFE9" w14:textId="77777777" w:rsidR="004052DB" w:rsidRPr="00041A72" w:rsidRDefault="004052DB" w:rsidP="004052DB">
            <w:pPr>
              <w:ind w:firstLine="0"/>
              <w:jc w:val="left"/>
              <w:rPr>
                <w:b/>
                <w:bCs/>
                <w:sz w:val="18"/>
                <w:szCs w:val="18"/>
                <w:lang w:val="es-CO"/>
              </w:rPr>
            </w:pPr>
          </w:p>
        </w:tc>
        <w:tc>
          <w:tcPr>
            <w:tcW w:w="2440" w:type="dxa"/>
            <w:vMerge/>
            <w:hideMark/>
          </w:tcPr>
          <w:p w14:paraId="46675DCA" w14:textId="77777777" w:rsidR="004052DB" w:rsidRPr="00041A72" w:rsidRDefault="004052DB" w:rsidP="004052DB">
            <w:pPr>
              <w:ind w:firstLine="0"/>
              <w:jc w:val="left"/>
              <w:rPr>
                <w:sz w:val="18"/>
                <w:szCs w:val="18"/>
                <w:lang w:val="es-CO"/>
              </w:rPr>
            </w:pPr>
          </w:p>
        </w:tc>
        <w:tc>
          <w:tcPr>
            <w:tcW w:w="440" w:type="dxa"/>
            <w:hideMark/>
          </w:tcPr>
          <w:p w14:paraId="0685E54E" w14:textId="4D19DCF5" w:rsidR="004052DB" w:rsidRPr="00041A72" w:rsidRDefault="004052DB" w:rsidP="004052DB">
            <w:pPr>
              <w:ind w:firstLine="0"/>
              <w:jc w:val="left"/>
              <w:rPr>
                <w:sz w:val="18"/>
                <w:szCs w:val="18"/>
                <w:lang w:val="es-CO"/>
              </w:rPr>
            </w:pPr>
            <w:r w:rsidRPr="00041A72">
              <w:rPr>
                <w:sz w:val="18"/>
                <w:szCs w:val="18"/>
                <w:lang w:val="es-CO"/>
              </w:rPr>
              <w:t>1</w:t>
            </w:r>
            <w:r>
              <w:rPr>
                <w:sz w:val="18"/>
                <w:szCs w:val="18"/>
                <w:lang w:val="es-CO"/>
              </w:rPr>
              <w:t>1</w:t>
            </w:r>
          </w:p>
        </w:tc>
        <w:tc>
          <w:tcPr>
            <w:tcW w:w="3780" w:type="dxa"/>
            <w:hideMark/>
          </w:tcPr>
          <w:p w14:paraId="59BA94E3" w14:textId="77777777" w:rsidR="004052DB" w:rsidRPr="00041A72" w:rsidRDefault="004052DB" w:rsidP="004052DB">
            <w:pPr>
              <w:ind w:firstLine="0"/>
              <w:jc w:val="left"/>
              <w:rPr>
                <w:sz w:val="18"/>
                <w:szCs w:val="18"/>
                <w:lang w:val="es-CO"/>
              </w:rPr>
            </w:pPr>
            <w:r w:rsidRPr="00041A72">
              <w:rPr>
                <w:sz w:val="18"/>
                <w:szCs w:val="18"/>
                <w:lang w:val="es-CO"/>
              </w:rPr>
              <w:t>Elaboración de los planes de implementación y monitoreo de los lineamientos para la búsqueda de contactos – Implementación en municipios priorizados (financiamiento del FM)</w:t>
            </w:r>
          </w:p>
        </w:tc>
        <w:tc>
          <w:tcPr>
            <w:tcW w:w="630" w:type="dxa"/>
            <w:hideMark/>
          </w:tcPr>
          <w:p w14:paraId="65EEA11A" w14:textId="33537197" w:rsidR="004052DB" w:rsidRPr="00041A72" w:rsidRDefault="004052DB" w:rsidP="004052DB">
            <w:pPr>
              <w:ind w:firstLine="0"/>
              <w:jc w:val="left"/>
              <w:rPr>
                <w:sz w:val="18"/>
                <w:szCs w:val="18"/>
                <w:lang w:val="es-CO"/>
              </w:rPr>
            </w:pPr>
            <w:r>
              <w:rPr>
                <w:sz w:val="18"/>
                <w:szCs w:val="18"/>
                <w:lang w:val="es-CO"/>
              </w:rPr>
              <w:t>2019</w:t>
            </w:r>
          </w:p>
        </w:tc>
        <w:tc>
          <w:tcPr>
            <w:tcW w:w="1530" w:type="dxa"/>
            <w:hideMark/>
          </w:tcPr>
          <w:p w14:paraId="0EA75E15" w14:textId="77777777" w:rsidR="004052DB" w:rsidRPr="00041A72" w:rsidRDefault="004052DB" w:rsidP="004052DB">
            <w:pPr>
              <w:ind w:firstLine="0"/>
              <w:jc w:val="left"/>
              <w:rPr>
                <w:sz w:val="18"/>
                <w:szCs w:val="18"/>
                <w:lang w:val="es-CO"/>
              </w:rPr>
            </w:pPr>
            <w:r w:rsidRPr="00041A72">
              <w:rPr>
                <w:sz w:val="18"/>
                <w:szCs w:val="18"/>
                <w:lang w:val="es-CO"/>
              </w:rPr>
              <w:t>Establecimientos de salud</w:t>
            </w:r>
          </w:p>
        </w:tc>
        <w:tc>
          <w:tcPr>
            <w:tcW w:w="540" w:type="dxa"/>
          </w:tcPr>
          <w:p w14:paraId="45D0F3DE" w14:textId="77777777" w:rsidR="004052DB" w:rsidRPr="00041A72" w:rsidRDefault="004052DB" w:rsidP="004052DB">
            <w:pPr>
              <w:ind w:firstLine="0"/>
              <w:jc w:val="left"/>
              <w:rPr>
                <w:sz w:val="18"/>
                <w:szCs w:val="18"/>
                <w:lang w:val="es-CO"/>
              </w:rPr>
            </w:pPr>
            <w:r w:rsidRPr="00041A72">
              <w:rPr>
                <w:sz w:val="18"/>
                <w:szCs w:val="18"/>
                <w:lang w:val="es-CO"/>
              </w:rPr>
              <w:t>Si</w:t>
            </w:r>
          </w:p>
        </w:tc>
        <w:tc>
          <w:tcPr>
            <w:tcW w:w="1440" w:type="dxa"/>
          </w:tcPr>
          <w:p w14:paraId="7C2853E0" w14:textId="23021542" w:rsidR="004052DB" w:rsidRPr="00041A72" w:rsidRDefault="004052DB" w:rsidP="004052DB">
            <w:pPr>
              <w:ind w:firstLine="0"/>
              <w:jc w:val="left"/>
              <w:rPr>
                <w:sz w:val="18"/>
                <w:szCs w:val="18"/>
                <w:lang w:val="es-CO"/>
              </w:rPr>
            </w:pPr>
            <w:r w:rsidRPr="00041A72">
              <w:rPr>
                <w:sz w:val="18"/>
                <w:szCs w:val="18"/>
                <w:lang w:val="es-CO"/>
              </w:rPr>
              <w:t xml:space="preserve">7,400 USD </w:t>
            </w:r>
          </w:p>
        </w:tc>
        <w:tc>
          <w:tcPr>
            <w:tcW w:w="900" w:type="dxa"/>
          </w:tcPr>
          <w:p w14:paraId="3226BC7A" w14:textId="77777777" w:rsidR="004052DB" w:rsidRPr="00041A72" w:rsidRDefault="004052DB" w:rsidP="004052DB">
            <w:pPr>
              <w:ind w:firstLine="0"/>
              <w:jc w:val="left"/>
              <w:rPr>
                <w:sz w:val="18"/>
                <w:szCs w:val="18"/>
                <w:lang w:val="es-CO"/>
              </w:rPr>
            </w:pPr>
          </w:p>
        </w:tc>
        <w:tc>
          <w:tcPr>
            <w:tcW w:w="1080" w:type="dxa"/>
            <w:vMerge/>
          </w:tcPr>
          <w:p w14:paraId="131950CA" w14:textId="77777777" w:rsidR="004052DB" w:rsidRPr="00041A72" w:rsidRDefault="004052DB" w:rsidP="004052DB">
            <w:pPr>
              <w:ind w:firstLine="0"/>
              <w:jc w:val="left"/>
              <w:rPr>
                <w:sz w:val="18"/>
                <w:szCs w:val="18"/>
                <w:lang w:val="es-CO"/>
              </w:rPr>
            </w:pPr>
          </w:p>
        </w:tc>
        <w:tc>
          <w:tcPr>
            <w:tcW w:w="1365" w:type="dxa"/>
            <w:hideMark/>
          </w:tcPr>
          <w:p w14:paraId="4D3D1F43" w14:textId="77777777" w:rsidR="004052DB" w:rsidRPr="00041A72" w:rsidRDefault="004052DB" w:rsidP="004052DB">
            <w:pPr>
              <w:ind w:firstLine="0"/>
              <w:jc w:val="left"/>
              <w:rPr>
                <w:sz w:val="18"/>
                <w:szCs w:val="18"/>
                <w:lang w:val="es-CO"/>
              </w:rPr>
            </w:pPr>
            <w:r w:rsidRPr="00041A72">
              <w:rPr>
                <w:sz w:val="18"/>
                <w:szCs w:val="18"/>
                <w:lang w:val="es-CO"/>
              </w:rPr>
              <w:t>Plan de implementación y monitoreo de los niveles locales para la búsqueda de contactos</w:t>
            </w:r>
          </w:p>
        </w:tc>
      </w:tr>
      <w:tr w:rsidR="004052DB" w:rsidRPr="00041A72" w14:paraId="79FA0313" w14:textId="77777777" w:rsidTr="00CF6FF1">
        <w:trPr>
          <w:trHeight w:val="963"/>
        </w:trPr>
        <w:tc>
          <w:tcPr>
            <w:tcW w:w="265" w:type="dxa"/>
            <w:vMerge/>
            <w:hideMark/>
          </w:tcPr>
          <w:p w14:paraId="7EBFF485" w14:textId="77777777" w:rsidR="004052DB" w:rsidRPr="00041A72" w:rsidRDefault="004052DB" w:rsidP="004052DB">
            <w:pPr>
              <w:ind w:firstLine="0"/>
              <w:jc w:val="left"/>
              <w:rPr>
                <w:b/>
                <w:bCs/>
                <w:sz w:val="18"/>
                <w:szCs w:val="18"/>
                <w:lang w:val="es-CO"/>
              </w:rPr>
            </w:pPr>
          </w:p>
        </w:tc>
        <w:tc>
          <w:tcPr>
            <w:tcW w:w="2440" w:type="dxa"/>
            <w:vMerge/>
            <w:hideMark/>
          </w:tcPr>
          <w:p w14:paraId="251499A4" w14:textId="77777777" w:rsidR="004052DB" w:rsidRPr="00041A72" w:rsidRDefault="004052DB" w:rsidP="004052DB">
            <w:pPr>
              <w:ind w:firstLine="0"/>
              <w:jc w:val="left"/>
              <w:rPr>
                <w:sz w:val="18"/>
                <w:szCs w:val="18"/>
                <w:lang w:val="es-CO"/>
              </w:rPr>
            </w:pPr>
          </w:p>
        </w:tc>
        <w:tc>
          <w:tcPr>
            <w:tcW w:w="440" w:type="dxa"/>
            <w:hideMark/>
          </w:tcPr>
          <w:p w14:paraId="2256DDDB" w14:textId="1C7919F2" w:rsidR="004052DB" w:rsidRPr="00041A72" w:rsidRDefault="004052DB" w:rsidP="004052DB">
            <w:pPr>
              <w:ind w:firstLine="0"/>
              <w:jc w:val="left"/>
              <w:rPr>
                <w:sz w:val="18"/>
                <w:szCs w:val="18"/>
                <w:lang w:val="es-CO"/>
              </w:rPr>
            </w:pPr>
            <w:r w:rsidRPr="00041A72">
              <w:rPr>
                <w:sz w:val="18"/>
                <w:szCs w:val="18"/>
                <w:lang w:val="es-CO"/>
              </w:rPr>
              <w:t>1</w:t>
            </w:r>
            <w:r>
              <w:rPr>
                <w:sz w:val="18"/>
                <w:szCs w:val="18"/>
                <w:lang w:val="es-CO"/>
              </w:rPr>
              <w:t>2</w:t>
            </w:r>
          </w:p>
        </w:tc>
        <w:tc>
          <w:tcPr>
            <w:tcW w:w="3780" w:type="dxa"/>
            <w:hideMark/>
          </w:tcPr>
          <w:p w14:paraId="7989D3A7" w14:textId="5D0C7E7D" w:rsidR="004052DB" w:rsidRPr="00041A72" w:rsidRDefault="004052DB" w:rsidP="004052DB">
            <w:pPr>
              <w:ind w:firstLine="0"/>
              <w:jc w:val="left"/>
              <w:rPr>
                <w:sz w:val="18"/>
                <w:szCs w:val="18"/>
                <w:lang w:val="es-CO"/>
              </w:rPr>
            </w:pPr>
            <w:r w:rsidRPr="00041A72">
              <w:rPr>
                <w:sz w:val="18"/>
                <w:szCs w:val="18"/>
                <w:lang w:val="es-CO"/>
              </w:rPr>
              <w:t>Monitoreo y seguimiento de la implementación del plan de búsqueda de contactos</w:t>
            </w:r>
          </w:p>
        </w:tc>
        <w:tc>
          <w:tcPr>
            <w:tcW w:w="630" w:type="dxa"/>
            <w:hideMark/>
          </w:tcPr>
          <w:p w14:paraId="3789973E" w14:textId="3B6AD183" w:rsidR="004052DB" w:rsidRPr="00041A72" w:rsidRDefault="004052DB" w:rsidP="004052DB">
            <w:pPr>
              <w:ind w:firstLine="0"/>
              <w:jc w:val="left"/>
              <w:rPr>
                <w:sz w:val="18"/>
                <w:szCs w:val="18"/>
                <w:lang w:val="es-CO"/>
              </w:rPr>
            </w:pPr>
            <w:r>
              <w:rPr>
                <w:sz w:val="18"/>
                <w:szCs w:val="18"/>
                <w:lang w:val="es-CO"/>
              </w:rPr>
              <w:t>2020</w:t>
            </w:r>
          </w:p>
        </w:tc>
        <w:tc>
          <w:tcPr>
            <w:tcW w:w="1530" w:type="dxa"/>
            <w:hideMark/>
          </w:tcPr>
          <w:p w14:paraId="347BFCD1" w14:textId="77777777" w:rsidR="004052DB" w:rsidRPr="00041A72" w:rsidRDefault="004052DB" w:rsidP="004052DB">
            <w:pPr>
              <w:ind w:firstLine="0"/>
              <w:jc w:val="left"/>
              <w:rPr>
                <w:sz w:val="18"/>
                <w:szCs w:val="18"/>
                <w:lang w:val="es-CO"/>
              </w:rPr>
            </w:pPr>
            <w:r w:rsidRPr="00041A72">
              <w:rPr>
                <w:sz w:val="18"/>
                <w:szCs w:val="18"/>
                <w:lang w:val="es-CO"/>
              </w:rPr>
              <w:t>SESAL – coordinadores de TB regionales / nacional</w:t>
            </w:r>
          </w:p>
        </w:tc>
        <w:tc>
          <w:tcPr>
            <w:tcW w:w="540" w:type="dxa"/>
          </w:tcPr>
          <w:p w14:paraId="139EA8DB" w14:textId="77777777" w:rsidR="004052DB" w:rsidRPr="00041A72" w:rsidRDefault="004052DB" w:rsidP="004052DB">
            <w:pPr>
              <w:ind w:firstLine="0"/>
              <w:jc w:val="left"/>
              <w:rPr>
                <w:sz w:val="18"/>
                <w:szCs w:val="18"/>
                <w:lang w:val="es-CO"/>
              </w:rPr>
            </w:pPr>
            <w:r w:rsidRPr="00041A72">
              <w:rPr>
                <w:sz w:val="18"/>
                <w:szCs w:val="18"/>
                <w:lang w:val="es-CO"/>
              </w:rPr>
              <w:t>No</w:t>
            </w:r>
          </w:p>
        </w:tc>
        <w:tc>
          <w:tcPr>
            <w:tcW w:w="1440" w:type="dxa"/>
          </w:tcPr>
          <w:p w14:paraId="48C0A59C" w14:textId="77777777" w:rsidR="004052DB" w:rsidRPr="00041A72" w:rsidRDefault="004052DB" w:rsidP="004052DB">
            <w:pPr>
              <w:ind w:firstLine="0"/>
              <w:jc w:val="left"/>
              <w:rPr>
                <w:sz w:val="18"/>
                <w:szCs w:val="18"/>
                <w:lang w:val="es-CO"/>
              </w:rPr>
            </w:pPr>
          </w:p>
        </w:tc>
        <w:tc>
          <w:tcPr>
            <w:tcW w:w="900" w:type="dxa"/>
          </w:tcPr>
          <w:p w14:paraId="219E3986" w14:textId="77777777" w:rsidR="004052DB" w:rsidRPr="00041A72" w:rsidRDefault="004052DB" w:rsidP="004052DB">
            <w:pPr>
              <w:ind w:firstLine="0"/>
              <w:jc w:val="left"/>
              <w:rPr>
                <w:sz w:val="18"/>
                <w:szCs w:val="18"/>
                <w:lang w:val="es-CO"/>
              </w:rPr>
            </w:pPr>
          </w:p>
        </w:tc>
        <w:tc>
          <w:tcPr>
            <w:tcW w:w="1080" w:type="dxa"/>
            <w:vMerge/>
          </w:tcPr>
          <w:p w14:paraId="4E119A14" w14:textId="77777777" w:rsidR="004052DB" w:rsidRPr="00041A72" w:rsidRDefault="004052DB" w:rsidP="004052DB">
            <w:pPr>
              <w:ind w:firstLine="0"/>
              <w:jc w:val="left"/>
              <w:rPr>
                <w:sz w:val="18"/>
                <w:szCs w:val="18"/>
                <w:lang w:val="es-CO"/>
              </w:rPr>
            </w:pPr>
          </w:p>
        </w:tc>
        <w:tc>
          <w:tcPr>
            <w:tcW w:w="1365" w:type="dxa"/>
            <w:hideMark/>
          </w:tcPr>
          <w:p w14:paraId="1450C749" w14:textId="063A8855" w:rsidR="004052DB" w:rsidRPr="00041A72" w:rsidRDefault="004052DB" w:rsidP="004052DB">
            <w:pPr>
              <w:ind w:firstLine="0"/>
              <w:jc w:val="left"/>
              <w:rPr>
                <w:sz w:val="18"/>
                <w:szCs w:val="18"/>
                <w:lang w:val="es-CO"/>
              </w:rPr>
            </w:pPr>
            <w:r w:rsidRPr="00041A72">
              <w:rPr>
                <w:sz w:val="18"/>
                <w:szCs w:val="18"/>
                <w:lang w:val="es-CO"/>
              </w:rPr>
              <w:t xml:space="preserve">Matriz de monitoreo y reportes </w:t>
            </w:r>
            <w:r>
              <w:rPr>
                <w:sz w:val="18"/>
                <w:szCs w:val="18"/>
                <w:lang w:val="es-CO"/>
              </w:rPr>
              <w:t>periódicos</w:t>
            </w:r>
          </w:p>
        </w:tc>
      </w:tr>
      <w:tr w:rsidR="004052DB" w:rsidRPr="00041A72" w14:paraId="0BD77C0F" w14:textId="77777777" w:rsidTr="00AA78FE">
        <w:trPr>
          <w:trHeight w:val="441"/>
        </w:trPr>
        <w:tc>
          <w:tcPr>
            <w:tcW w:w="265" w:type="dxa"/>
          </w:tcPr>
          <w:p w14:paraId="0F782D16" w14:textId="39247D0C" w:rsidR="004052DB" w:rsidRPr="000569F7" w:rsidRDefault="004052DB" w:rsidP="004052DB">
            <w:pPr>
              <w:ind w:firstLine="0"/>
              <w:jc w:val="left"/>
              <w:rPr>
                <w:bCs/>
                <w:sz w:val="18"/>
                <w:szCs w:val="18"/>
                <w:lang w:val="es-CO"/>
              </w:rPr>
            </w:pPr>
            <w:r>
              <w:rPr>
                <w:bCs/>
                <w:sz w:val="18"/>
                <w:szCs w:val="18"/>
                <w:lang w:val="es-CO"/>
              </w:rPr>
              <w:t>f</w:t>
            </w:r>
          </w:p>
        </w:tc>
        <w:tc>
          <w:tcPr>
            <w:tcW w:w="2440" w:type="dxa"/>
          </w:tcPr>
          <w:p w14:paraId="10665879" w14:textId="1C32D667" w:rsidR="004052DB" w:rsidRPr="000569F7" w:rsidRDefault="004052DB" w:rsidP="004052DB">
            <w:pPr>
              <w:pStyle w:val="Heading3"/>
              <w:numPr>
                <w:ilvl w:val="0"/>
                <w:numId w:val="0"/>
              </w:numPr>
              <w:tabs>
                <w:tab w:val="clear" w:pos="851"/>
                <w:tab w:val="left" w:pos="90"/>
                <w:tab w:val="left" w:pos="1170"/>
              </w:tabs>
              <w:outlineLvl w:val="2"/>
              <w:rPr>
                <w:rFonts w:ascii="Times New Roman" w:hAnsi="Times New Roman"/>
                <w:b w:val="0"/>
                <w:sz w:val="18"/>
                <w:szCs w:val="18"/>
                <w:lang w:val="es-CO"/>
              </w:rPr>
            </w:pPr>
            <w:r>
              <w:rPr>
                <w:rFonts w:ascii="Times New Roman" w:hAnsi="Times New Roman"/>
                <w:b w:val="0"/>
                <w:sz w:val="18"/>
                <w:szCs w:val="18"/>
                <w:lang w:val="es-CO"/>
              </w:rPr>
              <w:t>Evaluar la factibilidad de ajuste normativo y presupuestal para la implementación de las nuevas guías de la OMS para el tratamiento de la TB-MDR</w:t>
            </w:r>
          </w:p>
        </w:tc>
        <w:tc>
          <w:tcPr>
            <w:tcW w:w="440" w:type="dxa"/>
          </w:tcPr>
          <w:p w14:paraId="415CC544" w14:textId="2B0A9F23" w:rsidR="004052DB" w:rsidRPr="00041A72" w:rsidRDefault="004052DB" w:rsidP="004052DB">
            <w:pPr>
              <w:ind w:firstLine="0"/>
              <w:jc w:val="left"/>
              <w:rPr>
                <w:sz w:val="18"/>
                <w:szCs w:val="18"/>
                <w:lang w:val="es-CO"/>
              </w:rPr>
            </w:pPr>
            <w:r>
              <w:rPr>
                <w:sz w:val="18"/>
                <w:szCs w:val="18"/>
                <w:lang w:val="es-CO"/>
              </w:rPr>
              <w:t>13</w:t>
            </w:r>
          </w:p>
        </w:tc>
        <w:tc>
          <w:tcPr>
            <w:tcW w:w="3780" w:type="dxa"/>
          </w:tcPr>
          <w:p w14:paraId="1F089B18" w14:textId="435D588D" w:rsidR="004052DB" w:rsidRPr="00041A72" w:rsidRDefault="004052DB" w:rsidP="004052DB">
            <w:pPr>
              <w:ind w:firstLine="0"/>
              <w:jc w:val="left"/>
              <w:rPr>
                <w:sz w:val="18"/>
                <w:szCs w:val="18"/>
                <w:lang w:val="es-CO"/>
              </w:rPr>
            </w:pPr>
            <w:r>
              <w:rPr>
                <w:sz w:val="18"/>
                <w:szCs w:val="18"/>
                <w:lang w:val="es-CO"/>
              </w:rPr>
              <w:t>Realizar un análisis sobre las modificaciones normativas, presupuestales y en la estimación de compras que sería necesarias para adoptar las nuevas guías de la OMS</w:t>
            </w:r>
          </w:p>
        </w:tc>
        <w:tc>
          <w:tcPr>
            <w:tcW w:w="630" w:type="dxa"/>
          </w:tcPr>
          <w:p w14:paraId="2832B5F2" w14:textId="5A8243B7" w:rsidR="004052DB" w:rsidRPr="00041A72" w:rsidRDefault="004052DB" w:rsidP="004052DB">
            <w:pPr>
              <w:ind w:firstLine="0"/>
              <w:jc w:val="left"/>
              <w:rPr>
                <w:sz w:val="18"/>
                <w:szCs w:val="18"/>
                <w:lang w:val="es-CO"/>
              </w:rPr>
            </w:pPr>
            <w:r>
              <w:rPr>
                <w:sz w:val="18"/>
                <w:szCs w:val="18"/>
                <w:lang w:val="es-CO"/>
              </w:rPr>
              <w:t>2019</w:t>
            </w:r>
          </w:p>
        </w:tc>
        <w:tc>
          <w:tcPr>
            <w:tcW w:w="1530" w:type="dxa"/>
          </w:tcPr>
          <w:p w14:paraId="3C7AD0AB" w14:textId="28E56984" w:rsidR="004052DB" w:rsidRPr="00041A72" w:rsidRDefault="004052DB" w:rsidP="004052DB">
            <w:pPr>
              <w:ind w:firstLine="0"/>
              <w:jc w:val="left"/>
              <w:rPr>
                <w:sz w:val="18"/>
                <w:szCs w:val="18"/>
                <w:lang w:val="es-CO"/>
              </w:rPr>
            </w:pPr>
            <w:r>
              <w:rPr>
                <w:sz w:val="18"/>
                <w:szCs w:val="18"/>
                <w:lang w:val="es-CO"/>
              </w:rPr>
              <w:t>SESAL, coordinador de TB nacional, ULMIE, UPEG</w:t>
            </w:r>
          </w:p>
        </w:tc>
        <w:tc>
          <w:tcPr>
            <w:tcW w:w="540" w:type="dxa"/>
          </w:tcPr>
          <w:p w14:paraId="4EA3FC19" w14:textId="162D797C" w:rsidR="004052DB" w:rsidRPr="00041A72" w:rsidRDefault="004052DB" w:rsidP="004052DB">
            <w:pPr>
              <w:ind w:firstLine="0"/>
              <w:jc w:val="left"/>
              <w:rPr>
                <w:sz w:val="18"/>
                <w:szCs w:val="18"/>
                <w:lang w:val="es-CO"/>
              </w:rPr>
            </w:pPr>
            <w:r>
              <w:rPr>
                <w:sz w:val="18"/>
                <w:szCs w:val="18"/>
                <w:lang w:val="es-CO"/>
              </w:rPr>
              <w:t>No</w:t>
            </w:r>
          </w:p>
        </w:tc>
        <w:tc>
          <w:tcPr>
            <w:tcW w:w="1440" w:type="dxa"/>
          </w:tcPr>
          <w:p w14:paraId="040B2BF8" w14:textId="77777777" w:rsidR="004052DB" w:rsidRPr="00041A72" w:rsidRDefault="004052DB" w:rsidP="004052DB">
            <w:pPr>
              <w:ind w:firstLine="0"/>
              <w:jc w:val="left"/>
              <w:rPr>
                <w:sz w:val="18"/>
                <w:szCs w:val="18"/>
                <w:lang w:val="es-CO"/>
              </w:rPr>
            </w:pPr>
          </w:p>
        </w:tc>
        <w:tc>
          <w:tcPr>
            <w:tcW w:w="900" w:type="dxa"/>
          </w:tcPr>
          <w:p w14:paraId="3BA27740" w14:textId="77777777" w:rsidR="004052DB" w:rsidRPr="00041A72" w:rsidRDefault="004052DB" w:rsidP="004052DB">
            <w:pPr>
              <w:ind w:firstLine="0"/>
              <w:jc w:val="left"/>
              <w:rPr>
                <w:sz w:val="18"/>
                <w:szCs w:val="18"/>
                <w:lang w:val="es-CO"/>
              </w:rPr>
            </w:pPr>
          </w:p>
        </w:tc>
        <w:tc>
          <w:tcPr>
            <w:tcW w:w="1080" w:type="dxa"/>
          </w:tcPr>
          <w:p w14:paraId="3C68D68D" w14:textId="77777777" w:rsidR="00930CC2" w:rsidRDefault="004052DB" w:rsidP="004052DB">
            <w:pPr>
              <w:ind w:firstLine="0"/>
              <w:jc w:val="left"/>
              <w:rPr>
                <w:sz w:val="18"/>
                <w:szCs w:val="18"/>
                <w:lang w:val="es-CO"/>
              </w:rPr>
            </w:pPr>
            <w:r>
              <w:rPr>
                <w:sz w:val="18"/>
                <w:szCs w:val="18"/>
                <w:lang w:val="es-CO"/>
              </w:rPr>
              <w:t>PENTB</w:t>
            </w:r>
          </w:p>
          <w:p w14:paraId="62C5A7E4" w14:textId="7F2EAB26" w:rsidR="004052DB" w:rsidRPr="00041A72" w:rsidRDefault="004052DB" w:rsidP="004052DB">
            <w:pPr>
              <w:ind w:firstLine="0"/>
              <w:jc w:val="left"/>
              <w:rPr>
                <w:sz w:val="18"/>
                <w:szCs w:val="18"/>
                <w:lang w:val="es-CO"/>
              </w:rPr>
            </w:pPr>
            <w:r>
              <w:rPr>
                <w:sz w:val="18"/>
                <w:szCs w:val="18"/>
                <w:lang w:val="es-CO"/>
              </w:rPr>
              <w:t xml:space="preserve"> 1.1.9</w:t>
            </w:r>
          </w:p>
        </w:tc>
        <w:tc>
          <w:tcPr>
            <w:tcW w:w="1365" w:type="dxa"/>
          </w:tcPr>
          <w:p w14:paraId="53C6C745" w14:textId="15B08899" w:rsidR="004052DB" w:rsidRPr="00041A72" w:rsidRDefault="004052DB" w:rsidP="004052DB">
            <w:pPr>
              <w:ind w:firstLine="0"/>
              <w:jc w:val="left"/>
              <w:rPr>
                <w:sz w:val="18"/>
                <w:szCs w:val="18"/>
                <w:lang w:val="es-CO"/>
              </w:rPr>
            </w:pPr>
            <w:r>
              <w:rPr>
                <w:sz w:val="18"/>
                <w:szCs w:val="18"/>
                <w:lang w:val="es-CO"/>
              </w:rPr>
              <w:t>Nota con decisión y plan de acción</w:t>
            </w:r>
          </w:p>
        </w:tc>
      </w:tr>
      <w:tr w:rsidR="004052DB" w:rsidRPr="00041A72" w14:paraId="59246B83" w14:textId="77777777" w:rsidTr="00AA78FE">
        <w:trPr>
          <w:trHeight w:val="530"/>
        </w:trPr>
        <w:tc>
          <w:tcPr>
            <w:tcW w:w="265" w:type="dxa"/>
            <w:vMerge w:val="restart"/>
          </w:tcPr>
          <w:p w14:paraId="6C3554CE" w14:textId="2B9B38FA" w:rsidR="004052DB" w:rsidRPr="00A1454D" w:rsidRDefault="004052DB" w:rsidP="004052DB">
            <w:pPr>
              <w:jc w:val="left"/>
              <w:rPr>
                <w:bCs/>
                <w:sz w:val="18"/>
                <w:szCs w:val="18"/>
                <w:lang w:val="es-CO"/>
              </w:rPr>
            </w:pPr>
            <w:proofErr w:type="spellStart"/>
            <w:r w:rsidRPr="00A1454D">
              <w:rPr>
                <w:bCs/>
                <w:sz w:val="18"/>
                <w:szCs w:val="18"/>
                <w:lang w:val="es-CO"/>
              </w:rPr>
              <w:t>f</w:t>
            </w:r>
            <w:r>
              <w:rPr>
                <w:bCs/>
                <w:sz w:val="18"/>
                <w:szCs w:val="18"/>
                <w:lang w:val="es-CO"/>
              </w:rPr>
              <w:t>g</w:t>
            </w:r>
            <w:proofErr w:type="spellEnd"/>
          </w:p>
        </w:tc>
        <w:tc>
          <w:tcPr>
            <w:tcW w:w="2440" w:type="dxa"/>
            <w:vMerge w:val="restart"/>
          </w:tcPr>
          <w:p w14:paraId="55035673" w14:textId="241DE86C" w:rsidR="004052DB" w:rsidRPr="00A1454D" w:rsidRDefault="004052DB" w:rsidP="004052DB">
            <w:pPr>
              <w:ind w:firstLine="0"/>
              <w:jc w:val="left"/>
              <w:rPr>
                <w:sz w:val="18"/>
                <w:szCs w:val="18"/>
                <w:lang w:val="es-MX"/>
              </w:rPr>
            </w:pPr>
            <w:r>
              <w:rPr>
                <w:sz w:val="18"/>
                <w:szCs w:val="18"/>
                <w:lang w:val="es-ES"/>
              </w:rPr>
              <w:t>Mejorar la coordinación intersectorial y el cumplimiento efectivo de las acciones conjuntas entre el programa de TB e instituciones públicas en la lucha contra la TB</w:t>
            </w:r>
          </w:p>
        </w:tc>
        <w:tc>
          <w:tcPr>
            <w:tcW w:w="440" w:type="dxa"/>
          </w:tcPr>
          <w:p w14:paraId="7C185E1A" w14:textId="63D0AA53" w:rsidR="004052DB" w:rsidRPr="00041A72" w:rsidRDefault="004052DB" w:rsidP="004052DB">
            <w:pPr>
              <w:jc w:val="left"/>
              <w:rPr>
                <w:sz w:val="18"/>
                <w:szCs w:val="18"/>
                <w:lang w:val="es-CO"/>
              </w:rPr>
            </w:pPr>
            <w:r>
              <w:rPr>
                <w:sz w:val="18"/>
                <w:szCs w:val="18"/>
                <w:lang w:val="es-CO"/>
              </w:rPr>
              <w:t>1</w:t>
            </w:r>
            <w:r w:rsidRPr="00041A72">
              <w:rPr>
                <w:sz w:val="18"/>
                <w:szCs w:val="18"/>
                <w:lang w:val="es-CO"/>
              </w:rPr>
              <w:t>1</w:t>
            </w:r>
            <w:r>
              <w:rPr>
                <w:sz w:val="18"/>
                <w:szCs w:val="18"/>
                <w:lang w:val="es-CO"/>
              </w:rPr>
              <w:t>4</w:t>
            </w:r>
          </w:p>
        </w:tc>
        <w:tc>
          <w:tcPr>
            <w:tcW w:w="3780" w:type="dxa"/>
          </w:tcPr>
          <w:p w14:paraId="4DDF13F7" w14:textId="0AA7B31A" w:rsidR="004052DB" w:rsidRPr="00CA0691" w:rsidRDefault="004052DB" w:rsidP="004052DB">
            <w:pPr>
              <w:ind w:firstLine="0"/>
              <w:jc w:val="left"/>
              <w:rPr>
                <w:sz w:val="18"/>
                <w:szCs w:val="18"/>
                <w:lang w:val="es-CO" w:eastAsia="en-US"/>
              </w:rPr>
            </w:pPr>
            <w:r w:rsidRPr="00CA0691">
              <w:rPr>
                <w:sz w:val="18"/>
                <w:szCs w:val="18"/>
                <w:lang w:val="es-CO" w:eastAsia="en-US"/>
              </w:rPr>
              <w:t xml:space="preserve">Mapeo de actores claves en el programa e instituciones públicas involucrados que deben ser involucrados, en el tema de TB, DDHH, y desarrollo e inclusión social </w:t>
            </w:r>
          </w:p>
        </w:tc>
        <w:tc>
          <w:tcPr>
            <w:tcW w:w="630" w:type="dxa"/>
          </w:tcPr>
          <w:p w14:paraId="020DC2C6" w14:textId="77777777" w:rsidR="004052DB" w:rsidRPr="00CA0691" w:rsidRDefault="004052DB" w:rsidP="004052DB">
            <w:pPr>
              <w:ind w:firstLine="0"/>
              <w:jc w:val="left"/>
              <w:rPr>
                <w:sz w:val="18"/>
                <w:szCs w:val="18"/>
                <w:lang w:val="es-CO"/>
              </w:rPr>
            </w:pPr>
            <w:r w:rsidRPr="00CA0691">
              <w:rPr>
                <w:sz w:val="18"/>
                <w:szCs w:val="18"/>
                <w:lang w:val="es-CO"/>
              </w:rPr>
              <w:t>2019</w:t>
            </w:r>
          </w:p>
        </w:tc>
        <w:tc>
          <w:tcPr>
            <w:tcW w:w="1530" w:type="dxa"/>
          </w:tcPr>
          <w:p w14:paraId="64F5E9D0" w14:textId="77777777" w:rsidR="004052DB" w:rsidRPr="00CA0691" w:rsidRDefault="004052DB" w:rsidP="004052DB">
            <w:pPr>
              <w:ind w:firstLine="0"/>
              <w:jc w:val="left"/>
              <w:rPr>
                <w:sz w:val="18"/>
                <w:szCs w:val="18"/>
                <w:lang w:val="es-CO"/>
              </w:rPr>
            </w:pPr>
            <w:r w:rsidRPr="00CA0691">
              <w:rPr>
                <w:sz w:val="18"/>
                <w:szCs w:val="18"/>
                <w:lang w:val="es-CO"/>
              </w:rPr>
              <w:t>SESAL</w:t>
            </w:r>
          </w:p>
        </w:tc>
        <w:tc>
          <w:tcPr>
            <w:tcW w:w="540" w:type="dxa"/>
          </w:tcPr>
          <w:p w14:paraId="4917C022" w14:textId="77777777" w:rsidR="004052DB" w:rsidRPr="00CA0691" w:rsidRDefault="004052DB" w:rsidP="004052DB">
            <w:pPr>
              <w:ind w:firstLine="0"/>
              <w:jc w:val="left"/>
              <w:rPr>
                <w:sz w:val="18"/>
                <w:szCs w:val="18"/>
                <w:lang w:val="es-CO"/>
              </w:rPr>
            </w:pPr>
            <w:r w:rsidRPr="00CA0691">
              <w:rPr>
                <w:sz w:val="18"/>
                <w:szCs w:val="18"/>
                <w:lang w:val="es-CO"/>
              </w:rPr>
              <w:t>No</w:t>
            </w:r>
          </w:p>
        </w:tc>
        <w:tc>
          <w:tcPr>
            <w:tcW w:w="1440" w:type="dxa"/>
          </w:tcPr>
          <w:p w14:paraId="2F32B497" w14:textId="77777777" w:rsidR="004052DB" w:rsidRPr="00041A72" w:rsidRDefault="004052DB" w:rsidP="004052DB">
            <w:pPr>
              <w:ind w:firstLine="0"/>
              <w:jc w:val="left"/>
              <w:rPr>
                <w:sz w:val="18"/>
                <w:szCs w:val="18"/>
                <w:highlight w:val="green"/>
                <w:lang w:val="es-CO"/>
              </w:rPr>
            </w:pPr>
          </w:p>
        </w:tc>
        <w:tc>
          <w:tcPr>
            <w:tcW w:w="900" w:type="dxa"/>
          </w:tcPr>
          <w:p w14:paraId="4746CF56" w14:textId="77777777" w:rsidR="004052DB" w:rsidRPr="00041A72" w:rsidRDefault="004052DB" w:rsidP="004052DB">
            <w:pPr>
              <w:ind w:firstLine="0"/>
              <w:jc w:val="left"/>
              <w:rPr>
                <w:sz w:val="18"/>
                <w:szCs w:val="18"/>
                <w:lang w:val="es-CO"/>
              </w:rPr>
            </w:pPr>
          </w:p>
        </w:tc>
        <w:tc>
          <w:tcPr>
            <w:tcW w:w="1080" w:type="dxa"/>
            <w:vMerge w:val="restart"/>
          </w:tcPr>
          <w:p w14:paraId="75440A60" w14:textId="6B4DCA51" w:rsidR="004052DB" w:rsidRDefault="004052DB" w:rsidP="00930CC2">
            <w:pPr>
              <w:ind w:firstLine="0"/>
              <w:jc w:val="left"/>
              <w:rPr>
                <w:sz w:val="18"/>
                <w:szCs w:val="18"/>
                <w:lang w:val="es-CO"/>
              </w:rPr>
            </w:pPr>
            <w:r>
              <w:rPr>
                <w:sz w:val="18"/>
                <w:szCs w:val="18"/>
                <w:lang w:val="es-CO"/>
              </w:rPr>
              <w:t>PENTB</w:t>
            </w:r>
          </w:p>
          <w:p w14:paraId="45216904" w14:textId="72755E84" w:rsidR="004052DB" w:rsidRDefault="004052DB" w:rsidP="00930CC2">
            <w:pPr>
              <w:ind w:firstLine="0"/>
              <w:jc w:val="left"/>
              <w:rPr>
                <w:sz w:val="18"/>
                <w:szCs w:val="18"/>
                <w:lang w:val="es-CO"/>
              </w:rPr>
            </w:pPr>
            <w:r>
              <w:rPr>
                <w:sz w:val="18"/>
                <w:szCs w:val="18"/>
                <w:lang w:val="es-CO"/>
              </w:rPr>
              <w:t>2.2.1</w:t>
            </w:r>
          </w:p>
          <w:p w14:paraId="028CDEDA" w14:textId="038DE2D7" w:rsidR="004052DB" w:rsidRPr="00041A72" w:rsidRDefault="004052DB" w:rsidP="00930CC2">
            <w:pPr>
              <w:ind w:firstLine="0"/>
              <w:jc w:val="left"/>
              <w:rPr>
                <w:sz w:val="18"/>
                <w:szCs w:val="18"/>
                <w:lang w:val="es-CO"/>
              </w:rPr>
            </w:pPr>
            <w:r>
              <w:rPr>
                <w:sz w:val="18"/>
                <w:szCs w:val="18"/>
                <w:lang w:val="es-CO"/>
              </w:rPr>
              <w:t>2.2.4</w:t>
            </w:r>
          </w:p>
        </w:tc>
        <w:tc>
          <w:tcPr>
            <w:tcW w:w="1365" w:type="dxa"/>
          </w:tcPr>
          <w:p w14:paraId="714E050B" w14:textId="77777777" w:rsidR="004052DB" w:rsidRPr="00041A72" w:rsidRDefault="004052DB" w:rsidP="004052DB">
            <w:pPr>
              <w:ind w:firstLine="0"/>
              <w:jc w:val="left"/>
              <w:rPr>
                <w:sz w:val="18"/>
                <w:szCs w:val="18"/>
                <w:lang w:val="es-CO"/>
              </w:rPr>
            </w:pPr>
          </w:p>
        </w:tc>
      </w:tr>
      <w:tr w:rsidR="004052DB" w:rsidRPr="00041A72" w14:paraId="073563EE" w14:textId="77777777" w:rsidTr="00AA78FE">
        <w:trPr>
          <w:trHeight w:val="530"/>
        </w:trPr>
        <w:tc>
          <w:tcPr>
            <w:tcW w:w="265" w:type="dxa"/>
            <w:vMerge/>
          </w:tcPr>
          <w:p w14:paraId="7E0DBC44" w14:textId="77777777" w:rsidR="004052DB" w:rsidRPr="00041A72" w:rsidRDefault="004052DB" w:rsidP="004052DB">
            <w:pPr>
              <w:jc w:val="left"/>
              <w:rPr>
                <w:b/>
                <w:bCs/>
                <w:sz w:val="18"/>
                <w:szCs w:val="18"/>
                <w:lang w:val="es-CO"/>
              </w:rPr>
            </w:pPr>
          </w:p>
        </w:tc>
        <w:tc>
          <w:tcPr>
            <w:tcW w:w="2440" w:type="dxa"/>
            <w:vMerge/>
          </w:tcPr>
          <w:p w14:paraId="6FFC8465" w14:textId="77777777" w:rsidR="004052DB" w:rsidRPr="00041A72" w:rsidRDefault="004052DB" w:rsidP="004052DB">
            <w:pPr>
              <w:jc w:val="left"/>
              <w:rPr>
                <w:b/>
                <w:sz w:val="18"/>
                <w:szCs w:val="18"/>
                <w:lang w:val="es-MX"/>
              </w:rPr>
            </w:pPr>
          </w:p>
        </w:tc>
        <w:tc>
          <w:tcPr>
            <w:tcW w:w="440" w:type="dxa"/>
          </w:tcPr>
          <w:p w14:paraId="45701518" w14:textId="7AA07220" w:rsidR="004052DB" w:rsidRPr="00041A72" w:rsidRDefault="004052DB" w:rsidP="004052DB">
            <w:pPr>
              <w:ind w:firstLine="0"/>
              <w:jc w:val="left"/>
              <w:rPr>
                <w:sz w:val="18"/>
                <w:szCs w:val="18"/>
                <w:lang w:val="es-CO"/>
              </w:rPr>
            </w:pPr>
            <w:r>
              <w:rPr>
                <w:sz w:val="18"/>
                <w:szCs w:val="18"/>
                <w:lang w:val="es-CO"/>
              </w:rPr>
              <w:t>15</w:t>
            </w:r>
          </w:p>
        </w:tc>
        <w:tc>
          <w:tcPr>
            <w:tcW w:w="3780" w:type="dxa"/>
          </w:tcPr>
          <w:p w14:paraId="77E6240A" w14:textId="6F1AFC93" w:rsidR="004052DB" w:rsidRPr="00CA0691" w:rsidRDefault="004052DB" w:rsidP="004052DB">
            <w:pPr>
              <w:ind w:firstLine="0"/>
              <w:jc w:val="left"/>
              <w:rPr>
                <w:sz w:val="18"/>
                <w:szCs w:val="18"/>
                <w:lang w:val="es-CO" w:eastAsia="en-US"/>
              </w:rPr>
            </w:pPr>
            <w:r w:rsidRPr="00CA0691">
              <w:rPr>
                <w:sz w:val="18"/>
                <w:szCs w:val="18"/>
                <w:lang w:val="es-CO" w:eastAsia="en-US"/>
              </w:rPr>
              <w:t>Organización de un grupo de trabajo para la elaboración de una matriz/plan de acción que describ</w:t>
            </w:r>
            <w:r>
              <w:rPr>
                <w:sz w:val="18"/>
                <w:szCs w:val="18"/>
                <w:lang w:val="es-CO" w:eastAsia="en-US"/>
              </w:rPr>
              <w:t>a</w:t>
            </w:r>
            <w:r w:rsidRPr="00CA0691">
              <w:rPr>
                <w:sz w:val="18"/>
                <w:szCs w:val="18"/>
                <w:lang w:val="es-CO" w:eastAsia="en-US"/>
              </w:rPr>
              <w:t xml:space="preserve"> como las entidades pueden alinear sus esfuerz</w:t>
            </w:r>
            <w:r>
              <w:rPr>
                <w:sz w:val="18"/>
                <w:szCs w:val="18"/>
                <w:lang w:val="es-CO" w:eastAsia="en-US"/>
              </w:rPr>
              <w:t>os–seguimiento trimestral de los acuerdos</w:t>
            </w:r>
          </w:p>
        </w:tc>
        <w:tc>
          <w:tcPr>
            <w:tcW w:w="630" w:type="dxa"/>
          </w:tcPr>
          <w:p w14:paraId="53018A2B" w14:textId="77777777" w:rsidR="004052DB" w:rsidRPr="00CA0691" w:rsidRDefault="004052DB" w:rsidP="004052DB">
            <w:pPr>
              <w:ind w:firstLine="0"/>
              <w:jc w:val="left"/>
              <w:rPr>
                <w:sz w:val="18"/>
                <w:szCs w:val="18"/>
                <w:lang w:val="es-CO"/>
              </w:rPr>
            </w:pPr>
            <w:r w:rsidRPr="00CA0691">
              <w:rPr>
                <w:sz w:val="18"/>
                <w:szCs w:val="18"/>
                <w:lang w:val="es-CO"/>
              </w:rPr>
              <w:t>2019</w:t>
            </w:r>
          </w:p>
        </w:tc>
        <w:tc>
          <w:tcPr>
            <w:tcW w:w="1530" w:type="dxa"/>
          </w:tcPr>
          <w:p w14:paraId="7D1E7B3E" w14:textId="3102C262" w:rsidR="004052DB" w:rsidRPr="00CA0691" w:rsidRDefault="004052DB" w:rsidP="004052DB">
            <w:pPr>
              <w:ind w:firstLine="0"/>
              <w:jc w:val="left"/>
              <w:rPr>
                <w:sz w:val="18"/>
                <w:szCs w:val="18"/>
                <w:lang w:val="es-419"/>
              </w:rPr>
            </w:pPr>
            <w:r w:rsidRPr="00CA0691">
              <w:rPr>
                <w:sz w:val="18"/>
                <w:szCs w:val="18"/>
                <w:lang w:val="es-CO"/>
              </w:rPr>
              <w:t>SESAL y actores clave en TB del programa e instituciones p</w:t>
            </w:r>
            <w:r w:rsidRPr="00CA0691">
              <w:rPr>
                <w:sz w:val="18"/>
                <w:szCs w:val="18"/>
                <w:lang w:val="es-ES"/>
              </w:rPr>
              <w:t>ú</w:t>
            </w:r>
            <w:proofErr w:type="spellStart"/>
            <w:r w:rsidRPr="00CA0691">
              <w:rPr>
                <w:sz w:val="18"/>
                <w:szCs w:val="18"/>
                <w:lang w:val="es-CO"/>
              </w:rPr>
              <w:t>blicas</w:t>
            </w:r>
            <w:proofErr w:type="spellEnd"/>
            <w:r w:rsidRPr="00CA0691">
              <w:rPr>
                <w:sz w:val="18"/>
                <w:szCs w:val="18"/>
                <w:lang w:val="es-CO"/>
              </w:rPr>
              <w:t xml:space="preserve"> </w:t>
            </w:r>
          </w:p>
        </w:tc>
        <w:tc>
          <w:tcPr>
            <w:tcW w:w="540" w:type="dxa"/>
          </w:tcPr>
          <w:p w14:paraId="156B01BF" w14:textId="77777777" w:rsidR="004052DB" w:rsidRPr="00CA0691" w:rsidRDefault="004052DB" w:rsidP="004052DB">
            <w:pPr>
              <w:ind w:firstLine="0"/>
              <w:jc w:val="left"/>
              <w:rPr>
                <w:sz w:val="18"/>
                <w:szCs w:val="18"/>
                <w:lang w:val="es-CO"/>
              </w:rPr>
            </w:pPr>
            <w:r w:rsidRPr="00CA0691">
              <w:rPr>
                <w:sz w:val="18"/>
                <w:szCs w:val="18"/>
                <w:lang w:val="es-CO"/>
              </w:rPr>
              <w:t>No</w:t>
            </w:r>
          </w:p>
        </w:tc>
        <w:tc>
          <w:tcPr>
            <w:tcW w:w="1440" w:type="dxa"/>
          </w:tcPr>
          <w:p w14:paraId="452EB88E" w14:textId="77777777" w:rsidR="004052DB" w:rsidRPr="00041A72" w:rsidRDefault="004052DB" w:rsidP="004052DB">
            <w:pPr>
              <w:ind w:firstLine="0"/>
              <w:jc w:val="left"/>
              <w:rPr>
                <w:sz w:val="18"/>
                <w:szCs w:val="18"/>
                <w:highlight w:val="green"/>
                <w:lang w:val="es-CO"/>
              </w:rPr>
            </w:pPr>
          </w:p>
        </w:tc>
        <w:tc>
          <w:tcPr>
            <w:tcW w:w="900" w:type="dxa"/>
          </w:tcPr>
          <w:p w14:paraId="2C6AF3F5" w14:textId="77777777" w:rsidR="004052DB" w:rsidRPr="00041A72" w:rsidRDefault="004052DB" w:rsidP="004052DB">
            <w:pPr>
              <w:ind w:firstLine="0"/>
              <w:jc w:val="left"/>
              <w:rPr>
                <w:sz w:val="18"/>
                <w:szCs w:val="18"/>
                <w:lang w:val="es-CO"/>
              </w:rPr>
            </w:pPr>
          </w:p>
        </w:tc>
        <w:tc>
          <w:tcPr>
            <w:tcW w:w="1080" w:type="dxa"/>
            <w:vMerge/>
          </w:tcPr>
          <w:p w14:paraId="1E1DC5B6" w14:textId="77777777" w:rsidR="004052DB" w:rsidRPr="00041A72" w:rsidRDefault="004052DB" w:rsidP="004052DB">
            <w:pPr>
              <w:ind w:firstLine="0"/>
              <w:jc w:val="left"/>
              <w:rPr>
                <w:sz w:val="18"/>
                <w:szCs w:val="18"/>
                <w:lang w:val="es-CO"/>
              </w:rPr>
            </w:pPr>
          </w:p>
        </w:tc>
        <w:tc>
          <w:tcPr>
            <w:tcW w:w="1365" w:type="dxa"/>
          </w:tcPr>
          <w:p w14:paraId="7736AA6F" w14:textId="77777777" w:rsidR="004052DB" w:rsidRPr="00041A72" w:rsidRDefault="004052DB" w:rsidP="004052DB">
            <w:pPr>
              <w:ind w:firstLine="0"/>
              <w:jc w:val="left"/>
              <w:rPr>
                <w:sz w:val="18"/>
                <w:szCs w:val="18"/>
                <w:lang w:val="es-CO"/>
              </w:rPr>
            </w:pPr>
          </w:p>
        </w:tc>
      </w:tr>
      <w:tr w:rsidR="004052DB" w:rsidRPr="00041A72" w14:paraId="00C4FCF2" w14:textId="77777777" w:rsidTr="00A1454D">
        <w:trPr>
          <w:trHeight w:val="441"/>
        </w:trPr>
        <w:tc>
          <w:tcPr>
            <w:tcW w:w="14410" w:type="dxa"/>
            <w:gridSpan w:val="11"/>
            <w:shd w:val="clear" w:color="auto" w:fill="DEEAF6" w:themeFill="accent1" w:themeFillTint="33"/>
          </w:tcPr>
          <w:p w14:paraId="6BE66531" w14:textId="79588E0F" w:rsidR="004052DB" w:rsidRPr="00041A72" w:rsidRDefault="004052DB" w:rsidP="004052DB">
            <w:pPr>
              <w:ind w:firstLine="0"/>
              <w:jc w:val="left"/>
              <w:rPr>
                <w:b/>
                <w:i/>
                <w:sz w:val="18"/>
                <w:szCs w:val="18"/>
                <w:lang w:val="es-419"/>
              </w:rPr>
            </w:pPr>
            <w:r w:rsidRPr="00332DF7">
              <w:rPr>
                <w:rFonts w:asciiTheme="majorHAnsi" w:hAnsiTheme="majorHAnsi" w:cstheme="majorHAnsi"/>
                <w:b/>
                <w:sz w:val="20"/>
                <w:lang w:val="es-ES"/>
              </w:rPr>
              <w:t xml:space="preserve">Objetivo 2. </w:t>
            </w:r>
            <w:r w:rsidR="00AE3E30" w:rsidRPr="00332DF7">
              <w:rPr>
                <w:bCs/>
                <w:color w:val="000000"/>
                <w:sz w:val="20"/>
                <w:szCs w:val="20"/>
                <w:lang w:val="es-ES" w:eastAsia="fr-FR"/>
              </w:rPr>
              <w:t xml:space="preserve"> </w:t>
            </w:r>
            <w:r w:rsidR="00AE3E30" w:rsidRPr="00332DF7">
              <w:rPr>
                <w:rFonts w:asciiTheme="majorHAnsi" w:hAnsiTheme="majorHAnsi" w:cstheme="majorHAnsi"/>
                <w:b/>
                <w:bCs/>
                <w:sz w:val="20"/>
                <w:lang w:val="es-ES"/>
              </w:rPr>
              <w:t>Fortalecimiento de los Recursos Humanos dedicados a VIH</w:t>
            </w:r>
            <w:r w:rsidR="00D82046">
              <w:rPr>
                <w:rFonts w:asciiTheme="majorHAnsi" w:hAnsiTheme="majorHAnsi" w:cstheme="majorHAnsi"/>
                <w:b/>
                <w:bCs/>
                <w:sz w:val="20"/>
                <w:lang w:val="es-ES"/>
              </w:rPr>
              <w:t xml:space="preserve"> y </w:t>
            </w:r>
            <w:r w:rsidR="00AE3E30" w:rsidRPr="00332DF7">
              <w:rPr>
                <w:rFonts w:asciiTheme="majorHAnsi" w:hAnsiTheme="majorHAnsi" w:cstheme="majorHAnsi"/>
                <w:b/>
                <w:bCs/>
                <w:sz w:val="20"/>
                <w:lang w:val="es-ES"/>
              </w:rPr>
              <w:t>TB a través de su contratación regular, certificación, desarrollo profesional y asignación eficiente</w:t>
            </w:r>
          </w:p>
        </w:tc>
      </w:tr>
      <w:tr w:rsidR="004052DB" w:rsidRPr="00041A72" w14:paraId="1BC2457F" w14:textId="77777777" w:rsidTr="00AA78FE">
        <w:trPr>
          <w:trHeight w:val="666"/>
        </w:trPr>
        <w:tc>
          <w:tcPr>
            <w:tcW w:w="265" w:type="dxa"/>
            <w:shd w:val="clear" w:color="auto" w:fill="F2F2F2" w:themeFill="background1" w:themeFillShade="F2"/>
          </w:tcPr>
          <w:p w14:paraId="4AAA8301" w14:textId="77777777" w:rsidR="004052DB" w:rsidRPr="00041A72" w:rsidRDefault="004052DB" w:rsidP="004052DB">
            <w:pPr>
              <w:ind w:firstLine="0"/>
              <w:jc w:val="left"/>
              <w:rPr>
                <w:b/>
                <w:bCs/>
                <w:sz w:val="18"/>
                <w:szCs w:val="18"/>
                <w:lang w:val="es-CO"/>
              </w:rPr>
            </w:pPr>
          </w:p>
        </w:tc>
        <w:tc>
          <w:tcPr>
            <w:tcW w:w="2440" w:type="dxa"/>
            <w:shd w:val="clear" w:color="auto" w:fill="F2F2F2" w:themeFill="background1" w:themeFillShade="F2"/>
          </w:tcPr>
          <w:p w14:paraId="0A709F43" w14:textId="4A70B234" w:rsidR="004052DB" w:rsidRPr="00041A72" w:rsidRDefault="004052DB" w:rsidP="004052DB">
            <w:pPr>
              <w:ind w:firstLine="0"/>
              <w:jc w:val="left"/>
              <w:rPr>
                <w:b/>
                <w:bCs/>
                <w:sz w:val="18"/>
                <w:szCs w:val="18"/>
                <w:lang w:val="es-CO"/>
              </w:rPr>
            </w:pPr>
            <w:r w:rsidRPr="00041A72">
              <w:rPr>
                <w:b/>
                <w:bCs/>
                <w:sz w:val="18"/>
                <w:szCs w:val="18"/>
                <w:lang w:val="es-CO"/>
              </w:rPr>
              <w:t>Acciones</w:t>
            </w:r>
          </w:p>
        </w:tc>
        <w:tc>
          <w:tcPr>
            <w:tcW w:w="440" w:type="dxa"/>
            <w:shd w:val="clear" w:color="auto" w:fill="F2F2F2" w:themeFill="background1" w:themeFillShade="F2"/>
          </w:tcPr>
          <w:p w14:paraId="1D9A79B3" w14:textId="75B55E30" w:rsidR="004052DB" w:rsidRPr="00041A72" w:rsidRDefault="004052DB" w:rsidP="004052DB">
            <w:pPr>
              <w:ind w:firstLine="0"/>
              <w:jc w:val="left"/>
              <w:rPr>
                <w:b/>
                <w:bCs/>
                <w:sz w:val="18"/>
                <w:szCs w:val="18"/>
                <w:lang w:val="es-CO"/>
              </w:rPr>
            </w:pPr>
            <w:proofErr w:type="spellStart"/>
            <w:r w:rsidRPr="00041A72">
              <w:rPr>
                <w:b/>
                <w:bCs/>
                <w:sz w:val="18"/>
                <w:szCs w:val="18"/>
                <w:lang w:val="es-CO"/>
              </w:rPr>
              <w:t>N</w:t>
            </w:r>
            <w:r>
              <w:rPr>
                <w:b/>
                <w:bCs/>
                <w:sz w:val="18"/>
                <w:szCs w:val="18"/>
                <w:lang w:val="es-CO"/>
              </w:rPr>
              <w:t>°</w:t>
            </w:r>
            <w:proofErr w:type="spellEnd"/>
          </w:p>
        </w:tc>
        <w:tc>
          <w:tcPr>
            <w:tcW w:w="3780" w:type="dxa"/>
            <w:shd w:val="clear" w:color="auto" w:fill="F2F2F2" w:themeFill="background1" w:themeFillShade="F2"/>
          </w:tcPr>
          <w:p w14:paraId="4A3B8FE2" w14:textId="62C4F4D0" w:rsidR="004052DB" w:rsidRPr="00041A72" w:rsidRDefault="004052DB" w:rsidP="004052DB">
            <w:pPr>
              <w:ind w:firstLine="0"/>
              <w:jc w:val="left"/>
              <w:rPr>
                <w:b/>
                <w:bCs/>
                <w:sz w:val="18"/>
                <w:szCs w:val="18"/>
                <w:lang w:val="es-CO"/>
              </w:rPr>
            </w:pPr>
            <w:r w:rsidRPr="00041A72">
              <w:rPr>
                <w:b/>
                <w:bCs/>
                <w:sz w:val="18"/>
                <w:szCs w:val="18"/>
                <w:lang w:val="es-CO"/>
              </w:rPr>
              <w:t>Actividades</w:t>
            </w:r>
          </w:p>
        </w:tc>
        <w:tc>
          <w:tcPr>
            <w:tcW w:w="630" w:type="dxa"/>
            <w:shd w:val="clear" w:color="auto" w:fill="F2F2F2" w:themeFill="background1" w:themeFillShade="F2"/>
          </w:tcPr>
          <w:p w14:paraId="6A0BB25B" w14:textId="04044191" w:rsidR="004052DB" w:rsidRPr="00041A72" w:rsidRDefault="004052DB" w:rsidP="004052DB">
            <w:pPr>
              <w:ind w:firstLine="0"/>
              <w:jc w:val="left"/>
              <w:rPr>
                <w:b/>
                <w:bCs/>
                <w:sz w:val="18"/>
                <w:szCs w:val="18"/>
                <w:lang w:val="es-CO"/>
              </w:rPr>
            </w:pPr>
            <w:r w:rsidRPr="00041A72">
              <w:rPr>
                <w:b/>
                <w:bCs/>
                <w:sz w:val="18"/>
                <w:szCs w:val="18"/>
                <w:lang w:val="es-CO"/>
              </w:rPr>
              <w:t>Año</w:t>
            </w:r>
            <w:r w:rsidRPr="00361102">
              <w:rPr>
                <w:b/>
                <w:bCs/>
                <w:sz w:val="18"/>
                <w:szCs w:val="18"/>
                <w:lang w:val="es-CO"/>
              </w:rPr>
              <w:t>/s</w:t>
            </w:r>
          </w:p>
        </w:tc>
        <w:tc>
          <w:tcPr>
            <w:tcW w:w="1530" w:type="dxa"/>
            <w:shd w:val="clear" w:color="auto" w:fill="F2F2F2" w:themeFill="background1" w:themeFillShade="F2"/>
          </w:tcPr>
          <w:p w14:paraId="5DC6446B" w14:textId="5E8CF9B5" w:rsidR="004052DB" w:rsidRPr="00041A72" w:rsidRDefault="004052DB" w:rsidP="004052DB">
            <w:pPr>
              <w:ind w:firstLine="0"/>
              <w:jc w:val="left"/>
              <w:rPr>
                <w:b/>
                <w:bCs/>
                <w:sz w:val="18"/>
                <w:szCs w:val="18"/>
                <w:lang w:val="es-CO"/>
              </w:rPr>
            </w:pPr>
            <w:r w:rsidRPr="00041A72">
              <w:rPr>
                <w:b/>
                <w:bCs/>
                <w:sz w:val="18"/>
                <w:szCs w:val="18"/>
                <w:lang w:val="es-CO"/>
              </w:rPr>
              <w:t>Entidad/es responsable/s</w:t>
            </w:r>
          </w:p>
        </w:tc>
        <w:tc>
          <w:tcPr>
            <w:tcW w:w="540" w:type="dxa"/>
            <w:shd w:val="clear" w:color="auto" w:fill="F2F2F2" w:themeFill="background1" w:themeFillShade="F2"/>
          </w:tcPr>
          <w:p w14:paraId="1A3BA446" w14:textId="018D9317" w:rsidR="004052DB" w:rsidRPr="00041A72" w:rsidRDefault="004052DB" w:rsidP="004052DB">
            <w:pPr>
              <w:ind w:firstLine="0"/>
              <w:jc w:val="left"/>
              <w:rPr>
                <w:b/>
                <w:bCs/>
                <w:sz w:val="18"/>
                <w:szCs w:val="18"/>
                <w:lang w:val="es-CO"/>
              </w:rPr>
            </w:pPr>
            <w:r w:rsidRPr="00041A72">
              <w:rPr>
                <w:b/>
                <w:bCs/>
                <w:sz w:val="18"/>
                <w:szCs w:val="18"/>
                <w:lang w:val="es-CO"/>
              </w:rPr>
              <w:t>AT</w:t>
            </w:r>
          </w:p>
        </w:tc>
        <w:tc>
          <w:tcPr>
            <w:tcW w:w="1440" w:type="dxa"/>
            <w:shd w:val="clear" w:color="auto" w:fill="F2F2F2" w:themeFill="background1" w:themeFillShade="F2"/>
          </w:tcPr>
          <w:p w14:paraId="7D19DE61" w14:textId="3F99802A" w:rsidR="004052DB" w:rsidRPr="00041A72" w:rsidRDefault="004052DB" w:rsidP="004052DB">
            <w:pPr>
              <w:ind w:firstLine="0"/>
              <w:jc w:val="left"/>
              <w:rPr>
                <w:b/>
                <w:bCs/>
                <w:sz w:val="18"/>
                <w:szCs w:val="18"/>
                <w:lang w:val="es-CO"/>
              </w:rPr>
            </w:pPr>
            <w:r w:rsidRPr="00041A72">
              <w:rPr>
                <w:b/>
                <w:bCs/>
                <w:sz w:val="18"/>
                <w:szCs w:val="18"/>
                <w:lang w:val="es-CO"/>
              </w:rPr>
              <w:t>Financiamiento requerido</w:t>
            </w:r>
          </w:p>
        </w:tc>
        <w:tc>
          <w:tcPr>
            <w:tcW w:w="900" w:type="dxa"/>
            <w:shd w:val="clear" w:color="auto" w:fill="F2F2F2" w:themeFill="background1" w:themeFillShade="F2"/>
          </w:tcPr>
          <w:p w14:paraId="0CA964B9" w14:textId="77777777" w:rsidR="004052DB" w:rsidRPr="00041A72" w:rsidRDefault="004052DB" w:rsidP="004052DB">
            <w:pPr>
              <w:spacing w:before="0" w:after="0"/>
              <w:ind w:firstLine="0"/>
              <w:jc w:val="left"/>
              <w:rPr>
                <w:b/>
                <w:bCs/>
                <w:sz w:val="18"/>
                <w:szCs w:val="18"/>
                <w:lang w:val="es-CO"/>
              </w:rPr>
            </w:pPr>
            <w:r w:rsidRPr="00041A72">
              <w:rPr>
                <w:b/>
                <w:bCs/>
                <w:sz w:val="18"/>
                <w:szCs w:val="18"/>
                <w:lang w:val="es-CO"/>
              </w:rPr>
              <w:t>Fuentes de financia-</w:t>
            </w:r>
          </w:p>
          <w:p w14:paraId="64751DFB" w14:textId="5989C494" w:rsidR="004052DB" w:rsidRPr="00041A72" w:rsidRDefault="004052DB" w:rsidP="004052DB">
            <w:pPr>
              <w:spacing w:before="0" w:after="0"/>
              <w:ind w:firstLine="0"/>
              <w:jc w:val="left"/>
              <w:rPr>
                <w:b/>
                <w:bCs/>
                <w:sz w:val="18"/>
                <w:szCs w:val="18"/>
                <w:lang w:val="es-CO"/>
              </w:rPr>
            </w:pPr>
            <w:r w:rsidRPr="00041A72">
              <w:rPr>
                <w:b/>
                <w:bCs/>
                <w:sz w:val="18"/>
                <w:szCs w:val="18"/>
                <w:lang w:val="es-CO"/>
              </w:rPr>
              <w:t>miento</w:t>
            </w:r>
          </w:p>
        </w:tc>
        <w:tc>
          <w:tcPr>
            <w:tcW w:w="1080" w:type="dxa"/>
            <w:shd w:val="clear" w:color="auto" w:fill="F2F2F2" w:themeFill="background1" w:themeFillShade="F2"/>
          </w:tcPr>
          <w:p w14:paraId="7C0C1201" w14:textId="6A1C8B97" w:rsidR="004052DB" w:rsidRPr="00041A72" w:rsidRDefault="004052DB" w:rsidP="004052DB">
            <w:pPr>
              <w:ind w:firstLine="0"/>
              <w:jc w:val="left"/>
              <w:rPr>
                <w:b/>
                <w:bCs/>
                <w:sz w:val="18"/>
                <w:szCs w:val="18"/>
                <w:lang w:val="es-CO"/>
              </w:rPr>
            </w:pPr>
            <w:r w:rsidRPr="00041A72">
              <w:rPr>
                <w:b/>
                <w:bCs/>
                <w:sz w:val="18"/>
                <w:szCs w:val="18"/>
                <w:lang w:val="es-CO"/>
              </w:rPr>
              <w:t>Alineación con Planes Nacionales</w:t>
            </w:r>
          </w:p>
        </w:tc>
        <w:tc>
          <w:tcPr>
            <w:tcW w:w="1365" w:type="dxa"/>
            <w:shd w:val="clear" w:color="auto" w:fill="F2F2F2" w:themeFill="background1" w:themeFillShade="F2"/>
          </w:tcPr>
          <w:p w14:paraId="761B98CF" w14:textId="545CC5C1" w:rsidR="004052DB" w:rsidRPr="00041A72" w:rsidRDefault="004052DB" w:rsidP="004052DB">
            <w:pPr>
              <w:ind w:firstLine="0"/>
              <w:jc w:val="left"/>
              <w:rPr>
                <w:b/>
                <w:bCs/>
                <w:sz w:val="18"/>
                <w:szCs w:val="18"/>
                <w:lang w:val="es-CO"/>
              </w:rPr>
            </w:pPr>
            <w:r w:rsidRPr="00041A72">
              <w:rPr>
                <w:b/>
                <w:bCs/>
                <w:sz w:val="18"/>
                <w:szCs w:val="18"/>
                <w:lang w:val="es-CO"/>
              </w:rPr>
              <w:t>Indicador de proceso</w:t>
            </w:r>
          </w:p>
        </w:tc>
      </w:tr>
      <w:tr w:rsidR="004052DB" w:rsidRPr="00041A72" w14:paraId="69D3270D" w14:textId="77777777" w:rsidTr="00AA78FE">
        <w:trPr>
          <w:trHeight w:val="530"/>
        </w:trPr>
        <w:tc>
          <w:tcPr>
            <w:tcW w:w="265" w:type="dxa"/>
            <w:vMerge w:val="restart"/>
            <w:hideMark/>
          </w:tcPr>
          <w:p w14:paraId="613C59CE" w14:textId="255E838D" w:rsidR="004052DB" w:rsidRPr="00A1454D" w:rsidRDefault="004052DB" w:rsidP="004052DB">
            <w:pPr>
              <w:ind w:firstLine="0"/>
              <w:jc w:val="left"/>
              <w:rPr>
                <w:bCs/>
                <w:sz w:val="18"/>
                <w:szCs w:val="18"/>
                <w:lang w:val="es-CO"/>
              </w:rPr>
            </w:pPr>
            <w:r>
              <w:rPr>
                <w:bCs/>
                <w:sz w:val="18"/>
                <w:szCs w:val="18"/>
                <w:lang w:val="es-CO"/>
              </w:rPr>
              <w:t>h</w:t>
            </w:r>
          </w:p>
        </w:tc>
        <w:tc>
          <w:tcPr>
            <w:tcW w:w="2440" w:type="dxa"/>
            <w:vMerge w:val="restart"/>
            <w:hideMark/>
          </w:tcPr>
          <w:p w14:paraId="634E2666" w14:textId="2BE42F46" w:rsidR="004052DB" w:rsidRPr="00A1454D" w:rsidRDefault="004052DB" w:rsidP="004052DB">
            <w:pPr>
              <w:ind w:firstLine="0"/>
              <w:jc w:val="left"/>
              <w:rPr>
                <w:sz w:val="18"/>
                <w:szCs w:val="18"/>
                <w:lang w:val="es-CO"/>
              </w:rPr>
            </w:pPr>
            <w:r w:rsidRPr="00A1454D">
              <w:rPr>
                <w:sz w:val="18"/>
                <w:szCs w:val="18"/>
                <w:lang w:val="es-CO"/>
              </w:rPr>
              <w:t xml:space="preserve">Dar seguimiento a los convenios firmados ante la SESAL y los proyectos de cooperación para la regularización permanente de la contratación del personal </w:t>
            </w:r>
            <w:r w:rsidRPr="00A1454D">
              <w:rPr>
                <w:sz w:val="18"/>
                <w:szCs w:val="18"/>
                <w:lang w:val="es-CO"/>
              </w:rPr>
              <w:lastRenderedPageBreak/>
              <w:t>que ya fue absorbido por la SESAL</w:t>
            </w:r>
          </w:p>
        </w:tc>
        <w:tc>
          <w:tcPr>
            <w:tcW w:w="440" w:type="dxa"/>
            <w:hideMark/>
          </w:tcPr>
          <w:p w14:paraId="48240CD7" w14:textId="6FC0B057" w:rsidR="004052DB" w:rsidRPr="00041A72" w:rsidRDefault="004052DB" w:rsidP="004052DB">
            <w:pPr>
              <w:ind w:firstLine="0"/>
              <w:jc w:val="left"/>
              <w:rPr>
                <w:sz w:val="18"/>
                <w:szCs w:val="18"/>
                <w:lang w:val="es-CO"/>
              </w:rPr>
            </w:pPr>
            <w:r w:rsidRPr="00041A72">
              <w:rPr>
                <w:sz w:val="18"/>
                <w:szCs w:val="18"/>
                <w:lang w:val="es-CO"/>
              </w:rPr>
              <w:lastRenderedPageBreak/>
              <w:t>1</w:t>
            </w:r>
            <w:r w:rsidR="00524EC5">
              <w:rPr>
                <w:sz w:val="18"/>
                <w:szCs w:val="18"/>
                <w:lang w:val="es-CO"/>
              </w:rPr>
              <w:t>6</w:t>
            </w:r>
          </w:p>
        </w:tc>
        <w:tc>
          <w:tcPr>
            <w:tcW w:w="3780" w:type="dxa"/>
            <w:hideMark/>
          </w:tcPr>
          <w:p w14:paraId="2A0D82A0" w14:textId="554EBCA0" w:rsidR="004052DB" w:rsidRPr="00041A72" w:rsidRDefault="004052DB" w:rsidP="004052DB">
            <w:pPr>
              <w:ind w:firstLine="0"/>
              <w:jc w:val="left"/>
              <w:rPr>
                <w:sz w:val="18"/>
                <w:szCs w:val="18"/>
                <w:lang w:val="es-CO"/>
              </w:rPr>
            </w:pPr>
            <w:r w:rsidRPr="00041A72">
              <w:rPr>
                <w:sz w:val="18"/>
                <w:szCs w:val="18"/>
                <w:lang w:val="es-CO"/>
              </w:rPr>
              <w:t>Identificación, revisión y socialización del convenio entre tomadores de decisiones y partes interesadas dentro del Despacho de Salud</w:t>
            </w:r>
          </w:p>
        </w:tc>
        <w:tc>
          <w:tcPr>
            <w:tcW w:w="630" w:type="dxa"/>
            <w:hideMark/>
          </w:tcPr>
          <w:p w14:paraId="63590AE4" w14:textId="77777777" w:rsidR="004052DB" w:rsidRPr="00041A72" w:rsidRDefault="004052DB" w:rsidP="004052DB">
            <w:pPr>
              <w:ind w:firstLine="0"/>
              <w:jc w:val="left"/>
              <w:rPr>
                <w:sz w:val="18"/>
                <w:szCs w:val="18"/>
                <w:lang w:val="es-CO"/>
              </w:rPr>
            </w:pPr>
            <w:r w:rsidRPr="00041A72">
              <w:rPr>
                <w:sz w:val="18"/>
                <w:szCs w:val="18"/>
                <w:lang w:val="es-CO"/>
              </w:rPr>
              <w:t>2019</w:t>
            </w:r>
          </w:p>
        </w:tc>
        <w:tc>
          <w:tcPr>
            <w:tcW w:w="1530" w:type="dxa"/>
            <w:hideMark/>
          </w:tcPr>
          <w:p w14:paraId="6A03B3B4" w14:textId="48A7249C" w:rsidR="004052DB" w:rsidRPr="00041A72" w:rsidRDefault="004052DB" w:rsidP="004052DB">
            <w:pPr>
              <w:ind w:firstLine="0"/>
              <w:jc w:val="left"/>
              <w:rPr>
                <w:sz w:val="18"/>
                <w:szCs w:val="18"/>
                <w:lang w:val="es-CO"/>
              </w:rPr>
            </w:pPr>
            <w:r w:rsidRPr="00041A72">
              <w:rPr>
                <w:sz w:val="18"/>
                <w:szCs w:val="18"/>
                <w:lang w:val="es-CO"/>
              </w:rPr>
              <w:t>SESAL: Secretar</w:t>
            </w:r>
            <w:r w:rsidR="00D82046">
              <w:rPr>
                <w:sz w:val="18"/>
                <w:szCs w:val="18"/>
                <w:lang w:val="es-MX"/>
              </w:rPr>
              <w:t>í</w:t>
            </w:r>
            <w:r w:rsidRPr="00041A72">
              <w:rPr>
                <w:sz w:val="18"/>
                <w:szCs w:val="18"/>
                <w:lang w:val="es-CO"/>
              </w:rPr>
              <w:t>a</w:t>
            </w:r>
            <w:r>
              <w:rPr>
                <w:sz w:val="18"/>
                <w:szCs w:val="18"/>
                <w:lang w:val="es-CO"/>
              </w:rPr>
              <w:t xml:space="preserve"> Gral., </w:t>
            </w:r>
            <w:r w:rsidRPr="00041A72">
              <w:rPr>
                <w:sz w:val="18"/>
                <w:szCs w:val="18"/>
                <w:lang w:val="es-CO"/>
              </w:rPr>
              <w:t xml:space="preserve">Puntos focales; autoridad sanitaria; Despacho  </w:t>
            </w:r>
          </w:p>
        </w:tc>
        <w:tc>
          <w:tcPr>
            <w:tcW w:w="540" w:type="dxa"/>
          </w:tcPr>
          <w:p w14:paraId="2B11E94B" w14:textId="77777777" w:rsidR="004052DB" w:rsidRPr="00041A72" w:rsidRDefault="004052DB" w:rsidP="004052DB">
            <w:pPr>
              <w:ind w:firstLine="0"/>
              <w:jc w:val="left"/>
              <w:rPr>
                <w:sz w:val="18"/>
                <w:szCs w:val="18"/>
                <w:lang w:val="es-CO"/>
              </w:rPr>
            </w:pPr>
            <w:r w:rsidRPr="00041A72">
              <w:rPr>
                <w:sz w:val="18"/>
                <w:szCs w:val="18"/>
                <w:lang w:val="es-CO"/>
              </w:rPr>
              <w:t>No</w:t>
            </w:r>
          </w:p>
        </w:tc>
        <w:tc>
          <w:tcPr>
            <w:tcW w:w="1440" w:type="dxa"/>
          </w:tcPr>
          <w:p w14:paraId="692FA11C" w14:textId="77777777" w:rsidR="004052DB" w:rsidRPr="00041A72" w:rsidRDefault="004052DB" w:rsidP="004052DB">
            <w:pPr>
              <w:ind w:firstLine="0"/>
              <w:jc w:val="left"/>
              <w:rPr>
                <w:sz w:val="18"/>
                <w:szCs w:val="18"/>
                <w:lang w:val="es-CO"/>
              </w:rPr>
            </w:pPr>
          </w:p>
        </w:tc>
        <w:tc>
          <w:tcPr>
            <w:tcW w:w="900" w:type="dxa"/>
          </w:tcPr>
          <w:p w14:paraId="63449838" w14:textId="77777777" w:rsidR="004052DB" w:rsidRPr="00041A72" w:rsidRDefault="004052DB" w:rsidP="004052DB">
            <w:pPr>
              <w:ind w:firstLine="0"/>
              <w:jc w:val="left"/>
              <w:rPr>
                <w:sz w:val="18"/>
                <w:szCs w:val="18"/>
                <w:lang w:val="es-CO"/>
              </w:rPr>
            </w:pPr>
          </w:p>
        </w:tc>
        <w:tc>
          <w:tcPr>
            <w:tcW w:w="1080" w:type="dxa"/>
            <w:vMerge w:val="restart"/>
          </w:tcPr>
          <w:p w14:paraId="014A9D3A" w14:textId="77777777" w:rsidR="00930CC2" w:rsidRDefault="004052DB" w:rsidP="004052DB">
            <w:pPr>
              <w:ind w:firstLine="0"/>
              <w:jc w:val="left"/>
              <w:rPr>
                <w:sz w:val="18"/>
                <w:szCs w:val="18"/>
                <w:lang w:val="es-CO"/>
              </w:rPr>
            </w:pPr>
            <w:r w:rsidRPr="00041A72">
              <w:rPr>
                <w:sz w:val="18"/>
                <w:szCs w:val="18"/>
                <w:lang w:val="es-CO"/>
              </w:rPr>
              <w:t>PENTB</w:t>
            </w:r>
          </w:p>
          <w:p w14:paraId="59908F82" w14:textId="5A58734E" w:rsidR="004052DB" w:rsidRDefault="004052DB" w:rsidP="004052DB">
            <w:pPr>
              <w:ind w:firstLine="0"/>
              <w:jc w:val="left"/>
              <w:rPr>
                <w:sz w:val="18"/>
                <w:szCs w:val="18"/>
                <w:lang w:val="es-CO"/>
              </w:rPr>
            </w:pPr>
            <w:r w:rsidRPr="00041A72">
              <w:rPr>
                <w:sz w:val="18"/>
                <w:szCs w:val="18"/>
                <w:lang w:val="es-CO"/>
              </w:rPr>
              <w:t xml:space="preserve"> 1.3.1</w:t>
            </w:r>
          </w:p>
          <w:p w14:paraId="24FA8D2C" w14:textId="77777777" w:rsidR="0042346A" w:rsidRDefault="0042346A" w:rsidP="0042346A">
            <w:pPr>
              <w:ind w:firstLine="0"/>
              <w:jc w:val="left"/>
              <w:rPr>
                <w:sz w:val="18"/>
                <w:szCs w:val="18"/>
                <w:lang w:val="es-419"/>
              </w:rPr>
            </w:pPr>
            <w:proofErr w:type="spellStart"/>
            <w:r>
              <w:rPr>
                <w:sz w:val="18"/>
                <w:szCs w:val="18"/>
                <w:lang w:val="es-419"/>
              </w:rPr>
              <w:t>Eval</w:t>
            </w:r>
            <w:proofErr w:type="spellEnd"/>
            <w:r>
              <w:rPr>
                <w:sz w:val="18"/>
                <w:szCs w:val="18"/>
                <w:lang w:val="es-419"/>
              </w:rPr>
              <w:t>. Conjunta</w:t>
            </w:r>
          </w:p>
          <w:p w14:paraId="0E4C6CE7" w14:textId="2034CFDF" w:rsidR="0042346A" w:rsidRPr="00041A72" w:rsidRDefault="0042346A" w:rsidP="0042346A">
            <w:pPr>
              <w:ind w:firstLine="0"/>
              <w:jc w:val="left"/>
              <w:rPr>
                <w:sz w:val="18"/>
                <w:szCs w:val="18"/>
                <w:lang w:val="es-CO"/>
              </w:rPr>
            </w:pPr>
            <w:r>
              <w:rPr>
                <w:sz w:val="18"/>
                <w:szCs w:val="18"/>
                <w:lang w:val="es-419"/>
              </w:rPr>
              <w:lastRenderedPageBreak/>
              <w:t>5.3.3</w:t>
            </w:r>
          </w:p>
          <w:p w14:paraId="19DE4F09" w14:textId="77777777" w:rsidR="004052DB" w:rsidRPr="00041A72" w:rsidRDefault="004052DB" w:rsidP="004052DB">
            <w:pPr>
              <w:ind w:firstLine="0"/>
              <w:jc w:val="left"/>
              <w:rPr>
                <w:sz w:val="18"/>
                <w:szCs w:val="18"/>
                <w:lang w:val="es-CO"/>
              </w:rPr>
            </w:pPr>
          </w:p>
        </w:tc>
        <w:tc>
          <w:tcPr>
            <w:tcW w:w="1365" w:type="dxa"/>
            <w:hideMark/>
          </w:tcPr>
          <w:p w14:paraId="008AD9D3" w14:textId="77777777" w:rsidR="004052DB" w:rsidRPr="00041A72" w:rsidRDefault="004052DB" w:rsidP="004052DB">
            <w:pPr>
              <w:ind w:firstLine="0"/>
              <w:jc w:val="left"/>
              <w:rPr>
                <w:sz w:val="18"/>
                <w:szCs w:val="18"/>
                <w:lang w:val="es-CO"/>
              </w:rPr>
            </w:pPr>
            <w:r w:rsidRPr="00041A72">
              <w:rPr>
                <w:sz w:val="18"/>
                <w:szCs w:val="18"/>
                <w:lang w:val="es-CO"/>
              </w:rPr>
              <w:lastRenderedPageBreak/>
              <w:t>Implementados cumplimientos de convenio establecido</w:t>
            </w:r>
          </w:p>
        </w:tc>
      </w:tr>
      <w:tr w:rsidR="004052DB" w:rsidRPr="00041A72" w14:paraId="441AD9AD" w14:textId="77777777" w:rsidTr="00765D16">
        <w:trPr>
          <w:trHeight w:val="351"/>
        </w:trPr>
        <w:tc>
          <w:tcPr>
            <w:tcW w:w="265" w:type="dxa"/>
            <w:vMerge/>
            <w:hideMark/>
          </w:tcPr>
          <w:p w14:paraId="38DA445C" w14:textId="77777777" w:rsidR="004052DB" w:rsidRPr="00A1454D" w:rsidRDefault="004052DB" w:rsidP="004052DB">
            <w:pPr>
              <w:ind w:firstLine="0"/>
              <w:jc w:val="left"/>
              <w:rPr>
                <w:bCs/>
                <w:sz w:val="18"/>
                <w:szCs w:val="18"/>
                <w:lang w:val="es-CO"/>
              </w:rPr>
            </w:pPr>
          </w:p>
        </w:tc>
        <w:tc>
          <w:tcPr>
            <w:tcW w:w="2440" w:type="dxa"/>
            <w:vMerge/>
            <w:hideMark/>
          </w:tcPr>
          <w:p w14:paraId="287D4342" w14:textId="77777777" w:rsidR="004052DB" w:rsidRPr="00A1454D" w:rsidRDefault="004052DB" w:rsidP="004052DB">
            <w:pPr>
              <w:ind w:firstLine="0"/>
              <w:jc w:val="left"/>
              <w:rPr>
                <w:sz w:val="18"/>
                <w:szCs w:val="18"/>
                <w:lang w:val="es-CO"/>
              </w:rPr>
            </w:pPr>
          </w:p>
        </w:tc>
        <w:tc>
          <w:tcPr>
            <w:tcW w:w="440" w:type="dxa"/>
            <w:hideMark/>
          </w:tcPr>
          <w:p w14:paraId="6889F98A" w14:textId="2165099F" w:rsidR="004052DB" w:rsidRPr="00041A72" w:rsidRDefault="004052DB" w:rsidP="004052DB">
            <w:pPr>
              <w:ind w:firstLine="0"/>
              <w:jc w:val="left"/>
              <w:rPr>
                <w:sz w:val="18"/>
                <w:szCs w:val="18"/>
                <w:lang w:val="es-CO"/>
              </w:rPr>
            </w:pPr>
            <w:r w:rsidRPr="00041A72">
              <w:rPr>
                <w:sz w:val="18"/>
                <w:szCs w:val="18"/>
                <w:lang w:val="es-CO"/>
              </w:rPr>
              <w:t>1</w:t>
            </w:r>
            <w:r w:rsidR="00524EC5">
              <w:rPr>
                <w:sz w:val="18"/>
                <w:szCs w:val="18"/>
                <w:lang w:val="es-CO"/>
              </w:rPr>
              <w:t>7</w:t>
            </w:r>
          </w:p>
        </w:tc>
        <w:tc>
          <w:tcPr>
            <w:tcW w:w="3780" w:type="dxa"/>
            <w:hideMark/>
          </w:tcPr>
          <w:p w14:paraId="103716AD" w14:textId="77777777" w:rsidR="004052DB" w:rsidRPr="00041A72" w:rsidRDefault="004052DB" w:rsidP="004052DB">
            <w:pPr>
              <w:ind w:firstLine="0"/>
              <w:jc w:val="left"/>
              <w:rPr>
                <w:sz w:val="18"/>
                <w:szCs w:val="18"/>
                <w:lang w:val="es-CO"/>
              </w:rPr>
            </w:pPr>
            <w:r w:rsidRPr="00041A72">
              <w:rPr>
                <w:sz w:val="18"/>
                <w:szCs w:val="18"/>
                <w:lang w:val="es-CO"/>
              </w:rPr>
              <w:t>Identificar mecanismo de financiamiento, ya sea bajo la modalidad permanente (concurso) o contratos con una vigencia mínima de 6 meses – promover renovación de contratados basado en desempeño</w:t>
            </w:r>
          </w:p>
        </w:tc>
        <w:tc>
          <w:tcPr>
            <w:tcW w:w="630" w:type="dxa"/>
            <w:hideMark/>
          </w:tcPr>
          <w:p w14:paraId="2C6DA1C6" w14:textId="77777777" w:rsidR="004052DB" w:rsidRPr="00041A72" w:rsidRDefault="004052DB" w:rsidP="004052DB">
            <w:pPr>
              <w:ind w:firstLine="0"/>
              <w:jc w:val="left"/>
              <w:rPr>
                <w:sz w:val="18"/>
                <w:szCs w:val="18"/>
                <w:lang w:val="es-CO"/>
              </w:rPr>
            </w:pPr>
            <w:r w:rsidRPr="00041A72">
              <w:rPr>
                <w:sz w:val="18"/>
                <w:szCs w:val="18"/>
                <w:lang w:val="es-CO"/>
              </w:rPr>
              <w:t>2019</w:t>
            </w:r>
          </w:p>
        </w:tc>
        <w:tc>
          <w:tcPr>
            <w:tcW w:w="1530" w:type="dxa"/>
            <w:hideMark/>
          </w:tcPr>
          <w:p w14:paraId="04E3E1E1" w14:textId="4F345062" w:rsidR="004052DB" w:rsidRPr="00041A72" w:rsidRDefault="004052DB" w:rsidP="004052DB">
            <w:pPr>
              <w:ind w:firstLine="0"/>
              <w:jc w:val="left"/>
              <w:rPr>
                <w:sz w:val="18"/>
                <w:szCs w:val="18"/>
                <w:lang w:val="es-CO"/>
              </w:rPr>
            </w:pPr>
            <w:r w:rsidRPr="00041A72">
              <w:rPr>
                <w:sz w:val="18"/>
                <w:szCs w:val="18"/>
                <w:lang w:val="es-CO"/>
              </w:rPr>
              <w:t>SESAL: Secretar</w:t>
            </w:r>
            <w:r w:rsidR="00D82046">
              <w:rPr>
                <w:sz w:val="18"/>
                <w:szCs w:val="18"/>
                <w:lang w:val="es-CO"/>
              </w:rPr>
              <w:t>í</w:t>
            </w:r>
            <w:r w:rsidRPr="00041A72">
              <w:rPr>
                <w:sz w:val="18"/>
                <w:szCs w:val="18"/>
                <w:lang w:val="es-CO"/>
              </w:rPr>
              <w:t>a G</w:t>
            </w:r>
            <w:r>
              <w:rPr>
                <w:sz w:val="18"/>
                <w:szCs w:val="18"/>
                <w:lang w:val="es-CO"/>
              </w:rPr>
              <w:t xml:space="preserve">ral., </w:t>
            </w:r>
            <w:r w:rsidRPr="00041A72">
              <w:rPr>
                <w:sz w:val="18"/>
                <w:szCs w:val="18"/>
                <w:lang w:val="es-CO"/>
              </w:rPr>
              <w:t xml:space="preserve">Puntos focales; autoridad sanitaria; Despacho  </w:t>
            </w:r>
          </w:p>
        </w:tc>
        <w:tc>
          <w:tcPr>
            <w:tcW w:w="540" w:type="dxa"/>
          </w:tcPr>
          <w:p w14:paraId="355D2A03" w14:textId="77777777" w:rsidR="004052DB" w:rsidRPr="00041A72" w:rsidRDefault="004052DB" w:rsidP="004052DB">
            <w:pPr>
              <w:ind w:firstLine="0"/>
              <w:jc w:val="left"/>
              <w:rPr>
                <w:sz w:val="18"/>
                <w:szCs w:val="18"/>
                <w:lang w:val="es-CO"/>
              </w:rPr>
            </w:pPr>
            <w:r w:rsidRPr="00041A72">
              <w:rPr>
                <w:sz w:val="18"/>
                <w:szCs w:val="18"/>
                <w:lang w:val="es-CO"/>
              </w:rPr>
              <w:t>No</w:t>
            </w:r>
          </w:p>
        </w:tc>
        <w:tc>
          <w:tcPr>
            <w:tcW w:w="1440" w:type="dxa"/>
          </w:tcPr>
          <w:p w14:paraId="5221948C" w14:textId="77777777" w:rsidR="004052DB" w:rsidRPr="00041A72" w:rsidRDefault="004052DB" w:rsidP="004052DB">
            <w:pPr>
              <w:ind w:firstLine="0"/>
              <w:jc w:val="left"/>
              <w:rPr>
                <w:sz w:val="18"/>
                <w:szCs w:val="18"/>
                <w:lang w:val="es-CO"/>
              </w:rPr>
            </w:pPr>
          </w:p>
        </w:tc>
        <w:tc>
          <w:tcPr>
            <w:tcW w:w="900" w:type="dxa"/>
          </w:tcPr>
          <w:p w14:paraId="6D4CA86E" w14:textId="77777777" w:rsidR="004052DB" w:rsidRPr="00041A72" w:rsidRDefault="004052DB" w:rsidP="004052DB">
            <w:pPr>
              <w:ind w:firstLine="0"/>
              <w:jc w:val="left"/>
              <w:rPr>
                <w:sz w:val="18"/>
                <w:szCs w:val="18"/>
                <w:lang w:val="es-CO"/>
              </w:rPr>
            </w:pPr>
          </w:p>
        </w:tc>
        <w:tc>
          <w:tcPr>
            <w:tcW w:w="1080" w:type="dxa"/>
            <w:vMerge/>
          </w:tcPr>
          <w:p w14:paraId="30E6818B" w14:textId="77777777" w:rsidR="004052DB" w:rsidRPr="00041A72" w:rsidRDefault="004052DB" w:rsidP="004052DB">
            <w:pPr>
              <w:ind w:firstLine="0"/>
              <w:jc w:val="left"/>
              <w:rPr>
                <w:sz w:val="18"/>
                <w:szCs w:val="18"/>
                <w:lang w:val="es-CO"/>
              </w:rPr>
            </w:pPr>
          </w:p>
        </w:tc>
        <w:tc>
          <w:tcPr>
            <w:tcW w:w="1365" w:type="dxa"/>
            <w:hideMark/>
          </w:tcPr>
          <w:p w14:paraId="16047575" w14:textId="77777777" w:rsidR="004052DB" w:rsidRPr="00041A72" w:rsidRDefault="004052DB" w:rsidP="004052DB">
            <w:pPr>
              <w:ind w:firstLine="0"/>
              <w:jc w:val="left"/>
              <w:rPr>
                <w:sz w:val="18"/>
                <w:szCs w:val="18"/>
                <w:lang w:val="es-CO"/>
              </w:rPr>
            </w:pPr>
          </w:p>
        </w:tc>
      </w:tr>
      <w:tr w:rsidR="004052DB" w:rsidRPr="00041A72" w14:paraId="4A9DC906" w14:textId="77777777" w:rsidTr="00AA78FE">
        <w:trPr>
          <w:trHeight w:val="530"/>
        </w:trPr>
        <w:tc>
          <w:tcPr>
            <w:tcW w:w="265" w:type="dxa"/>
            <w:vMerge w:val="restart"/>
          </w:tcPr>
          <w:p w14:paraId="2089FECD" w14:textId="35E98F5D" w:rsidR="004052DB" w:rsidRPr="00A1454D" w:rsidRDefault="004052DB" w:rsidP="004052DB">
            <w:pPr>
              <w:ind w:firstLine="0"/>
              <w:jc w:val="left"/>
              <w:rPr>
                <w:bCs/>
                <w:sz w:val="18"/>
                <w:szCs w:val="18"/>
                <w:lang w:val="es-CO"/>
              </w:rPr>
            </w:pPr>
            <w:r>
              <w:rPr>
                <w:bCs/>
                <w:sz w:val="18"/>
                <w:szCs w:val="18"/>
                <w:lang w:val="es-CO"/>
              </w:rPr>
              <w:t>i</w:t>
            </w:r>
          </w:p>
        </w:tc>
        <w:tc>
          <w:tcPr>
            <w:tcW w:w="2440" w:type="dxa"/>
            <w:vMerge w:val="restart"/>
          </w:tcPr>
          <w:p w14:paraId="6D6620DF" w14:textId="77777777" w:rsidR="004052DB" w:rsidRPr="000569F7" w:rsidRDefault="004052DB" w:rsidP="004052DB">
            <w:pPr>
              <w:pStyle w:val="Heading3"/>
              <w:numPr>
                <w:ilvl w:val="0"/>
                <w:numId w:val="0"/>
              </w:numPr>
              <w:tabs>
                <w:tab w:val="clear" w:pos="851"/>
                <w:tab w:val="left" w:pos="90"/>
                <w:tab w:val="left" w:pos="1170"/>
              </w:tabs>
              <w:outlineLvl w:val="2"/>
              <w:rPr>
                <w:rFonts w:ascii="Times New Roman" w:hAnsi="Times New Roman"/>
                <w:b w:val="0"/>
                <w:sz w:val="18"/>
                <w:szCs w:val="18"/>
                <w:lang w:val="es-CO"/>
              </w:rPr>
            </w:pPr>
            <w:r w:rsidRPr="000569F7">
              <w:rPr>
                <w:rFonts w:ascii="Times New Roman" w:hAnsi="Times New Roman"/>
                <w:b w:val="0"/>
                <w:sz w:val="18"/>
                <w:szCs w:val="18"/>
                <w:lang w:val="es-CO"/>
              </w:rPr>
              <w:t>Gestionar recursos financieros para el aumento de la contratación de personal capacitado en los tipos de TB</w:t>
            </w:r>
            <w:r>
              <w:rPr>
                <w:rFonts w:ascii="Times New Roman" w:hAnsi="Times New Roman"/>
                <w:b w:val="0"/>
                <w:sz w:val="18"/>
                <w:szCs w:val="18"/>
                <w:lang w:val="es-CO"/>
              </w:rPr>
              <w:t xml:space="preserve"> </w:t>
            </w:r>
            <w:r w:rsidRPr="000569F7">
              <w:rPr>
                <w:rFonts w:ascii="Times New Roman" w:hAnsi="Times New Roman"/>
                <w:b w:val="0"/>
                <w:sz w:val="18"/>
                <w:szCs w:val="18"/>
                <w:lang w:val="es-CO"/>
              </w:rPr>
              <w:t xml:space="preserve">y una mayor logística para </w:t>
            </w:r>
            <w:r>
              <w:rPr>
                <w:rFonts w:ascii="Times New Roman" w:hAnsi="Times New Roman"/>
                <w:b w:val="0"/>
                <w:sz w:val="18"/>
                <w:szCs w:val="18"/>
                <w:lang w:val="es-CO"/>
              </w:rPr>
              <w:t>su</w:t>
            </w:r>
            <w:r w:rsidRPr="000569F7">
              <w:rPr>
                <w:rFonts w:ascii="Times New Roman" w:hAnsi="Times New Roman"/>
                <w:b w:val="0"/>
                <w:sz w:val="18"/>
                <w:szCs w:val="18"/>
                <w:lang w:val="es-CO"/>
              </w:rPr>
              <w:t xml:space="preserve"> movilización</w:t>
            </w:r>
          </w:p>
          <w:p w14:paraId="6900BED5" w14:textId="77777777" w:rsidR="004052DB" w:rsidRPr="00BE6BAE" w:rsidRDefault="004052DB" w:rsidP="004052DB">
            <w:pPr>
              <w:ind w:firstLine="0"/>
              <w:jc w:val="left"/>
              <w:rPr>
                <w:sz w:val="18"/>
                <w:szCs w:val="18"/>
                <w:lang w:val="es-CO"/>
              </w:rPr>
            </w:pPr>
          </w:p>
        </w:tc>
        <w:tc>
          <w:tcPr>
            <w:tcW w:w="440" w:type="dxa"/>
          </w:tcPr>
          <w:p w14:paraId="5CA5F2B4" w14:textId="6BB9E22E" w:rsidR="004052DB" w:rsidRDefault="004052DB" w:rsidP="004052DB">
            <w:pPr>
              <w:ind w:firstLine="0"/>
              <w:jc w:val="left"/>
              <w:rPr>
                <w:sz w:val="18"/>
                <w:szCs w:val="18"/>
                <w:lang w:val="es-CO"/>
              </w:rPr>
            </w:pPr>
            <w:r>
              <w:rPr>
                <w:sz w:val="18"/>
                <w:szCs w:val="18"/>
                <w:lang w:val="es-CO"/>
              </w:rPr>
              <w:t>1</w:t>
            </w:r>
            <w:r w:rsidR="00524EC5">
              <w:rPr>
                <w:sz w:val="18"/>
                <w:szCs w:val="18"/>
                <w:lang w:val="es-CO"/>
              </w:rPr>
              <w:t>8</w:t>
            </w:r>
          </w:p>
        </w:tc>
        <w:tc>
          <w:tcPr>
            <w:tcW w:w="3780" w:type="dxa"/>
          </w:tcPr>
          <w:p w14:paraId="655CD0DC" w14:textId="319A791E" w:rsidR="004052DB" w:rsidRPr="00041A72" w:rsidRDefault="004052DB" w:rsidP="004052DB">
            <w:pPr>
              <w:ind w:firstLine="0"/>
              <w:jc w:val="left"/>
              <w:rPr>
                <w:sz w:val="18"/>
                <w:szCs w:val="18"/>
                <w:lang w:val="es-CO"/>
              </w:rPr>
            </w:pPr>
            <w:r w:rsidRPr="00041A72">
              <w:rPr>
                <w:sz w:val="18"/>
                <w:szCs w:val="18"/>
                <w:lang w:val="es-CO"/>
              </w:rPr>
              <w:t>Creación de un presupuesto y designación de un equipo en SESAL dedicado a la contratación de personal capacitado en TB y la resistencia a medicamentos por centros de cuidado regionales y locales en las áreas priorizadas</w:t>
            </w:r>
          </w:p>
        </w:tc>
        <w:tc>
          <w:tcPr>
            <w:tcW w:w="630" w:type="dxa"/>
          </w:tcPr>
          <w:p w14:paraId="34C57039" w14:textId="5BD22FDA" w:rsidR="004052DB" w:rsidRPr="00041A72" w:rsidRDefault="004052DB" w:rsidP="004052DB">
            <w:pPr>
              <w:ind w:firstLine="0"/>
              <w:jc w:val="left"/>
              <w:rPr>
                <w:sz w:val="18"/>
                <w:szCs w:val="18"/>
                <w:lang w:val="es-CO"/>
              </w:rPr>
            </w:pPr>
            <w:r>
              <w:rPr>
                <w:sz w:val="18"/>
                <w:szCs w:val="18"/>
                <w:lang w:val="es-CO"/>
              </w:rPr>
              <w:t>2019</w:t>
            </w:r>
          </w:p>
        </w:tc>
        <w:tc>
          <w:tcPr>
            <w:tcW w:w="1530" w:type="dxa"/>
          </w:tcPr>
          <w:p w14:paraId="156F0E8E" w14:textId="02D0029B" w:rsidR="004052DB" w:rsidRPr="00041A72" w:rsidRDefault="004052DB" w:rsidP="004052DB">
            <w:pPr>
              <w:ind w:firstLine="0"/>
              <w:jc w:val="left"/>
              <w:rPr>
                <w:sz w:val="18"/>
                <w:szCs w:val="18"/>
                <w:lang w:val="es-CO"/>
              </w:rPr>
            </w:pPr>
            <w:r w:rsidRPr="00041A72">
              <w:rPr>
                <w:sz w:val="18"/>
                <w:szCs w:val="18"/>
                <w:lang w:val="es-CO"/>
              </w:rPr>
              <w:t>SESAL – coordinadores de TB regionales / nacional</w:t>
            </w:r>
          </w:p>
        </w:tc>
        <w:tc>
          <w:tcPr>
            <w:tcW w:w="540" w:type="dxa"/>
          </w:tcPr>
          <w:p w14:paraId="608E1AE0" w14:textId="57295FDD" w:rsidR="004052DB" w:rsidRPr="00041A72" w:rsidRDefault="004052DB" w:rsidP="004052DB">
            <w:pPr>
              <w:ind w:firstLine="0"/>
              <w:jc w:val="left"/>
              <w:rPr>
                <w:sz w:val="18"/>
                <w:szCs w:val="18"/>
                <w:lang w:val="es-CO"/>
              </w:rPr>
            </w:pPr>
            <w:r>
              <w:rPr>
                <w:sz w:val="18"/>
                <w:szCs w:val="18"/>
                <w:lang w:val="es-CO"/>
              </w:rPr>
              <w:t>No</w:t>
            </w:r>
          </w:p>
        </w:tc>
        <w:tc>
          <w:tcPr>
            <w:tcW w:w="1440" w:type="dxa"/>
          </w:tcPr>
          <w:p w14:paraId="46A9F38B" w14:textId="77777777" w:rsidR="004052DB" w:rsidRPr="00041A72" w:rsidRDefault="004052DB" w:rsidP="004052DB">
            <w:pPr>
              <w:ind w:firstLine="0"/>
              <w:jc w:val="left"/>
              <w:rPr>
                <w:sz w:val="18"/>
                <w:szCs w:val="18"/>
                <w:lang w:val="es-CO"/>
              </w:rPr>
            </w:pPr>
          </w:p>
        </w:tc>
        <w:tc>
          <w:tcPr>
            <w:tcW w:w="900" w:type="dxa"/>
          </w:tcPr>
          <w:p w14:paraId="00F0F21E" w14:textId="77777777" w:rsidR="004052DB" w:rsidRPr="00041A72" w:rsidRDefault="004052DB" w:rsidP="004052DB">
            <w:pPr>
              <w:ind w:firstLine="0"/>
              <w:jc w:val="left"/>
              <w:rPr>
                <w:sz w:val="18"/>
                <w:szCs w:val="18"/>
                <w:lang w:val="es-CO"/>
              </w:rPr>
            </w:pPr>
          </w:p>
        </w:tc>
        <w:tc>
          <w:tcPr>
            <w:tcW w:w="1080" w:type="dxa"/>
            <w:vMerge w:val="restart"/>
          </w:tcPr>
          <w:p w14:paraId="6EFF322D" w14:textId="315CB3A2" w:rsidR="004052DB" w:rsidRPr="00041A72" w:rsidRDefault="004052DB" w:rsidP="004052DB">
            <w:pPr>
              <w:ind w:firstLine="0"/>
              <w:jc w:val="left"/>
              <w:rPr>
                <w:sz w:val="18"/>
                <w:szCs w:val="18"/>
                <w:lang w:val="es-CO"/>
              </w:rPr>
            </w:pPr>
            <w:r w:rsidRPr="00041A72">
              <w:rPr>
                <w:sz w:val="18"/>
                <w:szCs w:val="18"/>
                <w:lang w:val="es-CO"/>
              </w:rPr>
              <w:t>PENTB</w:t>
            </w:r>
          </w:p>
          <w:p w14:paraId="4F34D7D7" w14:textId="77777777" w:rsidR="004052DB" w:rsidRPr="00041A72" w:rsidRDefault="004052DB" w:rsidP="004052DB">
            <w:pPr>
              <w:ind w:firstLine="0"/>
              <w:jc w:val="left"/>
              <w:rPr>
                <w:sz w:val="18"/>
                <w:szCs w:val="18"/>
                <w:lang w:val="es-419"/>
              </w:rPr>
            </w:pPr>
            <w:r w:rsidRPr="00041A72">
              <w:rPr>
                <w:sz w:val="18"/>
                <w:szCs w:val="18"/>
                <w:lang w:val="es-419"/>
              </w:rPr>
              <w:t>1.2.5</w:t>
            </w:r>
          </w:p>
          <w:p w14:paraId="394937BC" w14:textId="77777777" w:rsidR="004052DB" w:rsidRPr="00041A72" w:rsidRDefault="004052DB" w:rsidP="004052DB">
            <w:pPr>
              <w:ind w:firstLine="0"/>
              <w:jc w:val="left"/>
              <w:rPr>
                <w:sz w:val="18"/>
                <w:szCs w:val="18"/>
                <w:lang w:val="es-419"/>
              </w:rPr>
            </w:pPr>
            <w:r w:rsidRPr="00041A72">
              <w:rPr>
                <w:sz w:val="18"/>
                <w:szCs w:val="18"/>
                <w:lang w:val="es-419"/>
              </w:rPr>
              <w:t>1.3.1.</w:t>
            </w:r>
          </w:p>
          <w:p w14:paraId="48EBFEF6" w14:textId="77777777" w:rsidR="004052DB" w:rsidRPr="00041A72" w:rsidRDefault="004052DB" w:rsidP="004052DB">
            <w:pPr>
              <w:ind w:firstLine="0"/>
              <w:jc w:val="left"/>
              <w:rPr>
                <w:sz w:val="18"/>
                <w:szCs w:val="18"/>
                <w:lang w:val="es-419"/>
              </w:rPr>
            </w:pPr>
            <w:r w:rsidRPr="00041A72">
              <w:rPr>
                <w:sz w:val="18"/>
                <w:szCs w:val="18"/>
                <w:lang w:val="es-419"/>
              </w:rPr>
              <w:t>3.2.4</w:t>
            </w:r>
          </w:p>
          <w:p w14:paraId="20A11124" w14:textId="77777777" w:rsidR="004052DB" w:rsidRPr="00041A72" w:rsidRDefault="004052DB" w:rsidP="004052DB">
            <w:pPr>
              <w:ind w:firstLine="0"/>
              <w:jc w:val="left"/>
              <w:rPr>
                <w:sz w:val="18"/>
                <w:szCs w:val="18"/>
                <w:lang w:val="es-CO"/>
              </w:rPr>
            </w:pPr>
            <w:r w:rsidRPr="00041A72">
              <w:rPr>
                <w:sz w:val="18"/>
                <w:szCs w:val="18"/>
                <w:lang w:val="es-CO"/>
              </w:rPr>
              <w:t>3.5.2</w:t>
            </w:r>
          </w:p>
          <w:p w14:paraId="36851B7A" w14:textId="77777777" w:rsidR="004052DB" w:rsidRPr="00041A72" w:rsidRDefault="004052DB" w:rsidP="004052DB">
            <w:pPr>
              <w:ind w:firstLine="0"/>
              <w:jc w:val="left"/>
              <w:rPr>
                <w:sz w:val="18"/>
                <w:szCs w:val="18"/>
                <w:lang w:val="es-CO"/>
              </w:rPr>
            </w:pPr>
          </w:p>
        </w:tc>
        <w:tc>
          <w:tcPr>
            <w:tcW w:w="1365" w:type="dxa"/>
          </w:tcPr>
          <w:p w14:paraId="2B7BE21A" w14:textId="77777777" w:rsidR="004052DB" w:rsidRPr="00041A72" w:rsidRDefault="004052DB" w:rsidP="004052DB">
            <w:pPr>
              <w:ind w:firstLine="0"/>
              <w:jc w:val="left"/>
              <w:rPr>
                <w:sz w:val="18"/>
                <w:szCs w:val="18"/>
                <w:lang w:val="es-CO"/>
              </w:rPr>
            </w:pPr>
          </w:p>
        </w:tc>
      </w:tr>
      <w:tr w:rsidR="004052DB" w:rsidRPr="00041A72" w14:paraId="638C138C" w14:textId="77777777" w:rsidTr="00AA78FE">
        <w:trPr>
          <w:trHeight w:val="530"/>
        </w:trPr>
        <w:tc>
          <w:tcPr>
            <w:tcW w:w="265" w:type="dxa"/>
            <w:vMerge/>
          </w:tcPr>
          <w:p w14:paraId="0DE88A8D" w14:textId="77777777" w:rsidR="004052DB" w:rsidRPr="00A1454D" w:rsidRDefault="004052DB" w:rsidP="004052DB">
            <w:pPr>
              <w:ind w:firstLine="0"/>
              <w:jc w:val="left"/>
              <w:rPr>
                <w:bCs/>
                <w:sz w:val="18"/>
                <w:szCs w:val="18"/>
                <w:lang w:val="es-CO"/>
              </w:rPr>
            </w:pPr>
          </w:p>
        </w:tc>
        <w:tc>
          <w:tcPr>
            <w:tcW w:w="2440" w:type="dxa"/>
            <w:vMerge/>
          </w:tcPr>
          <w:p w14:paraId="2D17FA4C" w14:textId="77777777" w:rsidR="004052DB" w:rsidRPr="00A1454D" w:rsidRDefault="004052DB" w:rsidP="004052DB">
            <w:pPr>
              <w:ind w:firstLine="0"/>
              <w:jc w:val="left"/>
              <w:rPr>
                <w:sz w:val="18"/>
                <w:szCs w:val="18"/>
                <w:lang w:val="es-ES"/>
              </w:rPr>
            </w:pPr>
          </w:p>
        </w:tc>
        <w:tc>
          <w:tcPr>
            <w:tcW w:w="440" w:type="dxa"/>
          </w:tcPr>
          <w:p w14:paraId="0BE9FC7F" w14:textId="53FFC97A" w:rsidR="004052DB" w:rsidRDefault="004052DB" w:rsidP="004052DB">
            <w:pPr>
              <w:ind w:firstLine="0"/>
              <w:jc w:val="left"/>
              <w:rPr>
                <w:sz w:val="18"/>
                <w:szCs w:val="18"/>
                <w:lang w:val="es-CO"/>
              </w:rPr>
            </w:pPr>
            <w:r>
              <w:rPr>
                <w:sz w:val="18"/>
                <w:szCs w:val="18"/>
                <w:lang w:val="es-CO"/>
              </w:rPr>
              <w:t>1</w:t>
            </w:r>
            <w:r w:rsidR="00524EC5">
              <w:rPr>
                <w:sz w:val="18"/>
                <w:szCs w:val="18"/>
                <w:lang w:val="es-CO"/>
              </w:rPr>
              <w:t>9</w:t>
            </w:r>
          </w:p>
        </w:tc>
        <w:tc>
          <w:tcPr>
            <w:tcW w:w="3780" w:type="dxa"/>
          </w:tcPr>
          <w:p w14:paraId="2A88412C" w14:textId="2C861F45" w:rsidR="004052DB" w:rsidRPr="00041A72" w:rsidRDefault="004052DB" w:rsidP="004052DB">
            <w:pPr>
              <w:ind w:firstLine="0"/>
              <w:jc w:val="left"/>
              <w:rPr>
                <w:sz w:val="18"/>
                <w:szCs w:val="18"/>
                <w:lang w:val="es-CO"/>
              </w:rPr>
            </w:pPr>
            <w:r w:rsidRPr="00041A72">
              <w:rPr>
                <w:sz w:val="18"/>
                <w:szCs w:val="18"/>
                <w:lang w:val="es-CO"/>
              </w:rPr>
              <w:t>Organización de reuniones de socialización de los 5 módulos de TB con la OPS (DGRISS, DG RRHH, UGI, UVS) para la solicitud de apoyo en la creación de una plataforma virtual para el autoaprendizaje y certificación</w:t>
            </w:r>
          </w:p>
        </w:tc>
        <w:tc>
          <w:tcPr>
            <w:tcW w:w="630" w:type="dxa"/>
          </w:tcPr>
          <w:p w14:paraId="4838EED4" w14:textId="63344318" w:rsidR="004052DB" w:rsidRPr="00041A72" w:rsidRDefault="004052DB" w:rsidP="004052DB">
            <w:pPr>
              <w:ind w:firstLine="0"/>
              <w:jc w:val="left"/>
              <w:rPr>
                <w:sz w:val="18"/>
                <w:szCs w:val="18"/>
                <w:lang w:val="es-CO"/>
              </w:rPr>
            </w:pPr>
            <w:r>
              <w:rPr>
                <w:sz w:val="18"/>
                <w:szCs w:val="18"/>
                <w:lang w:val="es-CO"/>
              </w:rPr>
              <w:t>2019</w:t>
            </w:r>
          </w:p>
        </w:tc>
        <w:tc>
          <w:tcPr>
            <w:tcW w:w="1530" w:type="dxa"/>
          </w:tcPr>
          <w:p w14:paraId="4B2F1D8C" w14:textId="0F1E10A3" w:rsidR="004052DB" w:rsidRPr="00041A72" w:rsidRDefault="004052DB" w:rsidP="004052DB">
            <w:pPr>
              <w:ind w:firstLine="0"/>
              <w:jc w:val="left"/>
              <w:rPr>
                <w:sz w:val="18"/>
                <w:szCs w:val="18"/>
                <w:lang w:val="es-CO"/>
              </w:rPr>
            </w:pPr>
            <w:r w:rsidRPr="00041A72">
              <w:rPr>
                <w:sz w:val="18"/>
                <w:szCs w:val="18"/>
                <w:lang w:val="es-CO"/>
              </w:rPr>
              <w:t>SESAL; OPS; Colegio Médico, enfermeros, microbiólogos; universidades y la OSC de TB de nueva creación</w:t>
            </w:r>
          </w:p>
        </w:tc>
        <w:tc>
          <w:tcPr>
            <w:tcW w:w="540" w:type="dxa"/>
          </w:tcPr>
          <w:p w14:paraId="698D583A" w14:textId="2B3E74C3" w:rsidR="004052DB" w:rsidRPr="00041A72" w:rsidRDefault="004052DB" w:rsidP="004052DB">
            <w:pPr>
              <w:ind w:firstLine="0"/>
              <w:jc w:val="left"/>
              <w:rPr>
                <w:sz w:val="18"/>
                <w:szCs w:val="18"/>
                <w:lang w:val="es-CO"/>
              </w:rPr>
            </w:pPr>
            <w:r>
              <w:rPr>
                <w:sz w:val="18"/>
                <w:szCs w:val="18"/>
                <w:lang w:val="es-CO"/>
              </w:rPr>
              <w:t>No</w:t>
            </w:r>
          </w:p>
        </w:tc>
        <w:tc>
          <w:tcPr>
            <w:tcW w:w="1440" w:type="dxa"/>
          </w:tcPr>
          <w:p w14:paraId="6E7E9723" w14:textId="77777777" w:rsidR="004052DB" w:rsidRPr="00041A72" w:rsidRDefault="004052DB" w:rsidP="004052DB">
            <w:pPr>
              <w:ind w:firstLine="0"/>
              <w:jc w:val="left"/>
              <w:rPr>
                <w:sz w:val="18"/>
                <w:szCs w:val="18"/>
                <w:lang w:val="es-CO"/>
              </w:rPr>
            </w:pPr>
          </w:p>
        </w:tc>
        <w:tc>
          <w:tcPr>
            <w:tcW w:w="900" w:type="dxa"/>
          </w:tcPr>
          <w:p w14:paraId="09791367" w14:textId="77777777" w:rsidR="004052DB" w:rsidRPr="00041A72" w:rsidRDefault="004052DB" w:rsidP="004052DB">
            <w:pPr>
              <w:ind w:firstLine="0"/>
              <w:jc w:val="left"/>
              <w:rPr>
                <w:sz w:val="18"/>
                <w:szCs w:val="18"/>
                <w:lang w:val="es-CO"/>
              </w:rPr>
            </w:pPr>
          </w:p>
        </w:tc>
        <w:tc>
          <w:tcPr>
            <w:tcW w:w="1080" w:type="dxa"/>
            <w:vMerge/>
          </w:tcPr>
          <w:p w14:paraId="04EA094C" w14:textId="77777777" w:rsidR="004052DB" w:rsidRPr="00041A72" w:rsidRDefault="004052DB" w:rsidP="004052DB">
            <w:pPr>
              <w:ind w:firstLine="0"/>
              <w:jc w:val="left"/>
              <w:rPr>
                <w:sz w:val="18"/>
                <w:szCs w:val="18"/>
                <w:lang w:val="es-CO"/>
              </w:rPr>
            </w:pPr>
          </w:p>
        </w:tc>
        <w:tc>
          <w:tcPr>
            <w:tcW w:w="1365" w:type="dxa"/>
          </w:tcPr>
          <w:p w14:paraId="217368E6" w14:textId="77777777" w:rsidR="004052DB" w:rsidRPr="00041A72" w:rsidRDefault="004052DB" w:rsidP="004052DB">
            <w:pPr>
              <w:ind w:firstLine="0"/>
              <w:jc w:val="left"/>
              <w:rPr>
                <w:sz w:val="18"/>
                <w:szCs w:val="18"/>
                <w:lang w:val="es-CO"/>
              </w:rPr>
            </w:pPr>
          </w:p>
        </w:tc>
      </w:tr>
      <w:tr w:rsidR="00374264" w:rsidRPr="00041A72" w14:paraId="5374B43B" w14:textId="77777777" w:rsidTr="00AA78FE">
        <w:trPr>
          <w:trHeight w:val="530"/>
        </w:trPr>
        <w:tc>
          <w:tcPr>
            <w:tcW w:w="265" w:type="dxa"/>
          </w:tcPr>
          <w:p w14:paraId="325FE554" w14:textId="2A617B4B" w:rsidR="00374264" w:rsidRPr="00A1454D" w:rsidRDefault="00374264" w:rsidP="00374264">
            <w:pPr>
              <w:ind w:firstLine="0"/>
              <w:jc w:val="left"/>
              <w:rPr>
                <w:bCs/>
                <w:sz w:val="18"/>
                <w:szCs w:val="18"/>
                <w:lang w:val="es-CO"/>
              </w:rPr>
            </w:pPr>
            <w:r>
              <w:rPr>
                <w:bCs/>
                <w:sz w:val="18"/>
                <w:szCs w:val="18"/>
                <w:lang w:val="es-CO"/>
              </w:rPr>
              <w:t>j</w:t>
            </w:r>
          </w:p>
        </w:tc>
        <w:tc>
          <w:tcPr>
            <w:tcW w:w="2440" w:type="dxa"/>
          </w:tcPr>
          <w:p w14:paraId="23ED9931" w14:textId="6E8FD6F9" w:rsidR="00374264" w:rsidRPr="00522891" w:rsidRDefault="00374264" w:rsidP="00374264">
            <w:pPr>
              <w:ind w:firstLine="0"/>
              <w:jc w:val="left"/>
              <w:rPr>
                <w:sz w:val="18"/>
                <w:szCs w:val="18"/>
                <w:lang w:val="es-ES"/>
              </w:rPr>
            </w:pPr>
            <w:r w:rsidRPr="00522891">
              <w:rPr>
                <w:bCs/>
                <w:sz w:val="18"/>
                <w:szCs w:val="18"/>
                <w:lang w:val="es-ES"/>
              </w:rPr>
              <w:t>Adoptar las recomendaciones de la OMS sobre servicios diferenciados de atención de VIH</w:t>
            </w:r>
            <w:r w:rsidR="000C0360">
              <w:rPr>
                <w:bCs/>
                <w:sz w:val="18"/>
                <w:szCs w:val="18"/>
                <w:lang w:val="es-ES"/>
              </w:rPr>
              <w:t xml:space="preserve"> </w:t>
            </w:r>
            <w:proofErr w:type="gramStart"/>
            <w:r w:rsidR="000C0360">
              <w:rPr>
                <w:bCs/>
                <w:sz w:val="18"/>
                <w:szCs w:val="18"/>
                <w:lang w:val="es-ES"/>
              </w:rPr>
              <w:t>de acuerdo a</w:t>
            </w:r>
            <w:proofErr w:type="gramEnd"/>
            <w:r w:rsidR="000C0360">
              <w:rPr>
                <w:bCs/>
                <w:sz w:val="18"/>
                <w:szCs w:val="18"/>
                <w:lang w:val="es-ES"/>
              </w:rPr>
              <w:t xml:space="preserve"> las necesidades y capacidades del país</w:t>
            </w:r>
          </w:p>
        </w:tc>
        <w:tc>
          <w:tcPr>
            <w:tcW w:w="440" w:type="dxa"/>
          </w:tcPr>
          <w:p w14:paraId="6D1A9FD3" w14:textId="25F82BD8" w:rsidR="00374264" w:rsidRPr="00522891" w:rsidRDefault="00524EC5" w:rsidP="00374264">
            <w:pPr>
              <w:ind w:firstLine="0"/>
              <w:jc w:val="left"/>
              <w:rPr>
                <w:sz w:val="18"/>
                <w:szCs w:val="18"/>
                <w:lang w:val="es-CO"/>
              </w:rPr>
            </w:pPr>
            <w:r w:rsidRPr="00522891">
              <w:rPr>
                <w:sz w:val="18"/>
                <w:szCs w:val="18"/>
                <w:lang w:val="es-CO"/>
              </w:rPr>
              <w:t>20</w:t>
            </w:r>
          </w:p>
        </w:tc>
        <w:tc>
          <w:tcPr>
            <w:tcW w:w="3780" w:type="dxa"/>
          </w:tcPr>
          <w:p w14:paraId="3172563E" w14:textId="07AE7BBD" w:rsidR="00374264" w:rsidRPr="00522891" w:rsidRDefault="00374264" w:rsidP="00374264">
            <w:pPr>
              <w:ind w:firstLine="0"/>
              <w:jc w:val="left"/>
              <w:rPr>
                <w:sz w:val="18"/>
                <w:szCs w:val="18"/>
                <w:lang w:val="es-CO"/>
              </w:rPr>
            </w:pPr>
            <w:r w:rsidRPr="00522891">
              <w:rPr>
                <w:sz w:val="18"/>
                <w:szCs w:val="18"/>
                <w:lang w:val="es-CO"/>
              </w:rPr>
              <w:t>Realizar las modificaciones al “Manual de Atención del adulto y adolescente con VIH” para incluir protocolos de atención diferenciados</w:t>
            </w:r>
          </w:p>
        </w:tc>
        <w:tc>
          <w:tcPr>
            <w:tcW w:w="630" w:type="dxa"/>
          </w:tcPr>
          <w:p w14:paraId="0A635448" w14:textId="4BCDB9A2" w:rsidR="00374264" w:rsidRDefault="00374264" w:rsidP="00374264">
            <w:pPr>
              <w:ind w:firstLine="0"/>
              <w:jc w:val="left"/>
              <w:rPr>
                <w:sz w:val="18"/>
                <w:szCs w:val="18"/>
                <w:lang w:val="es-CO"/>
              </w:rPr>
            </w:pPr>
            <w:r>
              <w:rPr>
                <w:sz w:val="18"/>
                <w:szCs w:val="18"/>
                <w:lang w:val="es-CO"/>
              </w:rPr>
              <w:t>2020</w:t>
            </w:r>
          </w:p>
        </w:tc>
        <w:tc>
          <w:tcPr>
            <w:tcW w:w="1530" w:type="dxa"/>
          </w:tcPr>
          <w:p w14:paraId="1FA4F3C6" w14:textId="2E5749A1" w:rsidR="00374264" w:rsidRPr="00041A72" w:rsidRDefault="00374264" w:rsidP="00374264">
            <w:pPr>
              <w:ind w:firstLine="0"/>
              <w:jc w:val="left"/>
              <w:rPr>
                <w:sz w:val="18"/>
                <w:szCs w:val="18"/>
                <w:lang w:val="es-CO"/>
              </w:rPr>
            </w:pPr>
            <w:r>
              <w:rPr>
                <w:sz w:val="18"/>
                <w:szCs w:val="18"/>
                <w:lang w:val="es-CO"/>
              </w:rPr>
              <w:t>SESAL</w:t>
            </w:r>
          </w:p>
        </w:tc>
        <w:tc>
          <w:tcPr>
            <w:tcW w:w="540" w:type="dxa"/>
          </w:tcPr>
          <w:p w14:paraId="1628AD74" w14:textId="65B06DCB" w:rsidR="00374264" w:rsidRDefault="00374264" w:rsidP="00374264">
            <w:pPr>
              <w:ind w:firstLine="0"/>
              <w:jc w:val="left"/>
              <w:rPr>
                <w:sz w:val="18"/>
                <w:szCs w:val="18"/>
                <w:lang w:val="es-CO"/>
              </w:rPr>
            </w:pPr>
            <w:r>
              <w:rPr>
                <w:sz w:val="18"/>
                <w:szCs w:val="18"/>
                <w:lang w:val="es-CO"/>
              </w:rPr>
              <w:t>Si</w:t>
            </w:r>
          </w:p>
        </w:tc>
        <w:tc>
          <w:tcPr>
            <w:tcW w:w="1440" w:type="dxa"/>
          </w:tcPr>
          <w:p w14:paraId="3192E94C" w14:textId="77777777" w:rsidR="00374264" w:rsidRPr="00041A72" w:rsidRDefault="00374264" w:rsidP="00374264">
            <w:pPr>
              <w:ind w:firstLine="0"/>
              <w:jc w:val="left"/>
              <w:rPr>
                <w:sz w:val="18"/>
                <w:szCs w:val="18"/>
                <w:lang w:val="es-CO"/>
              </w:rPr>
            </w:pPr>
          </w:p>
        </w:tc>
        <w:tc>
          <w:tcPr>
            <w:tcW w:w="900" w:type="dxa"/>
          </w:tcPr>
          <w:p w14:paraId="6C0CDE40" w14:textId="3C70E973" w:rsidR="00374264" w:rsidRPr="00522891" w:rsidRDefault="00374264" w:rsidP="00374264">
            <w:pPr>
              <w:ind w:firstLine="0"/>
              <w:jc w:val="left"/>
              <w:rPr>
                <w:sz w:val="18"/>
                <w:szCs w:val="18"/>
                <w:lang w:val="es-CO"/>
              </w:rPr>
            </w:pPr>
            <w:r w:rsidRPr="00522891">
              <w:rPr>
                <w:sz w:val="18"/>
                <w:szCs w:val="18"/>
                <w:lang w:val="es-CO"/>
              </w:rPr>
              <w:t>CDC/PEPFAR</w:t>
            </w:r>
          </w:p>
        </w:tc>
        <w:tc>
          <w:tcPr>
            <w:tcW w:w="1080" w:type="dxa"/>
          </w:tcPr>
          <w:p w14:paraId="012893A9" w14:textId="77777777" w:rsidR="00FF79E6" w:rsidRPr="00522891" w:rsidRDefault="00FF79E6" w:rsidP="00374264">
            <w:pPr>
              <w:ind w:firstLine="0"/>
              <w:jc w:val="left"/>
              <w:rPr>
                <w:sz w:val="18"/>
                <w:szCs w:val="18"/>
                <w:lang w:val="es-CO"/>
              </w:rPr>
            </w:pPr>
            <w:r w:rsidRPr="00522891">
              <w:rPr>
                <w:sz w:val="18"/>
                <w:szCs w:val="18"/>
                <w:lang w:val="es-CO"/>
              </w:rPr>
              <w:t xml:space="preserve">PENSIDA </w:t>
            </w:r>
          </w:p>
          <w:p w14:paraId="2539AD39" w14:textId="77777777" w:rsidR="00FF79E6" w:rsidRPr="00522891" w:rsidRDefault="00FF79E6" w:rsidP="00374264">
            <w:pPr>
              <w:ind w:firstLine="0"/>
              <w:jc w:val="left"/>
              <w:rPr>
                <w:sz w:val="18"/>
                <w:szCs w:val="18"/>
                <w:lang w:val="es-CO"/>
              </w:rPr>
            </w:pPr>
            <w:r w:rsidRPr="00522891">
              <w:rPr>
                <w:sz w:val="18"/>
                <w:szCs w:val="18"/>
                <w:lang w:val="es-CO"/>
              </w:rPr>
              <w:t>3.1.1</w:t>
            </w:r>
          </w:p>
          <w:p w14:paraId="44B72EB1" w14:textId="7FD3D032" w:rsidR="00FF79E6" w:rsidRPr="00522891" w:rsidRDefault="00FF79E6" w:rsidP="00374264">
            <w:pPr>
              <w:ind w:firstLine="0"/>
              <w:jc w:val="left"/>
              <w:rPr>
                <w:sz w:val="18"/>
                <w:szCs w:val="18"/>
                <w:lang w:val="es-CO"/>
              </w:rPr>
            </w:pPr>
            <w:r w:rsidRPr="00522891">
              <w:rPr>
                <w:sz w:val="18"/>
                <w:szCs w:val="18"/>
                <w:lang w:val="es-CO"/>
              </w:rPr>
              <w:t>3.1.2</w:t>
            </w:r>
          </w:p>
        </w:tc>
        <w:tc>
          <w:tcPr>
            <w:tcW w:w="1365" w:type="dxa"/>
          </w:tcPr>
          <w:p w14:paraId="42871671" w14:textId="77777777" w:rsidR="00374264" w:rsidRPr="00041A72" w:rsidRDefault="00374264" w:rsidP="00374264">
            <w:pPr>
              <w:ind w:firstLine="0"/>
              <w:jc w:val="left"/>
              <w:rPr>
                <w:sz w:val="18"/>
                <w:szCs w:val="18"/>
                <w:lang w:val="es-CO"/>
              </w:rPr>
            </w:pPr>
          </w:p>
        </w:tc>
      </w:tr>
      <w:tr w:rsidR="00374264" w:rsidRPr="00041A72" w14:paraId="0F6B563D" w14:textId="77777777" w:rsidTr="00AA78FE">
        <w:trPr>
          <w:trHeight w:val="530"/>
        </w:trPr>
        <w:tc>
          <w:tcPr>
            <w:tcW w:w="265" w:type="dxa"/>
            <w:vMerge w:val="restart"/>
          </w:tcPr>
          <w:p w14:paraId="6DF5A912" w14:textId="6BD4E4DA" w:rsidR="00374264" w:rsidRPr="001E3C1B" w:rsidRDefault="00374264" w:rsidP="00374264">
            <w:pPr>
              <w:ind w:firstLine="0"/>
              <w:jc w:val="left"/>
              <w:rPr>
                <w:bCs/>
                <w:sz w:val="18"/>
                <w:szCs w:val="18"/>
                <w:lang w:val="es-CO"/>
              </w:rPr>
            </w:pPr>
            <w:r w:rsidRPr="001E3C1B">
              <w:rPr>
                <w:bCs/>
                <w:sz w:val="18"/>
                <w:szCs w:val="18"/>
                <w:lang w:val="es-CO"/>
              </w:rPr>
              <w:t>k</w:t>
            </w:r>
          </w:p>
        </w:tc>
        <w:tc>
          <w:tcPr>
            <w:tcW w:w="2440" w:type="dxa"/>
            <w:vMerge w:val="restart"/>
          </w:tcPr>
          <w:p w14:paraId="0464022A" w14:textId="6BF5F13A" w:rsidR="00374264" w:rsidRPr="001E3C1B" w:rsidRDefault="00374264" w:rsidP="00374264">
            <w:pPr>
              <w:ind w:firstLine="0"/>
              <w:jc w:val="left"/>
              <w:rPr>
                <w:sz w:val="18"/>
                <w:szCs w:val="18"/>
                <w:lang w:val="es-MX"/>
              </w:rPr>
            </w:pPr>
            <w:r w:rsidRPr="001E3C1B">
              <w:rPr>
                <w:sz w:val="18"/>
                <w:szCs w:val="18"/>
                <w:lang w:val="es-ES"/>
              </w:rPr>
              <w:t>Capacitar y certificar al personal de salud y sociedad civil en protocolos de</w:t>
            </w:r>
            <w:r w:rsidR="000C0360">
              <w:rPr>
                <w:sz w:val="18"/>
                <w:szCs w:val="18"/>
                <w:lang w:val="es-ES"/>
              </w:rPr>
              <w:t>l componente de</w:t>
            </w:r>
            <w:r w:rsidRPr="001E3C1B">
              <w:rPr>
                <w:sz w:val="18"/>
                <w:szCs w:val="18"/>
                <w:lang w:val="es-ES"/>
              </w:rPr>
              <w:t xml:space="preserve"> VIH</w:t>
            </w:r>
            <w:r w:rsidR="000C0360">
              <w:rPr>
                <w:sz w:val="18"/>
                <w:szCs w:val="18"/>
                <w:lang w:val="es-ES"/>
              </w:rPr>
              <w:t>,</w:t>
            </w:r>
            <w:r w:rsidR="00D82046">
              <w:rPr>
                <w:sz w:val="18"/>
                <w:szCs w:val="18"/>
                <w:lang w:val="es-ES"/>
              </w:rPr>
              <w:t xml:space="preserve"> </w:t>
            </w:r>
            <w:r w:rsidRPr="001E3C1B">
              <w:rPr>
                <w:sz w:val="18"/>
                <w:szCs w:val="18"/>
                <w:lang w:val="es-ES"/>
              </w:rPr>
              <w:t>TB sensible</w:t>
            </w:r>
            <w:r w:rsidR="000C0360">
              <w:rPr>
                <w:sz w:val="18"/>
                <w:szCs w:val="18"/>
                <w:lang w:val="es-ES"/>
              </w:rPr>
              <w:t>,</w:t>
            </w:r>
            <w:r w:rsidRPr="001E3C1B">
              <w:rPr>
                <w:sz w:val="18"/>
                <w:szCs w:val="18"/>
                <w:lang w:val="es-ES"/>
              </w:rPr>
              <w:t xml:space="preserve"> TB-MDR y comunicación con el paciente con un enfoque de derechos humanos</w:t>
            </w:r>
            <w:r w:rsidR="000C0360">
              <w:rPr>
                <w:sz w:val="18"/>
                <w:szCs w:val="18"/>
                <w:lang w:val="es-ES"/>
              </w:rPr>
              <w:t xml:space="preserve">, específicamente </w:t>
            </w:r>
            <w:r w:rsidR="003B6CE6">
              <w:rPr>
                <w:sz w:val="18"/>
                <w:szCs w:val="18"/>
                <w:lang w:val="es-ES"/>
              </w:rPr>
              <w:t>contra el estigma y la discriminación</w:t>
            </w:r>
          </w:p>
        </w:tc>
        <w:tc>
          <w:tcPr>
            <w:tcW w:w="440" w:type="dxa"/>
          </w:tcPr>
          <w:p w14:paraId="0BB3CB05" w14:textId="4CAB4C2A" w:rsidR="00374264" w:rsidRPr="001E3C1B" w:rsidRDefault="00374264" w:rsidP="00374264">
            <w:pPr>
              <w:ind w:firstLine="0"/>
              <w:jc w:val="left"/>
              <w:rPr>
                <w:sz w:val="18"/>
                <w:szCs w:val="18"/>
                <w:lang w:val="es-CO"/>
              </w:rPr>
            </w:pPr>
            <w:r w:rsidRPr="001E3C1B">
              <w:rPr>
                <w:sz w:val="18"/>
                <w:szCs w:val="18"/>
                <w:lang w:val="es-CO"/>
              </w:rPr>
              <w:t>2</w:t>
            </w:r>
            <w:r w:rsidR="00524EC5" w:rsidRPr="001E3C1B">
              <w:rPr>
                <w:sz w:val="18"/>
                <w:szCs w:val="18"/>
                <w:lang w:val="es-CO"/>
              </w:rPr>
              <w:t>1</w:t>
            </w:r>
          </w:p>
        </w:tc>
        <w:tc>
          <w:tcPr>
            <w:tcW w:w="3780" w:type="dxa"/>
          </w:tcPr>
          <w:p w14:paraId="0B80366B" w14:textId="553424DF" w:rsidR="00374264" w:rsidRPr="001E3C1B" w:rsidRDefault="00374264" w:rsidP="00374264">
            <w:pPr>
              <w:ind w:firstLine="0"/>
              <w:jc w:val="left"/>
              <w:rPr>
                <w:sz w:val="18"/>
                <w:szCs w:val="18"/>
                <w:lang w:val="es-CO"/>
              </w:rPr>
            </w:pPr>
            <w:r w:rsidRPr="001E3C1B">
              <w:rPr>
                <w:sz w:val="18"/>
                <w:szCs w:val="18"/>
                <w:lang w:val="es-CO"/>
              </w:rPr>
              <w:t>Crear un programa de certificación anual para protocolos de VIH</w:t>
            </w:r>
            <w:r w:rsidR="005F681D">
              <w:rPr>
                <w:sz w:val="18"/>
                <w:szCs w:val="18"/>
                <w:lang w:val="es-CO"/>
              </w:rPr>
              <w:t xml:space="preserve"> y </w:t>
            </w:r>
            <w:r w:rsidRPr="001E3C1B">
              <w:rPr>
                <w:sz w:val="18"/>
                <w:szCs w:val="18"/>
                <w:lang w:val="es-CO"/>
              </w:rPr>
              <w:t xml:space="preserve">TB. Incluir módulos de DDHH y comunicación con el </w:t>
            </w:r>
            <w:r w:rsidR="005C48CC" w:rsidRPr="001E3C1B">
              <w:rPr>
                <w:sz w:val="18"/>
                <w:szCs w:val="18"/>
                <w:lang w:val="es-CO"/>
              </w:rPr>
              <w:t>paciente</w:t>
            </w:r>
          </w:p>
        </w:tc>
        <w:tc>
          <w:tcPr>
            <w:tcW w:w="630" w:type="dxa"/>
          </w:tcPr>
          <w:p w14:paraId="50B451CE" w14:textId="77777777" w:rsidR="00374264" w:rsidRPr="00041A72" w:rsidRDefault="00374264" w:rsidP="00374264">
            <w:pPr>
              <w:ind w:firstLine="0"/>
              <w:jc w:val="left"/>
              <w:rPr>
                <w:sz w:val="18"/>
                <w:szCs w:val="18"/>
                <w:lang w:val="es-CO"/>
              </w:rPr>
            </w:pPr>
            <w:r w:rsidRPr="00041A72">
              <w:rPr>
                <w:sz w:val="18"/>
                <w:szCs w:val="18"/>
                <w:lang w:val="es-CO"/>
              </w:rPr>
              <w:t>2020</w:t>
            </w:r>
          </w:p>
        </w:tc>
        <w:tc>
          <w:tcPr>
            <w:tcW w:w="1530" w:type="dxa"/>
          </w:tcPr>
          <w:p w14:paraId="30B328C0" w14:textId="1D3A2D5B" w:rsidR="00374264" w:rsidRPr="00041A72" w:rsidRDefault="00374264" w:rsidP="00374264">
            <w:pPr>
              <w:ind w:firstLine="0"/>
              <w:jc w:val="left"/>
              <w:rPr>
                <w:sz w:val="18"/>
                <w:szCs w:val="18"/>
                <w:lang w:val="es-CO"/>
              </w:rPr>
            </w:pPr>
            <w:r w:rsidRPr="00041A72">
              <w:rPr>
                <w:sz w:val="18"/>
                <w:szCs w:val="18"/>
                <w:lang w:val="es-CO"/>
              </w:rPr>
              <w:t>Dirección de capacitación y RRHH</w:t>
            </w:r>
            <w:r>
              <w:rPr>
                <w:sz w:val="18"/>
                <w:szCs w:val="18"/>
                <w:lang w:val="es-CO"/>
              </w:rPr>
              <w:t xml:space="preserve"> (verificar)</w:t>
            </w:r>
          </w:p>
        </w:tc>
        <w:tc>
          <w:tcPr>
            <w:tcW w:w="540" w:type="dxa"/>
          </w:tcPr>
          <w:p w14:paraId="642F0A37" w14:textId="77777777" w:rsidR="00374264" w:rsidRPr="00041A72" w:rsidRDefault="00374264" w:rsidP="00374264">
            <w:pPr>
              <w:ind w:firstLine="0"/>
              <w:jc w:val="left"/>
              <w:rPr>
                <w:sz w:val="18"/>
                <w:szCs w:val="18"/>
                <w:lang w:val="es-CO"/>
              </w:rPr>
            </w:pPr>
            <w:r w:rsidRPr="00041A72">
              <w:rPr>
                <w:sz w:val="18"/>
                <w:szCs w:val="18"/>
                <w:lang w:val="es-CO"/>
              </w:rPr>
              <w:t>No</w:t>
            </w:r>
          </w:p>
        </w:tc>
        <w:tc>
          <w:tcPr>
            <w:tcW w:w="1440" w:type="dxa"/>
          </w:tcPr>
          <w:p w14:paraId="7BA7D038" w14:textId="747A25E3" w:rsidR="00374264" w:rsidRPr="00041A72" w:rsidRDefault="00374264" w:rsidP="00374264">
            <w:pPr>
              <w:ind w:firstLine="0"/>
              <w:jc w:val="left"/>
              <w:rPr>
                <w:sz w:val="18"/>
                <w:szCs w:val="18"/>
                <w:lang w:val="es-CO"/>
              </w:rPr>
            </w:pPr>
          </w:p>
        </w:tc>
        <w:tc>
          <w:tcPr>
            <w:tcW w:w="900" w:type="dxa"/>
          </w:tcPr>
          <w:p w14:paraId="6FEBF84A" w14:textId="77777777" w:rsidR="00374264" w:rsidRPr="00041A72" w:rsidRDefault="00374264" w:rsidP="00374264">
            <w:pPr>
              <w:ind w:firstLine="0"/>
              <w:jc w:val="left"/>
              <w:rPr>
                <w:sz w:val="18"/>
                <w:szCs w:val="18"/>
                <w:lang w:val="es-CO"/>
              </w:rPr>
            </w:pPr>
          </w:p>
        </w:tc>
        <w:tc>
          <w:tcPr>
            <w:tcW w:w="1080" w:type="dxa"/>
            <w:vMerge w:val="restart"/>
          </w:tcPr>
          <w:p w14:paraId="2BB93665" w14:textId="6A90F68A" w:rsidR="00374264" w:rsidRDefault="00374264" w:rsidP="00374264">
            <w:pPr>
              <w:ind w:firstLine="0"/>
              <w:jc w:val="left"/>
              <w:rPr>
                <w:sz w:val="18"/>
                <w:szCs w:val="18"/>
                <w:lang w:val="es-CO"/>
              </w:rPr>
            </w:pPr>
            <w:r>
              <w:rPr>
                <w:sz w:val="18"/>
                <w:szCs w:val="18"/>
                <w:lang w:val="es-CO"/>
              </w:rPr>
              <w:t xml:space="preserve">PENTB </w:t>
            </w:r>
          </w:p>
          <w:p w14:paraId="156C9020" w14:textId="77777777" w:rsidR="00374264" w:rsidRDefault="00374264" w:rsidP="00374264">
            <w:pPr>
              <w:ind w:firstLine="0"/>
              <w:jc w:val="left"/>
              <w:rPr>
                <w:sz w:val="18"/>
                <w:szCs w:val="18"/>
                <w:lang w:val="es-CO"/>
              </w:rPr>
            </w:pPr>
            <w:r>
              <w:rPr>
                <w:sz w:val="18"/>
                <w:szCs w:val="18"/>
                <w:lang w:val="es-CO"/>
              </w:rPr>
              <w:t>1.2.5</w:t>
            </w:r>
          </w:p>
          <w:p w14:paraId="7C0EBEA4" w14:textId="6E165409" w:rsidR="00374264" w:rsidRDefault="00374264" w:rsidP="00374264">
            <w:pPr>
              <w:ind w:firstLine="0"/>
              <w:jc w:val="left"/>
              <w:rPr>
                <w:sz w:val="18"/>
                <w:szCs w:val="18"/>
                <w:lang w:val="es-CO"/>
              </w:rPr>
            </w:pPr>
            <w:r>
              <w:rPr>
                <w:sz w:val="18"/>
                <w:szCs w:val="18"/>
                <w:lang w:val="es-CO"/>
              </w:rPr>
              <w:t>1.3.1</w:t>
            </w:r>
          </w:p>
          <w:p w14:paraId="43F6F344" w14:textId="564F0AC3" w:rsidR="006E6886" w:rsidRDefault="006E6886" w:rsidP="00374264">
            <w:pPr>
              <w:ind w:firstLine="0"/>
              <w:jc w:val="left"/>
              <w:rPr>
                <w:sz w:val="18"/>
                <w:szCs w:val="18"/>
                <w:lang w:val="es-CO"/>
              </w:rPr>
            </w:pPr>
            <w:r>
              <w:rPr>
                <w:sz w:val="18"/>
                <w:szCs w:val="18"/>
                <w:lang w:val="es-CO"/>
              </w:rPr>
              <w:t xml:space="preserve">Plan quinquenal </w:t>
            </w:r>
          </w:p>
          <w:p w14:paraId="23A03CA3" w14:textId="573E6CD8" w:rsidR="006E6886" w:rsidRDefault="006E6886" w:rsidP="00374264">
            <w:pPr>
              <w:ind w:firstLine="0"/>
              <w:jc w:val="left"/>
              <w:rPr>
                <w:sz w:val="18"/>
                <w:szCs w:val="18"/>
                <w:lang w:val="es-CO"/>
              </w:rPr>
            </w:pPr>
            <w:r>
              <w:rPr>
                <w:sz w:val="18"/>
                <w:szCs w:val="18"/>
                <w:lang w:val="es-CO"/>
              </w:rPr>
              <w:t>2.1</w:t>
            </w:r>
          </w:p>
          <w:p w14:paraId="10E2865F" w14:textId="5567BB4B" w:rsidR="006E6886" w:rsidRDefault="006E6886" w:rsidP="00374264">
            <w:pPr>
              <w:ind w:firstLine="0"/>
              <w:jc w:val="left"/>
              <w:rPr>
                <w:sz w:val="18"/>
                <w:szCs w:val="18"/>
                <w:lang w:val="es-CO"/>
              </w:rPr>
            </w:pPr>
            <w:r>
              <w:rPr>
                <w:sz w:val="18"/>
                <w:szCs w:val="18"/>
                <w:lang w:val="es-CO"/>
              </w:rPr>
              <w:t>2.2</w:t>
            </w:r>
          </w:p>
          <w:p w14:paraId="078919CC" w14:textId="1ACEE6E7" w:rsidR="006E6886" w:rsidRDefault="006E6886" w:rsidP="00374264">
            <w:pPr>
              <w:ind w:firstLine="0"/>
              <w:jc w:val="left"/>
              <w:rPr>
                <w:sz w:val="18"/>
                <w:szCs w:val="18"/>
                <w:lang w:val="es-CO"/>
              </w:rPr>
            </w:pPr>
          </w:p>
          <w:p w14:paraId="73AA54E8" w14:textId="77777777" w:rsidR="00374264" w:rsidRDefault="00374264" w:rsidP="00374264">
            <w:pPr>
              <w:ind w:firstLine="0"/>
              <w:jc w:val="left"/>
              <w:rPr>
                <w:sz w:val="18"/>
                <w:szCs w:val="18"/>
                <w:lang w:val="es-CO"/>
              </w:rPr>
            </w:pPr>
          </w:p>
          <w:p w14:paraId="4AA12A24" w14:textId="6E5DB0E7" w:rsidR="00374264" w:rsidRPr="00041A72" w:rsidRDefault="00374264" w:rsidP="00374264">
            <w:pPr>
              <w:ind w:firstLine="0"/>
              <w:jc w:val="left"/>
              <w:rPr>
                <w:sz w:val="18"/>
                <w:szCs w:val="18"/>
                <w:lang w:val="es-CO"/>
              </w:rPr>
            </w:pPr>
          </w:p>
        </w:tc>
        <w:tc>
          <w:tcPr>
            <w:tcW w:w="1365" w:type="dxa"/>
          </w:tcPr>
          <w:p w14:paraId="23DA7947" w14:textId="77777777" w:rsidR="00374264" w:rsidRPr="00041A72" w:rsidRDefault="00374264" w:rsidP="00374264">
            <w:pPr>
              <w:ind w:firstLine="0"/>
              <w:jc w:val="left"/>
              <w:rPr>
                <w:sz w:val="18"/>
                <w:szCs w:val="18"/>
                <w:lang w:val="es-CO"/>
              </w:rPr>
            </w:pPr>
          </w:p>
        </w:tc>
      </w:tr>
      <w:tr w:rsidR="00374264" w:rsidRPr="00041A72" w14:paraId="79370160" w14:textId="77777777" w:rsidTr="00AA78FE">
        <w:trPr>
          <w:trHeight w:val="530"/>
        </w:trPr>
        <w:tc>
          <w:tcPr>
            <w:tcW w:w="265" w:type="dxa"/>
            <w:vMerge/>
          </w:tcPr>
          <w:p w14:paraId="76BCE208" w14:textId="77777777" w:rsidR="00374264" w:rsidRPr="001E3C1B" w:rsidRDefault="00374264" w:rsidP="00374264">
            <w:pPr>
              <w:ind w:firstLine="0"/>
              <w:jc w:val="left"/>
              <w:rPr>
                <w:bCs/>
                <w:sz w:val="18"/>
                <w:szCs w:val="18"/>
                <w:lang w:val="es-CO"/>
              </w:rPr>
            </w:pPr>
          </w:p>
        </w:tc>
        <w:tc>
          <w:tcPr>
            <w:tcW w:w="2440" w:type="dxa"/>
            <w:vMerge/>
          </w:tcPr>
          <w:p w14:paraId="47384B29" w14:textId="77777777" w:rsidR="00374264" w:rsidRPr="001E3C1B" w:rsidRDefault="00374264" w:rsidP="00374264">
            <w:pPr>
              <w:ind w:firstLine="0"/>
              <w:jc w:val="left"/>
              <w:rPr>
                <w:sz w:val="18"/>
                <w:szCs w:val="18"/>
                <w:lang w:val="es-ES"/>
              </w:rPr>
            </w:pPr>
          </w:p>
        </w:tc>
        <w:tc>
          <w:tcPr>
            <w:tcW w:w="440" w:type="dxa"/>
          </w:tcPr>
          <w:p w14:paraId="55A84048" w14:textId="27CCDA5B" w:rsidR="00374264" w:rsidRPr="001E3C1B" w:rsidRDefault="00374264" w:rsidP="00374264">
            <w:pPr>
              <w:ind w:firstLine="0"/>
              <w:jc w:val="left"/>
              <w:rPr>
                <w:sz w:val="18"/>
                <w:szCs w:val="18"/>
                <w:lang w:val="es-CO"/>
              </w:rPr>
            </w:pPr>
            <w:r w:rsidRPr="001E3C1B">
              <w:rPr>
                <w:sz w:val="18"/>
                <w:szCs w:val="18"/>
                <w:lang w:val="es-CO"/>
              </w:rPr>
              <w:t>2</w:t>
            </w:r>
            <w:r w:rsidR="00524EC5" w:rsidRPr="001E3C1B">
              <w:rPr>
                <w:sz w:val="18"/>
                <w:szCs w:val="18"/>
                <w:lang w:val="es-CO"/>
              </w:rPr>
              <w:t>2</w:t>
            </w:r>
          </w:p>
        </w:tc>
        <w:tc>
          <w:tcPr>
            <w:tcW w:w="3780" w:type="dxa"/>
          </w:tcPr>
          <w:p w14:paraId="32B6E293" w14:textId="162611B2" w:rsidR="00374264" w:rsidRPr="001E3C1B" w:rsidRDefault="00374264" w:rsidP="00374264">
            <w:pPr>
              <w:ind w:firstLine="0"/>
              <w:jc w:val="left"/>
              <w:rPr>
                <w:sz w:val="18"/>
                <w:szCs w:val="18"/>
                <w:lang w:val="es-CO"/>
              </w:rPr>
            </w:pPr>
            <w:r w:rsidRPr="001E3C1B">
              <w:rPr>
                <w:sz w:val="18"/>
                <w:szCs w:val="18"/>
                <w:lang w:val="es-CO"/>
              </w:rPr>
              <w:t>Establecimiento de un grupo de trabajo con universidades / colegios profesionales del área de la salud para solicitar la instrucción y requisito de certificación con validez de CENEME</w:t>
            </w:r>
            <w:r w:rsidR="00214709">
              <w:rPr>
                <w:sz w:val="18"/>
                <w:szCs w:val="18"/>
                <w:lang w:val="es-CO"/>
              </w:rPr>
              <w:t>C</w:t>
            </w:r>
            <w:r w:rsidRPr="001E3C1B">
              <w:rPr>
                <w:sz w:val="18"/>
                <w:szCs w:val="18"/>
                <w:lang w:val="es-CO"/>
              </w:rPr>
              <w:t xml:space="preserve"> y SESAL</w:t>
            </w:r>
          </w:p>
        </w:tc>
        <w:tc>
          <w:tcPr>
            <w:tcW w:w="630" w:type="dxa"/>
          </w:tcPr>
          <w:p w14:paraId="2D1EE1C4" w14:textId="024885E1" w:rsidR="00374264" w:rsidRPr="00041A72" w:rsidRDefault="00374264" w:rsidP="00374264">
            <w:pPr>
              <w:ind w:firstLine="0"/>
              <w:jc w:val="left"/>
              <w:rPr>
                <w:sz w:val="18"/>
                <w:szCs w:val="18"/>
                <w:lang w:val="es-CO"/>
              </w:rPr>
            </w:pPr>
            <w:r w:rsidRPr="00041A72">
              <w:rPr>
                <w:sz w:val="18"/>
                <w:szCs w:val="18"/>
                <w:lang w:val="es-CO"/>
              </w:rPr>
              <w:t>2020</w:t>
            </w:r>
          </w:p>
        </w:tc>
        <w:tc>
          <w:tcPr>
            <w:tcW w:w="1530" w:type="dxa"/>
          </w:tcPr>
          <w:p w14:paraId="14C7F72B" w14:textId="3344C069" w:rsidR="00374264" w:rsidRPr="00041A72" w:rsidRDefault="00374264" w:rsidP="00374264">
            <w:pPr>
              <w:ind w:firstLine="0"/>
              <w:jc w:val="left"/>
              <w:rPr>
                <w:sz w:val="18"/>
                <w:szCs w:val="18"/>
                <w:lang w:val="es-CO"/>
              </w:rPr>
            </w:pPr>
            <w:r w:rsidRPr="00041A72">
              <w:rPr>
                <w:sz w:val="18"/>
                <w:szCs w:val="18"/>
                <w:lang w:val="es-CO"/>
              </w:rPr>
              <w:t>SESAL</w:t>
            </w:r>
          </w:p>
        </w:tc>
        <w:tc>
          <w:tcPr>
            <w:tcW w:w="540" w:type="dxa"/>
          </w:tcPr>
          <w:p w14:paraId="5661F3BA" w14:textId="6F965469" w:rsidR="00374264" w:rsidRPr="00041A72" w:rsidRDefault="00374264" w:rsidP="00374264">
            <w:pPr>
              <w:ind w:firstLine="0"/>
              <w:jc w:val="left"/>
              <w:rPr>
                <w:sz w:val="18"/>
                <w:szCs w:val="18"/>
                <w:lang w:val="es-CO"/>
              </w:rPr>
            </w:pPr>
            <w:r w:rsidRPr="00041A72">
              <w:rPr>
                <w:sz w:val="18"/>
                <w:szCs w:val="18"/>
                <w:lang w:val="es-CO"/>
              </w:rPr>
              <w:t>No</w:t>
            </w:r>
          </w:p>
        </w:tc>
        <w:tc>
          <w:tcPr>
            <w:tcW w:w="1440" w:type="dxa"/>
          </w:tcPr>
          <w:p w14:paraId="06D00EE0" w14:textId="77777777" w:rsidR="00374264" w:rsidRPr="00041A72" w:rsidRDefault="00374264" w:rsidP="00374264">
            <w:pPr>
              <w:ind w:firstLine="0"/>
              <w:jc w:val="left"/>
              <w:rPr>
                <w:sz w:val="18"/>
                <w:szCs w:val="18"/>
                <w:lang w:val="es-CO"/>
              </w:rPr>
            </w:pPr>
          </w:p>
        </w:tc>
        <w:tc>
          <w:tcPr>
            <w:tcW w:w="900" w:type="dxa"/>
          </w:tcPr>
          <w:p w14:paraId="76D754DA" w14:textId="77777777" w:rsidR="00374264" w:rsidRPr="00041A72" w:rsidRDefault="00374264" w:rsidP="00374264">
            <w:pPr>
              <w:ind w:firstLine="0"/>
              <w:jc w:val="left"/>
              <w:rPr>
                <w:sz w:val="18"/>
                <w:szCs w:val="18"/>
                <w:lang w:val="es-CO"/>
              </w:rPr>
            </w:pPr>
          </w:p>
        </w:tc>
        <w:tc>
          <w:tcPr>
            <w:tcW w:w="1080" w:type="dxa"/>
            <w:vMerge/>
          </w:tcPr>
          <w:p w14:paraId="3DDF3937" w14:textId="77777777" w:rsidR="00374264" w:rsidRPr="00041A72" w:rsidRDefault="00374264" w:rsidP="00374264">
            <w:pPr>
              <w:ind w:firstLine="0"/>
              <w:jc w:val="left"/>
              <w:rPr>
                <w:sz w:val="18"/>
                <w:szCs w:val="18"/>
                <w:lang w:val="es-CO"/>
              </w:rPr>
            </w:pPr>
          </w:p>
        </w:tc>
        <w:tc>
          <w:tcPr>
            <w:tcW w:w="1365" w:type="dxa"/>
          </w:tcPr>
          <w:p w14:paraId="37A2BCEF" w14:textId="77777777" w:rsidR="00374264" w:rsidRPr="00041A72" w:rsidRDefault="00374264" w:rsidP="00374264">
            <w:pPr>
              <w:ind w:firstLine="0"/>
              <w:jc w:val="left"/>
              <w:rPr>
                <w:sz w:val="18"/>
                <w:szCs w:val="18"/>
                <w:lang w:val="es-CO"/>
              </w:rPr>
            </w:pPr>
          </w:p>
        </w:tc>
      </w:tr>
      <w:tr w:rsidR="00374264" w:rsidRPr="00041A72" w14:paraId="70179BB8" w14:textId="77777777" w:rsidTr="00AA78FE">
        <w:trPr>
          <w:trHeight w:val="620"/>
        </w:trPr>
        <w:tc>
          <w:tcPr>
            <w:tcW w:w="265" w:type="dxa"/>
          </w:tcPr>
          <w:p w14:paraId="33726382" w14:textId="3032102F" w:rsidR="00374264" w:rsidRPr="00A1454D" w:rsidRDefault="00374264" w:rsidP="00374264">
            <w:pPr>
              <w:ind w:firstLine="0"/>
              <w:jc w:val="left"/>
              <w:rPr>
                <w:bCs/>
                <w:sz w:val="18"/>
                <w:szCs w:val="18"/>
                <w:lang w:val="es-CO"/>
              </w:rPr>
            </w:pPr>
            <w:r>
              <w:rPr>
                <w:bCs/>
                <w:sz w:val="18"/>
                <w:szCs w:val="18"/>
                <w:lang w:val="es-CO"/>
              </w:rPr>
              <w:lastRenderedPageBreak/>
              <w:t>l</w:t>
            </w:r>
          </w:p>
        </w:tc>
        <w:tc>
          <w:tcPr>
            <w:tcW w:w="2440" w:type="dxa"/>
          </w:tcPr>
          <w:p w14:paraId="46604BEA" w14:textId="28BF1390" w:rsidR="00374264" w:rsidRPr="00A1454D" w:rsidRDefault="00374264" w:rsidP="00374264">
            <w:pPr>
              <w:ind w:firstLine="0"/>
              <w:jc w:val="left"/>
              <w:rPr>
                <w:sz w:val="18"/>
                <w:szCs w:val="18"/>
                <w:lang w:val="es-MX"/>
              </w:rPr>
            </w:pPr>
            <w:r w:rsidRPr="00A1454D">
              <w:rPr>
                <w:sz w:val="18"/>
                <w:szCs w:val="18"/>
                <w:lang w:val="es-ES"/>
              </w:rPr>
              <w:t xml:space="preserve">Proveer oportunidades de promoción a los RRHH para que desarrollen una carrera institucional que disminuya las renuncias y la rotación de personal </w:t>
            </w:r>
            <w:r>
              <w:rPr>
                <w:sz w:val="18"/>
                <w:szCs w:val="18"/>
                <w:lang w:val="es-ES"/>
              </w:rPr>
              <w:t>(proyecto piloto)</w:t>
            </w:r>
          </w:p>
        </w:tc>
        <w:tc>
          <w:tcPr>
            <w:tcW w:w="440" w:type="dxa"/>
          </w:tcPr>
          <w:p w14:paraId="774D3A1A" w14:textId="04478782" w:rsidR="00374264" w:rsidRPr="00041A72" w:rsidRDefault="00374264" w:rsidP="00374264">
            <w:pPr>
              <w:ind w:firstLine="0"/>
              <w:jc w:val="left"/>
              <w:rPr>
                <w:sz w:val="18"/>
                <w:szCs w:val="18"/>
                <w:lang w:val="es-CO"/>
              </w:rPr>
            </w:pPr>
            <w:r w:rsidRPr="00041A72">
              <w:rPr>
                <w:sz w:val="18"/>
                <w:szCs w:val="18"/>
                <w:lang w:val="es-CO"/>
              </w:rPr>
              <w:t>2</w:t>
            </w:r>
            <w:r w:rsidR="00524EC5">
              <w:rPr>
                <w:sz w:val="18"/>
                <w:szCs w:val="18"/>
                <w:lang w:val="es-CO"/>
              </w:rPr>
              <w:t>3</w:t>
            </w:r>
          </w:p>
        </w:tc>
        <w:tc>
          <w:tcPr>
            <w:tcW w:w="3780" w:type="dxa"/>
          </w:tcPr>
          <w:p w14:paraId="68BAFF70" w14:textId="69CC1DC1" w:rsidR="00374264" w:rsidRPr="00041A72" w:rsidRDefault="00374264" w:rsidP="00374264">
            <w:pPr>
              <w:ind w:firstLine="0"/>
              <w:jc w:val="left"/>
              <w:rPr>
                <w:sz w:val="18"/>
                <w:szCs w:val="18"/>
                <w:lang w:val="es-CO"/>
              </w:rPr>
            </w:pPr>
            <w:r>
              <w:rPr>
                <w:sz w:val="18"/>
                <w:szCs w:val="18"/>
                <w:lang w:val="es-CO"/>
              </w:rPr>
              <w:t>Implementar un proyecto piloto de incentivos para el crecimiento profesional</w:t>
            </w:r>
            <w:r w:rsidRPr="00041A72">
              <w:rPr>
                <w:sz w:val="18"/>
                <w:szCs w:val="18"/>
                <w:lang w:val="es-CO"/>
              </w:rPr>
              <w:t xml:space="preserve"> </w:t>
            </w:r>
            <w:r>
              <w:rPr>
                <w:sz w:val="18"/>
                <w:szCs w:val="18"/>
                <w:lang w:val="es-CO"/>
              </w:rPr>
              <w:t xml:space="preserve">dentro de </w:t>
            </w:r>
            <w:r w:rsidRPr="00041A72">
              <w:rPr>
                <w:sz w:val="18"/>
                <w:szCs w:val="18"/>
                <w:lang w:val="es-CO"/>
              </w:rPr>
              <w:t>los programas de control de enfermedades</w:t>
            </w:r>
          </w:p>
        </w:tc>
        <w:tc>
          <w:tcPr>
            <w:tcW w:w="630" w:type="dxa"/>
          </w:tcPr>
          <w:p w14:paraId="68E65F99" w14:textId="000FD9FE" w:rsidR="00374264" w:rsidRPr="00041A72" w:rsidRDefault="00374264" w:rsidP="00374264">
            <w:pPr>
              <w:ind w:firstLine="0"/>
              <w:jc w:val="left"/>
              <w:rPr>
                <w:sz w:val="18"/>
                <w:szCs w:val="18"/>
                <w:lang w:val="es-CO"/>
              </w:rPr>
            </w:pPr>
            <w:r w:rsidRPr="00041A72">
              <w:rPr>
                <w:sz w:val="18"/>
                <w:szCs w:val="18"/>
                <w:lang w:val="es-CO"/>
              </w:rPr>
              <w:t>202</w:t>
            </w:r>
            <w:r>
              <w:rPr>
                <w:sz w:val="18"/>
                <w:szCs w:val="18"/>
                <w:lang w:val="es-CO"/>
              </w:rPr>
              <w:t>1</w:t>
            </w:r>
            <w:r w:rsidRPr="00041A72">
              <w:rPr>
                <w:sz w:val="18"/>
                <w:szCs w:val="18"/>
                <w:lang w:val="es-CO"/>
              </w:rPr>
              <w:t xml:space="preserve"> </w:t>
            </w:r>
          </w:p>
        </w:tc>
        <w:tc>
          <w:tcPr>
            <w:tcW w:w="1530" w:type="dxa"/>
          </w:tcPr>
          <w:p w14:paraId="68EE70B5" w14:textId="5B318B73" w:rsidR="00374264" w:rsidRPr="00041A72" w:rsidRDefault="00374264" w:rsidP="00374264">
            <w:pPr>
              <w:ind w:firstLine="0"/>
              <w:jc w:val="left"/>
              <w:rPr>
                <w:sz w:val="18"/>
                <w:szCs w:val="18"/>
                <w:lang w:val="es-CO"/>
              </w:rPr>
            </w:pPr>
            <w:r w:rsidRPr="00041A72">
              <w:rPr>
                <w:sz w:val="18"/>
                <w:szCs w:val="18"/>
                <w:lang w:val="es-CO"/>
              </w:rPr>
              <w:t xml:space="preserve">SESAL: </w:t>
            </w:r>
            <w:proofErr w:type="gramStart"/>
            <w:r w:rsidRPr="00041A72">
              <w:rPr>
                <w:sz w:val="18"/>
                <w:szCs w:val="18"/>
                <w:lang w:val="es-CO"/>
              </w:rPr>
              <w:t>Secretaria</w:t>
            </w:r>
            <w:proofErr w:type="gramEnd"/>
            <w:r w:rsidRPr="00041A72">
              <w:rPr>
                <w:sz w:val="18"/>
                <w:szCs w:val="18"/>
                <w:lang w:val="es-CO"/>
              </w:rPr>
              <w:t xml:space="preserve"> G</w:t>
            </w:r>
            <w:r>
              <w:rPr>
                <w:sz w:val="18"/>
                <w:szCs w:val="18"/>
                <w:lang w:val="es-CO"/>
              </w:rPr>
              <w:t xml:space="preserve">ral. </w:t>
            </w:r>
            <w:r w:rsidRPr="00041A72">
              <w:rPr>
                <w:sz w:val="18"/>
                <w:szCs w:val="18"/>
                <w:lang w:val="es-CO"/>
              </w:rPr>
              <w:t xml:space="preserve">Puntos focales; autoridad sanitaria; Despacho  </w:t>
            </w:r>
          </w:p>
        </w:tc>
        <w:tc>
          <w:tcPr>
            <w:tcW w:w="540" w:type="dxa"/>
          </w:tcPr>
          <w:p w14:paraId="1E66C0D3" w14:textId="77777777" w:rsidR="00374264" w:rsidRPr="00041A72" w:rsidRDefault="00374264" w:rsidP="00374264">
            <w:pPr>
              <w:ind w:firstLine="0"/>
              <w:jc w:val="left"/>
              <w:rPr>
                <w:sz w:val="18"/>
                <w:szCs w:val="18"/>
                <w:lang w:val="es-CO"/>
              </w:rPr>
            </w:pPr>
            <w:r w:rsidRPr="00041A72">
              <w:rPr>
                <w:sz w:val="18"/>
                <w:szCs w:val="18"/>
                <w:lang w:val="es-CO"/>
              </w:rPr>
              <w:t>No</w:t>
            </w:r>
          </w:p>
        </w:tc>
        <w:tc>
          <w:tcPr>
            <w:tcW w:w="1440" w:type="dxa"/>
          </w:tcPr>
          <w:p w14:paraId="670015CC" w14:textId="77777777" w:rsidR="00374264" w:rsidRPr="00041A72" w:rsidRDefault="00374264" w:rsidP="00374264">
            <w:pPr>
              <w:ind w:firstLine="0"/>
              <w:jc w:val="left"/>
              <w:rPr>
                <w:sz w:val="18"/>
                <w:szCs w:val="18"/>
                <w:lang w:val="es-CO"/>
              </w:rPr>
            </w:pPr>
          </w:p>
        </w:tc>
        <w:tc>
          <w:tcPr>
            <w:tcW w:w="900" w:type="dxa"/>
          </w:tcPr>
          <w:p w14:paraId="09512754" w14:textId="77777777" w:rsidR="00374264" w:rsidRPr="00041A72" w:rsidRDefault="00374264" w:rsidP="00374264">
            <w:pPr>
              <w:ind w:firstLine="0"/>
              <w:jc w:val="left"/>
              <w:rPr>
                <w:sz w:val="18"/>
                <w:szCs w:val="18"/>
                <w:lang w:val="es-CO"/>
              </w:rPr>
            </w:pPr>
          </w:p>
        </w:tc>
        <w:tc>
          <w:tcPr>
            <w:tcW w:w="1080" w:type="dxa"/>
          </w:tcPr>
          <w:p w14:paraId="095E6A6E" w14:textId="77777777" w:rsidR="00374264" w:rsidRPr="00041A72" w:rsidRDefault="00374264" w:rsidP="00374264">
            <w:pPr>
              <w:ind w:firstLine="0"/>
              <w:jc w:val="left"/>
              <w:rPr>
                <w:sz w:val="18"/>
                <w:szCs w:val="18"/>
                <w:lang w:val="es-CO"/>
              </w:rPr>
            </w:pPr>
          </w:p>
        </w:tc>
        <w:tc>
          <w:tcPr>
            <w:tcW w:w="1365" w:type="dxa"/>
          </w:tcPr>
          <w:p w14:paraId="0625B82F" w14:textId="77777777" w:rsidR="00374264" w:rsidRPr="00041A72" w:rsidRDefault="00374264" w:rsidP="00374264">
            <w:pPr>
              <w:ind w:firstLine="0"/>
              <w:jc w:val="left"/>
              <w:rPr>
                <w:sz w:val="18"/>
                <w:szCs w:val="18"/>
                <w:lang w:val="es-CO"/>
              </w:rPr>
            </w:pPr>
          </w:p>
        </w:tc>
      </w:tr>
      <w:tr w:rsidR="00374264" w:rsidRPr="00041A72" w14:paraId="0A0CD238" w14:textId="77777777" w:rsidTr="00AA78FE">
        <w:trPr>
          <w:trHeight w:val="135"/>
        </w:trPr>
        <w:tc>
          <w:tcPr>
            <w:tcW w:w="14410" w:type="dxa"/>
            <w:gridSpan w:val="11"/>
            <w:shd w:val="clear" w:color="auto" w:fill="DEEAF6" w:themeFill="accent1" w:themeFillTint="33"/>
          </w:tcPr>
          <w:p w14:paraId="0FAD651D" w14:textId="569E6A86" w:rsidR="00374264" w:rsidRPr="00374695" w:rsidRDefault="00374264" w:rsidP="00374264">
            <w:pPr>
              <w:ind w:firstLine="0"/>
              <w:jc w:val="left"/>
              <w:rPr>
                <w:rFonts w:asciiTheme="majorHAnsi" w:hAnsiTheme="majorHAnsi" w:cstheme="majorHAnsi"/>
                <w:b/>
                <w:sz w:val="20"/>
                <w:szCs w:val="20"/>
                <w:lang w:val="es-ES"/>
              </w:rPr>
            </w:pPr>
            <w:r w:rsidRPr="00332DF7">
              <w:rPr>
                <w:rFonts w:asciiTheme="majorHAnsi" w:hAnsiTheme="majorHAnsi" w:cstheme="majorHAnsi"/>
                <w:b/>
                <w:sz w:val="20"/>
                <w:szCs w:val="20"/>
                <w:lang w:val="es-ES"/>
              </w:rPr>
              <w:t xml:space="preserve">Objetivo 3. </w:t>
            </w:r>
            <w:r w:rsidR="007F5166" w:rsidRPr="00332DF7">
              <w:rPr>
                <w:bCs/>
                <w:color w:val="000000"/>
                <w:sz w:val="20"/>
                <w:szCs w:val="20"/>
                <w:lang w:val="es-ES" w:eastAsia="fr-FR"/>
              </w:rPr>
              <w:t xml:space="preserve"> </w:t>
            </w:r>
            <w:r w:rsidR="007F5166" w:rsidRPr="00332DF7">
              <w:rPr>
                <w:rFonts w:asciiTheme="majorHAnsi" w:hAnsiTheme="majorHAnsi" w:cstheme="majorHAnsi"/>
                <w:b/>
                <w:bCs/>
                <w:sz w:val="20"/>
                <w:szCs w:val="20"/>
                <w:lang w:val="es-ES"/>
              </w:rPr>
              <w:t xml:space="preserve">Asegurar la sostenibilidad de la adquisición de insumos incluyendo ARV, pruebas de carga viral, e insumos para el diagnóstico de VIH y TB a través de fuentes </w:t>
            </w:r>
            <w:r w:rsidR="00291F91">
              <w:rPr>
                <w:rFonts w:asciiTheme="majorHAnsi" w:hAnsiTheme="majorHAnsi" w:cstheme="majorHAnsi"/>
                <w:b/>
                <w:bCs/>
                <w:sz w:val="20"/>
                <w:szCs w:val="20"/>
                <w:lang w:val="es-ES"/>
              </w:rPr>
              <w:t>públicas</w:t>
            </w:r>
          </w:p>
        </w:tc>
      </w:tr>
      <w:tr w:rsidR="00374264" w:rsidRPr="00041A72" w14:paraId="7700574A" w14:textId="77777777" w:rsidTr="00AA78FE">
        <w:trPr>
          <w:trHeight w:val="620"/>
        </w:trPr>
        <w:tc>
          <w:tcPr>
            <w:tcW w:w="265" w:type="dxa"/>
            <w:shd w:val="clear" w:color="auto" w:fill="F2F2F2" w:themeFill="background1" w:themeFillShade="F2"/>
          </w:tcPr>
          <w:p w14:paraId="1D743A4A" w14:textId="77777777" w:rsidR="00374264" w:rsidRPr="00041A72" w:rsidRDefault="00374264" w:rsidP="00374264">
            <w:pPr>
              <w:ind w:firstLine="0"/>
              <w:jc w:val="left"/>
              <w:rPr>
                <w:b/>
                <w:bCs/>
                <w:sz w:val="18"/>
                <w:szCs w:val="18"/>
                <w:lang w:val="es-CO"/>
              </w:rPr>
            </w:pPr>
          </w:p>
        </w:tc>
        <w:tc>
          <w:tcPr>
            <w:tcW w:w="2440" w:type="dxa"/>
            <w:shd w:val="clear" w:color="auto" w:fill="F2F2F2" w:themeFill="background1" w:themeFillShade="F2"/>
          </w:tcPr>
          <w:p w14:paraId="0EECEE0C" w14:textId="7803581C" w:rsidR="00374264" w:rsidRPr="00041A72" w:rsidRDefault="00374264" w:rsidP="00374264">
            <w:pPr>
              <w:ind w:firstLine="0"/>
              <w:jc w:val="left"/>
              <w:rPr>
                <w:b/>
                <w:bCs/>
                <w:sz w:val="18"/>
                <w:szCs w:val="18"/>
                <w:lang w:val="es-CO"/>
              </w:rPr>
            </w:pPr>
            <w:r w:rsidRPr="00041A72">
              <w:rPr>
                <w:b/>
                <w:bCs/>
                <w:sz w:val="18"/>
                <w:szCs w:val="18"/>
                <w:lang w:val="es-CO"/>
              </w:rPr>
              <w:t>Acciones</w:t>
            </w:r>
          </w:p>
        </w:tc>
        <w:tc>
          <w:tcPr>
            <w:tcW w:w="440" w:type="dxa"/>
            <w:shd w:val="clear" w:color="auto" w:fill="F2F2F2" w:themeFill="background1" w:themeFillShade="F2"/>
          </w:tcPr>
          <w:p w14:paraId="3274E893" w14:textId="57280496" w:rsidR="00374264" w:rsidRPr="00041A72" w:rsidRDefault="00374264" w:rsidP="00374264">
            <w:pPr>
              <w:ind w:firstLine="0"/>
              <w:jc w:val="left"/>
              <w:rPr>
                <w:b/>
                <w:bCs/>
                <w:sz w:val="18"/>
                <w:szCs w:val="18"/>
                <w:lang w:val="es-CO"/>
              </w:rPr>
            </w:pPr>
            <w:proofErr w:type="spellStart"/>
            <w:r w:rsidRPr="00041A72">
              <w:rPr>
                <w:b/>
                <w:bCs/>
                <w:sz w:val="18"/>
                <w:szCs w:val="18"/>
                <w:lang w:val="es-CO"/>
              </w:rPr>
              <w:t>N</w:t>
            </w:r>
            <w:r>
              <w:rPr>
                <w:b/>
                <w:bCs/>
                <w:sz w:val="18"/>
                <w:szCs w:val="18"/>
                <w:lang w:val="es-CO"/>
              </w:rPr>
              <w:t>°</w:t>
            </w:r>
            <w:proofErr w:type="spellEnd"/>
          </w:p>
        </w:tc>
        <w:tc>
          <w:tcPr>
            <w:tcW w:w="3780" w:type="dxa"/>
            <w:shd w:val="clear" w:color="auto" w:fill="F2F2F2" w:themeFill="background1" w:themeFillShade="F2"/>
          </w:tcPr>
          <w:p w14:paraId="4A0B1B4E" w14:textId="2F35A378" w:rsidR="00374264" w:rsidRPr="00041A72" w:rsidRDefault="00374264" w:rsidP="00374264">
            <w:pPr>
              <w:ind w:firstLine="0"/>
              <w:jc w:val="left"/>
              <w:rPr>
                <w:b/>
                <w:bCs/>
                <w:sz w:val="18"/>
                <w:szCs w:val="18"/>
                <w:lang w:val="es-CO"/>
              </w:rPr>
            </w:pPr>
            <w:r w:rsidRPr="00041A72">
              <w:rPr>
                <w:b/>
                <w:bCs/>
                <w:sz w:val="18"/>
                <w:szCs w:val="18"/>
                <w:lang w:val="es-CO"/>
              </w:rPr>
              <w:t>Actividades</w:t>
            </w:r>
          </w:p>
        </w:tc>
        <w:tc>
          <w:tcPr>
            <w:tcW w:w="630" w:type="dxa"/>
            <w:shd w:val="clear" w:color="auto" w:fill="F2F2F2" w:themeFill="background1" w:themeFillShade="F2"/>
          </w:tcPr>
          <w:p w14:paraId="27235940" w14:textId="4DD64D5A" w:rsidR="00374264" w:rsidRPr="00041A72" w:rsidRDefault="00374264" w:rsidP="00374264">
            <w:pPr>
              <w:ind w:firstLine="0"/>
              <w:jc w:val="left"/>
              <w:rPr>
                <w:b/>
                <w:bCs/>
                <w:sz w:val="18"/>
                <w:szCs w:val="18"/>
                <w:lang w:val="es-CO"/>
              </w:rPr>
            </w:pPr>
            <w:r w:rsidRPr="00041A72">
              <w:rPr>
                <w:b/>
                <w:bCs/>
                <w:sz w:val="18"/>
                <w:szCs w:val="18"/>
                <w:lang w:val="es-CO"/>
              </w:rPr>
              <w:t>Año</w:t>
            </w:r>
            <w:r w:rsidRPr="00361102">
              <w:rPr>
                <w:b/>
                <w:bCs/>
                <w:sz w:val="18"/>
                <w:szCs w:val="18"/>
                <w:lang w:val="es-CO"/>
              </w:rPr>
              <w:t>/s</w:t>
            </w:r>
          </w:p>
        </w:tc>
        <w:tc>
          <w:tcPr>
            <w:tcW w:w="1530" w:type="dxa"/>
            <w:shd w:val="clear" w:color="auto" w:fill="F2F2F2" w:themeFill="background1" w:themeFillShade="F2"/>
          </w:tcPr>
          <w:p w14:paraId="1223C4E5" w14:textId="25B713BE" w:rsidR="00374264" w:rsidRPr="00041A72" w:rsidRDefault="00374264" w:rsidP="00374264">
            <w:pPr>
              <w:ind w:firstLine="0"/>
              <w:jc w:val="left"/>
              <w:rPr>
                <w:b/>
                <w:bCs/>
                <w:sz w:val="18"/>
                <w:szCs w:val="18"/>
                <w:lang w:val="es-CO"/>
              </w:rPr>
            </w:pPr>
            <w:r w:rsidRPr="00041A72">
              <w:rPr>
                <w:b/>
                <w:bCs/>
                <w:sz w:val="18"/>
                <w:szCs w:val="18"/>
                <w:lang w:val="es-CO"/>
              </w:rPr>
              <w:t>Entidad/es responsable/s</w:t>
            </w:r>
          </w:p>
        </w:tc>
        <w:tc>
          <w:tcPr>
            <w:tcW w:w="540" w:type="dxa"/>
            <w:shd w:val="clear" w:color="auto" w:fill="F2F2F2" w:themeFill="background1" w:themeFillShade="F2"/>
          </w:tcPr>
          <w:p w14:paraId="0145341A" w14:textId="0B16A802" w:rsidR="00374264" w:rsidRPr="00041A72" w:rsidRDefault="00374264" w:rsidP="00374264">
            <w:pPr>
              <w:ind w:firstLine="0"/>
              <w:jc w:val="left"/>
              <w:rPr>
                <w:b/>
                <w:bCs/>
                <w:sz w:val="18"/>
                <w:szCs w:val="18"/>
                <w:lang w:val="es-CO"/>
              </w:rPr>
            </w:pPr>
            <w:r w:rsidRPr="00041A72">
              <w:rPr>
                <w:b/>
                <w:bCs/>
                <w:sz w:val="18"/>
                <w:szCs w:val="18"/>
                <w:lang w:val="es-CO"/>
              </w:rPr>
              <w:t>AT</w:t>
            </w:r>
          </w:p>
        </w:tc>
        <w:tc>
          <w:tcPr>
            <w:tcW w:w="1440" w:type="dxa"/>
            <w:shd w:val="clear" w:color="auto" w:fill="F2F2F2" w:themeFill="background1" w:themeFillShade="F2"/>
          </w:tcPr>
          <w:p w14:paraId="56EC71AE" w14:textId="2434FDD7" w:rsidR="00374264" w:rsidRPr="00041A72" w:rsidRDefault="00374264" w:rsidP="00374264">
            <w:pPr>
              <w:ind w:firstLine="0"/>
              <w:jc w:val="left"/>
              <w:rPr>
                <w:b/>
                <w:bCs/>
                <w:sz w:val="18"/>
                <w:szCs w:val="18"/>
                <w:lang w:val="es-CO"/>
              </w:rPr>
            </w:pPr>
            <w:r w:rsidRPr="00041A72">
              <w:rPr>
                <w:b/>
                <w:bCs/>
                <w:sz w:val="18"/>
                <w:szCs w:val="18"/>
                <w:lang w:val="es-CO"/>
              </w:rPr>
              <w:t>Financiamiento requerido</w:t>
            </w:r>
          </w:p>
        </w:tc>
        <w:tc>
          <w:tcPr>
            <w:tcW w:w="900" w:type="dxa"/>
            <w:shd w:val="clear" w:color="auto" w:fill="F2F2F2" w:themeFill="background1" w:themeFillShade="F2"/>
          </w:tcPr>
          <w:p w14:paraId="77100EE6" w14:textId="77777777" w:rsidR="00374264" w:rsidRPr="00041A72" w:rsidRDefault="00374264" w:rsidP="00374264">
            <w:pPr>
              <w:spacing w:before="0" w:after="0"/>
              <w:ind w:firstLine="0"/>
              <w:jc w:val="left"/>
              <w:rPr>
                <w:b/>
                <w:bCs/>
                <w:sz w:val="18"/>
                <w:szCs w:val="18"/>
                <w:lang w:val="es-CO"/>
              </w:rPr>
            </w:pPr>
            <w:r w:rsidRPr="00041A72">
              <w:rPr>
                <w:b/>
                <w:bCs/>
                <w:sz w:val="18"/>
                <w:szCs w:val="18"/>
                <w:lang w:val="es-CO"/>
              </w:rPr>
              <w:t>Fuentes de financia-</w:t>
            </w:r>
          </w:p>
          <w:p w14:paraId="47D20ECE" w14:textId="3E18801F" w:rsidR="00374264" w:rsidRPr="00041A72" w:rsidRDefault="00374264" w:rsidP="00374264">
            <w:pPr>
              <w:spacing w:before="0" w:after="0"/>
              <w:ind w:firstLine="0"/>
              <w:jc w:val="left"/>
              <w:rPr>
                <w:b/>
                <w:bCs/>
                <w:sz w:val="18"/>
                <w:szCs w:val="18"/>
                <w:lang w:val="es-CO"/>
              </w:rPr>
            </w:pPr>
            <w:r w:rsidRPr="00041A72">
              <w:rPr>
                <w:b/>
                <w:bCs/>
                <w:sz w:val="18"/>
                <w:szCs w:val="18"/>
                <w:lang w:val="es-CO"/>
              </w:rPr>
              <w:t>miento</w:t>
            </w:r>
          </w:p>
        </w:tc>
        <w:tc>
          <w:tcPr>
            <w:tcW w:w="1080" w:type="dxa"/>
            <w:shd w:val="clear" w:color="auto" w:fill="F2F2F2" w:themeFill="background1" w:themeFillShade="F2"/>
          </w:tcPr>
          <w:p w14:paraId="608EDE09" w14:textId="5F75ABF6" w:rsidR="00374264" w:rsidRPr="00041A72" w:rsidRDefault="00374264" w:rsidP="00374264">
            <w:pPr>
              <w:ind w:firstLine="0"/>
              <w:jc w:val="left"/>
              <w:rPr>
                <w:b/>
                <w:bCs/>
                <w:sz w:val="18"/>
                <w:szCs w:val="18"/>
                <w:lang w:val="es-CO"/>
              </w:rPr>
            </w:pPr>
            <w:r w:rsidRPr="00041A72">
              <w:rPr>
                <w:b/>
                <w:bCs/>
                <w:sz w:val="18"/>
                <w:szCs w:val="18"/>
                <w:lang w:val="es-CO"/>
              </w:rPr>
              <w:t>Alineación con Planes Nacionales</w:t>
            </w:r>
          </w:p>
        </w:tc>
        <w:tc>
          <w:tcPr>
            <w:tcW w:w="1365" w:type="dxa"/>
            <w:shd w:val="clear" w:color="auto" w:fill="F2F2F2" w:themeFill="background1" w:themeFillShade="F2"/>
          </w:tcPr>
          <w:p w14:paraId="63E8DA01" w14:textId="499C4B20" w:rsidR="00374264" w:rsidRPr="00041A72" w:rsidRDefault="00374264" w:rsidP="00374264">
            <w:pPr>
              <w:ind w:firstLine="0"/>
              <w:jc w:val="left"/>
              <w:rPr>
                <w:b/>
                <w:bCs/>
                <w:sz w:val="18"/>
                <w:szCs w:val="18"/>
                <w:lang w:val="es-CO"/>
              </w:rPr>
            </w:pPr>
            <w:r w:rsidRPr="00041A72">
              <w:rPr>
                <w:b/>
                <w:bCs/>
                <w:sz w:val="18"/>
                <w:szCs w:val="18"/>
                <w:lang w:val="es-CO"/>
              </w:rPr>
              <w:t>Indicador de proceso</w:t>
            </w:r>
          </w:p>
        </w:tc>
      </w:tr>
      <w:tr w:rsidR="00374264" w:rsidRPr="00041A72" w14:paraId="6F94B1B3" w14:textId="77777777" w:rsidTr="00AA78FE">
        <w:trPr>
          <w:trHeight w:val="908"/>
        </w:trPr>
        <w:tc>
          <w:tcPr>
            <w:tcW w:w="265" w:type="dxa"/>
            <w:vMerge w:val="restart"/>
            <w:hideMark/>
          </w:tcPr>
          <w:p w14:paraId="1CFF1BA8" w14:textId="5C2DC624" w:rsidR="00374264" w:rsidRPr="00374695" w:rsidRDefault="00374264" w:rsidP="00374264">
            <w:pPr>
              <w:ind w:firstLine="0"/>
              <w:jc w:val="left"/>
              <w:rPr>
                <w:bCs/>
                <w:sz w:val="18"/>
                <w:szCs w:val="18"/>
                <w:lang w:val="es-CO"/>
              </w:rPr>
            </w:pPr>
            <w:r>
              <w:rPr>
                <w:bCs/>
                <w:sz w:val="18"/>
                <w:szCs w:val="18"/>
                <w:lang w:val="es-CO"/>
              </w:rPr>
              <w:t>m</w:t>
            </w:r>
          </w:p>
        </w:tc>
        <w:tc>
          <w:tcPr>
            <w:tcW w:w="2440" w:type="dxa"/>
            <w:vMerge w:val="restart"/>
            <w:hideMark/>
          </w:tcPr>
          <w:p w14:paraId="01D4CADC" w14:textId="5B0390AA" w:rsidR="00374264" w:rsidRPr="00374695" w:rsidRDefault="00374264" w:rsidP="00374264">
            <w:pPr>
              <w:ind w:firstLine="0"/>
              <w:jc w:val="left"/>
              <w:rPr>
                <w:sz w:val="18"/>
                <w:szCs w:val="18"/>
                <w:lang w:val="es-CO"/>
              </w:rPr>
            </w:pPr>
            <w:r w:rsidRPr="00374695">
              <w:rPr>
                <w:sz w:val="18"/>
                <w:szCs w:val="18"/>
                <w:lang w:val="es-CO"/>
              </w:rPr>
              <w:t xml:space="preserve">Consolidar plan de transición de compras de ARV e insumos </w:t>
            </w:r>
            <w:r w:rsidRPr="00374695">
              <w:rPr>
                <w:sz w:val="18"/>
                <w:szCs w:val="18"/>
                <w:lang w:val="es-ES"/>
              </w:rPr>
              <w:t xml:space="preserve">(incluyendo CV, CD4, pruebas </w:t>
            </w:r>
            <w:r>
              <w:rPr>
                <w:sz w:val="18"/>
                <w:szCs w:val="18"/>
                <w:lang w:val="es-ES"/>
              </w:rPr>
              <w:t>de diagnósticos</w:t>
            </w:r>
            <w:r w:rsidRPr="00374695">
              <w:rPr>
                <w:sz w:val="18"/>
                <w:szCs w:val="18"/>
                <w:lang w:val="es-MX"/>
              </w:rPr>
              <w:t xml:space="preserve">, PCR, </w:t>
            </w:r>
            <w:r w:rsidRPr="00374695">
              <w:rPr>
                <w:sz w:val="18"/>
                <w:szCs w:val="18"/>
                <w:lang w:val="es-ES"/>
              </w:rPr>
              <w:t>genotipo y reactivos de Gene</w:t>
            </w:r>
            <w:r>
              <w:rPr>
                <w:sz w:val="18"/>
                <w:szCs w:val="18"/>
                <w:lang w:val="es-ES"/>
              </w:rPr>
              <w:t>-</w:t>
            </w:r>
            <w:proofErr w:type="spellStart"/>
            <w:r w:rsidRPr="00374695">
              <w:rPr>
                <w:sz w:val="18"/>
                <w:szCs w:val="18"/>
                <w:lang w:val="es-ES"/>
              </w:rPr>
              <w:t>Xpert</w:t>
            </w:r>
            <w:proofErr w:type="spellEnd"/>
            <w:r w:rsidRPr="00374695">
              <w:rPr>
                <w:sz w:val="18"/>
                <w:szCs w:val="18"/>
                <w:lang w:val="es-ES"/>
              </w:rPr>
              <w:t>)</w:t>
            </w:r>
            <w:r w:rsidRPr="00374695">
              <w:rPr>
                <w:sz w:val="18"/>
                <w:szCs w:val="18"/>
                <w:lang w:val="es-CO"/>
              </w:rPr>
              <w:t xml:space="preserve"> y la adquisición centralizada de pruebas diagnósticas con fondos públicos</w:t>
            </w:r>
          </w:p>
        </w:tc>
        <w:tc>
          <w:tcPr>
            <w:tcW w:w="440" w:type="dxa"/>
            <w:hideMark/>
          </w:tcPr>
          <w:p w14:paraId="5B7710B1" w14:textId="60AA9870" w:rsidR="00374264" w:rsidRPr="00041A72" w:rsidRDefault="00374264" w:rsidP="00374264">
            <w:pPr>
              <w:ind w:firstLine="0"/>
              <w:jc w:val="left"/>
              <w:rPr>
                <w:sz w:val="18"/>
                <w:szCs w:val="18"/>
                <w:lang w:val="es-CO"/>
              </w:rPr>
            </w:pPr>
            <w:r>
              <w:rPr>
                <w:sz w:val="18"/>
                <w:szCs w:val="18"/>
                <w:lang w:val="es-CO"/>
              </w:rPr>
              <w:t>2</w:t>
            </w:r>
            <w:r w:rsidR="00465F2B">
              <w:rPr>
                <w:sz w:val="18"/>
                <w:szCs w:val="18"/>
                <w:lang w:val="es-CO"/>
              </w:rPr>
              <w:t>4</w:t>
            </w:r>
          </w:p>
        </w:tc>
        <w:tc>
          <w:tcPr>
            <w:tcW w:w="3780" w:type="dxa"/>
            <w:hideMark/>
          </w:tcPr>
          <w:p w14:paraId="01C84E0B" w14:textId="77777777" w:rsidR="00374264" w:rsidRPr="00041A72" w:rsidRDefault="00374264" w:rsidP="00374264">
            <w:pPr>
              <w:ind w:firstLine="0"/>
              <w:jc w:val="left"/>
              <w:rPr>
                <w:sz w:val="18"/>
                <w:szCs w:val="18"/>
                <w:lang w:val="es-CO"/>
              </w:rPr>
            </w:pPr>
            <w:r w:rsidRPr="00041A72">
              <w:rPr>
                <w:sz w:val="18"/>
                <w:szCs w:val="18"/>
                <w:lang w:val="es-CO"/>
              </w:rPr>
              <w:t>Elaboración de estimaciones nacionales de ARV e insumos de acuerdo con las metas 90-90-90</w:t>
            </w:r>
          </w:p>
        </w:tc>
        <w:tc>
          <w:tcPr>
            <w:tcW w:w="630" w:type="dxa"/>
            <w:hideMark/>
          </w:tcPr>
          <w:p w14:paraId="7C66AA26" w14:textId="77777777" w:rsidR="00374264" w:rsidRPr="00041A72" w:rsidRDefault="00374264" w:rsidP="00374264">
            <w:pPr>
              <w:ind w:firstLine="0"/>
              <w:jc w:val="left"/>
              <w:rPr>
                <w:sz w:val="18"/>
                <w:szCs w:val="18"/>
                <w:lang w:val="es-CO"/>
              </w:rPr>
            </w:pPr>
            <w:r w:rsidRPr="00041A72">
              <w:rPr>
                <w:sz w:val="18"/>
                <w:szCs w:val="18"/>
                <w:lang w:val="es-CO"/>
              </w:rPr>
              <w:t xml:space="preserve">2019 </w:t>
            </w:r>
          </w:p>
        </w:tc>
        <w:tc>
          <w:tcPr>
            <w:tcW w:w="1530" w:type="dxa"/>
            <w:hideMark/>
          </w:tcPr>
          <w:p w14:paraId="099A6FD1" w14:textId="77777777" w:rsidR="00374264" w:rsidRPr="00041A72" w:rsidRDefault="00374264" w:rsidP="00374264">
            <w:pPr>
              <w:ind w:firstLine="0"/>
              <w:jc w:val="left"/>
              <w:rPr>
                <w:sz w:val="18"/>
                <w:szCs w:val="18"/>
                <w:lang w:val="es-CO"/>
              </w:rPr>
            </w:pPr>
            <w:r w:rsidRPr="00041A72">
              <w:rPr>
                <w:sz w:val="18"/>
                <w:szCs w:val="18"/>
                <w:lang w:val="es-CO"/>
              </w:rPr>
              <w:t xml:space="preserve">ULMIE; DGRISS; Puntos focales </w:t>
            </w:r>
          </w:p>
        </w:tc>
        <w:tc>
          <w:tcPr>
            <w:tcW w:w="540" w:type="dxa"/>
          </w:tcPr>
          <w:p w14:paraId="04C060A6" w14:textId="77777777" w:rsidR="00374264" w:rsidRPr="00041A72" w:rsidRDefault="00374264" w:rsidP="00374264">
            <w:pPr>
              <w:ind w:firstLine="0"/>
              <w:jc w:val="left"/>
              <w:rPr>
                <w:sz w:val="18"/>
                <w:szCs w:val="18"/>
                <w:lang w:val="es-CO"/>
              </w:rPr>
            </w:pPr>
            <w:r w:rsidRPr="00041A72">
              <w:rPr>
                <w:sz w:val="18"/>
                <w:szCs w:val="18"/>
                <w:lang w:val="es-CO"/>
              </w:rPr>
              <w:t>Si</w:t>
            </w:r>
          </w:p>
        </w:tc>
        <w:tc>
          <w:tcPr>
            <w:tcW w:w="1440" w:type="dxa"/>
          </w:tcPr>
          <w:p w14:paraId="63486ADD" w14:textId="14C3B73B" w:rsidR="00374264" w:rsidRPr="00041A72" w:rsidRDefault="00374264" w:rsidP="00374264">
            <w:pPr>
              <w:ind w:firstLine="0"/>
              <w:jc w:val="left"/>
              <w:rPr>
                <w:sz w:val="18"/>
                <w:szCs w:val="18"/>
                <w:lang w:val="es-CO"/>
              </w:rPr>
            </w:pPr>
            <w:r w:rsidRPr="00041A72">
              <w:rPr>
                <w:sz w:val="18"/>
                <w:szCs w:val="18"/>
                <w:lang w:val="es-CO"/>
              </w:rPr>
              <w:t>Actualmente pr</w:t>
            </w:r>
            <w:r w:rsidR="00D46356">
              <w:rPr>
                <w:sz w:val="18"/>
                <w:szCs w:val="18"/>
                <w:lang w:val="es-CO"/>
              </w:rPr>
              <w:t>e</w:t>
            </w:r>
            <w:r w:rsidRPr="00041A72">
              <w:rPr>
                <w:sz w:val="18"/>
                <w:szCs w:val="18"/>
                <w:lang w:val="es-CO"/>
              </w:rPr>
              <w:t>vista por USAID</w:t>
            </w:r>
          </w:p>
        </w:tc>
        <w:tc>
          <w:tcPr>
            <w:tcW w:w="900" w:type="dxa"/>
          </w:tcPr>
          <w:p w14:paraId="6C3880B7" w14:textId="6B74B5BE" w:rsidR="00374264" w:rsidRPr="00041A72" w:rsidRDefault="00374264" w:rsidP="00374264">
            <w:pPr>
              <w:ind w:firstLine="0"/>
              <w:jc w:val="left"/>
              <w:rPr>
                <w:sz w:val="18"/>
                <w:szCs w:val="18"/>
                <w:lang w:val="es-419"/>
              </w:rPr>
            </w:pPr>
            <w:r>
              <w:rPr>
                <w:sz w:val="18"/>
                <w:szCs w:val="18"/>
                <w:lang w:val="es-419"/>
              </w:rPr>
              <w:t>PEPFAR</w:t>
            </w:r>
          </w:p>
        </w:tc>
        <w:tc>
          <w:tcPr>
            <w:tcW w:w="1080" w:type="dxa"/>
            <w:vMerge w:val="restart"/>
          </w:tcPr>
          <w:p w14:paraId="4EAEE3EA" w14:textId="77777777" w:rsidR="00374264" w:rsidRPr="00041A72" w:rsidRDefault="00374264" w:rsidP="00374264">
            <w:pPr>
              <w:ind w:firstLine="0"/>
              <w:jc w:val="left"/>
              <w:rPr>
                <w:sz w:val="18"/>
                <w:szCs w:val="18"/>
                <w:lang w:val="es-419"/>
              </w:rPr>
            </w:pPr>
            <w:r w:rsidRPr="00041A72">
              <w:rPr>
                <w:sz w:val="18"/>
                <w:szCs w:val="18"/>
                <w:lang w:val="es-419"/>
              </w:rPr>
              <w:t xml:space="preserve">PENTB </w:t>
            </w:r>
          </w:p>
          <w:p w14:paraId="266A7687" w14:textId="27F69EC7" w:rsidR="00374264" w:rsidRDefault="00374264" w:rsidP="00374264">
            <w:pPr>
              <w:ind w:firstLine="0"/>
              <w:jc w:val="left"/>
              <w:rPr>
                <w:sz w:val="18"/>
                <w:szCs w:val="18"/>
                <w:lang w:val="es-419"/>
              </w:rPr>
            </w:pPr>
            <w:r w:rsidRPr="00041A72">
              <w:rPr>
                <w:sz w:val="18"/>
                <w:szCs w:val="18"/>
                <w:lang w:val="es-419"/>
              </w:rPr>
              <w:t>3.5.1</w:t>
            </w:r>
          </w:p>
          <w:p w14:paraId="3B35F091" w14:textId="16C8C56E" w:rsidR="00DF44D2" w:rsidRDefault="00DF44D2" w:rsidP="00374264">
            <w:pPr>
              <w:ind w:firstLine="0"/>
              <w:jc w:val="left"/>
              <w:rPr>
                <w:sz w:val="18"/>
                <w:szCs w:val="18"/>
                <w:lang w:val="es-419"/>
              </w:rPr>
            </w:pPr>
            <w:proofErr w:type="spellStart"/>
            <w:r>
              <w:rPr>
                <w:sz w:val="18"/>
                <w:szCs w:val="18"/>
                <w:lang w:val="es-419"/>
              </w:rPr>
              <w:t>Eval</w:t>
            </w:r>
            <w:proofErr w:type="spellEnd"/>
            <w:r>
              <w:rPr>
                <w:sz w:val="18"/>
                <w:szCs w:val="18"/>
                <w:lang w:val="es-419"/>
              </w:rPr>
              <w:t xml:space="preserve">. </w:t>
            </w:r>
            <w:proofErr w:type="spellStart"/>
            <w:r>
              <w:rPr>
                <w:sz w:val="18"/>
                <w:szCs w:val="18"/>
                <w:lang w:val="es-419"/>
              </w:rPr>
              <w:t>Conj</w:t>
            </w:r>
            <w:proofErr w:type="spellEnd"/>
            <w:r>
              <w:rPr>
                <w:sz w:val="18"/>
                <w:szCs w:val="18"/>
                <w:lang w:val="es-419"/>
              </w:rPr>
              <w:t>.</w:t>
            </w:r>
          </w:p>
          <w:p w14:paraId="2F4AC742" w14:textId="46A80E2F" w:rsidR="00DF44D2" w:rsidRDefault="00DF44D2" w:rsidP="00374264">
            <w:pPr>
              <w:ind w:firstLine="0"/>
              <w:jc w:val="left"/>
              <w:rPr>
                <w:sz w:val="18"/>
                <w:szCs w:val="18"/>
                <w:lang w:val="es-419"/>
              </w:rPr>
            </w:pPr>
            <w:r>
              <w:rPr>
                <w:sz w:val="18"/>
                <w:szCs w:val="18"/>
                <w:lang w:val="es-419"/>
              </w:rPr>
              <w:t>5.3.8</w:t>
            </w:r>
          </w:p>
          <w:p w14:paraId="3835039B" w14:textId="41D153AE" w:rsidR="00DF44D2" w:rsidRDefault="00DF44D2" w:rsidP="00374264">
            <w:pPr>
              <w:ind w:firstLine="0"/>
              <w:jc w:val="left"/>
              <w:rPr>
                <w:sz w:val="18"/>
                <w:szCs w:val="18"/>
                <w:lang w:val="es-419"/>
              </w:rPr>
            </w:pPr>
            <w:r>
              <w:rPr>
                <w:sz w:val="18"/>
                <w:szCs w:val="18"/>
                <w:lang w:val="es-419"/>
              </w:rPr>
              <w:t>5.3.10</w:t>
            </w:r>
          </w:p>
          <w:p w14:paraId="16842224" w14:textId="5901AA8D" w:rsidR="00DF44D2" w:rsidRPr="00041A72" w:rsidRDefault="00DF44D2" w:rsidP="00374264">
            <w:pPr>
              <w:ind w:firstLine="0"/>
              <w:jc w:val="left"/>
              <w:rPr>
                <w:sz w:val="18"/>
                <w:szCs w:val="18"/>
                <w:lang w:val="es-419"/>
              </w:rPr>
            </w:pPr>
            <w:r>
              <w:rPr>
                <w:sz w:val="18"/>
                <w:szCs w:val="18"/>
                <w:lang w:val="es-419"/>
              </w:rPr>
              <w:t>5.3.11</w:t>
            </w:r>
          </w:p>
          <w:p w14:paraId="2B69BF14" w14:textId="587F8B78" w:rsidR="00374264" w:rsidRPr="00041A72" w:rsidRDefault="00374264" w:rsidP="00374264">
            <w:pPr>
              <w:ind w:firstLine="0"/>
              <w:jc w:val="left"/>
              <w:rPr>
                <w:b/>
                <w:sz w:val="18"/>
                <w:szCs w:val="18"/>
                <w:lang w:val="es-CO"/>
              </w:rPr>
            </w:pPr>
          </w:p>
        </w:tc>
        <w:tc>
          <w:tcPr>
            <w:tcW w:w="1365" w:type="dxa"/>
            <w:hideMark/>
          </w:tcPr>
          <w:p w14:paraId="12D424CE" w14:textId="158A1A5C" w:rsidR="00374264" w:rsidRPr="00041A72" w:rsidRDefault="00374264" w:rsidP="00374264">
            <w:pPr>
              <w:ind w:firstLine="0"/>
              <w:jc w:val="left"/>
              <w:rPr>
                <w:sz w:val="18"/>
                <w:szCs w:val="18"/>
                <w:lang w:val="es-CO"/>
              </w:rPr>
            </w:pPr>
            <w:r w:rsidRPr="00041A72">
              <w:rPr>
                <w:sz w:val="18"/>
                <w:szCs w:val="18"/>
                <w:lang w:val="es-CO"/>
              </w:rPr>
              <w:t>Informe técnico con las estimaciones</w:t>
            </w:r>
          </w:p>
        </w:tc>
      </w:tr>
      <w:tr w:rsidR="00374264" w:rsidRPr="00041A72" w14:paraId="69EA11AE" w14:textId="77777777" w:rsidTr="00AA78FE">
        <w:trPr>
          <w:trHeight w:val="1377"/>
        </w:trPr>
        <w:tc>
          <w:tcPr>
            <w:tcW w:w="265" w:type="dxa"/>
            <w:vMerge/>
            <w:hideMark/>
          </w:tcPr>
          <w:p w14:paraId="4FD31137" w14:textId="77777777" w:rsidR="00374264" w:rsidRPr="00041A72" w:rsidRDefault="00374264" w:rsidP="00374264">
            <w:pPr>
              <w:ind w:firstLine="0"/>
              <w:jc w:val="left"/>
              <w:rPr>
                <w:b/>
                <w:bCs/>
                <w:sz w:val="18"/>
                <w:szCs w:val="18"/>
                <w:lang w:val="es-CO"/>
              </w:rPr>
            </w:pPr>
          </w:p>
        </w:tc>
        <w:tc>
          <w:tcPr>
            <w:tcW w:w="2440" w:type="dxa"/>
            <w:vMerge/>
            <w:hideMark/>
          </w:tcPr>
          <w:p w14:paraId="6F4859B9" w14:textId="77777777" w:rsidR="00374264" w:rsidRPr="00041A72" w:rsidRDefault="00374264" w:rsidP="00374264">
            <w:pPr>
              <w:ind w:firstLine="0"/>
              <w:jc w:val="left"/>
              <w:rPr>
                <w:sz w:val="18"/>
                <w:szCs w:val="18"/>
                <w:lang w:val="es-CO"/>
              </w:rPr>
            </w:pPr>
          </w:p>
        </w:tc>
        <w:tc>
          <w:tcPr>
            <w:tcW w:w="440" w:type="dxa"/>
            <w:hideMark/>
          </w:tcPr>
          <w:p w14:paraId="45A6F9E1" w14:textId="55C6EDA2" w:rsidR="00374264" w:rsidRPr="00041A72" w:rsidRDefault="00374264" w:rsidP="00374264">
            <w:pPr>
              <w:ind w:firstLine="0"/>
              <w:jc w:val="left"/>
              <w:rPr>
                <w:sz w:val="18"/>
                <w:szCs w:val="18"/>
                <w:lang w:val="es-CO"/>
              </w:rPr>
            </w:pPr>
            <w:r>
              <w:rPr>
                <w:sz w:val="18"/>
                <w:szCs w:val="18"/>
                <w:lang w:val="es-CO"/>
              </w:rPr>
              <w:t>2</w:t>
            </w:r>
            <w:r w:rsidR="008F3958">
              <w:rPr>
                <w:sz w:val="18"/>
                <w:szCs w:val="18"/>
                <w:lang w:val="es-CO"/>
              </w:rPr>
              <w:t>5</w:t>
            </w:r>
          </w:p>
        </w:tc>
        <w:tc>
          <w:tcPr>
            <w:tcW w:w="3780" w:type="dxa"/>
            <w:hideMark/>
          </w:tcPr>
          <w:p w14:paraId="31CD0754" w14:textId="166988B9" w:rsidR="00374264" w:rsidRPr="00041A72" w:rsidRDefault="00374264" w:rsidP="00374264">
            <w:pPr>
              <w:ind w:firstLine="0"/>
              <w:jc w:val="left"/>
              <w:rPr>
                <w:sz w:val="18"/>
                <w:szCs w:val="18"/>
                <w:lang w:val="es-CO"/>
              </w:rPr>
            </w:pPr>
            <w:r w:rsidRPr="00041A72">
              <w:rPr>
                <w:bCs/>
                <w:sz w:val="18"/>
                <w:szCs w:val="18"/>
                <w:lang w:val="es-CO"/>
              </w:rPr>
              <w:t>Elaboración de un plan de movilización de recursos, para la identificación de las partidas dentro del presupuesto de la SESAL</w:t>
            </w:r>
          </w:p>
        </w:tc>
        <w:tc>
          <w:tcPr>
            <w:tcW w:w="630" w:type="dxa"/>
            <w:hideMark/>
          </w:tcPr>
          <w:p w14:paraId="219EEC25" w14:textId="77777777" w:rsidR="00374264" w:rsidRPr="00041A72" w:rsidRDefault="00374264" w:rsidP="00374264">
            <w:pPr>
              <w:ind w:firstLine="0"/>
              <w:jc w:val="left"/>
              <w:rPr>
                <w:sz w:val="18"/>
                <w:szCs w:val="18"/>
                <w:lang w:val="es-CO"/>
              </w:rPr>
            </w:pPr>
            <w:r w:rsidRPr="00041A72">
              <w:rPr>
                <w:sz w:val="18"/>
                <w:szCs w:val="18"/>
                <w:lang w:val="es-CO"/>
              </w:rPr>
              <w:t>2019</w:t>
            </w:r>
          </w:p>
        </w:tc>
        <w:tc>
          <w:tcPr>
            <w:tcW w:w="1530" w:type="dxa"/>
            <w:hideMark/>
          </w:tcPr>
          <w:p w14:paraId="68D61DFB" w14:textId="77777777" w:rsidR="00374264" w:rsidRPr="00041A72" w:rsidRDefault="00374264" w:rsidP="00374264">
            <w:pPr>
              <w:ind w:firstLine="0"/>
              <w:jc w:val="left"/>
              <w:rPr>
                <w:sz w:val="18"/>
                <w:szCs w:val="18"/>
                <w:lang w:val="es-CO"/>
              </w:rPr>
            </w:pPr>
            <w:r w:rsidRPr="00041A72">
              <w:rPr>
                <w:bCs/>
                <w:sz w:val="18"/>
                <w:szCs w:val="18"/>
                <w:lang w:val="es-CO"/>
              </w:rPr>
              <w:t>UPEG, Gerencia Administrativa, Finanzas y CONASIDA</w:t>
            </w:r>
          </w:p>
        </w:tc>
        <w:tc>
          <w:tcPr>
            <w:tcW w:w="540" w:type="dxa"/>
          </w:tcPr>
          <w:p w14:paraId="79491E84" w14:textId="77777777" w:rsidR="00374264" w:rsidRPr="00041A72" w:rsidRDefault="00374264" w:rsidP="00374264">
            <w:pPr>
              <w:ind w:firstLine="0"/>
              <w:jc w:val="left"/>
              <w:rPr>
                <w:sz w:val="18"/>
                <w:szCs w:val="18"/>
                <w:lang w:val="es-CO"/>
              </w:rPr>
            </w:pPr>
            <w:r w:rsidRPr="00041A72">
              <w:rPr>
                <w:sz w:val="18"/>
                <w:szCs w:val="18"/>
                <w:lang w:val="es-CO"/>
              </w:rPr>
              <w:t>Si</w:t>
            </w:r>
          </w:p>
        </w:tc>
        <w:tc>
          <w:tcPr>
            <w:tcW w:w="1440" w:type="dxa"/>
          </w:tcPr>
          <w:p w14:paraId="0524A338" w14:textId="16A27C79" w:rsidR="00374264" w:rsidRPr="00041A72" w:rsidRDefault="00374264" w:rsidP="00374264">
            <w:pPr>
              <w:ind w:firstLine="0"/>
              <w:jc w:val="left"/>
              <w:rPr>
                <w:i/>
                <w:sz w:val="18"/>
                <w:szCs w:val="18"/>
                <w:lang w:val="es-MX"/>
              </w:rPr>
            </w:pPr>
            <w:r w:rsidRPr="00041A72">
              <w:rPr>
                <w:sz w:val="18"/>
                <w:szCs w:val="18"/>
                <w:lang w:val="es-CO"/>
              </w:rPr>
              <w:t xml:space="preserve">Incluido en Plan de Movilización ver </w:t>
            </w:r>
            <w:proofErr w:type="spellStart"/>
            <w:r w:rsidRPr="00041A72">
              <w:rPr>
                <w:sz w:val="18"/>
                <w:szCs w:val="18"/>
                <w:lang w:val="es-CO"/>
              </w:rPr>
              <w:t>dimensi</w:t>
            </w:r>
            <w:r w:rsidRPr="00041A72">
              <w:rPr>
                <w:sz w:val="18"/>
                <w:szCs w:val="18"/>
                <w:lang w:val="es-MX"/>
              </w:rPr>
              <w:t>ón</w:t>
            </w:r>
            <w:proofErr w:type="spellEnd"/>
            <w:r w:rsidRPr="00041A72">
              <w:rPr>
                <w:sz w:val="18"/>
                <w:szCs w:val="18"/>
                <w:lang w:val="es-MX"/>
              </w:rPr>
              <w:t xml:space="preserve"> financiamiento</w:t>
            </w:r>
          </w:p>
        </w:tc>
        <w:tc>
          <w:tcPr>
            <w:tcW w:w="900" w:type="dxa"/>
          </w:tcPr>
          <w:p w14:paraId="69965928" w14:textId="77777777" w:rsidR="00374264" w:rsidRPr="00041A72" w:rsidRDefault="00374264" w:rsidP="00374264">
            <w:pPr>
              <w:ind w:firstLine="0"/>
              <w:jc w:val="left"/>
              <w:rPr>
                <w:sz w:val="18"/>
                <w:szCs w:val="18"/>
                <w:lang w:val="es-CO"/>
              </w:rPr>
            </w:pPr>
          </w:p>
        </w:tc>
        <w:tc>
          <w:tcPr>
            <w:tcW w:w="1080" w:type="dxa"/>
            <w:vMerge/>
          </w:tcPr>
          <w:p w14:paraId="47E74E1D" w14:textId="77777777" w:rsidR="00374264" w:rsidRPr="00041A72" w:rsidRDefault="00374264" w:rsidP="00374264">
            <w:pPr>
              <w:ind w:firstLine="0"/>
              <w:jc w:val="left"/>
              <w:rPr>
                <w:sz w:val="18"/>
                <w:szCs w:val="18"/>
                <w:lang w:val="es-CO"/>
              </w:rPr>
            </w:pPr>
          </w:p>
        </w:tc>
        <w:tc>
          <w:tcPr>
            <w:tcW w:w="1365" w:type="dxa"/>
            <w:hideMark/>
          </w:tcPr>
          <w:p w14:paraId="0FAC8EAC" w14:textId="77777777" w:rsidR="00374264" w:rsidRPr="00041A72" w:rsidRDefault="00374264" w:rsidP="00374264">
            <w:pPr>
              <w:ind w:firstLine="0"/>
              <w:jc w:val="left"/>
              <w:rPr>
                <w:sz w:val="18"/>
                <w:szCs w:val="18"/>
                <w:lang w:val="es-CO"/>
              </w:rPr>
            </w:pPr>
            <w:r w:rsidRPr="00041A72">
              <w:rPr>
                <w:sz w:val="18"/>
                <w:szCs w:val="18"/>
                <w:lang w:val="es-CO"/>
              </w:rPr>
              <w:t>Plan de movilización con las partidas presupuestarias de la SESAL identificadas</w:t>
            </w:r>
          </w:p>
        </w:tc>
      </w:tr>
      <w:tr w:rsidR="00374264" w:rsidRPr="00041A72" w14:paraId="699FC8CE" w14:textId="77777777" w:rsidTr="00AA78FE">
        <w:trPr>
          <w:trHeight w:val="800"/>
        </w:trPr>
        <w:tc>
          <w:tcPr>
            <w:tcW w:w="265" w:type="dxa"/>
            <w:vMerge/>
            <w:hideMark/>
          </w:tcPr>
          <w:p w14:paraId="6B413681" w14:textId="77777777" w:rsidR="00374264" w:rsidRPr="00041A72" w:rsidRDefault="00374264" w:rsidP="00374264">
            <w:pPr>
              <w:ind w:firstLine="0"/>
              <w:jc w:val="left"/>
              <w:rPr>
                <w:b/>
                <w:bCs/>
                <w:sz w:val="18"/>
                <w:szCs w:val="18"/>
                <w:lang w:val="es-CO"/>
              </w:rPr>
            </w:pPr>
          </w:p>
        </w:tc>
        <w:tc>
          <w:tcPr>
            <w:tcW w:w="2440" w:type="dxa"/>
            <w:vMerge/>
            <w:hideMark/>
          </w:tcPr>
          <w:p w14:paraId="3FD4F012" w14:textId="77777777" w:rsidR="00374264" w:rsidRPr="00041A72" w:rsidRDefault="00374264" w:rsidP="00374264">
            <w:pPr>
              <w:ind w:firstLine="0"/>
              <w:jc w:val="left"/>
              <w:rPr>
                <w:sz w:val="18"/>
                <w:szCs w:val="18"/>
                <w:lang w:val="es-CO"/>
              </w:rPr>
            </w:pPr>
          </w:p>
        </w:tc>
        <w:tc>
          <w:tcPr>
            <w:tcW w:w="440" w:type="dxa"/>
            <w:hideMark/>
          </w:tcPr>
          <w:p w14:paraId="670AAA18" w14:textId="04F45CD0" w:rsidR="00374264" w:rsidRPr="00041A72" w:rsidRDefault="00374264" w:rsidP="00374264">
            <w:pPr>
              <w:ind w:firstLine="0"/>
              <w:jc w:val="left"/>
              <w:rPr>
                <w:sz w:val="18"/>
                <w:szCs w:val="18"/>
                <w:lang w:val="es-CO"/>
              </w:rPr>
            </w:pPr>
            <w:r w:rsidRPr="00041A72">
              <w:rPr>
                <w:sz w:val="18"/>
                <w:szCs w:val="18"/>
                <w:lang w:val="es-CO"/>
              </w:rPr>
              <w:t>2</w:t>
            </w:r>
            <w:r w:rsidR="008F3958">
              <w:rPr>
                <w:sz w:val="18"/>
                <w:szCs w:val="18"/>
                <w:lang w:val="es-CO"/>
              </w:rPr>
              <w:t>6</w:t>
            </w:r>
          </w:p>
        </w:tc>
        <w:tc>
          <w:tcPr>
            <w:tcW w:w="3780" w:type="dxa"/>
            <w:hideMark/>
          </w:tcPr>
          <w:p w14:paraId="009824B7" w14:textId="69AEE637" w:rsidR="00374264" w:rsidRPr="00AA78FE" w:rsidRDefault="00374264" w:rsidP="00374264">
            <w:pPr>
              <w:ind w:firstLine="0"/>
              <w:jc w:val="left"/>
              <w:rPr>
                <w:bCs/>
                <w:sz w:val="18"/>
                <w:szCs w:val="18"/>
                <w:lang w:val="es-CO"/>
              </w:rPr>
            </w:pPr>
            <w:r w:rsidRPr="00041A72">
              <w:rPr>
                <w:bCs/>
                <w:sz w:val="18"/>
                <w:szCs w:val="18"/>
                <w:lang w:val="es-CO"/>
              </w:rPr>
              <w:t>Solicitar a través de la Gerencia Administrativa, que se realice la aprobación de la compra centralizada de reactivos mediante el fideicomiso</w:t>
            </w:r>
          </w:p>
        </w:tc>
        <w:tc>
          <w:tcPr>
            <w:tcW w:w="630" w:type="dxa"/>
            <w:hideMark/>
          </w:tcPr>
          <w:p w14:paraId="67C54004" w14:textId="77777777" w:rsidR="00374264" w:rsidRPr="00041A72" w:rsidRDefault="00374264" w:rsidP="00374264">
            <w:pPr>
              <w:ind w:firstLine="0"/>
              <w:jc w:val="left"/>
              <w:rPr>
                <w:sz w:val="18"/>
                <w:szCs w:val="18"/>
                <w:lang w:val="es-CO"/>
              </w:rPr>
            </w:pPr>
            <w:r w:rsidRPr="00041A72">
              <w:rPr>
                <w:sz w:val="18"/>
                <w:szCs w:val="18"/>
                <w:lang w:val="es-CO"/>
              </w:rPr>
              <w:t xml:space="preserve">2019 </w:t>
            </w:r>
          </w:p>
        </w:tc>
        <w:tc>
          <w:tcPr>
            <w:tcW w:w="1530" w:type="dxa"/>
            <w:hideMark/>
          </w:tcPr>
          <w:p w14:paraId="1535DADC" w14:textId="77777777" w:rsidR="00374264" w:rsidRPr="00041A72" w:rsidRDefault="00374264" w:rsidP="00374264">
            <w:pPr>
              <w:ind w:firstLine="0"/>
              <w:jc w:val="left"/>
              <w:rPr>
                <w:sz w:val="18"/>
                <w:szCs w:val="18"/>
                <w:lang w:val="es-CO"/>
              </w:rPr>
            </w:pPr>
            <w:r w:rsidRPr="00041A72">
              <w:rPr>
                <w:sz w:val="18"/>
                <w:szCs w:val="18"/>
                <w:lang w:val="es-CO"/>
              </w:rPr>
              <w:t>ULMIE</w:t>
            </w:r>
          </w:p>
        </w:tc>
        <w:tc>
          <w:tcPr>
            <w:tcW w:w="540" w:type="dxa"/>
          </w:tcPr>
          <w:p w14:paraId="4E19DD19" w14:textId="77777777" w:rsidR="00374264" w:rsidRPr="00041A72" w:rsidRDefault="00374264" w:rsidP="00374264">
            <w:pPr>
              <w:ind w:firstLine="0"/>
              <w:jc w:val="left"/>
              <w:rPr>
                <w:sz w:val="18"/>
                <w:szCs w:val="18"/>
                <w:lang w:val="es-CO"/>
              </w:rPr>
            </w:pPr>
            <w:r w:rsidRPr="00041A72">
              <w:rPr>
                <w:sz w:val="18"/>
                <w:szCs w:val="18"/>
                <w:lang w:val="es-CO"/>
              </w:rPr>
              <w:t>No</w:t>
            </w:r>
          </w:p>
        </w:tc>
        <w:tc>
          <w:tcPr>
            <w:tcW w:w="1440" w:type="dxa"/>
          </w:tcPr>
          <w:p w14:paraId="5143E43E" w14:textId="77777777" w:rsidR="00374264" w:rsidRPr="00041A72" w:rsidRDefault="00374264" w:rsidP="00374264">
            <w:pPr>
              <w:ind w:firstLine="0"/>
              <w:jc w:val="left"/>
              <w:rPr>
                <w:sz w:val="18"/>
                <w:szCs w:val="18"/>
                <w:lang w:val="es-CO"/>
              </w:rPr>
            </w:pPr>
          </w:p>
        </w:tc>
        <w:tc>
          <w:tcPr>
            <w:tcW w:w="900" w:type="dxa"/>
          </w:tcPr>
          <w:p w14:paraId="34980866" w14:textId="77777777" w:rsidR="00374264" w:rsidRPr="00041A72" w:rsidRDefault="00374264" w:rsidP="00374264">
            <w:pPr>
              <w:ind w:firstLine="0"/>
              <w:jc w:val="left"/>
              <w:rPr>
                <w:sz w:val="18"/>
                <w:szCs w:val="18"/>
                <w:lang w:val="es-419"/>
              </w:rPr>
            </w:pPr>
          </w:p>
        </w:tc>
        <w:tc>
          <w:tcPr>
            <w:tcW w:w="1080" w:type="dxa"/>
            <w:vMerge/>
          </w:tcPr>
          <w:p w14:paraId="4786FDC8" w14:textId="77777777" w:rsidR="00374264" w:rsidRPr="00041A72" w:rsidRDefault="00374264" w:rsidP="00374264">
            <w:pPr>
              <w:ind w:firstLine="0"/>
              <w:jc w:val="left"/>
              <w:rPr>
                <w:sz w:val="18"/>
                <w:szCs w:val="18"/>
                <w:lang w:val="es-419"/>
              </w:rPr>
            </w:pPr>
          </w:p>
        </w:tc>
        <w:tc>
          <w:tcPr>
            <w:tcW w:w="1365" w:type="dxa"/>
            <w:hideMark/>
          </w:tcPr>
          <w:p w14:paraId="20C2BB7F" w14:textId="77777777" w:rsidR="00374264" w:rsidRPr="00041A72" w:rsidRDefault="00374264" w:rsidP="00374264">
            <w:pPr>
              <w:ind w:firstLine="0"/>
              <w:jc w:val="left"/>
              <w:rPr>
                <w:sz w:val="18"/>
                <w:szCs w:val="18"/>
                <w:lang w:val="es-CO"/>
              </w:rPr>
            </w:pPr>
            <w:r w:rsidRPr="00041A72">
              <w:rPr>
                <w:sz w:val="18"/>
                <w:szCs w:val="18"/>
                <w:lang w:val="es-CO"/>
              </w:rPr>
              <w:t xml:space="preserve"> Resolución acuerdo ministerial </w:t>
            </w:r>
          </w:p>
        </w:tc>
      </w:tr>
      <w:tr w:rsidR="00374264" w:rsidRPr="00041A72" w14:paraId="2DA9AEC6" w14:textId="77777777" w:rsidTr="00AA78FE">
        <w:trPr>
          <w:trHeight w:val="692"/>
        </w:trPr>
        <w:tc>
          <w:tcPr>
            <w:tcW w:w="265" w:type="dxa"/>
            <w:vMerge/>
          </w:tcPr>
          <w:p w14:paraId="1A231D15" w14:textId="77777777" w:rsidR="00374264" w:rsidRPr="00041A72" w:rsidRDefault="00374264" w:rsidP="00374264">
            <w:pPr>
              <w:ind w:firstLine="0"/>
              <w:jc w:val="left"/>
              <w:rPr>
                <w:b/>
                <w:bCs/>
                <w:sz w:val="18"/>
                <w:szCs w:val="18"/>
                <w:lang w:val="es-CO"/>
              </w:rPr>
            </w:pPr>
          </w:p>
        </w:tc>
        <w:tc>
          <w:tcPr>
            <w:tcW w:w="2440" w:type="dxa"/>
            <w:vMerge/>
          </w:tcPr>
          <w:p w14:paraId="501F7A61" w14:textId="77777777" w:rsidR="00374264" w:rsidRPr="00041A72" w:rsidRDefault="00374264" w:rsidP="00374264">
            <w:pPr>
              <w:ind w:firstLine="0"/>
              <w:jc w:val="left"/>
              <w:rPr>
                <w:sz w:val="18"/>
                <w:szCs w:val="18"/>
                <w:lang w:val="es-CO"/>
              </w:rPr>
            </w:pPr>
          </w:p>
        </w:tc>
        <w:tc>
          <w:tcPr>
            <w:tcW w:w="440" w:type="dxa"/>
          </w:tcPr>
          <w:p w14:paraId="62A6CD94" w14:textId="6A59CD67" w:rsidR="00374264" w:rsidRPr="00041A72" w:rsidRDefault="00374264" w:rsidP="00374264">
            <w:pPr>
              <w:ind w:firstLine="0"/>
              <w:jc w:val="left"/>
              <w:rPr>
                <w:sz w:val="18"/>
                <w:szCs w:val="18"/>
                <w:lang w:val="es-CO"/>
              </w:rPr>
            </w:pPr>
            <w:r w:rsidRPr="00041A72">
              <w:rPr>
                <w:sz w:val="18"/>
                <w:szCs w:val="18"/>
                <w:lang w:val="es-CO"/>
              </w:rPr>
              <w:t>2</w:t>
            </w:r>
            <w:r w:rsidR="008F3958">
              <w:rPr>
                <w:sz w:val="18"/>
                <w:szCs w:val="18"/>
                <w:lang w:val="es-CO"/>
              </w:rPr>
              <w:t>7</w:t>
            </w:r>
          </w:p>
        </w:tc>
        <w:tc>
          <w:tcPr>
            <w:tcW w:w="3780" w:type="dxa"/>
          </w:tcPr>
          <w:p w14:paraId="342987A6" w14:textId="004A0AA7" w:rsidR="00374264" w:rsidRPr="00041A72" w:rsidRDefault="00374264" w:rsidP="00374264">
            <w:pPr>
              <w:ind w:firstLine="0"/>
              <w:jc w:val="left"/>
              <w:rPr>
                <w:bCs/>
                <w:sz w:val="18"/>
                <w:szCs w:val="18"/>
                <w:lang w:val="es-CO"/>
              </w:rPr>
            </w:pPr>
            <w:r w:rsidRPr="00041A72">
              <w:rPr>
                <w:bCs/>
                <w:sz w:val="18"/>
                <w:szCs w:val="18"/>
                <w:lang w:val="es-CO"/>
              </w:rPr>
              <w:t>Análisis de costo-efectividad de los mecanismos de compra conjunta internacional disponibles para la adquisición de productos a mejores precios y tiempos de entrega</w:t>
            </w:r>
            <w:r w:rsidR="00E846C9">
              <w:rPr>
                <w:bCs/>
                <w:sz w:val="18"/>
                <w:szCs w:val="18"/>
                <w:lang w:val="es-CO"/>
              </w:rPr>
              <w:t xml:space="preserve">, incluyendo el Fondo Estratégico y la plataforma </w:t>
            </w:r>
            <w:proofErr w:type="spellStart"/>
            <w:r w:rsidR="00E846C9">
              <w:rPr>
                <w:bCs/>
                <w:sz w:val="18"/>
                <w:szCs w:val="18"/>
                <w:lang w:val="es-CO"/>
              </w:rPr>
              <w:t>Wambo</w:t>
            </w:r>
            <w:proofErr w:type="spellEnd"/>
            <w:r w:rsidR="00E846C9">
              <w:rPr>
                <w:bCs/>
                <w:sz w:val="18"/>
                <w:szCs w:val="18"/>
                <w:lang w:val="es-CO"/>
              </w:rPr>
              <w:t xml:space="preserve"> del Fondo Mundial.</w:t>
            </w:r>
          </w:p>
        </w:tc>
        <w:tc>
          <w:tcPr>
            <w:tcW w:w="630" w:type="dxa"/>
          </w:tcPr>
          <w:p w14:paraId="3845BFD3" w14:textId="77777777" w:rsidR="00374264" w:rsidRPr="00041A72" w:rsidRDefault="00374264" w:rsidP="00374264">
            <w:pPr>
              <w:ind w:firstLine="0"/>
              <w:jc w:val="left"/>
              <w:rPr>
                <w:sz w:val="18"/>
                <w:szCs w:val="18"/>
                <w:lang w:val="es-CO"/>
              </w:rPr>
            </w:pPr>
            <w:r w:rsidRPr="00041A72">
              <w:rPr>
                <w:sz w:val="18"/>
                <w:szCs w:val="18"/>
                <w:lang w:val="es-CO"/>
              </w:rPr>
              <w:t xml:space="preserve">2019 </w:t>
            </w:r>
          </w:p>
        </w:tc>
        <w:tc>
          <w:tcPr>
            <w:tcW w:w="1530" w:type="dxa"/>
          </w:tcPr>
          <w:p w14:paraId="66DCD74B" w14:textId="77777777" w:rsidR="00374264" w:rsidRPr="00041A72" w:rsidRDefault="00374264" w:rsidP="00374264">
            <w:pPr>
              <w:ind w:firstLine="0"/>
              <w:jc w:val="left"/>
              <w:rPr>
                <w:sz w:val="18"/>
                <w:szCs w:val="18"/>
                <w:lang w:val="es-CO"/>
              </w:rPr>
            </w:pPr>
            <w:r w:rsidRPr="00041A72">
              <w:rPr>
                <w:sz w:val="18"/>
                <w:szCs w:val="18"/>
                <w:lang w:val="es-CO"/>
              </w:rPr>
              <w:t>ULMIE</w:t>
            </w:r>
          </w:p>
        </w:tc>
        <w:tc>
          <w:tcPr>
            <w:tcW w:w="540" w:type="dxa"/>
          </w:tcPr>
          <w:p w14:paraId="413C49B0" w14:textId="77777777" w:rsidR="00374264" w:rsidRPr="00041A72" w:rsidRDefault="00374264" w:rsidP="00374264">
            <w:pPr>
              <w:ind w:firstLine="0"/>
              <w:jc w:val="left"/>
              <w:rPr>
                <w:sz w:val="18"/>
                <w:szCs w:val="18"/>
                <w:lang w:val="es-CO"/>
              </w:rPr>
            </w:pPr>
            <w:r w:rsidRPr="00041A72">
              <w:rPr>
                <w:sz w:val="18"/>
                <w:szCs w:val="18"/>
                <w:lang w:val="es-CO"/>
              </w:rPr>
              <w:t>Si</w:t>
            </w:r>
          </w:p>
        </w:tc>
        <w:tc>
          <w:tcPr>
            <w:tcW w:w="1440" w:type="dxa"/>
          </w:tcPr>
          <w:p w14:paraId="40E3BEED" w14:textId="55BA1258" w:rsidR="00374264" w:rsidRPr="00041A72" w:rsidRDefault="00374264" w:rsidP="00374264">
            <w:pPr>
              <w:ind w:firstLine="0"/>
              <w:jc w:val="left"/>
              <w:rPr>
                <w:sz w:val="18"/>
                <w:szCs w:val="18"/>
                <w:lang w:val="es-CO"/>
              </w:rPr>
            </w:pPr>
            <w:r w:rsidRPr="00041A72">
              <w:rPr>
                <w:sz w:val="18"/>
                <w:szCs w:val="18"/>
                <w:lang w:val="es-CO"/>
              </w:rPr>
              <w:t xml:space="preserve">30,000-40,000 USD </w:t>
            </w:r>
          </w:p>
        </w:tc>
        <w:tc>
          <w:tcPr>
            <w:tcW w:w="900" w:type="dxa"/>
          </w:tcPr>
          <w:p w14:paraId="7C2069B4" w14:textId="77777777" w:rsidR="00374264" w:rsidRPr="00041A72" w:rsidRDefault="00374264" w:rsidP="00374264">
            <w:pPr>
              <w:ind w:firstLine="0"/>
              <w:jc w:val="left"/>
              <w:rPr>
                <w:sz w:val="18"/>
                <w:szCs w:val="18"/>
                <w:lang w:val="es-CO"/>
              </w:rPr>
            </w:pPr>
          </w:p>
        </w:tc>
        <w:tc>
          <w:tcPr>
            <w:tcW w:w="1080" w:type="dxa"/>
            <w:vMerge/>
          </w:tcPr>
          <w:p w14:paraId="028415E8" w14:textId="77777777" w:rsidR="00374264" w:rsidRPr="00041A72" w:rsidRDefault="00374264" w:rsidP="00374264">
            <w:pPr>
              <w:ind w:firstLine="0"/>
              <w:jc w:val="left"/>
              <w:rPr>
                <w:sz w:val="18"/>
                <w:szCs w:val="18"/>
                <w:lang w:val="es-CO"/>
              </w:rPr>
            </w:pPr>
          </w:p>
        </w:tc>
        <w:tc>
          <w:tcPr>
            <w:tcW w:w="1365" w:type="dxa"/>
          </w:tcPr>
          <w:p w14:paraId="20490DF8" w14:textId="0C30311B" w:rsidR="00374264" w:rsidRPr="00041A72" w:rsidRDefault="00374264" w:rsidP="00374264">
            <w:pPr>
              <w:ind w:firstLine="0"/>
              <w:jc w:val="left"/>
              <w:rPr>
                <w:sz w:val="18"/>
                <w:szCs w:val="18"/>
                <w:lang w:val="es-CO"/>
              </w:rPr>
            </w:pPr>
            <w:r w:rsidRPr="00041A72">
              <w:rPr>
                <w:sz w:val="18"/>
                <w:szCs w:val="18"/>
                <w:lang w:val="es-CO"/>
              </w:rPr>
              <w:t>Reporte técnico con las alternativas de mecanismos de compra internacional disponibles y que el país puede optar</w:t>
            </w:r>
            <w:r>
              <w:rPr>
                <w:sz w:val="18"/>
                <w:szCs w:val="18"/>
                <w:lang w:val="es-CO"/>
              </w:rPr>
              <w:t>.</w:t>
            </w:r>
          </w:p>
        </w:tc>
      </w:tr>
      <w:tr w:rsidR="00374264" w:rsidRPr="00041A72" w14:paraId="74E1C1FA" w14:textId="77777777" w:rsidTr="00543946">
        <w:trPr>
          <w:trHeight w:val="862"/>
        </w:trPr>
        <w:tc>
          <w:tcPr>
            <w:tcW w:w="265" w:type="dxa"/>
            <w:vMerge/>
          </w:tcPr>
          <w:p w14:paraId="3B5DA27D" w14:textId="77777777" w:rsidR="00374264" w:rsidRPr="00041A72" w:rsidRDefault="00374264" w:rsidP="00374264">
            <w:pPr>
              <w:ind w:firstLine="0"/>
              <w:jc w:val="left"/>
              <w:rPr>
                <w:b/>
                <w:bCs/>
                <w:sz w:val="18"/>
                <w:szCs w:val="18"/>
                <w:lang w:val="es-CO"/>
              </w:rPr>
            </w:pPr>
          </w:p>
        </w:tc>
        <w:tc>
          <w:tcPr>
            <w:tcW w:w="2440" w:type="dxa"/>
            <w:vMerge/>
          </w:tcPr>
          <w:p w14:paraId="122F6A62" w14:textId="77777777" w:rsidR="00374264" w:rsidRPr="00041A72" w:rsidRDefault="00374264" w:rsidP="00374264">
            <w:pPr>
              <w:ind w:firstLine="0"/>
              <w:jc w:val="left"/>
              <w:rPr>
                <w:sz w:val="18"/>
                <w:szCs w:val="18"/>
                <w:lang w:val="es-CO"/>
              </w:rPr>
            </w:pPr>
          </w:p>
        </w:tc>
        <w:tc>
          <w:tcPr>
            <w:tcW w:w="440" w:type="dxa"/>
          </w:tcPr>
          <w:p w14:paraId="4010E454" w14:textId="67F7052C" w:rsidR="00374264" w:rsidRPr="00041A72" w:rsidRDefault="00374264" w:rsidP="00374264">
            <w:pPr>
              <w:ind w:firstLine="0"/>
              <w:jc w:val="left"/>
              <w:rPr>
                <w:sz w:val="18"/>
                <w:szCs w:val="18"/>
                <w:lang w:val="es-CO"/>
              </w:rPr>
            </w:pPr>
            <w:r w:rsidRPr="00041A72">
              <w:rPr>
                <w:sz w:val="18"/>
                <w:szCs w:val="18"/>
                <w:lang w:val="es-CO"/>
              </w:rPr>
              <w:t>2</w:t>
            </w:r>
            <w:r w:rsidR="008F3958">
              <w:rPr>
                <w:sz w:val="18"/>
                <w:szCs w:val="18"/>
                <w:lang w:val="es-CO"/>
              </w:rPr>
              <w:t>8</w:t>
            </w:r>
          </w:p>
        </w:tc>
        <w:tc>
          <w:tcPr>
            <w:tcW w:w="3780" w:type="dxa"/>
          </w:tcPr>
          <w:p w14:paraId="6314433B" w14:textId="75C2B0FB" w:rsidR="00374264" w:rsidRPr="00041A72" w:rsidRDefault="00374264" w:rsidP="00374264">
            <w:pPr>
              <w:ind w:firstLine="0"/>
              <w:jc w:val="left"/>
              <w:rPr>
                <w:bCs/>
                <w:sz w:val="18"/>
                <w:szCs w:val="18"/>
                <w:lang w:val="es-CO"/>
              </w:rPr>
            </w:pPr>
            <w:r w:rsidRPr="00041A72">
              <w:rPr>
                <w:bCs/>
                <w:sz w:val="18"/>
                <w:szCs w:val="18"/>
                <w:lang w:val="es-CO"/>
              </w:rPr>
              <w:t xml:space="preserve">Elaboración, validación, y socialización plan de transición de la compra ARV e insumos con fondos </w:t>
            </w:r>
            <w:r w:rsidR="00671EF2">
              <w:rPr>
                <w:bCs/>
                <w:sz w:val="18"/>
                <w:szCs w:val="18"/>
                <w:lang w:val="es-CO"/>
              </w:rPr>
              <w:t>públicos</w:t>
            </w:r>
          </w:p>
          <w:p w14:paraId="1B640AAC" w14:textId="77777777" w:rsidR="00374264" w:rsidRPr="00041A72" w:rsidRDefault="00374264" w:rsidP="00374264">
            <w:pPr>
              <w:ind w:firstLine="0"/>
              <w:jc w:val="left"/>
              <w:rPr>
                <w:bCs/>
                <w:sz w:val="18"/>
                <w:szCs w:val="18"/>
                <w:lang w:val="es-CO"/>
              </w:rPr>
            </w:pPr>
          </w:p>
        </w:tc>
        <w:tc>
          <w:tcPr>
            <w:tcW w:w="630" w:type="dxa"/>
          </w:tcPr>
          <w:p w14:paraId="67FA32F6" w14:textId="77777777" w:rsidR="00374264" w:rsidRPr="00041A72" w:rsidRDefault="00374264" w:rsidP="00374264">
            <w:pPr>
              <w:ind w:firstLine="0"/>
              <w:jc w:val="left"/>
              <w:rPr>
                <w:sz w:val="18"/>
                <w:szCs w:val="18"/>
                <w:lang w:val="es-CO"/>
              </w:rPr>
            </w:pPr>
            <w:r w:rsidRPr="00041A72">
              <w:rPr>
                <w:sz w:val="18"/>
                <w:szCs w:val="18"/>
                <w:lang w:val="es-CO"/>
              </w:rPr>
              <w:t xml:space="preserve">2019 </w:t>
            </w:r>
          </w:p>
        </w:tc>
        <w:tc>
          <w:tcPr>
            <w:tcW w:w="1530" w:type="dxa"/>
          </w:tcPr>
          <w:p w14:paraId="0481F657" w14:textId="77777777" w:rsidR="00374264" w:rsidRPr="00041A72" w:rsidRDefault="00374264" w:rsidP="00374264">
            <w:pPr>
              <w:ind w:firstLine="0"/>
              <w:jc w:val="left"/>
              <w:rPr>
                <w:sz w:val="18"/>
                <w:szCs w:val="18"/>
                <w:lang w:val="es-CO"/>
              </w:rPr>
            </w:pPr>
            <w:r w:rsidRPr="00041A72">
              <w:rPr>
                <w:sz w:val="18"/>
                <w:szCs w:val="18"/>
                <w:lang w:val="es-CO"/>
              </w:rPr>
              <w:t>ULMIE / SESAL</w:t>
            </w:r>
          </w:p>
        </w:tc>
        <w:tc>
          <w:tcPr>
            <w:tcW w:w="540" w:type="dxa"/>
          </w:tcPr>
          <w:p w14:paraId="08D41B76" w14:textId="77777777" w:rsidR="00374264" w:rsidRPr="00041A72" w:rsidRDefault="00374264" w:rsidP="00374264">
            <w:pPr>
              <w:ind w:firstLine="0"/>
              <w:jc w:val="left"/>
              <w:rPr>
                <w:sz w:val="18"/>
                <w:szCs w:val="18"/>
                <w:lang w:val="es-CO"/>
              </w:rPr>
            </w:pPr>
            <w:r w:rsidRPr="00041A72">
              <w:rPr>
                <w:sz w:val="18"/>
                <w:szCs w:val="18"/>
                <w:lang w:val="es-CO"/>
              </w:rPr>
              <w:t>No</w:t>
            </w:r>
          </w:p>
        </w:tc>
        <w:tc>
          <w:tcPr>
            <w:tcW w:w="1440" w:type="dxa"/>
          </w:tcPr>
          <w:p w14:paraId="4C2E25A7" w14:textId="77777777" w:rsidR="00374264" w:rsidRPr="00041A72" w:rsidRDefault="00374264" w:rsidP="00374264">
            <w:pPr>
              <w:ind w:firstLine="0"/>
              <w:jc w:val="left"/>
              <w:rPr>
                <w:sz w:val="18"/>
                <w:szCs w:val="18"/>
                <w:lang w:val="es-CO"/>
              </w:rPr>
            </w:pPr>
          </w:p>
        </w:tc>
        <w:tc>
          <w:tcPr>
            <w:tcW w:w="900" w:type="dxa"/>
          </w:tcPr>
          <w:p w14:paraId="216762D1" w14:textId="77777777" w:rsidR="00374264" w:rsidRPr="00041A72" w:rsidRDefault="00374264" w:rsidP="00374264">
            <w:pPr>
              <w:ind w:firstLine="0"/>
              <w:jc w:val="left"/>
              <w:rPr>
                <w:sz w:val="18"/>
                <w:szCs w:val="18"/>
                <w:lang w:val="es-CO"/>
              </w:rPr>
            </w:pPr>
          </w:p>
        </w:tc>
        <w:tc>
          <w:tcPr>
            <w:tcW w:w="1080" w:type="dxa"/>
            <w:vMerge/>
          </w:tcPr>
          <w:p w14:paraId="1646BC07" w14:textId="77777777" w:rsidR="00374264" w:rsidRPr="00041A72" w:rsidRDefault="00374264" w:rsidP="00374264">
            <w:pPr>
              <w:ind w:firstLine="0"/>
              <w:jc w:val="left"/>
              <w:rPr>
                <w:sz w:val="18"/>
                <w:szCs w:val="18"/>
                <w:lang w:val="es-CO"/>
              </w:rPr>
            </w:pPr>
          </w:p>
        </w:tc>
        <w:tc>
          <w:tcPr>
            <w:tcW w:w="1365" w:type="dxa"/>
          </w:tcPr>
          <w:p w14:paraId="32A812B0" w14:textId="77777777" w:rsidR="00374264" w:rsidRPr="00041A72" w:rsidRDefault="00374264" w:rsidP="00374264">
            <w:pPr>
              <w:ind w:firstLine="0"/>
              <w:jc w:val="left"/>
              <w:rPr>
                <w:sz w:val="18"/>
                <w:szCs w:val="18"/>
                <w:lang w:val="es-CO"/>
              </w:rPr>
            </w:pPr>
            <w:r w:rsidRPr="00041A72">
              <w:rPr>
                <w:sz w:val="18"/>
                <w:szCs w:val="18"/>
                <w:lang w:val="es-CO"/>
              </w:rPr>
              <w:t xml:space="preserve">Plan de compras centralizado aprobado </w:t>
            </w:r>
          </w:p>
        </w:tc>
      </w:tr>
      <w:tr w:rsidR="00374264" w:rsidRPr="00041A72" w14:paraId="7006FC92" w14:textId="77777777" w:rsidTr="00AA78FE">
        <w:trPr>
          <w:trHeight w:val="711"/>
        </w:trPr>
        <w:tc>
          <w:tcPr>
            <w:tcW w:w="265" w:type="dxa"/>
            <w:vMerge w:val="restart"/>
          </w:tcPr>
          <w:p w14:paraId="668041E4" w14:textId="6317275F" w:rsidR="00374264" w:rsidRPr="00374695" w:rsidRDefault="00374264" w:rsidP="00374264">
            <w:pPr>
              <w:ind w:firstLine="0"/>
              <w:jc w:val="left"/>
              <w:rPr>
                <w:bCs/>
                <w:sz w:val="18"/>
                <w:szCs w:val="18"/>
                <w:lang w:val="es-CO"/>
              </w:rPr>
            </w:pPr>
            <w:r>
              <w:rPr>
                <w:bCs/>
                <w:sz w:val="18"/>
                <w:szCs w:val="18"/>
                <w:lang w:val="es-CO"/>
              </w:rPr>
              <w:lastRenderedPageBreak/>
              <w:t>n</w:t>
            </w:r>
          </w:p>
        </w:tc>
        <w:tc>
          <w:tcPr>
            <w:tcW w:w="2440" w:type="dxa"/>
            <w:vMerge w:val="restart"/>
          </w:tcPr>
          <w:p w14:paraId="616CC15C" w14:textId="77777777" w:rsidR="00374264" w:rsidRPr="00374695" w:rsidRDefault="00374264" w:rsidP="00374264">
            <w:pPr>
              <w:ind w:firstLine="0"/>
              <w:jc w:val="left"/>
              <w:rPr>
                <w:sz w:val="18"/>
                <w:szCs w:val="18"/>
                <w:lang w:val="es-CO"/>
              </w:rPr>
            </w:pPr>
            <w:r w:rsidRPr="00374695">
              <w:rPr>
                <w:sz w:val="18"/>
                <w:szCs w:val="18"/>
                <w:lang w:val="es-CO"/>
              </w:rPr>
              <w:t>Gestionar nuevos mecanismos de compra nacionales e internacionales para obtener precios de referencia de medicamentos de ARV (incluyendo lo de mayor impacto financieros – 3er línea)</w:t>
            </w:r>
          </w:p>
        </w:tc>
        <w:tc>
          <w:tcPr>
            <w:tcW w:w="440" w:type="dxa"/>
          </w:tcPr>
          <w:p w14:paraId="2442D817" w14:textId="104CF751" w:rsidR="00374264" w:rsidRPr="00041A72" w:rsidRDefault="00374264" w:rsidP="00374264">
            <w:pPr>
              <w:ind w:firstLine="0"/>
              <w:jc w:val="left"/>
              <w:rPr>
                <w:sz w:val="18"/>
                <w:szCs w:val="18"/>
                <w:lang w:val="es-CO"/>
              </w:rPr>
            </w:pPr>
            <w:r w:rsidRPr="00041A72">
              <w:rPr>
                <w:sz w:val="18"/>
                <w:szCs w:val="18"/>
                <w:lang w:val="es-CO"/>
              </w:rPr>
              <w:t>2</w:t>
            </w:r>
            <w:r w:rsidR="008F3958">
              <w:rPr>
                <w:sz w:val="18"/>
                <w:szCs w:val="18"/>
                <w:lang w:val="es-CO"/>
              </w:rPr>
              <w:t>9</w:t>
            </w:r>
          </w:p>
        </w:tc>
        <w:tc>
          <w:tcPr>
            <w:tcW w:w="3780" w:type="dxa"/>
          </w:tcPr>
          <w:p w14:paraId="3368B2E3" w14:textId="77777777" w:rsidR="00374264" w:rsidRPr="00041A72" w:rsidRDefault="00374264" w:rsidP="00374264">
            <w:pPr>
              <w:ind w:firstLine="0"/>
              <w:jc w:val="left"/>
              <w:rPr>
                <w:bCs/>
                <w:sz w:val="18"/>
                <w:szCs w:val="18"/>
                <w:lang w:val="es-CO"/>
              </w:rPr>
            </w:pPr>
            <w:r w:rsidRPr="00041A72">
              <w:rPr>
                <w:sz w:val="18"/>
                <w:szCs w:val="18"/>
                <w:lang w:val="es-CO"/>
              </w:rPr>
              <w:t>Creación del acuerdo ministerial con el mecanismo identificado más costo efectivo para las adquisiciones de los ARV e insumos de VIH</w:t>
            </w:r>
          </w:p>
        </w:tc>
        <w:tc>
          <w:tcPr>
            <w:tcW w:w="630" w:type="dxa"/>
          </w:tcPr>
          <w:p w14:paraId="52A381B6" w14:textId="77777777" w:rsidR="00374264" w:rsidRPr="00041A72" w:rsidRDefault="00374264" w:rsidP="00374264">
            <w:pPr>
              <w:ind w:firstLine="0"/>
              <w:jc w:val="left"/>
              <w:rPr>
                <w:sz w:val="18"/>
                <w:szCs w:val="18"/>
                <w:lang w:val="es-CO"/>
              </w:rPr>
            </w:pPr>
            <w:r w:rsidRPr="00041A72">
              <w:rPr>
                <w:sz w:val="18"/>
                <w:szCs w:val="18"/>
                <w:lang w:val="es-CO"/>
              </w:rPr>
              <w:t>2019</w:t>
            </w:r>
          </w:p>
        </w:tc>
        <w:tc>
          <w:tcPr>
            <w:tcW w:w="1530" w:type="dxa"/>
          </w:tcPr>
          <w:p w14:paraId="65B3F563" w14:textId="77777777" w:rsidR="00374264" w:rsidRPr="00041A72" w:rsidRDefault="00374264" w:rsidP="00374264">
            <w:pPr>
              <w:ind w:firstLine="0"/>
              <w:jc w:val="left"/>
              <w:rPr>
                <w:sz w:val="18"/>
                <w:szCs w:val="18"/>
                <w:lang w:val="es-CO"/>
              </w:rPr>
            </w:pPr>
            <w:r w:rsidRPr="00041A72">
              <w:rPr>
                <w:sz w:val="18"/>
                <w:szCs w:val="18"/>
                <w:lang w:val="es-CO"/>
              </w:rPr>
              <w:t>ULMIE / SESAL</w:t>
            </w:r>
          </w:p>
        </w:tc>
        <w:tc>
          <w:tcPr>
            <w:tcW w:w="540" w:type="dxa"/>
          </w:tcPr>
          <w:p w14:paraId="43D9C1BD" w14:textId="77777777" w:rsidR="00374264" w:rsidRPr="00041A72" w:rsidRDefault="00374264" w:rsidP="00374264">
            <w:pPr>
              <w:ind w:firstLine="0"/>
              <w:jc w:val="left"/>
              <w:rPr>
                <w:sz w:val="18"/>
                <w:szCs w:val="18"/>
                <w:lang w:val="es-CO"/>
              </w:rPr>
            </w:pPr>
            <w:r w:rsidRPr="00041A72">
              <w:rPr>
                <w:sz w:val="18"/>
                <w:szCs w:val="18"/>
                <w:lang w:val="es-CO"/>
              </w:rPr>
              <w:t>No</w:t>
            </w:r>
          </w:p>
        </w:tc>
        <w:tc>
          <w:tcPr>
            <w:tcW w:w="1440" w:type="dxa"/>
          </w:tcPr>
          <w:p w14:paraId="13EA4348" w14:textId="77777777" w:rsidR="00374264" w:rsidRPr="00041A72" w:rsidRDefault="00374264" w:rsidP="00374264">
            <w:pPr>
              <w:ind w:firstLine="0"/>
              <w:jc w:val="left"/>
              <w:rPr>
                <w:sz w:val="18"/>
                <w:szCs w:val="18"/>
                <w:lang w:val="es-CO"/>
              </w:rPr>
            </w:pPr>
          </w:p>
        </w:tc>
        <w:tc>
          <w:tcPr>
            <w:tcW w:w="900" w:type="dxa"/>
          </w:tcPr>
          <w:p w14:paraId="1D23EFE9" w14:textId="77777777" w:rsidR="00374264" w:rsidRPr="00041A72" w:rsidRDefault="00374264" w:rsidP="00374264">
            <w:pPr>
              <w:ind w:firstLine="0"/>
              <w:jc w:val="left"/>
              <w:rPr>
                <w:sz w:val="18"/>
                <w:szCs w:val="18"/>
                <w:lang w:val="es-CO"/>
              </w:rPr>
            </w:pPr>
          </w:p>
        </w:tc>
        <w:tc>
          <w:tcPr>
            <w:tcW w:w="1080" w:type="dxa"/>
            <w:vMerge w:val="restart"/>
          </w:tcPr>
          <w:p w14:paraId="06B76D74" w14:textId="77777777" w:rsidR="00374264" w:rsidRPr="00041A72" w:rsidRDefault="00374264" w:rsidP="00374264">
            <w:pPr>
              <w:ind w:firstLine="0"/>
              <w:jc w:val="left"/>
              <w:rPr>
                <w:sz w:val="18"/>
                <w:szCs w:val="18"/>
                <w:lang w:val="es-CO"/>
              </w:rPr>
            </w:pPr>
          </w:p>
        </w:tc>
        <w:tc>
          <w:tcPr>
            <w:tcW w:w="1365" w:type="dxa"/>
          </w:tcPr>
          <w:p w14:paraId="45EEAA45" w14:textId="77777777" w:rsidR="00374264" w:rsidRPr="00041A72" w:rsidRDefault="00374264" w:rsidP="00374264">
            <w:pPr>
              <w:ind w:firstLine="0"/>
              <w:jc w:val="left"/>
              <w:rPr>
                <w:sz w:val="18"/>
                <w:szCs w:val="18"/>
                <w:lang w:val="es-CO"/>
              </w:rPr>
            </w:pPr>
            <w:r w:rsidRPr="00041A72">
              <w:rPr>
                <w:sz w:val="18"/>
                <w:szCs w:val="18"/>
                <w:lang w:val="es-CO"/>
              </w:rPr>
              <w:t>Resolución acuerdo ministerial</w:t>
            </w:r>
          </w:p>
        </w:tc>
      </w:tr>
      <w:tr w:rsidR="00374264" w:rsidRPr="00041A72" w14:paraId="5E0967F3" w14:textId="77777777" w:rsidTr="00AA78FE">
        <w:trPr>
          <w:trHeight w:val="1152"/>
        </w:trPr>
        <w:tc>
          <w:tcPr>
            <w:tcW w:w="265" w:type="dxa"/>
            <w:vMerge/>
          </w:tcPr>
          <w:p w14:paraId="4131E900" w14:textId="77777777" w:rsidR="00374264" w:rsidRPr="00041A72" w:rsidRDefault="00374264" w:rsidP="00374264">
            <w:pPr>
              <w:ind w:firstLine="0"/>
              <w:jc w:val="left"/>
              <w:rPr>
                <w:b/>
                <w:bCs/>
                <w:sz w:val="18"/>
                <w:szCs w:val="18"/>
                <w:lang w:val="es-CO"/>
              </w:rPr>
            </w:pPr>
          </w:p>
        </w:tc>
        <w:tc>
          <w:tcPr>
            <w:tcW w:w="2440" w:type="dxa"/>
            <w:vMerge/>
          </w:tcPr>
          <w:p w14:paraId="32C48429" w14:textId="77777777" w:rsidR="00374264" w:rsidRPr="00041A72" w:rsidRDefault="00374264" w:rsidP="00374264">
            <w:pPr>
              <w:ind w:firstLine="0"/>
              <w:jc w:val="left"/>
              <w:rPr>
                <w:b/>
                <w:sz w:val="18"/>
                <w:szCs w:val="18"/>
                <w:lang w:val="es-CO"/>
              </w:rPr>
            </w:pPr>
          </w:p>
        </w:tc>
        <w:tc>
          <w:tcPr>
            <w:tcW w:w="440" w:type="dxa"/>
          </w:tcPr>
          <w:p w14:paraId="380EE699" w14:textId="2D481177" w:rsidR="00374264" w:rsidRPr="00041A72" w:rsidRDefault="008F3958" w:rsidP="00374264">
            <w:pPr>
              <w:ind w:firstLine="0"/>
              <w:jc w:val="left"/>
              <w:rPr>
                <w:sz w:val="18"/>
                <w:szCs w:val="18"/>
                <w:lang w:val="es-CO"/>
              </w:rPr>
            </w:pPr>
            <w:r>
              <w:rPr>
                <w:sz w:val="18"/>
                <w:szCs w:val="18"/>
                <w:lang w:val="es-CO"/>
              </w:rPr>
              <w:t>30</w:t>
            </w:r>
          </w:p>
        </w:tc>
        <w:tc>
          <w:tcPr>
            <w:tcW w:w="3780" w:type="dxa"/>
          </w:tcPr>
          <w:p w14:paraId="2EB13CEC" w14:textId="77777777" w:rsidR="00374264" w:rsidRPr="00041A72" w:rsidRDefault="00374264" w:rsidP="00374264">
            <w:pPr>
              <w:ind w:firstLine="0"/>
              <w:jc w:val="left"/>
              <w:rPr>
                <w:bCs/>
                <w:sz w:val="18"/>
                <w:szCs w:val="18"/>
                <w:lang w:val="es-CO"/>
              </w:rPr>
            </w:pPr>
            <w:r w:rsidRPr="00041A72">
              <w:rPr>
                <w:sz w:val="18"/>
                <w:szCs w:val="18"/>
                <w:lang w:val="es-CO"/>
              </w:rPr>
              <w:t>Realización de la primera compra internacional bajo el nuevo mecanismo</w:t>
            </w:r>
          </w:p>
        </w:tc>
        <w:tc>
          <w:tcPr>
            <w:tcW w:w="630" w:type="dxa"/>
          </w:tcPr>
          <w:p w14:paraId="607AEC32" w14:textId="77777777" w:rsidR="00374264" w:rsidRPr="00041A72" w:rsidRDefault="00374264" w:rsidP="00374264">
            <w:pPr>
              <w:ind w:firstLine="0"/>
              <w:jc w:val="left"/>
              <w:rPr>
                <w:sz w:val="18"/>
                <w:szCs w:val="18"/>
                <w:lang w:val="es-CO"/>
              </w:rPr>
            </w:pPr>
            <w:r w:rsidRPr="00041A72">
              <w:rPr>
                <w:sz w:val="18"/>
                <w:szCs w:val="18"/>
                <w:lang w:val="es-CO"/>
              </w:rPr>
              <w:t>2020</w:t>
            </w:r>
          </w:p>
        </w:tc>
        <w:tc>
          <w:tcPr>
            <w:tcW w:w="1530" w:type="dxa"/>
          </w:tcPr>
          <w:p w14:paraId="66C4186C" w14:textId="77777777" w:rsidR="00374264" w:rsidRPr="00041A72" w:rsidRDefault="00374264" w:rsidP="00374264">
            <w:pPr>
              <w:ind w:firstLine="0"/>
              <w:jc w:val="left"/>
              <w:rPr>
                <w:sz w:val="18"/>
                <w:szCs w:val="18"/>
                <w:lang w:val="es-CO"/>
              </w:rPr>
            </w:pPr>
            <w:r w:rsidRPr="00041A72">
              <w:rPr>
                <w:sz w:val="18"/>
                <w:szCs w:val="18"/>
                <w:lang w:val="es-CO"/>
              </w:rPr>
              <w:t>ULMIE / SESAL</w:t>
            </w:r>
          </w:p>
        </w:tc>
        <w:tc>
          <w:tcPr>
            <w:tcW w:w="540" w:type="dxa"/>
          </w:tcPr>
          <w:p w14:paraId="530BE395" w14:textId="69DCFA5C" w:rsidR="00374264" w:rsidRPr="00041A72" w:rsidRDefault="00374264" w:rsidP="00374264">
            <w:pPr>
              <w:ind w:firstLine="0"/>
              <w:jc w:val="left"/>
              <w:rPr>
                <w:sz w:val="18"/>
                <w:szCs w:val="18"/>
                <w:lang w:val="es-CO"/>
              </w:rPr>
            </w:pPr>
            <w:r w:rsidRPr="00041A72">
              <w:rPr>
                <w:sz w:val="18"/>
                <w:szCs w:val="18"/>
                <w:lang w:val="es-CO"/>
              </w:rPr>
              <w:t>Si</w:t>
            </w:r>
          </w:p>
        </w:tc>
        <w:tc>
          <w:tcPr>
            <w:tcW w:w="1440" w:type="dxa"/>
          </w:tcPr>
          <w:p w14:paraId="13871576" w14:textId="49E4CEC3" w:rsidR="00374264" w:rsidRPr="00041A72" w:rsidRDefault="00374264" w:rsidP="00374264">
            <w:pPr>
              <w:ind w:firstLine="0"/>
              <w:jc w:val="left"/>
              <w:rPr>
                <w:sz w:val="18"/>
                <w:szCs w:val="18"/>
                <w:lang w:val="es-CO"/>
              </w:rPr>
            </w:pPr>
            <w:r w:rsidRPr="00041A72">
              <w:rPr>
                <w:sz w:val="18"/>
                <w:szCs w:val="18"/>
                <w:lang w:val="es-CO"/>
              </w:rPr>
              <w:t>20,000 – 30,000 USD</w:t>
            </w:r>
          </w:p>
        </w:tc>
        <w:tc>
          <w:tcPr>
            <w:tcW w:w="900" w:type="dxa"/>
          </w:tcPr>
          <w:p w14:paraId="404EFAF4" w14:textId="77777777" w:rsidR="00374264" w:rsidRPr="00041A72" w:rsidRDefault="00374264" w:rsidP="00374264">
            <w:pPr>
              <w:ind w:firstLine="0"/>
              <w:jc w:val="left"/>
              <w:rPr>
                <w:sz w:val="18"/>
                <w:szCs w:val="18"/>
                <w:lang w:val="es-CO"/>
              </w:rPr>
            </w:pPr>
          </w:p>
        </w:tc>
        <w:tc>
          <w:tcPr>
            <w:tcW w:w="1080" w:type="dxa"/>
            <w:vMerge/>
          </w:tcPr>
          <w:p w14:paraId="30FE2720" w14:textId="77777777" w:rsidR="00374264" w:rsidRPr="00041A72" w:rsidRDefault="00374264" w:rsidP="00374264">
            <w:pPr>
              <w:ind w:firstLine="0"/>
              <w:jc w:val="left"/>
              <w:rPr>
                <w:sz w:val="18"/>
                <w:szCs w:val="18"/>
                <w:lang w:val="es-CO"/>
              </w:rPr>
            </w:pPr>
          </w:p>
        </w:tc>
        <w:tc>
          <w:tcPr>
            <w:tcW w:w="1365" w:type="dxa"/>
          </w:tcPr>
          <w:p w14:paraId="5BD03836" w14:textId="226C299C" w:rsidR="00374264" w:rsidRPr="00041A72" w:rsidRDefault="00374264" w:rsidP="00374264">
            <w:pPr>
              <w:ind w:firstLine="0"/>
              <w:jc w:val="left"/>
              <w:rPr>
                <w:sz w:val="18"/>
                <w:szCs w:val="18"/>
                <w:lang w:val="es-CO"/>
              </w:rPr>
            </w:pPr>
            <w:r w:rsidRPr="00041A72">
              <w:rPr>
                <w:sz w:val="18"/>
                <w:szCs w:val="18"/>
                <w:lang w:val="es-CO"/>
              </w:rPr>
              <w:t>1era compra realizada a través del mecanismo más costo-efectivo</w:t>
            </w:r>
          </w:p>
        </w:tc>
      </w:tr>
      <w:tr w:rsidR="00374264" w:rsidRPr="00041A72" w14:paraId="1F4C0F7E" w14:textId="77777777" w:rsidTr="00E52483">
        <w:trPr>
          <w:trHeight w:val="620"/>
        </w:trPr>
        <w:tc>
          <w:tcPr>
            <w:tcW w:w="14410" w:type="dxa"/>
            <w:gridSpan w:val="11"/>
            <w:shd w:val="clear" w:color="auto" w:fill="1F4E79" w:themeFill="accent1" w:themeFillShade="80"/>
          </w:tcPr>
          <w:p w14:paraId="4206F0AE" w14:textId="00BE6A8B" w:rsidR="00374264" w:rsidRPr="00E52483" w:rsidRDefault="00374264" w:rsidP="00374264">
            <w:pPr>
              <w:ind w:firstLine="0"/>
              <w:jc w:val="left"/>
              <w:rPr>
                <w:rFonts w:asciiTheme="majorHAnsi" w:hAnsiTheme="majorHAnsi" w:cstheme="majorHAnsi"/>
                <w:b/>
                <w:sz w:val="24"/>
                <w:lang w:val="es-ES"/>
              </w:rPr>
            </w:pPr>
            <w:r>
              <w:rPr>
                <w:rFonts w:asciiTheme="majorHAnsi" w:hAnsiTheme="majorHAnsi" w:cstheme="majorHAnsi"/>
                <w:b/>
                <w:color w:val="FFFFFF" w:themeColor="background1"/>
                <w:sz w:val="24"/>
                <w:lang w:val="es-ES"/>
              </w:rPr>
              <w:t>(II) Garantizar una mayor asignación de recursos</w:t>
            </w:r>
            <w:r w:rsidR="00E95AE0">
              <w:rPr>
                <w:rFonts w:asciiTheme="majorHAnsi" w:hAnsiTheme="majorHAnsi" w:cstheme="majorHAnsi"/>
                <w:b/>
                <w:color w:val="FFFFFF" w:themeColor="background1"/>
                <w:sz w:val="24"/>
                <w:lang w:val="es-ES"/>
              </w:rPr>
              <w:t xml:space="preserve"> </w:t>
            </w:r>
            <w:r>
              <w:rPr>
                <w:rFonts w:asciiTheme="majorHAnsi" w:hAnsiTheme="majorHAnsi" w:cstheme="majorHAnsi"/>
                <w:b/>
                <w:color w:val="FFFFFF" w:themeColor="background1"/>
                <w:sz w:val="24"/>
                <w:lang w:val="es-ES"/>
              </w:rPr>
              <w:t>para la prevención de VIH y TB</w:t>
            </w:r>
          </w:p>
        </w:tc>
      </w:tr>
      <w:tr w:rsidR="00374264" w:rsidRPr="00041A72" w14:paraId="221E4028" w14:textId="77777777" w:rsidTr="00AA78FE">
        <w:trPr>
          <w:trHeight w:val="99"/>
        </w:trPr>
        <w:tc>
          <w:tcPr>
            <w:tcW w:w="14410" w:type="dxa"/>
            <w:gridSpan w:val="11"/>
            <w:shd w:val="clear" w:color="auto" w:fill="DEEAF6" w:themeFill="accent1" w:themeFillTint="33"/>
          </w:tcPr>
          <w:p w14:paraId="0FF416E0" w14:textId="1C9A9AD6" w:rsidR="00374264" w:rsidRPr="00E52483" w:rsidRDefault="00374264" w:rsidP="00374264">
            <w:pPr>
              <w:ind w:firstLine="0"/>
              <w:jc w:val="left"/>
              <w:rPr>
                <w:rFonts w:asciiTheme="majorHAnsi" w:hAnsiTheme="majorHAnsi" w:cstheme="majorHAnsi"/>
                <w:b/>
                <w:sz w:val="20"/>
                <w:szCs w:val="20"/>
                <w:lang w:val="es-419"/>
              </w:rPr>
            </w:pPr>
            <w:r>
              <w:rPr>
                <w:rFonts w:asciiTheme="majorHAnsi" w:hAnsiTheme="majorHAnsi" w:cstheme="majorHAnsi"/>
                <w:b/>
                <w:sz w:val="20"/>
                <w:szCs w:val="20"/>
                <w:lang w:val="es-ES"/>
              </w:rPr>
              <w:t xml:space="preserve">Objetivo 4. </w:t>
            </w:r>
            <w:r w:rsidRPr="00E52483">
              <w:rPr>
                <w:rFonts w:asciiTheme="majorHAnsi" w:hAnsiTheme="majorHAnsi" w:cstheme="majorHAnsi"/>
                <w:b/>
                <w:sz w:val="20"/>
                <w:szCs w:val="20"/>
                <w:lang w:val="es-ES"/>
              </w:rPr>
              <w:t xml:space="preserve">Incrementar </w:t>
            </w:r>
            <w:r>
              <w:rPr>
                <w:rFonts w:asciiTheme="majorHAnsi" w:hAnsiTheme="majorHAnsi" w:cstheme="majorHAnsi"/>
                <w:b/>
                <w:sz w:val="20"/>
                <w:szCs w:val="20"/>
                <w:lang w:val="es-ES"/>
              </w:rPr>
              <w:t xml:space="preserve">el </w:t>
            </w:r>
            <w:r w:rsidRPr="00E52483">
              <w:rPr>
                <w:rFonts w:asciiTheme="majorHAnsi" w:hAnsiTheme="majorHAnsi" w:cstheme="majorHAnsi"/>
                <w:b/>
                <w:sz w:val="20"/>
                <w:szCs w:val="20"/>
                <w:lang w:val="es-ES"/>
              </w:rPr>
              <w:t>financiamiento de fuentes nacionales destinadas a prevención de VIH y TB</w:t>
            </w:r>
          </w:p>
        </w:tc>
      </w:tr>
      <w:tr w:rsidR="00374264" w:rsidRPr="00041A72" w14:paraId="1E1DAB1A" w14:textId="77777777" w:rsidTr="00AA78FE">
        <w:trPr>
          <w:trHeight w:val="368"/>
        </w:trPr>
        <w:tc>
          <w:tcPr>
            <w:tcW w:w="265" w:type="dxa"/>
            <w:shd w:val="clear" w:color="auto" w:fill="F2F2F2" w:themeFill="background1" w:themeFillShade="F2"/>
          </w:tcPr>
          <w:p w14:paraId="17B117FA" w14:textId="77777777" w:rsidR="00374264" w:rsidRPr="00041A72" w:rsidRDefault="00374264" w:rsidP="00374264">
            <w:pPr>
              <w:ind w:firstLine="0"/>
              <w:jc w:val="left"/>
              <w:rPr>
                <w:b/>
                <w:bCs/>
                <w:sz w:val="18"/>
                <w:szCs w:val="18"/>
                <w:lang w:val="es-CO"/>
              </w:rPr>
            </w:pPr>
          </w:p>
        </w:tc>
        <w:tc>
          <w:tcPr>
            <w:tcW w:w="2440" w:type="dxa"/>
            <w:shd w:val="clear" w:color="auto" w:fill="F2F2F2" w:themeFill="background1" w:themeFillShade="F2"/>
          </w:tcPr>
          <w:p w14:paraId="7FF192A1" w14:textId="06C5FA0D" w:rsidR="00374264" w:rsidRPr="00041A72" w:rsidRDefault="00374264" w:rsidP="00374264">
            <w:pPr>
              <w:ind w:firstLine="0"/>
              <w:jc w:val="left"/>
              <w:rPr>
                <w:sz w:val="18"/>
                <w:szCs w:val="18"/>
                <w:lang w:val="es-CO"/>
              </w:rPr>
            </w:pPr>
            <w:r w:rsidRPr="00041A72">
              <w:rPr>
                <w:b/>
                <w:bCs/>
                <w:sz w:val="18"/>
                <w:szCs w:val="18"/>
                <w:lang w:val="es-CO"/>
              </w:rPr>
              <w:t>Acciones</w:t>
            </w:r>
          </w:p>
        </w:tc>
        <w:tc>
          <w:tcPr>
            <w:tcW w:w="440" w:type="dxa"/>
            <w:shd w:val="clear" w:color="auto" w:fill="F2F2F2" w:themeFill="background1" w:themeFillShade="F2"/>
          </w:tcPr>
          <w:p w14:paraId="71932F42" w14:textId="1F0AD750" w:rsidR="00374264" w:rsidRPr="00041A72" w:rsidRDefault="00374264" w:rsidP="00374264">
            <w:pPr>
              <w:ind w:firstLine="0"/>
              <w:jc w:val="left"/>
              <w:rPr>
                <w:sz w:val="18"/>
                <w:szCs w:val="18"/>
                <w:lang w:val="es-CO"/>
              </w:rPr>
            </w:pPr>
            <w:proofErr w:type="spellStart"/>
            <w:r w:rsidRPr="00041A72">
              <w:rPr>
                <w:b/>
                <w:bCs/>
                <w:sz w:val="18"/>
                <w:szCs w:val="18"/>
                <w:lang w:val="es-CO"/>
              </w:rPr>
              <w:t>N</w:t>
            </w:r>
            <w:r>
              <w:rPr>
                <w:b/>
                <w:bCs/>
                <w:sz w:val="18"/>
                <w:szCs w:val="18"/>
                <w:lang w:val="es-CO"/>
              </w:rPr>
              <w:t>°</w:t>
            </w:r>
            <w:proofErr w:type="spellEnd"/>
          </w:p>
        </w:tc>
        <w:tc>
          <w:tcPr>
            <w:tcW w:w="3780" w:type="dxa"/>
            <w:shd w:val="clear" w:color="auto" w:fill="F2F2F2" w:themeFill="background1" w:themeFillShade="F2"/>
          </w:tcPr>
          <w:p w14:paraId="3688F216" w14:textId="6654C05B" w:rsidR="00374264" w:rsidRPr="00041A72" w:rsidRDefault="00374264" w:rsidP="00374264">
            <w:pPr>
              <w:ind w:firstLine="0"/>
              <w:jc w:val="left"/>
              <w:rPr>
                <w:bCs/>
                <w:sz w:val="18"/>
                <w:szCs w:val="18"/>
                <w:lang w:val="es-CO"/>
              </w:rPr>
            </w:pPr>
            <w:r w:rsidRPr="00041A72">
              <w:rPr>
                <w:b/>
                <w:bCs/>
                <w:sz w:val="18"/>
                <w:szCs w:val="18"/>
                <w:lang w:val="es-CO"/>
              </w:rPr>
              <w:t>Actividades</w:t>
            </w:r>
          </w:p>
        </w:tc>
        <w:tc>
          <w:tcPr>
            <w:tcW w:w="630" w:type="dxa"/>
            <w:shd w:val="clear" w:color="auto" w:fill="F2F2F2" w:themeFill="background1" w:themeFillShade="F2"/>
          </w:tcPr>
          <w:p w14:paraId="3EBBFA41" w14:textId="0E1F029B" w:rsidR="00374264" w:rsidRPr="00041A72" w:rsidRDefault="00374264" w:rsidP="00374264">
            <w:pPr>
              <w:ind w:firstLine="0"/>
              <w:jc w:val="left"/>
              <w:rPr>
                <w:sz w:val="18"/>
                <w:szCs w:val="18"/>
                <w:lang w:val="es-CO"/>
              </w:rPr>
            </w:pPr>
            <w:r w:rsidRPr="00041A72">
              <w:rPr>
                <w:b/>
                <w:bCs/>
                <w:sz w:val="18"/>
                <w:szCs w:val="18"/>
                <w:lang w:val="es-CO"/>
              </w:rPr>
              <w:t>Año</w:t>
            </w:r>
            <w:r w:rsidRPr="00361102">
              <w:rPr>
                <w:b/>
                <w:bCs/>
                <w:sz w:val="18"/>
                <w:szCs w:val="18"/>
                <w:lang w:val="es-CO"/>
              </w:rPr>
              <w:t>/s</w:t>
            </w:r>
          </w:p>
        </w:tc>
        <w:tc>
          <w:tcPr>
            <w:tcW w:w="1530" w:type="dxa"/>
            <w:shd w:val="clear" w:color="auto" w:fill="F2F2F2" w:themeFill="background1" w:themeFillShade="F2"/>
          </w:tcPr>
          <w:p w14:paraId="4C7C554C" w14:textId="4835394A" w:rsidR="00374264" w:rsidRPr="00041A72" w:rsidRDefault="00374264" w:rsidP="00374264">
            <w:pPr>
              <w:ind w:firstLine="0"/>
              <w:jc w:val="left"/>
              <w:rPr>
                <w:sz w:val="18"/>
                <w:szCs w:val="18"/>
                <w:lang w:val="es-CO"/>
              </w:rPr>
            </w:pPr>
            <w:r w:rsidRPr="00041A72">
              <w:rPr>
                <w:b/>
                <w:bCs/>
                <w:sz w:val="18"/>
                <w:szCs w:val="18"/>
                <w:lang w:val="es-CO"/>
              </w:rPr>
              <w:t>Entidad/es responsable/s</w:t>
            </w:r>
          </w:p>
        </w:tc>
        <w:tc>
          <w:tcPr>
            <w:tcW w:w="540" w:type="dxa"/>
            <w:shd w:val="clear" w:color="auto" w:fill="F2F2F2" w:themeFill="background1" w:themeFillShade="F2"/>
          </w:tcPr>
          <w:p w14:paraId="58E11B9A" w14:textId="06BAE077" w:rsidR="00374264" w:rsidRPr="00041A72" w:rsidRDefault="00374264" w:rsidP="00374264">
            <w:pPr>
              <w:ind w:firstLine="0"/>
              <w:jc w:val="left"/>
              <w:rPr>
                <w:b/>
                <w:bCs/>
                <w:sz w:val="18"/>
                <w:szCs w:val="18"/>
                <w:lang w:val="es-CO"/>
              </w:rPr>
            </w:pPr>
            <w:r w:rsidRPr="00041A72">
              <w:rPr>
                <w:b/>
                <w:bCs/>
                <w:sz w:val="18"/>
                <w:szCs w:val="18"/>
                <w:lang w:val="es-CO"/>
              </w:rPr>
              <w:t>AT</w:t>
            </w:r>
          </w:p>
        </w:tc>
        <w:tc>
          <w:tcPr>
            <w:tcW w:w="1440" w:type="dxa"/>
            <w:shd w:val="clear" w:color="auto" w:fill="F2F2F2" w:themeFill="background1" w:themeFillShade="F2"/>
          </w:tcPr>
          <w:p w14:paraId="4EECB85D" w14:textId="5EC56B33" w:rsidR="00374264" w:rsidRPr="00041A72" w:rsidRDefault="00374264" w:rsidP="00374264">
            <w:pPr>
              <w:ind w:firstLine="0"/>
              <w:jc w:val="left"/>
              <w:rPr>
                <w:b/>
                <w:bCs/>
                <w:sz w:val="18"/>
                <w:szCs w:val="18"/>
                <w:lang w:val="es-CO"/>
              </w:rPr>
            </w:pPr>
            <w:r w:rsidRPr="00041A72">
              <w:rPr>
                <w:b/>
                <w:bCs/>
                <w:sz w:val="18"/>
                <w:szCs w:val="18"/>
                <w:lang w:val="es-CO"/>
              </w:rPr>
              <w:t>Financiamiento requerido</w:t>
            </w:r>
          </w:p>
        </w:tc>
        <w:tc>
          <w:tcPr>
            <w:tcW w:w="900" w:type="dxa"/>
            <w:shd w:val="clear" w:color="auto" w:fill="F2F2F2" w:themeFill="background1" w:themeFillShade="F2"/>
          </w:tcPr>
          <w:p w14:paraId="7B3DA570" w14:textId="77777777" w:rsidR="00374264" w:rsidRPr="00041A72" w:rsidRDefault="00374264" w:rsidP="00374264">
            <w:pPr>
              <w:spacing w:before="0" w:after="0"/>
              <w:ind w:firstLine="0"/>
              <w:jc w:val="left"/>
              <w:rPr>
                <w:b/>
                <w:bCs/>
                <w:sz w:val="18"/>
                <w:szCs w:val="18"/>
                <w:lang w:val="es-CO"/>
              </w:rPr>
            </w:pPr>
            <w:r w:rsidRPr="00041A72">
              <w:rPr>
                <w:b/>
                <w:bCs/>
                <w:sz w:val="18"/>
                <w:szCs w:val="18"/>
                <w:lang w:val="es-CO"/>
              </w:rPr>
              <w:t>Fuentes de financia-</w:t>
            </w:r>
          </w:p>
          <w:p w14:paraId="6A69A452" w14:textId="0700A810" w:rsidR="00374264" w:rsidRPr="00041A72" w:rsidRDefault="00374264" w:rsidP="00374264">
            <w:pPr>
              <w:spacing w:before="0" w:after="0"/>
              <w:ind w:firstLine="0"/>
              <w:jc w:val="left"/>
              <w:rPr>
                <w:b/>
                <w:bCs/>
                <w:sz w:val="18"/>
                <w:szCs w:val="18"/>
                <w:lang w:val="es-CO"/>
              </w:rPr>
            </w:pPr>
            <w:r w:rsidRPr="00041A72">
              <w:rPr>
                <w:b/>
                <w:bCs/>
                <w:sz w:val="18"/>
                <w:szCs w:val="18"/>
                <w:lang w:val="es-CO"/>
              </w:rPr>
              <w:t>miento</w:t>
            </w:r>
          </w:p>
        </w:tc>
        <w:tc>
          <w:tcPr>
            <w:tcW w:w="1080" w:type="dxa"/>
            <w:shd w:val="clear" w:color="auto" w:fill="F2F2F2" w:themeFill="background1" w:themeFillShade="F2"/>
          </w:tcPr>
          <w:p w14:paraId="71D1C423" w14:textId="7E4C42C7" w:rsidR="00374264" w:rsidRPr="00041A72" w:rsidRDefault="00374264" w:rsidP="00374264">
            <w:pPr>
              <w:ind w:firstLine="0"/>
              <w:jc w:val="left"/>
              <w:rPr>
                <w:b/>
                <w:bCs/>
                <w:sz w:val="18"/>
                <w:szCs w:val="18"/>
                <w:lang w:val="es-CO"/>
              </w:rPr>
            </w:pPr>
            <w:r w:rsidRPr="00041A72">
              <w:rPr>
                <w:b/>
                <w:bCs/>
                <w:sz w:val="18"/>
                <w:szCs w:val="18"/>
                <w:lang w:val="es-CO"/>
              </w:rPr>
              <w:t>Alineación con Planes Nacionales</w:t>
            </w:r>
          </w:p>
        </w:tc>
        <w:tc>
          <w:tcPr>
            <w:tcW w:w="1365" w:type="dxa"/>
            <w:shd w:val="clear" w:color="auto" w:fill="F2F2F2" w:themeFill="background1" w:themeFillShade="F2"/>
          </w:tcPr>
          <w:p w14:paraId="175E7791" w14:textId="0AFAE44C" w:rsidR="00374264" w:rsidRPr="00041A72" w:rsidRDefault="00374264" w:rsidP="00374264">
            <w:pPr>
              <w:ind w:firstLine="0"/>
              <w:jc w:val="left"/>
              <w:rPr>
                <w:sz w:val="18"/>
                <w:szCs w:val="18"/>
                <w:lang w:val="es-CO"/>
              </w:rPr>
            </w:pPr>
            <w:r w:rsidRPr="00041A72">
              <w:rPr>
                <w:b/>
                <w:bCs/>
                <w:sz w:val="18"/>
                <w:szCs w:val="18"/>
                <w:lang w:val="es-CO"/>
              </w:rPr>
              <w:t>Indicador de proceso</w:t>
            </w:r>
          </w:p>
        </w:tc>
      </w:tr>
      <w:tr w:rsidR="00374264" w:rsidRPr="00041A72" w14:paraId="00B10776" w14:textId="77777777" w:rsidTr="00AA78FE">
        <w:trPr>
          <w:trHeight w:val="629"/>
        </w:trPr>
        <w:tc>
          <w:tcPr>
            <w:tcW w:w="265" w:type="dxa"/>
          </w:tcPr>
          <w:p w14:paraId="197DDD46" w14:textId="0A4E4E9E" w:rsidR="00374264" w:rsidRPr="004670B5" w:rsidRDefault="00374264" w:rsidP="00374264">
            <w:pPr>
              <w:ind w:firstLine="0"/>
              <w:jc w:val="left"/>
              <w:rPr>
                <w:bCs/>
                <w:sz w:val="18"/>
                <w:szCs w:val="18"/>
                <w:lang w:val="es-CO"/>
              </w:rPr>
            </w:pPr>
            <w:r>
              <w:rPr>
                <w:bCs/>
                <w:sz w:val="18"/>
                <w:szCs w:val="18"/>
                <w:lang w:val="es-CO"/>
              </w:rPr>
              <w:t>o</w:t>
            </w:r>
          </w:p>
        </w:tc>
        <w:tc>
          <w:tcPr>
            <w:tcW w:w="2440" w:type="dxa"/>
          </w:tcPr>
          <w:p w14:paraId="0C9E7809" w14:textId="33875613" w:rsidR="00374264" w:rsidRPr="004670B5" w:rsidRDefault="00374264" w:rsidP="00374264">
            <w:pPr>
              <w:ind w:firstLine="0"/>
              <w:jc w:val="left"/>
              <w:rPr>
                <w:sz w:val="18"/>
                <w:szCs w:val="18"/>
                <w:lang w:val="es-MX"/>
              </w:rPr>
            </w:pPr>
            <w:r w:rsidRPr="004670B5">
              <w:rPr>
                <w:sz w:val="18"/>
                <w:szCs w:val="18"/>
                <w:lang w:val="es-ES"/>
              </w:rPr>
              <w:t>Elaborar un plan de movilización de f</w:t>
            </w:r>
            <w:r w:rsidR="00671EF2">
              <w:rPr>
                <w:sz w:val="18"/>
                <w:szCs w:val="18"/>
                <w:lang w:val="es-ES"/>
              </w:rPr>
              <w:t xml:space="preserve">uentes </w:t>
            </w:r>
            <w:r w:rsidRPr="004670B5">
              <w:rPr>
                <w:sz w:val="18"/>
                <w:szCs w:val="18"/>
                <w:lang w:val="es-ES"/>
              </w:rPr>
              <w:t>nacionales para financiar las intervenciones de prevención e insumos de VIH</w:t>
            </w:r>
            <w:r w:rsidR="00D82046">
              <w:rPr>
                <w:sz w:val="18"/>
                <w:szCs w:val="18"/>
                <w:lang w:val="es-ES"/>
              </w:rPr>
              <w:t xml:space="preserve"> y </w:t>
            </w:r>
            <w:r w:rsidRPr="004670B5">
              <w:rPr>
                <w:sz w:val="18"/>
                <w:szCs w:val="18"/>
                <w:lang w:val="es-ES"/>
              </w:rPr>
              <w:t xml:space="preserve">TB con recursos de la SESAL, la Seguridad Social y/o alianzas con el sector privado </w:t>
            </w:r>
          </w:p>
        </w:tc>
        <w:tc>
          <w:tcPr>
            <w:tcW w:w="440" w:type="dxa"/>
          </w:tcPr>
          <w:p w14:paraId="366FAE30" w14:textId="61822808" w:rsidR="00374264" w:rsidRPr="00041A72" w:rsidRDefault="00374264" w:rsidP="00374264">
            <w:pPr>
              <w:ind w:firstLine="0"/>
              <w:jc w:val="left"/>
              <w:rPr>
                <w:sz w:val="18"/>
                <w:szCs w:val="18"/>
                <w:lang w:val="es-CO"/>
              </w:rPr>
            </w:pPr>
            <w:r>
              <w:rPr>
                <w:sz w:val="18"/>
                <w:szCs w:val="18"/>
                <w:lang w:val="es-CO"/>
              </w:rPr>
              <w:t>31</w:t>
            </w:r>
          </w:p>
        </w:tc>
        <w:tc>
          <w:tcPr>
            <w:tcW w:w="3780" w:type="dxa"/>
          </w:tcPr>
          <w:p w14:paraId="6C47080F" w14:textId="75134A7B" w:rsidR="00374264" w:rsidRPr="004670B5" w:rsidRDefault="00374264" w:rsidP="00374264">
            <w:pPr>
              <w:ind w:firstLine="0"/>
              <w:jc w:val="left"/>
              <w:rPr>
                <w:sz w:val="18"/>
                <w:szCs w:val="18"/>
                <w:lang w:val="es-ES"/>
              </w:rPr>
            </w:pPr>
            <w:r w:rsidRPr="00041A72">
              <w:rPr>
                <w:bCs/>
                <w:sz w:val="18"/>
                <w:szCs w:val="18"/>
                <w:lang w:val="es-CO"/>
              </w:rPr>
              <w:t>Elaboración y socialización del Plan. Generar reuniones claves entre SESAL, Finanzas y Coordinación de Gobierno para identificar fuentes y mecanismos a incluir en el plan. Algunas acciones del plan podrían ser:</w:t>
            </w:r>
            <w:r w:rsidRPr="00041A72">
              <w:rPr>
                <w:sz w:val="18"/>
                <w:szCs w:val="18"/>
                <w:lang w:val="es-ES"/>
              </w:rPr>
              <w:t xml:space="preserve"> la creación de una línea presupuestaria </w:t>
            </w:r>
            <w:r w:rsidR="00E846C9">
              <w:rPr>
                <w:sz w:val="18"/>
                <w:szCs w:val="18"/>
                <w:lang w:val="es-ES"/>
              </w:rPr>
              <w:t xml:space="preserve">dentro del presupuesto de la SESAL </w:t>
            </w:r>
            <w:r w:rsidRPr="00041A72">
              <w:rPr>
                <w:sz w:val="18"/>
                <w:szCs w:val="18"/>
                <w:lang w:val="es-ES"/>
              </w:rPr>
              <w:t xml:space="preserve">para prevención </w:t>
            </w:r>
            <w:r>
              <w:rPr>
                <w:sz w:val="18"/>
                <w:szCs w:val="18"/>
                <w:lang w:val="es-ES"/>
              </w:rPr>
              <w:t xml:space="preserve">y promoción </w:t>
            </w:r>
            <w:r w:rsidRPr="00041A72">
              <w:rPr>
                <w:sz w:val="18"/>
                <w:szCs w:val="18"/>
                <w:lang w:val="es-ES"/>
              </w:rPr>
              <w:t xml:space="preserve">de VIH-TB y presupuesto para contratación pública de </w:t>
            </w:r>
            <w:proofErr w:type="spellStart"/>
            <w:r w:rsidRPr="00041A72">
              <w:rPr>
                <w:sz w:val="18"/>
                <w:szCs w:val="18"/>
                <w:lang w:val="es-ES"/>
              </w:rPr>
              <w:t>OSCs</w:t>
            </w:r>
            <w:proofErr w:type="spellEnd"/>
          </w:p>
        </w:tc>
        <w:tc>
          <w:tcPr>
            <w:tcW w:w="630" w:type="dxa"/>
          </w:tcPr>
          <w:p w14:paraId="7C0D24F3" w14:textId="77777777" w:rsidR="00374264" w:rsidRPr="00041A72" w:rsidRDefault="00374264" w:rsidP="00374264">
            <w:pPr>
              <w:ind w:firstLine="0"/>
              <w:jc w:val="left"/>
              <w:rPr>
                <w:sz w:val="18"/>
                <w:szCs w:val="18"/>
                <w:lang w:val="es-CO"/>
              </w:rPr>
            </w:pPr>
            <w:r w:rsidRPr="00041A72">
              <w:rPr>
                <w:sz w:val="18"/>
                <w:szCs w:val="18"/>
                <w:lang w:val="es-CO"/>
              </w:rPr>
              <w:t>2019</w:t>
            </w:r>
          </w:p>
        </w:tc>
        <w:tc>
          <w:tcPr>
            <w:tcW w:w="1530" w:type="dxa"/>
          </w:tcPr>
          <w:p w14:paraId="1F4F8813" w14:textId="77777777" w:rsidR="00374264" w:rsidRPr="00041A72" w:rsidRDefault="00374264" w:rsidP="00374264">
            <w:pPr>
              <w:ind w:firstLine="0"/>
              <w:jc w:val="left"/>
              <w:rPr>
                <w:sz w:val="18"/>
                <w:szCs w:val="18"/>
                <w:lang w:val="es-CO"/>
              </w:rPr>
            </w:pPr>
            <w:r w:rsidRPr="00041A72">
              <w:rPr>
                <w:sz w:val="18"/>
                <w:szCs w:val="18"/>
                <w:lang w:val="es-CO"/>
              </w:rPr>
              <w:t>UPEG, en colaboración con Finanzas</w:t>
            </w:r>
          </w:p>
        </w:tc>
        <w:tc>
          <w:tcPr>
            <w:tcW w:w="540" w:type="dxa"/>
          </w:tcPr>
          <w:p w14:paraId="4923F5E0" w14:textId="77777777" w:rsidR="00374264" w:rsidRPr="00041A72" w:rsidRDefault="00374264" w:rsidP="00374264">
            <w:pPr>
              <w:ind w:firstLine="0"/>
              <w:jc w:val="left"/>
              <w:rPr>
                <w:sz w:val="18"/>
                <w:szCs w:val="18"/>
                <w:lang w:val="es-CO"/>
              </w:rPr>
            </w:pPr>
            <w:r w:rsidRPr="00041A72">
              <w:rPr>
                <w:sz w:val="18"/>
                <w:szCs w:val="18"/>
                <w:lang w:val="es-CO"/>
              </w:rPr>
              <w:t>Si</w:t>
            </w:r>
          </w:p>
        </w:tc>
        <w:tc>
          <w:tcPr>
            <w:tcW w:w="1440" w:type="dxa"/>
          </w:tcPr>
          <w:p w14:paraId="039C7C54" w14:textId="77777777" w:rsidR="00374264" w:rsidRPr="00041A72" w:rsidRDefault="00374264" w:rsidP="00374264">
            <w:pPr>
              <w:ind w:firstLine="0"/>
              <w:jc w:val="left"/>
              <w:rPr>
                <w:sz w:val="18"/>
                <w:szCs w:val="18"/>
                <w:lang w:val="es-CO"/>
              </w:rPr>
            </w:pPr>
            <w:r w:rsidRPr="00041A72">
              <w:rPr>
                <w:sz w:val="18"/>
                <w:szCs w:val="18"/>
                <w:lang w:val="es-CO"/>
              </w:rPr>
              <w:t>30,000-40,000</w:t>
            </w:r>
          </w:p>
          <w:p w14:paraId="255A4FD9" w14:textId="77777777" w:rsidR="00374264" w:rsidRPr="00041A72" w:rsidRDefault="00374264" w:rsidP="00374264">
            <w:pPr>
              <w:ind w:firstLine="0"/>
              <w:jc w:val="left"/>
              <w:rPr>
                <w:sz w:val="18"/>
                <w:szCs w:val="18"/>
                <w:lang w:val="es-CO"/>
              </w:rPr>
            </w:pPr>
            <w:r w:rsidRPr="00041A72">
              <w:rPr>
                <w:sz w:val="18"/>
                <w:szCs w:val="18"/>
                <w:lang w:val="es-CO"/>
              </w:rPr>
              <w:t>USD</w:t>
            </w:r>
          </w:p>
          <w:p w14:paraId="14B60D8E" w14:textId="77777777" w:rsidR="00374264" w:rsidRPr="00041A72" w:rsidRDefault="00374264" w:rsidP="00374264">
            <w:pPr>
              <w:ind w:firstLine="0"/>
              <w:jc w:val="left"/>
              <w:rPr>
                <w:sz w:val="18"/>
                <w:szCs w:val="18"/>
                <w:lang w:val="es-CO"/>
              </w:rPr>
            </w:pPr>
            <w:r w:rsidRPr="00041A72">
              <w:rPr>
                <w:sz w:val="18"/>
                <w:szCs w:val="18"/>
                <w:lang w:val="es-CO"/>
              </w:rPr>
              <w:t>(tiempo estimado 4 a 6 meses)</w:t>
            </w:r>
          </w:p>
        </w:tc>
        <w:tc>
          <w:tcPr>
            <w:tcW w:w="900" w:type="dxa"/>
          </w:tcPr>
          <w:p w14:paraId="2732AC45" w14:textId="0298DDE4" w:rsidR="00374264" w:rsidRPr="00041A72" w:rsidRDefault="00374264" w:rsidP="00374264">
            <w:pPr>
              <w:ind w:firstLine="0"/>
              <w:jc w:val="left"/>
              <w:rPr>
                <w:sz w:val="18"/>
                <w:szCs w:val="18"/>
                <w:lang w:val="es-419"/>
              </w:rPr>
            </w:pPr>
            <w:r>
              <w:rPr>
                <w:sz w:val="18"/>
                <w:szCs w:val="18"/>
                <w:lang w:val="es-419"/>
              </w:rPr>
              <w:t>PEFAR FM</w:t>
            </w:r>
          </w:p>
        </w:tc>
        <w:tc>
          <w:tcPr>
            <w:tcW w:w="1080" w:type="dxa"/>
          </w:tcPr>
          <w:p w14:paraId="66E8B8CE" w14:textId="0F45537B" w:rsidR="00374264" w:rsidRPr="00041A72" w:rsidRDefault="00374264" w:rsidP="00374264">
            <w:pPr>
              <w:ind w:firstLine="0"/>
              <w:jc w:val="left"/>
              <w:rPr>
                <w:sz w:val="18"/>
                <w:szCs w:val="18"/>
                <w:lang w:val="es-419"/>
              </w:rPr>
            </w:pPr>
            <w:r w:rsidRPr="00041A72">
              <w:rPr>
                <w:sz w:val="18"/>
                <w:szCs w:val="18"/>
                <w:lang w:val="es-419"/>
              </w:rPr>
              <w:t>PENSIDA cap. 6.1.1</w:t>
            </w:r>
          </w:p>
          <w:p w14:paraId="0906AAD4" w14:textId="52D5AE6A" w:rsidR="00374264" w:rsidRPr="00041A72" w:rsidRDefault="00374264" w:rsidP="00374264">
            <w:pPr>
              <w:ind w:firstLine="0"/>
              <w:jc w:val="left"/>
              <w:rPr>
                <w:sz w:val="18"/>
                <w:szCs w:val="18"/>
                <w:lang w:val="es-419"/>
              </w:rPr>
            </w:pPr>
            <w:r w:rsidRPr="00041A72">
              <w:rPr>
                <w:sz w:val="18"/>
                <w:szCs w:val="18"/>
                <w:lang w:val="es-419"/>
              </w:rPr>
              <w:t>PENTB</w:t>
            </w:r>
          </w:p>
          <w:p w14:paraId="5FD44162" w14:textId="77777777" w:rsidR="00374264" w:rsidRPr="00041A72" w:rsidRDefault="00374264" w:rsidP="00374264">
            <w:pPr>
              <w:ind w:firstLine="0"/>
              <w:jc w:val="left"/>
              <w:rPr>
                <w:sz w:val="18"/>
                <w:szCs w:val="18"/>
                <w:lang w:val="es-419"/>
              </w:rPr>
            </w:pPr>
            <w:r w:rsidRPr="00041A72">
              <w:rPr>
                <w:sz w:val="18"/>
                <w:szCs w:val="18"/>
                <w:lang w:val="es-419"/>
              </w:rPr>
              <w:t>2.1.1</w:t>
            </w:r>
          </w:p>
          <w:p w14:paraId="63419F22" w14:textId="77777777" w:rsidR="00374264" w:rsidRDefault="00374264" w:rsidP="00374264">
            <w:pPr>
              <w:ind w:firstLine="0"/>
              <w:jc w:val="left"/>
              <w:rPr>
                <w:sz w:val="18"/>
                <w:szCs w:val="18"/>
                <w:lang w:val="es-419"/>
              </w:rPr>
            </w:pPr>
            <w:r w:rsidRPr="00041A72">
              <w:rPr>
                <w:sz w:val="18"/>
                <w:szCs w:val="18"/>
                <w:lang w:val="es-419"/>
              </w:rPr>
              <w:t>2.1.2</w:t>
            </w:r>
          </w:p>
          <w:p w14:paraId="4A54C26B" w14:textId="77777777" w:rsidR="009136B1" w:rsidRDefault="0042346A" w:rsidP="00374264">
            <w:pPr>
              <w:ind w:firstLine="0"/>
              <w:jc w:val="left"/>
              <w:rPr>
                <w:sz w:val="18"/>
                <w:szCs w:val="18"/>
                <w:lang w:val="es-419"/>
              </w:rPr>
            </w:pPr>
            <w:proofErr w:type="spellStart"/>
            <w:r>
              <w:rPr>
                <w:sz w:val="18"/>
                <w:szCs w:val="18"/>
                <w:lang w:val="es-419"/>
              </w:rPr>
              <w:t>Eval</w:t>
            </w:r>
            <w:proofErr w:type="spellEnd"/>
            <w:r>
              <w:rPr>
                <w:sz w:val="18"/>
                <w:szCs w:val="18"/>
                <w:lang w:val="es-419"/>
              </w:rPr>
              <w:t xml:space="preserve">. </w:t>
            </w:r>
            <w:proofErr w:type="spellStart"/>
            <w:r>
              <w:rPr>
                <w:sz w:val="18"/>
                <w:szCs w:val="18"/>
                <w:lang w:val="es-419"/>
              </w:rPr>
              <w:t>Conj</w:t>
            </w:r>
            <w:proofErr w:type="spellEnd"/>
            <w:r w:rsidR="00DF44D2">
              <w:rPr>
                <w:sz w:val="18"/>
                <w:szCs w:val="18"/>
                <w:lang w:val="es-419"/>
              </w:rPr>
              <w:t>.</w:t>
            </w:r>
          </w:p>
          <w:p w14:paraId="55E6FF0D" w14:textId="30B35A04" w:rsidR="0042346A" w:rsidRDefault="0042346A" w:rsidP="00374264">
            <w:pPr>
              <w:ind w:firstLine="0"/>
              <w:jc w:val="left"/>
              <w:rPr>
                <w:sz w:val="18"/>
                <w:szCs w:val="18"/>
                <w:lang w:val="es-419"/>
              </w:rPr>
            </w:pPr>
            <w:r>
              <w:rPr>
                <w:sz w:val="18"/>
                <w:szCs w:val="18"/>
                <w:lang w:val="es-419"/>
              </w:rPr>
              <w:t>5.3.</w:t>
            </w:r>
            <w:r w:rsidR="00DF44D2">
              <w:rPr>
                <w:sz w:val="18"/>
                <w:szCs w:val="18"/>
                <w:lang w:val="es-419"/>
              </w:rPr>
              <w:t>1</w:t>
            </w:r>
          </w:p>
          <w:p w14:paraId="08F042D7" w14:textId="77777777" w:rsidR="00DF44D2" w:rsidRDefault="00DF44D2" w:rsidP="00374264">
            <w:pPr>
              <w:ind w:firstLine="0"/>
              <w:jc w:val="left"/>
              <w:rPr>
                <w:sz w:val="18"/>
                <w:szCs w:val="18"/>
                <w:lang w:val="es-419"/>
              </w:rPr>
            </w:pPr>
            <w:r>
              <w:rPr>
                <w:sz w:val="18"/>
                <w:szCs w:val="18"/>
                <w:lang w:val="es-419"/>
              </w:rPr>
              <w:t>5.3.4</w:t>
            </w:r>
          </w:p>
          <w:p w14:paraId="46A770EB" w14:textId="77777777" w:rsidR="00DF44D2" w:rsidRDefault="00DF44D2" w:rsidP="00374264">
            <w:pPr>
              <w:ind w:firstLine="0"/>
              <w:jc w:val="left"/>
              <w:rPr>
                <w:sz w:val="18"/>
                <w:szCs w:val="18"/>
                <w:lang w:val="es-419"/>
              </w:rPr>
            </w:pPr>
            <w:r>
              <w:rPr>
                <w:sz w:val="18"/>
                <w:szCs w:val="18"/>
                <w:lang w:val="es-419"/>
              </w:rPr>
              <w:t>5.3.5</w:t>
            </w:r>
          </w:p>
          <w:p w14:paraId="7DF58DBE" w14:textId="01229D3B" w:rsidR="00DF44D2" w:rsidRPr="00041A72" w:rsidRDefault="00DF44D2" w:rsidP="00374264">
            <w:pPr>
              <w:ind w:firstLine="0"/>
              <w:jc w:val="left"/>
              <w:rPr>
                <w:sz w:val="18"/>
                <w:szCs w:val="18"/>
                <w:lang w:val="es-419"/>
              </w:rPr>
            </w:pPr>
            <w:r>
              <w:rPr>
                <w:sz w:val="18"/>
                <w:szCs w:val="18"/>
                <w:lang w:val="es-419"/>
              </w:rPr>
              <w:t>5.3.7</w:t>
            </w:r>
          </w:p>
        </w:tc>
        <w:tc>
          <w:tcPr>
            <w:tcW w:w="1365" w:type="dxa"/>
          </w:tcPr>
          <w:p w14:paraId="504BA2CA" w14:textId="77777777" w:rsidR="00374264" w:rsidRPr="00041A72" w:rsidRDefault="00374264" w:rsidP="00374264">
            <w:pPr>
              <w:ind w:firstLine="0"/>
              <w:jc w:val="left"/>
              <w:rPr>
                <w:sz w:val="18"/>
                <w:szCs w:val="18"/>
                <w:lang w:val="es-CO"/>
              </w:rPr>
            </w:pPr>
          </w:p>
        </w:tc>
      </w:tr>
      <w:tr w:rsidR="00374264" w:rsidRPr="00041A72" w14:paraId="7BD19DD2" w14:textId="77777777" w:rsidTr="00E95AE0">
        <w:trPr>
          <w:trHeight w:val="1340"/>
        </w:trPr>
        <w:tc>
          <w:tcPr>
            <w:tcW w:w="265" w:type="dxa"/>
          </w:tcPr>
          <w:p w14:paraId="6F90E6DA" w14:textId="792AB479" w:rsidR="00374264" w:rsidRPr="004670B5" w:rsidRDefault="00374264" w:rsidP="00374264">
            <w:pPr>
              <w:ind w:firstLine="0"/>
              <w:jc w:val="left"/>
              <w:rPr>
                <w:bCs/>
                <w:sz w:val="18"/>
                <w:szCs w:val="18"/>
                <w:lang w:val="es-CO"/>
              </w:rPr>
            </w:pPr>
            <w:r>
              <w:rPr>
                <w:bCs/>
                <w:sz w:val="18"/>
                <w:szCs w:val="18"/>
                <w:lang w:val="es-CO"/>
              </w:rPr>
              <w:t>p</w:t>
            </w:r>
          </w:p>
        </w:tc>
        <w:tc>
          <w:tcPr>
            <w:tcW w:w="2440" w:type="dxa"/>
          </w:tcPr>
          <w:p w14:paraId="24F533BE" w14:textId="250F4AE6" w:rsidR="00374264" w:rsidRPr="004670B5" w:rsidRDefault="00D82046" w:rsidP="00374264">
            <w:pPr>
              <w:ind w:firstLine="0"/>
              <w:jc w:val="left"/>
              <w:rPr>
                <w:sz w:val="18"/>
                <w:szCs w:val="18"/>
                <w:lang w:val="es-CO"/>
              </w:rPr>
            </w:pPr>
            <w:r>
              <w:rPr>
                <w:sz w:val="18"/>
                <w:szCs w:val="18"/>
                <w:lang w:val="es-ES"/>
              </w:rPr>
              <w:t>Fo</w:t>
            </w:r>
            <w:r w:rsidR="003072BE">
              <w:rPr>
                <w:sz w:val="18"/>
                <w:szCs w:val="18"/>
                <w:lang w:val="es-ES"/>
              </w:rPr>
              <w:t>rtalecer</w:t>
            </w:r>
            <w:r>
              <w:rPr>
                <w:sz w:val="18"/>
                <w:szCs w:val="18"/>
                <w:lang w:val="es-ES"/>
              </w:rPr>
              <w:t xml:space="preserve"> la implementación d</w:t>
            </w:r>
            <w:r w:rsidR="00B246CA" w:rsidRPr="00B246CA">
              <w:rPr>
                <w:sz w:val="18"/>
                <w:szCs w:val="18"/>
                <w:lang w:val="es-ES"/>
              </w:rPr>
              <w:t xml:space="preserve">el Paquete específico de prestaciones y servicios para el abordaje integral de las ITS y VIH en poblaciones clave (julio 2015) que establece el paquete mínimo de prevención combinada para VIH en población general y clave, </w:t>
            </w:r>
            <w:proofErr w:type="gramStart"/>
            <w:r w:rsidR="003072BE">
              <w:rPr>
                <w:sz w:val="18"/>
                <w:szCs w:val="18"/>
                <w:lang w:val="es-ES"/>
              </w:rPr>
              <w:t>de acuerdo a</w:t>
            </w:r>
            <w:proofErr w:type="gramEnd"/>
            <w:r w:rsidR="003072BE">
              <w:rPr>
                <w:sz w:val="18"/>
                <w:szCs w:val="18"/>
                <w:lang w:val="es-ES"/>
              </w:rPr>
              <w:t xml:space="preserve"> la cartera </w:t>
            </w:r>
            <w:r w:rsidR="003072BE">
              <w:rPr>
                <w:sz w:val="18"/>
                <w:szCs w:val="18"/>
                <w:lang w:val="es-ES"/>
              </w:rPr>
              <w:lastRenderedPageBreak/>
              <w:t xml:space="preserve">de servicios de los Establecimientos de Salud, </w:t>
            </w:r>
            <w:r w:rsidR="00B246CA" w:rsidRPr="00B246CA">
              <w:rPr>
                <w:sz w:val="18"/>
                <w:szCs w:val="18"/>
                <w:lang w:val="es-ES"/>
              </w:rPr>
              <w:t>con miras a la institucionalización y financiamiento por la SESAL y el IHSS</w:t>
            </w:r>
          </w:p>
        </w:tc>
        <w:tc>
          <w:tcPr>
            <w:tcW w:w="440" w:type="dxa"/>
          </w:tcPr>
          <w:p w14:paraId="6DCEC987" w14:textId="7989B618" w:rsidR="00374264" w:rsidRPr="00041A72" w:rsidRDefault="00374264" w:rsidP="00374264">
            <w:pPr>
              <w:ind w:firstLine="0"/>
              <w:jc w:val="left"/>
              <w:rPr>
                <w:sz w:val="18"/>
                <w:szCs w:val="18"/>
                <w:lang w:val="es-CO"/>
              </w:rPr>
            </w:pPr>
            <w:r>
              <w:rPr>
                <w:sz w:val="18"/>
                <w:szCs w:val="18"/>
                <w:lang w:val="es-CO"/>
              </w:rPr>
              <w:lastRenderedPageBreak/>
              <w:t>32</w:t>
            </w:r>
          </w:p>
        </w:tc>
        <w:tc>
          <w:tcPr>
            <w:tcW w:w="3780" w:type="dxa"/>
          </w:tcPr>
          <w:p w14:paraId="3396D8B7" w14:textId="592C16B1" w:rsidR="00374264" w:rsidRDefault="00374264" w:rsidP="00374264">
            <w:pPr>
              <w:ind w:firstLine="0"/>
              <w:jc w:val="left"/>
              <w:rPr>
                <w:bCs/>
                <w:sz w:val="18"/>
                <w:szCs w:val="18"/>
                <w:lang w:val="es-MX"/>
              </w:rPr>
            </w:pPr>
            <w:r w:rsidRPr="00041A72">
              <w:rPr>
                <w:bCs/>
                <w:sz w:val="18"/>
                <w:szCs w:val="18"/>
                <w:lang w:val="es-MX"/>
              </w:rPr>
              <w:t xml:space="preserve">Pilotaje de la implementación de estrategias innovadoras de localización y captación de la población clave; </w:t>
            </w:r>
            <w:r w:rsidR="00142BA3">
              <w:rPr>
                <w:bCs/>
                <w:sz w:val="18"/>
                <w:szCs w:val="18"/>
                <w:lang w:val="es-MX"/>
              </w:rPr>
              <w:t xml:space="preserve">promoción de las </w:t>
            </w:r>
            <w:r w:rsidRPr="00041A72">
              <w:rPr>
                <w:bCs/>
                <w:sz w:val="18"/>
                <w:szCs w:val="18"/>
                <w:lang w:val="es-MX"/>
              </w:rPr>
              <w:t>pruebas</w:t>
            </w:r>
            <w:r w:rsidR="00142BA3">
              <w:rPr>
                <w:bCs/>
                <w:sz w:val="18"/>
                <w:szCs w:val="18"/>
                <w:lang w:val="es-MX"/>
              </w:rPr>
              <w:t xml:space="preserve"> de VIH a nivel</w:t>
            </w:r>
            <w:r w:rsidRPr="00041A72">
              <w:rPr>
                <w:bCs/>
                <w:sz w:val="18"/>
                <w:szCs w:val="18"/>
                <w:lang w:val="es-MX"/>
              </w:rPr>
              <w:t xml:space="preserve"> comunitari</w:t>
            </w:r>
            <w:r w:rsidR="00142BA3">
              <w:rPr>
                <w:bCs/>
                <w:sz w:val="18"/>
                <w:szCs w:val="18"/>
                <w:lang w:val="es-MX"/>
              </w:rPr>
              <w:t>o</w:t>
            </w:r>
            <w:r w:rsidRPr="00041A72">
              <w:rPr>
                <w:bCs/>
                <w:sz w:val="18"/>
                <w:szCs w:val="18"/>
                <w:lang w:val="es-MX"/>
              </w:rPr>
              <w:t xml:space="preserve">; entrega de condones según sus necesidades; </w:t>
            </w:r>
            <w:r w:rsidR="00142BA3">
              <w:rPr>
                <w:bCs/>
                <w:sz w:val="18"/>
                <w:szCs w:val="18"/>
                <w:lang w:val="es-MX"/>
              </w:rPr>
              <w:t>y c</w:t>
            </w:r>
            <w:r w:rsidRPr="00041A72">
              <w:rPr>
                <w:bCs/>
                <w:sz w:val="18"/>
                <w:szCs w:val="18"/>
                <w:lang w:val="es-MX"/>
              </w:rPr>
              <w:t>omunicación para cambio de comportamiento (CCC)</w:t>
            </w:r>
          </w:p>
          <w:p w14:paraId="1949FE60" w14:textId="006AAB11" w:rsidR="00374264" w:rsidRPr="00041A72" w:rsidRDefault="00374264" w:rsidP="00374264">
            <w:pPr>
              <w:ind w:firstLine="0"/>
              <w:jc w:val="left"/>
              <w:rPr>
                <w:bCs/>
                <w:sz w:val="18"/>
                <w:szCs w:val="18"/>
                <w:lang w:val="es-MX"/>
              </w:rPr>
            </w:pPr>
          </w:p>
        </w:tc>
        <w:tc>
          <w:tcPr>
            <w:tcW w:w="630" w:type="dxa"/>
          </w:tcPr>
          <w:p w14:paraId="46B0706E" w14:textId="19F864FA" w:rsidR="00374264" w:rsidRPr="00041A72" w:rsidRDefault="00374264" w:rsidP="00374264">
            <w:pPr>
              <w:ind w:firstLine="0"/>
              <w:jc w:val="left"/>
              <w:rPr>
                <w:sz w:val="18"/>
                <w:szCs w:val="18"/>
                <w:lang w:val="es-CO"/>
              </w:rPr>
            </w:pPr>
            <w:r w:rsidRPr="00041A72">
              <w:rPr>
                <w:sz w:val="18"/>
                <w:szCs w:val="18"/>
                <w:lang w:val="es-CO"/>
              </w:rPr>
              <w:t>202</w:t>
            </w:r>
            <w:r>
              <w:rPr>
                <w:sz w:val="18"/>
                <w:szCs w:val="18"/>
                <w:lang w:val="es-CO"/>
              </w:rPr>
              <w:t>1</w:t>
            </w:r>
          </w:p>
        </w:tc>
        <w:tc>
          <w:tcPr>
            <w:tcW w:w="1530" w:type="dxa"/>
          </w:tcPr>
          <w:p w14:paraId="79D617B4" w14:textId="0B6F6350" w:rsidR="00374264" w:rsidRPr="00041A72" w:rsidRDefault="00374264" w:rsidP="00374264">
            <w:pPr>
              <w:ind w:firstLine="0"/>
              <w:jc w:val="left"/>
              <w:rPr>
                <w:sz w:val="18"/>
                <w:szCs w:val="18"/>
                <w:lang w:val="es-CO"/>
              </w:rPr>
            </w:pPr>
            <w:r w:rsidRPr="00041A72">
              <w:rPr>
                <w:sz w:val="18"/>
                <w:szCs w:val="18"/>
                <w:lang w:val="es-CO"/>
              </w:rPr>
              <w:t>Punto focal VIH</w:t>
            </w:r>
          </w:p>
        </w:tc>
        <w:tc>
          <w:tcPr>
            <w:tcW w:w="540" w:type="dxa"/>
          </w:tcPr>
          <w:p w14:paraId="25585C3D" w14:textId="77777777" w:rsidR="00374264" w:rsidRPr="00041A72" w:rsidRDefault="00374264" w:rsidP="00374264">
            <w:pPr>
              <w:ind w:firstLine="0"/>
              <w:jc w:val="left"/>
              <w:rPr>
                <w:sz w:val="18"/>
                <w:szCs w:val="18"/>
                <w:lang w:val="es-CO"/>
              </w:rPr>
            </w:pPr>
            <w:r w:rsidRPr="00041A72">
              <w:rPr>
                <w:sz w:val="18"/>
                <w:szCs w:val="18"/>
                <w:lang w:val="es-CO"/>
              </w:rPr>
              <w:t>Si</w:t>
            </w:r>
          </w:p>
        </w:tc>
        <w:tc>
          <w:tcPr>
            <w:tcW w:w="1440" w:type="dxa"/>
          </w:tcPr>
          <w:p w14:paraId="49D74FC6" w14:textId="2E097139" w:rsidR="00374264" w:rsidRPr="00041A72" w:rsidRDefault="00374264" w:rsidP="00374264">
            <w:pPr>
              <w:ind w:firstLine="0"/>
              <w:jc w:val="left"/>
              <w:rPr>
                <w:sz w:val="18"/>
                <w:szCs w:val="18"/>
                <w:lang w:val="es-CO"/>
              </w:rPr>
            </w:pPr>
            <w:r w:rsidRPr="00041A72">
              <w:rPr>
                <w:sz w:val="18"/>
                <w:szCs w:val="18"/>
                <w:lang w:val="es-CO"/>
              </w:rPr>
              <w:t xml:space="preserve">100,000 USD </w:t>
            </w:r>
          </w:p>
        </w:tc>
        <w:tc>
          <w:tcPr>
            <w:tcW w:w="900" w:type="dxa"/>
          </w:tcPr>
          <w:p w14:paraId="641C40EF" w14:textId="0BC60F7A" w:rsidR="00374264" w:rsidRPr="00041A72" w:rsidRDefault="00374264" w:rsidP="00374264">
            <w:pPr>
              <w:ind w:firstLine="0"/>
              <w:jc w:val="left"/>
              <w:rPr>
                <w:sz w:val="18"/>
                <w:szCs w:val="18"/>
                <w:lang w:val="es-419"/>
              </w:rPr>
            </w:pPr>
            <w:r>
              <w:rPr>
                <w:sz w:val="18"/>
                <w:szCs w:val="18"/>
                <w:lang w:val="es-419"/>
              </w:rPr>
              <w:t>PEPFAR</w:t>
            </w:r>
          </w:p>
        </w:tc>
        <w:tc>
          <w:tcPr>
            <w:tcW w:w="1080" w:type="dxa"/>
          </w:tcPr>
          <w:p w14:paraId="2AF40125" w14:textId="62E56B9B" w:rsidR="00374264" w:rsidRDefault="00374264" w:rsidP="00374264">
            <w:pPr>
              <w:ind w:firstLine="0"/>
              <w:jc w:val="left"/>
              <w:rPr>
                <w:sz w:val="18"/>
                <w:szCs w:val="18"/>
                <w:lang w:val="es-419"/>
              </w:rPr>
            </w:pPr>
            <w:r w:rsidRPr="00041A72">
              <w:rPr>
                <w:sz w:val="18"/>
                <w:szCs w:val="18"/>
                <w:lang w:val="es-419"/>
              </w:rPr>
              <w:t>PENSIDA 2.1.1</w:t>
            </w:r>
          </w:p>
          <w:p w14:paraId="165E0E59" w14:textId="4EA6A446" w:rsidR="009136B1" w:rsidRDefault="009136B1" w:rsidP="00374264">
            <w:pPr>
              <w:ind w:firstLine="0"/>
              <w:jc w:val="left"/>
              <w:rPr>
                <w:sz w:val="18"/>
                <w:szCs w:val="18"/>
                <w:lang w:val="es-419"/>
              </w:rPr>
            </w:pPr>
            <w:proofErr w:type="spellStart"/>
            <w:r>
              <w:rPr>
                <w:sz w:val="18"/>
                <w:szCs w:val="18"/>
                <w:lang w:val="es-419"/>
              </w:rPr>
              <w:t>Eval</w:t>
            </w:r>
            <w:proofErr w:type="spellEnd"/>
            <w:r>
              <w:rPr>
                <w:sz w:val="18"/>
                <w:szCs w:val="18"/>
                <w:lang w:val="es-419"/>
              </w:rPr>
              <w:t xml:space="preserve">. </w:t>
            </w:r>
            <w:proofErr w:type="spellStart"/>
            <w:r>
              <w:rPr>
                <w:sz w:val="18"/>
                <w:szCs w:val="18"/>
                <w:lang w:val="es-419"/>
              </w:rPr>
              <w:t>Conj</w:t>
            </w:r>
            <w:proofErr w:type="spellEnd"/>
            <w:r>
              <w:rPr>
                <w:sz w:val="18"/>
                <w:szCs w:val="18"/>
                <w:lang w:val="es-419"/>
              </w:rPr>
              <w:t>.</w:t>
            </w:r>
          </w:p>
          <w:p w14:paraId="69F8E892" w14:textId="2C380C6D" w:rsidR="009136B1" w:rsidRPr="00041A72" w:rsidRDefault="009136B1" w:rsidP="00374264">
            <w:pPr>
              <w:ind w:firstLine="0"/>
              <w:jc w:val="left"/>
              <w:rPr>
                <w:sz w:val="18"/>
                <w:szCs w:val="18"/>
                <w:lang w:val="es-419"/>
              </w:rPr>
            </w:pPr>
            <w:r>
              <w:rPr>
                <w:sz w:val="18"/>
                <w:szCs w:val="18"/>
                <w:lang w:val="es-419"/>
              </w:rPr>
              <w:t>5.3.13</w:t>
            </w:r>
          </w:p>
          <w:p w14:paraId="6DDCA6A1" w14:textId="77777777" w:rsidR="00374264" w:rsidRPr="00041A72" w:rsidRDefault="00374264" w:rsidP="00374264">
            <w:pPr>
              <w:ind w:firstLine="0"/>
              <w:jc w:val="left"/>
              <w:rPr>
                <w:sz w:val="18"/>
                <w:szCs w:val="18"/>
                <w:lang w:val="es-CO"/>
              </w:rPr>
            </w:pPr>
          </w:p>
        </w:tc>
        <w:tc>
          <w:tcPr>
            <w:tcW w:w="1365" w:type="dxa"/>
          </w:tcPr>
          <w:p w14:paraId="44F1658D" w14:textId="77777777" w:rsidR="00374264" w:rsidRPr="00041A72" w:rsidRDefault="00374264" w:rsidP="00374264">
            <w:pPr>
              <w:ind w:firstLine="0"/>
              <w:jc w:val="left"/>
              <w:rPr>
                <w:sz w:val="18"/>
                <w:szCs w:val="18"/>
                <w:lang w:val="es-CO"/>
              </w:rPr>
            </w:pPr>
          </w:p>
        </w:tc>
      </w:tr>
      <w:tr w:rsidR="00374264" w:rsidRPr="00041A72" w14:paraId="526DEDD9" w14:textId="77777777" w:rsidTr="0084106B">
        <w:trPr>
          <w:trHeight w:val="1862"/>
        </w:trPr>
        <w:tc>
          <w:tcPr>
            <w:tcW w:w="265" w:type="dxa"/>
            <w:vMerge w:val="restart"/>
          </w:tcPr>
          <w:p w14:paraId="6D448FEF" w14:textId="787F2EA0" w:rsidR="00374264" w:rsidRDefault="00374264" w:rsidP="00374264">
            <w:pPr>
              <w:ind w:firstLine="0"/>
              <w:jc w:val="left"/>
              <w:rPr>
                <w:bCs/>
                <w:sz w:val="18"/>
                <w:szCs w:val="18"/>
                <w:lang w:val="es-CO"/>
              </w:rPr>
            </w:pPr>
            <w:r>
              <w:rPr>
                <w:bCs/>
                <w:sz w:val="18"/>
                <w:szCs w:val="18"/>
                <w:lang w:val="es-CO"/>
              </w:rPr>
              <w:t>q</w:t>
            </w:r>
          </w:p>
        </w:tc>
        <w:tc>
          <w:tcPr>
            <w:tcW w:w="2440" w:type="dxa"/>
            <w:vMerge w:val="restart"/>
          </w:tcPr>
          <w:p w14:paraId="7A52B0EB" w14:textId="4B41B3D3" w:rsidR="00374264" w:rsidRPr="00B246CA" w:rsidRDefault="00B246CA" w:rsidP="00374264">
            <w:pPr>
              <w:ind w:firstLine="0"/>
              <w:jc w:val="left"/>
              <w:rPr>
                <w:sz w:val="18"/>
                <w:szCs w:val="18"/>
                <w:lang w:val="es-ES"/>
              </w:rPr>
            </w:pPr>
            <w:r w:rsidRPr="00B246CA">
              <w:rPr>
                <w:bCs/>
                <w:color w:val="000000"/>
                <w:sz w:val="18"/>
                <w:szCs w:val="18"/>
                <w:lang w:eastAsia="fr-FR"/>
              </w:rPr>
              <w:t xml:space="preserve">Garantizar recursos </w:t>
            </w:r>
            <w:r w:rsidR="003072BE">
              <w:rPr>
                <w:bCs/>
                <w:color w:val="000000"/>
                <w:sz w:val="18"/>
                <w:szCs w:val="18"/>
                <w:lang w:eastAsia="fr-FR"/>
              </w:rPr>
              <w:t xml:space="preserve">(humanos, de infraestructura, logísticos, medicamentos e insumos y reactivos) </w:t>
            </w:r>
            <w:r w:rsidRPr="00B246CA">
              <w:rPr>
                <w:bCs/>
                <w:color w:val="000000"/>
                <w:sz w:val="18"/>
                <w:szCs w:val="18"/>
                <w:lang w:eastAsia="fr-FR"/>
              </w:rPr>
              <w:t>para el fortalecimiento de los servicios amigables, VICITS y horarios extendidos</w:t>
            </w:r>
          </w:p>
        </w:tc>
        <w:tc>
          <w:tcPr>
            <w:tcW w:w="440" w:type="dxa"/>
          </w:tcPr>
          <w:p w14:paraId="515A1331" w14:textId="7287F500" w:rsidR="00374264" w:rsidRDefault="00E74A07" w:rsidP="00374264">
            <w:pPr>
              <w:ind w:firstLine="0"/>
              <w:jc w:val="left"/>
              <w:rPr>
                <w:sz w:val="18"/>
                <w:szCs w:val="18"/>
                <w:lang w:val="es-CO"/>
              </w:rPr>
            </w:pPr>
            <w:r>
              <w:rPr>
                <w:sz w:val="18"/>
                <w:szCs w:val="18"/>
                <w:lang w:val="es-CO"/>
              </w:rPr>
              <w:t>33</w:t>
            </w:r>
          </w:p>
        </w:tc>
        <w:tc>
          <w:tcPr>
            <w:tcW w:w="3780" w:type="dxa"/>
          </w:tcPr>
          <w:p w14:paraId="079F2754" w14:textId="7BF85FD3" w:rsidR="00374264" w:rsidRPr="00041A72" w:rsidRDefault="00374264" w:rsidP="00374264">
            <w:pPr>
              <w:ind w:firstLine="0"/>
              <w:jc w:val="left"/>
              <w:rPr>
                <w:bCs/>
                <w:sz w:val="18"/>
                <w:szCs w:val="18"/>
                <w:lang w:val="es-MX"/>
              </w:rPr>
            </w:pPr>
            <w:r w:rsidRPr="00041A72">
              <w:rPr>
                <w:bCs/>
                <w:sz w:val="18"/>
                <w:szCs w:val="18"/>
                <w:lang w:val="es-CO"/>
              </w:rPr>
              <w:t>Implementación de planes de mejora continua para mejorar y homologar el abordaje a la población clave (por lo menos en todos los centros VICITS)</w:t>
            </w:r>
          </w:p>
        </w:tc>
        <w:tc>
          <w:tcPr>
            <w:tcW w:w="630" w:type="dxa"/>
          </w:tcPr>
          <w:p w14:paraId="7FB483E6" w14:textId="028126BB" w:rsidR="00374264" w:rsidRPr="00041A72" w:rsidRDefault="00374264" w:rsidP="00374264">
            <w:pPr>
              <w:ind w:firstLine="0"/>
              <w:jc w:val="left"/>
              <w:rPr>
                <w:sz w:val="18"/>
                <w:szCs w:val="18"/>
                <w:lang w:val="es-CO"/>
              </w:rPr>
            </w:pPr>
            <w:r>
              <w:rPr>
                <w:sz w:val="18"/>
                <w:szCs w:val="18"/>
                <w:lang w:val="es-CO"/>
              </w:rPr>
              <w:t>2021</w:t>
            </w:r>
          </w:p>
        </w:tc>
        <w:tc>
          <w:tcPr>
            <w:tcW w:w="1530" w:type="dxa"/>
          </w:tcPr>
          <w:p w14:paraId="4B350C36" w14:textId="2FB777D3" w:rsidR="00374264" w:rsidRPr="00041A72" w:rsidRDefault="00374264" w:rsidP="00374264">
            <w:pPr>
              <w:ind w:firstLine="0"/>
              <w:jc w:val="left"/>
              <w:rPr>
                <w:sz w:val="18"/>
                <w:szCs w:val="18"/>
                <w:lang w:val="es-CO"/>
              </w:rPr>
            </w:pPr>
            <w:r w:rsidRPr="00041A72">
              <w:rPr>
                <w:sz w:val="18"/>
                <w:szCs w:val="18"/>
                <w:lang w:val="es-CO"/>
              </w:rPr>
              <w:t>Unidad de Gestión de la Calidad / DGRISS</w:t>
            </w:r>
          </w:p>
        </w:tc>
        <w:tc>
          <w:tcPr>
            <w:tcW w:w="540" w:type="dxa"/>
          </w:tcPr>
          <w:p w14:paraId="4D223E9F" w14:textId="2C7CB3B8" w:rsidR="00374264" w:rsidRPr="00041A72" w:rsidRDefault="00374264" w:rsidP="00374264">
            <w:pPr>
              <w:ind w:firstLine="0"/>
              <w:jc w:val="left"/>
              <w:rPr>
                <w:sz w:val="18"/>
                <w:szCs w:val="18"/>
                <w:lang w:val="es-CO"/>
              </w:rPr>
            </w:pPr>
            <w:r w:rsidRPr="00041A72">
              <w:rPr>
                <w:sz w:val="18"/>
                <w:szCs w:val="18"/>
                <w:lang w:val="es-CO"/>
              </w:rPr>
              <w:t>Si</w:t>
            </w:r>
          </w:p>
        </w:tc>
        <w:tc>
          <w:tcPr>
            <w:tcW w:w="1440" w:type="dxa"/>
          </w:tcPr>
          <w:p w14:paraId="35C92CC9" w14:textId="4707710F" w:rsidR="00374264" w:rsidRPr="00041A72" w:rsidRDefault="00374264" w:rsidP="00374264">
            <w:pPr>
              <w:ind w:firstLine="0"/>
              <w:jc w:val="left"/>
              <w:rPr>
                <w:sz w:val="18"/>
                <w:szCs w:val="18"/>
                <w:lang w:val="es-CO"/>
              </w:rPr>
            </w:pPr>
            <w:r w:rsidRPr="00041A72">
              <w:rPr>
                <w:sz w:val="18"/>
                <w:szCs w:val="18"/>
                <w:lang w:val="es-CO"/>
              </w:rPr>
              <w:t>Pedir información a USAID</w:t>
            </w:r>
          </w:p>
        </w:tc>
        <w:tc>
          <w:tcPr>
            <w:tcW w:w="900" w:type="dxa"/>
          </w:tcPr>
          <w:p w14:paraId="01C7D864" w14:textId="038936C7" w:rsidR="00374264" w:rsidRDefault="00374264" w:rsidP="00374264">
            <w:pPr>
              <w:ind w:firstLine="0"/>
              <w:jc w:val="left"/>
              <w:rPr>
                <w:sz w:val="18"/>
                <w:szCs w:val="18"/>
                <w:lang w:val="es-419"/>
              </w:rPr>
            </w:pPr>
            <w:r w:rsidRPr="00041A72">
              <w:rPr>
                <w:sz w:val="18"/>
                <w:szCs w:val="18"/>
                <w:lang w:val="es-CO"/>
              </w:rPr>
              <w:t>CDC / PEPFAR</w:t>
            </w:r>
          </w:p>
        </w:tc>
        <w:tc>
          <w:tcPr>
            <w:tcW w:w="1080" w:type="dxa"/>
            <w:vMerge w:val="restart"/>
          </w:tcPr>
          <w:p w14:paraId="42071A1A" w14:textId="77777777" w:rsidR="00374264" w:rsidRPr="00041A72" w:rsidRDefault="00374264" w:rsidP="00374264">
            <w:pPr>
              <w:ind w:firstLine="0"/>
              <w:jc w:val="left"/>
              <w:rPr>
                <w:sz w:val="18"/>
                <w:szCs w:val="18"/>
                <w:lang w:val="es-419"/>
              </w:rPr>
            </w:pPr>
            <w:r w:rsidRPr="00041A72">
              <w:rPr>
                <w:sz w:val="18"/>
                <w:szCs w:val="18"/>
                <w:lang w:val="es-CO"/>
              </w:rPr>
              <w:t xml:space="preserve">PENSIDA </w:t>
            </w:r>
            <w:r w:rsidRPr="00041A72">
              <w:rPr>
                <w:sz w:val="18"/>
                <w:szCs w:val="18"/>
                <w:lang w:val="es-419"/>
              </w:rPr>
              <w:t xml:space="preserve">2.1.1 </w:t>
            </w:r>
          </w:p>
          <w:p w14:paraId="25813EEC" w14:textId="77777777" w:rsidR="00374264" w:rsidRPr="00041A72" w:rsidRDefault="00374264" w:rsidP="00374264">
            <w:pPr>
              <w:ind w:firstLine="0"/>
              <w:jc w:val="left"/>
              <w:rPr>
                <w:sz w:val="18"/>
                <w:szCs w:val="18"/>
                <w:lang w:val="es-419"/>
              </w:rPr>
            </w:pPr>
            <w:r w:rsidRPr="00041A72">
              <w:rPr>
                <w:sz w:val="18"/>
                <w:szCs w:val="18"/>
                <w:lang w:val="es-419"/>
              </w:rPr>
              <w:t>2.1.2</w:t>
            </w:r>
          </w:p>
          <w:p w14:paraId="6A57B7A7" w14:textId="77777777" w:rsidR="00374264" w:rsidRPr="00041A72" w:rsidRDefault="00374264" w:rsidP="00374264">
            <w:pPr>
              <w:ind w:firstLine="0"/>
              <w:jc w:val="left"/>
              <w:rPr>
                <w:sz w:val="18"/>
                <w:szCs w:val="18"/>
                <w:lang w:val="es-419"/>
              </w:rPr>
            </w:pPr>
            <w:r w:rsidRPr="00041A72">
              <w:rPr>
                <w:sz w:val="18"/>
                <w:szCs w:val="18"/>
                <w:lang w:val="es-419"/>
              </w:rPr>
              <w:t>2.2.1</w:t>
            </w:r>
          </w:p>
          <w:p w14:paraId="6AC51EBC" w14:textId="422D6C4B" w:rsidR="00374264" w:rsidRPr="00041A72" w:rsidRDefault="00374264" w:rsidP="00374264">
            <w:pPr>
              <w:ind w:firstLine="0"/>
              <w:jc w:val="left"/>
              <w:rPr>
                <w:sz w:val="18"/>
                <w:szCs w:val="18"/>
                <w:lang w:val="es-419"/>
              </w:rPr>
            </w:pPr>
            <w:r w:rsidRPr="00041A72">
              <w:rPr>
                <w:sz w:val="18"/>
                <w:szCs w:val="18"/>
                <w:lang w:val="es-419"/>
              </w:rPr>
              <w:t>2.2.2</w:t>
            </w:r>
          </w:p>
        </w:tc>
        <w:tc>
          <w:tcPr>
            <w:tcW w:w="1365" w:type="dxa"/>
          </w:tcPr>
          <w:p w14:paraId="27390B29" w14:textId="77777777" w:rsidR="00374264" w:rsidRPr="00041A72" w:rsidRDefault="00374264" w:rsidP="00374264">
            <w:pPr>
              <w:ind w:firstLine="0"/>
              <w:jc w:val="left"/>
              <w:rPr>
                <w:sz w:val="18"/>
                <w:szCs w:val="18"/>
                <w:lang w:val="es-CO"/>
              </w:rPr>
            </w:pPr>
          </w:p>
        </w:tc>
      </w:tr>
      <w:tr w:rsidR="00374264" w:rsidRPr="00041A72" w14:paraId="172DEA51" w14:textId="77777777" w:rsidTr="0084106B">
        <w:trPr>
          <w:trHeight w:val="1862"/>
        </w:trPr>
        <w:tc>
          <w:tcPr>
            <w:tcW w:w="265" w:type="dxa"/>
            <w:vMerge/>
          </w:tcPr>
          <w:p w14:paraId="5A2D27DD" w14:textId="77777777" w:rsidR="00374264" w:rsidRDefault="00374264" w:rsidP="00374264">
            <w:pPr>
              <w:ind w:firstLine="0"/>
              <w:jc w:val="left"/>
              <w:rPr>
                <w:bCs/>
                <w:sz w:val="18"/>
                <w:szCs w:val="18"/>
                <w:lang w:val="es-CO"/>
              </w:rPr>
            </w:pPr>
          </w:p>
        </w:tc>
        <w:tc>
          <w:tcPr>
            <w:tcW w:w="2440" w:type="dxa"/>
            <w:vMerge/>
          </w:tcPr>
          <w:p w14:paraId="115F3AE1" w14:textId="77777777" w:rsidR="00374264" w:rsidRPr="004670B5" w:rsidRDefault="00374264" w:rsidP="00374264">
            <w:pPr>
              <w:ind w:firstLine="0"/>
              <w:jc w:val="left"/>
              <w:rPr>
                <w:sz w:val="18"/>
                <w:szCs w:val="18"/>
                <w:lang w:val="es-ES"/>
              </w:rPr>
            </w:pPr>
          </w:p>
        </w:tc>
        <w:tc>
          <w:tcPr>
            <w:tcW w:w="440" w:type="dxa"/>
          </w:tcPr>
          <w:p w14:paraId="0D628B4E" w14:textId="6A0F24B9" w:rsidR="00374264" w:rsidRDefault="00E74A07" w:rsidP="00374264">
            <w:pPr>
              <w:ind w:firstLine="0"/>
              <w:jc w:val="left"/>
              <w:rPr>
                <w:sz w:val="18"/>
                <w:szCs w:val="18"/>
                <w:lang w:val="es-CO"/>
              </w:rPr>
            </w:pPr>
            <w:r>
              <w:rPr>
                <w:sz w:val="18"/>
                <w:szCs w:val="18"/>
                <w:lang w:val="es-CO"/>
              </w:rPr>
              <w:t>34</w:t>
            </w:r>
          </w:p>
        </w:tc>
        <w:tc>
          <w:tcPr>
            <w:tcW w:w="3780" w:type="dxa"/>
          </w:tcPr>
          <w:p w14:paraId="1886E057" w14:textId="7F08B9C1" w:rsidR="00374264" w:rsidRPr="00041A72" w:rsidRDefault="00142BA3" w:rsidP="00374264">
            <w:pPr>
              <w:ind w:firstLine="0"/>
              <w:jc w:val="left"/>
              <w:rPr>
                <w:bCs/>
                <w:sz w:val="18"/>
                <w:szCs w:val="18"/>
                <w:lang w:val="es-MX"/>
              </w:rPr>
            </w:pPr>
            <w:r>
              <w:rPr>
                <w:bCs/>
                <w:sz w:val="18"/>
                <w:szCs w:val="18"/>
                <w:lang w:val="es-ES"/>
              </w:rPr>
              <w:t xml:space="preserve">Gestionar </w:t>
            </w:r>
            <w:r w:rsidR="00374264" w:rsidRPr="00041A72">
              <w:rPr>
                <w:bCs/>
                <w:sz w:val="18"/>
                <w:szCs w:val="18"/>
                <w:lang w:val="es-ES"/>
              </w:rPr>
              <w:t>un estudio de costo-efectividad sobre los modelos diferenciados (prevención y atención), basada en las necesidades y particularidades de PVIH y grupos clave</w:t>
            </w:r>
            <w:r w:rsidR="00132CDB">
              <w:rPr>
                <w:bCs/>
                <w:sz w:val="18"/>
                <w:szCs w:val="18"/>
                <w:lang w:val="es-ES"/>
              </w:rPr>
              <w:t xml:space="preserve"> – incluyendo la actividad 20 y los esquemas propuestos en la actividad 7. Idealmente </w:t>
            </w:r>
            <w:r w:rsidR="005C2817">
              <w:rPr>
                <w:bCs/>
                <w:sz w:val="18"/>
                <w:szCs w:val="18"/>
                <w:lang w:val="es-ES"/>
              </w:rPr>
              <w:t>estas</w:t>
            </w:r>
            <w:r w:rsidR="00132CDB">
              <w:rPr>
                <w:bCs/>
                <w:sz w:val="18"/>
                <w:szCs w:val="18"/>
                <w:lang w:val="es-ES"/>
              </w:rPr>
              <w:t xml:space="preserve"> 3 actividades deberían realizarse </w:t>
            </w:r>
            <w:r w:rsidR="00FC1379">
              <w:rPr>
                <w:bCs/>
                <w:sz w:val="18"/>
                <w:szCs w:val="18"/>
                <w:lang w:val="es-ES"/>
              </w:rPr>
              <w:t>simultáneamente.</w:t>
            </w:r>
          </w:p>
        </w:tc>
        <w:tc>
          <w:tcPr>
            <w:tcW w:w="630" w:type="dxa"/>
          </w:tcPr>
          <w:p w14:paraId="09593B81" w14:textId="7779C28E" w:rsidR="00374264" w:rsidRPr="00041A72" w:rsidRDefault="00374264" w:rsidP="00374264">
            <w:pPr>
              <w:ind w:firstLine="0"/>
              <w:jc w:val="left"/>
              <w:rPr>
                <w:sz w:val="18"/>
                <w:szCs w:val="18"/>
                <w:lang w:val="es-CO"/>
              </w:rPr>
            </w:pPr>
            <w:r w:rsidRPr="00041A72">
              <w:rPr>
                <w:sz w:val="18"/>
                <w:szCs w:val="18"/>
                <w:lang w:val="es-CO"/>
              </w:rPr>
              <w:t>2020</w:t>
            </w:r>
          </w:p>
        </w:tc>
        <w:tc>
          <w:tcPr>
            <w:tcW w:w="1530" w:type="dxa"/>
          </w:tcPr>
          <w:p w14:paraId="3F4C8BCB" w14:textId="1529C47D" w:rsidR="00374264" w:rsidRPr="00041A72" w:rsidRDefault="00374264" w:rsidP="00374264">
            <w:pPr>
              <w:ind w:firstLine="0"/>
              <w:jc w:val="left"/>
              <w:rPr>
                <w:sz w:val="18"/>
                <w:szCs w:val="18"/>
                <w:lang w:val="es-CO"/>
              </w:rPr>
            </w:pPr>
            <w:r w:rsidRPr="00041A72">
              <w:rPr>
                <w:sz w:val="18"/>
                <w:szCs w:val="18"/>
                <w:lang w:val="es-CO"/>
              </w:rPr>
              <w:t>Dirección de Normalización</w:t>
            </w:r>
          </w:p>
        </w:tc>
        <w:tc>
          <w:tcPr>
            <w:tcW w:w="540" w:type="dxa"/>
          </w:tcPr>
          <w:p w14:paraId="769BD2F8" w14:textId="7E63AF78" w:rsidR="00374264" w:rsidRPr="00041A72" w:rsidRDefault="00374264" w:rsidP="00374264">
            <w:pPr>
              <w:ind w:firstLine="0"/>
              <w:jc w:val="left"/>
              <w:rPr>
                <w:sz w:val="18"/>
                <w:szCs w:val="18"/>
                <w:lang w:val="es-CO"/>
              </w:rPr>
            </w:pPr>
            <w:r w:rsidRPr="00041A72">
              <w:rPr>
                <w:sz w:val="18"/>
                <w:szCs w:val="18"/>
                <w:lang w:val="es-CO"/>
              </w:rPr>
              <w:t>Si</w:t>
            </w:r>
          </w:p>
        </w:tc>
        <w:tc>
          <w:tcPr>
            <w:tcW w:w="1440" w:type="dxa"/>
          </w:tcPr>
          <w:p w14:paraId="52F96755" w14:textId="514F9A69" w:rsidR="00374264" w:rsidRPr="00041A72" w:rsidRDefault="00374264" w:rsidP="00374264">
            <w:pPr>
              <w:ind w:firstLine="0"/>
              <w:jc w:val="left"/>
              <w:rPr>
                <w:sz w:val="18"/>
                <w:szCs w:val="18"/>
                <w:lang w:val="es-CO"/>
              </w:rPr>
            </w:pPr>
            <w:r w:rsidRPr="00041A72">
              <w:rPr>
                <w:sz w:val="18"/>
                <w:szCs w:val="18"/>
                <w:lang w:val="es-CO"/>
              </w:rPr>
              <w:t>45,000-60,000 USD</w:t>
            </w:r>
          </w:p>
        </w:tc>
        <w:tc>
          <w:tcPr>
            <w:tcW w:w="900" w:type="dxa"/>
          </w:tcPr>
          <w:p w14:paraId="44FE0FCE" w14:textId="75E385E2" w:rsidR="00374264" w:rsidRDefault="00374264" w:rsidP="00374264">
            <w:pPr>
              <w:ind w:firstLine="0"/>
              <w:jc w:val="left"/>
              <w:rPr>
                <w:sz w:val="18"/>
                <w:szCs w:val="18"/>
                <w:lang w:val="es-419"/>
              </w:rPr>
            </w:pPr>
            <w:r>
              <w:rPr>
                <w:sz w:val="18"/>
                <w:szCs w:val="18"/>
                <w:lang w:val="es-CO"/>
              </w:rPr>
              <w:t>ONUSIDA</w:t>
            </w:r>
          </w:p>
        </w:tc>
        <w:tc>
          <w:tcPr>
            <w:tcW w:w="1080" w:type="dxa"/>
            <w:vMerge/>
          </w:tcPr>
          <w:p w14:paraId="61B12933" w14:textId="77777777" w:rsidR="00374264" w:rsidRPr="00041A72" w:rsidRDefault="00374264" w:rsidP="00374264">
            <w:pPr>
              <w:ind w:firstLine="0"/>
              <w:jc w:val="left"/>
              <w:rPr>
                <w:sz w:val="18"/>
                <w:szCs w:val="18"/>
                <w:lang w:val="es-419"/>
              </w:rPr>
            </w:pPr>
          </w:p>
        </w:tc>
        <w:tc>
          <w:tcPr>
            <w:tcW w:w="1365" w:type="dxa"/>
          </w:tcPr>
          <w:p w14:paraId="349423D7" w14:textId="77777777" w:rsidR="00374264" w:rsidRPr="00041A72" w:rsidRDefault="00374264" w:rsidP="00374264">
            <w:pPr>
              <w:ind w:firstLine="0"/>
              <w:jc w:val="left"/>
              <w:rPr>
                <w:sz w:val="18"/>
                <w:szCs w:val="18"/>
                <w:lang w:val="es-CO"/>
              </w:rPr>
            </w:pPr>
            <w:r w:rsidRPr="00041A72">
              <w:rPr>
                <w:sz w:val="18"/>
                <w:szCs w:val="18"/>
                <w:lang w:val="es-CO"/>
              </w:rPr>
              <w:t>Normativa actualizada</w:t>
            </w:r>
          </w:p>
          <w:p w14:paraId="322FC8F2" w14:textId="77777777" w:rsidR="00374264" w:rsidRPr="00041A72" w:rsidRDefault="00374264" w:rsidP="00374264">
            <w:pPr>
              <w:ind w:firstLine="0"/>
              <w:jc w:val="left"/>
              <w:rPr>
                <w:sz w:val="18"/>
                <w:szCs w:val="18"/>
                <w:lang w:val="es-CO"/>
              </w:rPr>
            </w:pPr>
          </w:p>
          <w:p w14:paraId="648681C9" w14:textId="77777777" w:rsidR="00374264" w:rsidRPr="00041A72" w:rsidRDefault="00374264" w:rsidP="00374264">
            <w:pPr>
              <w:ind w:firstLine="0"/>
              <w:jc w:val="left"/>
              <w:rPr>
                <w:sz w:val="18"/>
                <w:szCs w:val="18"/>
                <w:lang w:val="es-CO"/>
              </w:rPr>
            </w:pPr>
          </w:p>
        </w:tc>
      </w:tr>
      <w:tr w:rsidR="00273A96" w:rsidRPr="00041A72" w14:paraId="23D9765C" w14:textId="77777777" w:rsidTr="0084106B">
        <w:trPr>
          <w:trHeight w:val="1862"/>
        </w:trPr>
        <w:tc>
          <w:tcPr>
            <w:tcW w:w="265" w:type="dxa"/>
          </w:tcPr>
          <w:p w14:paraId="5A81EC3C" w14:textId="6923C7E3" w:rsidR="00273A96" w:rsidRDefault="00273A96" w:rsidP="00273A96">
            <w:pPr>
              <w:ind w:firstLine="0"/>
              <w:jc w:val="left"/>
              <w:rPr>
                <w:bCs/>
                <w:sz w:val="18"/>
                <w:szCs w:val="18"/>
                <w:lang w:val="es-CO"/>
              </w:rPr>
            </w:pPr>
            <w:r>
              <w:rPr>
                <w:b/>
                <w:bCs/>
                <w:sz w:val="18"/>
                <w:szCs w:val="18"/>
                <w:lang w:val="es-CO"/>
              </w:rPr>
              <w:t>r</w:t>
            </w:r>
          </w:p>
        </w:tc>
        <w:tc>
          <w:tcPr>
            <w:tcW w:w="2440" w:type="dxa"/>
          </w:tcPr>
          <w:p w14:paraId="09399233" w14:textId="77777777" w:rsidR="00273A96" w:rsidRDefault="00273A96" w:rsidP="00273A96">
            <w:pPr>
              <w:ind w:firstLine="0"/>
              <w:jc w:val="left"/>
              <w:rPr>
                <w:bCs/>
                <w:sz w:val="18"/>
                <w:szCs w:val="18"/>
                <w:lang w:val="es-CO"/>
              </w:rPr>
            </w:pPr>
            <w:r w:rsidRPr="006E0A6F">
              <w:rPr>
                <w:bCs/>
                <w:sz w:val="18"/>
                <w:szCs w:val="18"/>
                <w:lang w:val="es-CO"/>
              </w:rPr>
              <w:t>Crear líneas presupuestarias para cubrir los compromisos de cofinanciamiento de las pruebas CD4, PDR, carga viral, leche infantil, inversiones en reactivos ITS, insumos de laboratorio, cartuchos Gene-</w:t>
            </w:r>
            <w:proofErr w:type="spellStart"/>
            <w:r w:rsidRPr="006E0A6F">
              <w:rPr>
                <w:bCs/>
                <w:sz w:val="18"/>
                <w:szCs w:val="18"/>
                <w:lang w:val="es-CO"/>
              </w:rPr>
              <w:t>Xpert</w:t>
            </w:r>
            <w:proofErr w:type="spellEnd"/>
            <w:r w:rsidRPr="006E0A6F">
              <w:rPr>
                <w:bCs/>
                <w:sz w:val="18"/>
                <w:szCs w:val="18"/>
                <w:lang w:val="es-CO"/>
              </w:rPr>
              <w:t xml:space="preserve">, respiradores N95, suplemento alimenticio para pacientes con TB-DR, control de infecciones de TB, así como para la prevención de VIH y TB a través de la prestación de servicios por parte de las </w:t>
            </w:r>
            <w:proofErr w:type="spellStart"/>
            <w:r w:rsidRPr="006E0A6F">
              <w:rPr>
                <w:bCs/>
                <w:sz w:val="18"/>
                <w:szCs w:val="18"/>
                <w:lang w:val="es-CO"/>
              </w:rPr>
              <w:t>OSCs</w:t>
            </w:r>
            <w:proofErr w:type="spellEnd"/>
          </w:p>
          <w:p w14:paraId="25F415B7" w14:textId="77777777" w:rsidR="00273A96" w:rsidRDefault="00273A96" w:rsidP="00273A96">
            <w:pPr>
              <w:ind w:firstLine="0"/>
              <w:jc w:val="left"/>
              <w:rPr>
                <w:bCs/>
                <w:sz w:val="18"/>
                <w:szCs w:val="18"/>
                <w:lang w:val="es-CO"/>
              </w:rPr>
            </w:pPr>
          </w:p>
          <w:p w14:paraId="1B2D9588" w14:textId="77777777" w:rsidR="00273A96" w:rsidRDefault="00273A96" w:rsidP="00273A96">
            <w:pPr>
              <w:ind w:firstLine="0"/>
              <w:jc w:val="left"/>
              <w:rPr>
                <w:bCs/>
                <w:sz w:val="18"/>
                <w:szCs w:val="18"/>
                <w:lang w:val="es-CO"/>
              </w:rPr>
            </w:pPr>
          </w:p>
          <w:p w14:paraId="4550A94A" w14:textId="1FF1D2B8" w:rsidR="00273A96" w:rsidRPr="00273A96" w:rsidRDefault="00273A96" w:rsidP="00273A96">
            <w:pPr>
              <w:ind w:firstLine="0"/>
              <w:jc w:val="left"/>
              <w:rPr>
                <w:bCs/>
                <w:sz w:val="18"/>
                <w:szCs w:val="18"/>
                <w:lang w:val="es-CO"/>
              </w:rPr>
            </w:pPr>
          </w:p>
        </w:tc>
        <w:tc>
          <w:tcPr>
            <w:tcW w:w="440" w:type="dxa"/>
          </w:tcPr>
          <w:p w14:paraId="427B6083" w14:textId="60F59CEB" w:rsidR="00273A96" w:rsidRDefault="00273A96" w:rsidP="00273A96">
            <w:pPr>
              <w:ind w:firstLine="0"/>
              <w:jc w:val="left"/>
              <w:rPr>
                <w:sz w:val="18"/>
                <w:szCs w:val="18"/>
                <w:lang w:val="es-CO"/>
              </w:rPr>
            </w:pPr>
            <w:r w:rsidRPr="008921B6">
              <w:rPr>
                <w:bCs/>
                <w:sz w:val="18"/>
                <w:szCs w:val="18"/>
                <w:lang w:val="es-CO"/>
              </w:rPr>
              <w:t>35</w:t>
            </w:r>
          </w:p>
        </w:tc>
        <w:tc>
          <w:tcPr>
            <w:tcW w:w="3780" w:type="dxa"/>
          </w:tcPr>
          <w:p w14:paraId="4991D496" w14:textId="77777777" w:rsidR="00273A96" w:rsidRDefault="00273A96" w:rsidP="00273A96">
            <w:pPr>
              <w:ind w:firstLine="0"/>
              <w:jc w:val="left"/>
              <w:rPr>
                <w:bCs/>
                <w:sz w:val="18"/>
                <w:szCs w:val="18"/>
                <w:lang w:val="es-CO"/>
              </w:rPr>
            </w:pPr>
            <w:r>
              <w:rPr>
                <w:bCs/>
                <w:sz w:val="18"/>
                <w:szCs w:val="18"/>
                <w:lang w:val="es-CO"/>
              </w:rPr>
              <w:t>Trabajar con la Secretaría de Finanzas en la creación de estas líneas presupuestarias detalladas dentro del presupuesto de la SESAL en 2020</w:t>
            </w:r>
          </w:p>
          <w:p w14:paraId="12325942" w14:textId="77777777" w:rsidR="00273A96" w:rsidRDefault="00273A96" w:rsidP="00273A96">
            <w:pPr>
              <w:ind w:firstLine="0"/>
              <w:jc w:val="left"/>
              <w:rPr>
                <w:bCs/>
                <w:sz w:val="18"/>
                <w:szCs w:val="18"/>
                <w:lang w:val="es-ES"/>
              </w:rPr>
            </w:pPr>
          </w:p>
        </w:tc>
        <w:tc>
          <w:tcPr>
            <w:tcW w:w="630" w:type="dxa"/>
          </w:tcPr>
          <w:p w14:paraId="30970062" w14:textId="7A9569F0" w:rsidR="00273A96" w:rsidRPr="00041A72" w:rsidRDefault="00273A96" w:rsidP="00273A96">
            <w:pPr>
              <w:ind w:firstLine="0"/>
              <w:jc w:val="left"/>
              <w:rPr>
                <w:sz w:val="18"/>
                <w:szCs w:val="18"/>
                <w:lang w:val="es-CO"/>
              </w:rPr>
            </w:pPr>
            <w:r w:rsidRPr="00041A72">
              <w:rPr>
                <w:bCs/>
                <w:sz w:val="18"/>
                <w:szCs w:val="18"/>
                <w:lang w:val="es-CO"/>
              </w:rPr>
              <w:t>2019</w:t>
            </w:r>
          </w:p>
        </w:tc>
        <w:tc>
          <w:tcPr>
            <w:tcW w:w="1530" w:type="dxa"/>
          </w:tcPr>
          <w:p w14:paraId="2BF68D6A" w14:textId="510E0829" w:rsidR="00273A96" w:rsidRPr="00041A72" w:rsidRDefault="00273A96" w:rsidP="00273A96">
            <w:pPr>
              <w:ind w:firstLine="0"/>
              <w:jc w:val="left"/>
              <w:rPr>
                <w:sz w:val="18"/>
                <w:szCs w:val="18"/>
                <w:lang w:val="es-CO"/>
              </w:rPr>
            </w:pPr>
            <w:r w:rsidRPr="00041A72">
              <w:rPr>
                <w:sz w:val="18"/>
                <w:szCs w:val="18"/>
                <w:lang w:val="es-CO"/>
              </w:rPr>
              <w:t>UPEG, en colaboración con Finanzas</w:t>
            </w:r>
          </w:p>
        </w:tc>
        <w:tc>
          <w:tcPr>
            <w:tcW w:w="540" w:type="dxa"/>
          </w:tcPr>
          <w:p w14:paraId="2C9BDEDF" w14:textId="225BDCFF" w:rsidR="00273A96" w:rsidRPr="00041A72" w:rsidRDefault="00273A96" w:rsidP="00273A96">
            <w:pPr>
              <w:ind w:firstLine="0"/>
              <w:jc w:val="left"/>
              <w:rPr>
                <w:sz w:val="18"/>
                <w:szCs w:val="18"/>
                <w:lang w:val="es-CO"/>
              </w:rPr>
            </w:pPr>
            <w:r w:rsidRPr="00041A72">
              <w:rPr>
                <w:bCs/>
                <w:sz w:val="18"/>
                <w:szCs w:val="18"/>
                <w:lang w:val="es-CO"/>
              </w:rPr>
              <w:t>No</w:t>
            </w:r>
          </w:p>
        </w:tc>
        <w:tc>
          <w:tcPr>
            <w:tcW w:w="1440" w:type="dxa"/>
          </w:tcPr>
          <w:p w14:paraId="72C1CFCD" w14:textId="77777777" w:rsidR="00273A96" w:rsidRPr="00041A72" w:rsidRDefault="00273A96" w:rsidP="00273A96">
            <w:pPr>
              <w:ind w:firstLine="0"/>
              <w:jc w:val="left"/>
              <w:rPr>
                <w:sz w:val="18"/>
                <w:szCs w:val="18"/>
                <w:lang w:val="es-CO"/>
              </w:rPr>
            </w:pPr>
          </w:p>
        </w:tc>
        <w:tc>
          <w:tcPr>
            <w:tcW w:w="900" w:type="dxa"/>
          </w:tcPr>
          <w:p w14:paraId="104DCD8F" w14:textId="77777777" w:rsidR="00273A96" w:rsidRDefault="00273A96" w:rsidP="00273A96">
            <w:pPr>
              <w:ind w:firstLine="0"/>
              <w:jc w:val="left"/>
              <w:rPr>
                <w:sz w:val="18"/>
                <w:szCs w:val="18"/>
                <w:lang w:val="es-CO"/>
              </w:rPr>
            </w:pPr>
          </w:p>
        </w:tc>
        <w:tc>
          <w:tcPr>
            <w:tcW w:w="1080" w:type="dxa"/>
          </w:tcPr>
          <w:p w14:paraId="3939DCC8" w14:textId="77777777" w:rsidR="00273A96" w:rsidRPr="00041A72" w:rsidRDefault="00273A96" w:rsidP="00273A96">
            <w:pPr>
              <w:ind w:firstLine="0"/>
              <w:jc w:val="left"/>
              <w:rPr>
                <w:sz w:val="18"/>
                <w:szCs w:val="18"/>
                <w:lang w:val="es-419"/>
              </w:rPr>
            </w:pPr>
            <w:r w:rsidRPr="00041A72">
              <w:rPr>
                <w:sz w:val="18"/>
                <w:szCs w:val="18"/>
                <w:lang w:val="es-419"/>
              </w:rPr>
              <w:t>PENSIDA cap. 6.1.1</w:t>
            </w:r>
          </w:p>
          <w:p w14:paraId="7BD7BCB2" w14:textId="77777777" w:rsidR="00273A96" w:rsidRPr="00041A72" w:rsidRDefault="00273A96" w:rsidP="00273A96">
            <w:pPr>
              <w:ind w:firstLine="0"/>
              <w:jc w:val="left"/>
              <w:rPr>
                <w:sz w:val="18"/>
                <w:szCs w:val="18"/>
                <w:lang w:val="es-419"/>
              </w:rPr>
            </w:pPr>
            <w:r w:rsidRPr="00041A72">
              <w:rPr>
                <w:sz w:val="18"/>
                <w:szCs w:val="18"/>
                <w:lang w:val="es-419"/>
              </w:rPr>
              <w:t>PENTB</w:t>
            </w:r>
          </w:p>
          <w:p w14:paraId="1E6EE2EA" w14:textId="77777777" w:rsidR="00273A96" w:rsidRPr="00041A72" w:rsidRDefault="00273A96" w:rsidP="00273A96">
            <w:pPr>
              <w:ind w:firstLine="0"/>
              <w:jc w:val="left"/>
              <w:rPr>
                <w:sz w:val="18"/>
                <w:szCs w:val="18"/>
                <w:lang w:val="es-419"/>
              </w:rPr>
            </w:pPr>
            <w:r w:rsidRPr="00041A72">
              <w:rPr>
                <w:sz w:val="18"/>
                <w:szCs w:val="18"/>
                <w:lang w:val="es-419"/>
              </w:rPr>
              <w:t>2.1.1</w:t>
            </w:r>
          </w:p>
          <w:p w14:paraId="1F03F45D" w14:textId="77777777" w:rsidR="00273A96" w:rsidRDefault="00273A96" w:rsidP="00273A96">
            <w:pPr>
              <w:ind w:firstLine="0"/>
              <w:jc w:val="left"/>
              <w:rPr>
                <w:sz w:val="18"/>
                <w:szCs w:val="18"/>
                <w:lang w:val="es-419"/>
              </w:rPr>
            </w:pPr>
            <w:r w:rsidRPr="00041A72">
              <w:rPr>
                <w:sz w:val="18"/>
                <w:szCs w:val="18"/>
                <w:lang w:val="es-419"/>
              </w:rPr>
              <w:t>2.1.2</w:t>
            </w:r>
          </w:p>
          <w:p w14:paraId="75C266F4" w14:textId="77777777" w:rsidR="00273A96" w:rsidRDefault="00273A96" w:rsidP="00273A96">
            <w:pPr>
              <w:ind w:firstLine="0"/>
              <w:jc w:val="left"/>
              <w:rPr>
                <w:bCs/>
                <w:sz w:val="18"/>
                <w:szCs w:val="18"/>
                <w:lang w:val="es-419"/>
              </w:rPr>
            </w:pPr>
          </w:p>
          <w:p w14:paraId="3DF4904F" w14:textId="77777777" w:rsidR="00273A96" w:rsidRDefault="00273A96" w:rsidP="00273A96">
            <w:pPr>
              <w:ind w:firstLine="0"/>
              <w:jc w:val="left"/>
              <w:rPr>
                <w:sz w:val="18"/>
                <w:szCs w:val="18"/>
                <w:lang w:val="es-419"/>
              </w:rPr>
            </w:pPr>
            <w:proofErr w:type="spellStart"/>
            <w:r>
              <w:rPr>
                <w:sz w:val="18"/>
                <w:szCs w:val="18"/>
                <w:lang w:val="es-419"/>
              </w:rPr>
              <w:t>Eval</w:t>
            </w:r>
            <w:proofErr w:type="spellEnd"/>
            <w:r>
              <w:rPr>
                <w:sz w:val="18"/>
                <w:szCs w:val="18"/>
                <w:lang w:val="es-419"/>
              </w:rPr>
              <w:t>. Conjunta</w:t>
            </w:r>
          </w:p>
          <w:p w14:paraId="13D39196" w14:textId="6A50EF4D" w:rsidR="00273A96" w:rsidRPr="00041A72" w:rsidRDefault="00273A96" w:rsidP="00273A96">
            <w:pPr>
              <w:ind w:firstLine="0"/>
              <w:jc w:val="left"/>
              <w:rPr>
                <w:sz w:val="18"/>
                <w:szCs w:val="18"/>
                <w:lang w:val="es-419"/>
              </w:rPr>
            </w:pPr>
            <w:r>
              <w:rPr>
                <w:sz w:val="18"/>
                <w:szCs w:val="18"/>
                <w:lang w:val="es-419"/>
              </w:rPr>
              <w:t>5.3.3</w:t>
            </w:r>
          </w:p>
        </w:tc>
        <w:tc>
          <w:tcPr>
            <w:tcW w:w="1365" w:type="dxa"/>
          </w:tcPr>
          <w:p w14:paraId="3684E888" w14:textId="3DF95D8D" w:rsidR="00273A96" w:rsidRPr="00041A72" w:rsidRDefault="00273A96" w:rsidP="00273A96">
            <w:pPr>
              <w:ind w:firstLine="0"/>
              <w:jc w:val="left"/>
              <w:rPr>
                <w:sz w:val="18"/>
                <w:szCs w:val="18"/>
                <w:lang w:val="es-CO"/>
              </w:rPr>
            </w:pPr>
            <w:r>
              <w:rPr>
                <w:bCs/>
                <w:sz w:val="18"/>
                <w:szCs w:val="18"/>
                <w:lang w:val="es-CO"/>
              </w:rPr>
              <w:t>Líneas presupuestarias detalladas en el presupuesto 2020</w:t>
            </w:r>
          </w:p>
        </w:tc>
      </w:tr>
      <w:tr w:rsidR="00273A96" w:rsidRPr="00041A72" w14:paraId="2E3E9163" w14:textId="77777777" w:rsidTr="008B31B5">
        <w:trPr>
          <w:trHeight w:val="188"/>
        </w:trPr>
        <w:tc>
          <w:tcPr>
            <w:tcW w:w="14410" w:type="dxa"/>
            <w:gridSpan w:val="11"/>
            <w:shd w:val="clear" w:color="auto" w:fill="1F4E79" w:themeFill="accent1" w:themeFillShade="80"/>
          </w:tcPr>
          <w:p w14:paraId="3129DE36" w14:textId="5E3F5D8C" w:rsidR="00273A96" w:rsidRPr="004670B5" w:rsidRDefault="00273A96" w:rsidP="00273A96">
            <w:pPr>
              <w:ind w:firstLine="0"/>
              <w:jc w:val="left"/>
              <w:rPr>
                <w:rFonts w:asciiTheme="majorHAnsi" w:hAnsiTheme="majorHAnsi" w:cstheme="majorHAnsi"/>
                <w:b/>
                <w:color w:val="FFFFFF" w:themeColor="background1"/>
                <w:sz w:val="24"/>
                <w:lang w:val="es-ES"/>
              </w:rPr>
            </w:pPr>
            <w:r>
              <w:rPr>
                <w:rFonts w:asciiTheme="majorHAnsi" w:hAnsiTheme="majorHAnsi" w:cstheme="majorHAnsi"/>
                <w:b/>
                <w:color w:val="FFFFFF" w:themeColor="background1"/>
                <w:sz w:val="24"/>
                <w:lang w:val="es-ES"/>
              </w:rPr>
              <w:lastRenderedPageBreak/>
              <w:t xml:space="preserve">(III) </w:t>
            </w:r>
            <w:r w:rsidRPr="004670B5">
              <w:rPr>
                <w:rFonts w:asciiTheme="majorHAnsi" w:hAnsiTheme="majorHAnsi" w:cstheme="majorHAnsi"/>
                <w:b/>
                <w:color w:val="FFFFFF" w:themeColor="background1"/>
                <w:sz w:val="24"/>
                <w:lang w:val="es-ES"/>
              </w:rPr>
              <w:t>Hacer efectiva la protección pública a los Derechos Humanos en el ámbito de VIH y TB</w:t>
            </w:r>
          </w:p>
        </w:tc>
      </w:tr>
      <w:tr w:rsidR="00273A96" w:rsidRPr="00041A72" w14:paraId="1899E355" w14:textId="77777777" w:rsidTr="008B31B5">
        <w:trPr>
          <w:trHeight w:val="188"/>
        </w:trPr>
        <w:tc>
          <w:tcPr>
            <w:tcW w:w="14410" w:type="dxa"/>
            <w:gridSpan w:val="11"/>
            <w:shd w:val="clear" w:color="auto" w:fill="DEEAF6" w:themeFill="accent1" w:themeFillTint="33"/>
          </w:tcPr>
          <w:p w14:paraId="6A033875" w14:textId="69273025" w:rsidR="00273A96" w:rsidRPr="00FB1BB0" w:rsidRDefault="00273A96" w:rsidP="00273A96">
            <w:pPr>
              <w:ind w:firstLine="0"/>
              <w:jc w:val="left"/>
              <w:rPr>
                <w:rFonts w:asciiTheme="majorHAnsi" w:hAnsiTheme="majorHAnsi" w:cstheme="majorHAnsi"/>
                <w:b/>
                <w:szCs w:val="22"/>
                <w:highlight w:val="green"/>
                <w:lang w:val="es-419"/>
              </w:rPr>
            </w:pPr>
            <w:r w:rsidRPr="00332DF7">
              <w:rPr>
                <w:rFonts w:asciiTheme="majorHAnsi" w:hAnsiTheme="majorHAnsi" w:cstheme="majorHAnsi"/>
                <w:b/>
                <w:szCs w:val="22"/>
                <w:lang w:val="es-ES"/>
              </w:rPr>
              <w:t>Objetivo 5</w:t>
            </w:r>
            <w:r w:rsidRPr="00332DF7">
              <w:rPr>
                <w:rFonts w:asciiTheme="majorHAnsi" w:hAnsiTheme="majorHAnsi" w:cstheme="majorHAnsi"/>
                <w:b/>
                <w:sz w:val="20"/>
                <w:szCs w:val="20"/>
                <w:lang w:val="es-ES"/>
              </w:rPr>
              <w:t>.</w:t>
            </w:r>
            <w:r w:rsidRPr="00332DF7">
              <w:rPr>
                <w:rFonts w:asciiTheme="majorHAnsi" w:hAnsiTheme="majorHAnsi" w:cstheme="majorHAnsi"/>
                <w:b/>
                <w:sz w:val="20"/>
                <w:szCs w:val="20"/>
                <w:shd w:val="clear" w:color="auto" w:fill="DEEAF6" w:themeFill="accent1" w:themeFillTint="33"/>
                <w:lang w:val="es-ES"/>
              </w:rPr>
              <w:t xml:space="preserve"> </w:t>
            </w:r>
            <w:r w:rsidRPr="00332DF7">
              <w:rPr>
                <w:rFonts w:asciiTheme="majorHAnsi" w:hAnsiTheme="majorHAnsi" w:cstheme="majorHAnsi"/>
                <w:b/>
                <w:bCs/>
                <w:color w:val="000000"/>
                <w:sz w:val="20"/>
                <w:szCs w:val="20"/>
                <w:lang w:val="es-ES" w:eastAsia="fr-FR"/>
              </w:rPr>
              <w:t xml:space="preserve"> Reducir el estigma y la discriminación de la población clave</w:t>
            </w:r>
          </w:p>
        </w:tc>
      </w:tr>
      <w:tr w:rsidR="00273A96" w:rsidRPr="00041A72" w14:paraId="1352B425" w14:textId="77777777" w:rsidTr="00B03B8B">
        <w:trPr>
          <w:trHeight w:val="530"/>
        </w:trPr>
        <w:tc>
          <w:tcPr>
            <w:tcW w:w="265" w:type="dxa"/>
            <w:shd w:val="clear" w:color="auto" w:fill="F2F2F2" w:themeFill="background1" w:themeFillShade="F2"/>
          </w:tcPr>
          <w:p w14:paraId="0537162A" w14:textId="77777777" w:rsidR="00273A96" w:rsidRPr="00041A72" w:rsidRDefault="00273A96" w:rsidP="00273A96">
            <w:pPr>
              <w:ind w:firstLine="0"/>
              <w:jc w:val="left"/>
              <w:rPr>
                <w:b/>
                <w:bCs/>
                <w:sz w:val="18"/>
                <w:szCs w:val="18"/>
                <w:lang w:val="es-CO"/>
              </w:rPr>
            </w:pPr>
          </w:p>
        </w:tc>
        <w:tc>
          <w:tcPr>
            <w:tcW w:w="2440" w:type="dxa"/>
            <w:shd w:val="clear" w:color="auto" w:fill="F2F2F2" w:themeFill="background1" w:themeFillShade="F2"/>
          </w:tcPr>
          <w:p w14:paraId="2D59FE3C" w14:textId="74F6C284" w:rsidR="00273A96" w:rsidRPr="00041A72" w:rsidRDefault="00273A96" w:rsidP="00273A96">
            <w:pPr>
              <w:ind w:firstLine="0"/>
              <w:jc w:val="left"/>
              <w:rPr>
                <w:sz w:val="18"/>
                <w:szCs w:val="18"/>
                <w:lang w:val="es-CO"/>
              </w:rPr>
            </w:pPr>
            <w:r w:rsidRPr="00041A72">
              <w:rPr>
                <w:b/>
                <w:bCs/>
                <w:sz w:val="18"/>
                <w:szCs w:val="18"/>
                <w:lang w:val="es-CO"/>
              </w:rPr>
              <w:t>Acciones</w:t>
            </w:r>
          </w:p>
        </w:tc>
        <w:tc>
          <w:tcPr>
            <w:tcW w:w="440" w:type="dxa"/>
            <w:shd w:val="clear" w:color="auto" w:fill="F2F2F2" w:themeFill="background1" w:themeFillShade="F2"/>
          </w:tcPr>
          <w:p w14:paraId="707B0761" w14:textId="15C61D25" w:rsidR="00273A96" w:rsidRPr="00041A72" w:rsidRDefault="00273A96" w:rsidP="00273A96">
            <w:pPr>
              <w:ind w:firstLine="0"/>
              <w:jc w:val="left"/>
              <w:rPr>
                <w:sz w:val="18"/>
                <w:szCs w:val="18"/>
                <w:lang w:val="es-CO"/>
              </w:rPr>
            </w:pPr>
            <w:proofErr w:type="spellStart"/>
            <w:r w:rsidRPr="00041A72">
              <w:rPr>
                <w:b/>
                <w:bCs/>
                <w:sz w:val="18"/>
                <w:szCs w:val="18"/>
                <w:lang w:val="es-CO"/>
              </w:rPr>
              <w:t>N</w:t>
            </w:r>
            <w:r>
              <w:rPr>
                <w:b/>
                <w:bCs/>
                <w:sz w:val="18"/>
                <w:szCs w:val="18"/>
                <w:lang w:val="es-CO"/>
              </w:rPr>
              <w:t>°</w:t>
            </w:r>
            <w:proofErr w:type="spellEnd"/>
          </w:p>
        </w:tc>
        <w:tc>
          <w:tcPr>
            <w:tcW w:w="3780" w:type="dxa"/>
            <w:shd w:val="clear" w:color="auto" w:fill="F2F2F2" w:themeFill="background1" w:themeFillShade="F2"/>
          </w:tcPr>
          <w:p w14:paraId="3AD70E4C" w14:textId="25C66ADD" w:rsidR="00273A96" w:rsidRPr="00041A72" w:rsidRDefault="00273A96" w:rsidP="00273A96">
            <w:pPr>
              <w:ind w:firstLine="0"/>
              <w:jc w:val="left"/>
              <w:rPr>
                <w:bCs/>
                <w:sz w:val="18"/>
                <w:szCs w:val="18"/>
                <w:lang w:val="es-CO"/>
              </w:rPr>
            </w:pPr>
            <w:r w:rsidRPr="00041A72">
              <w:rPr>
                <w:b/>
                <w:bCs/>
                <w:sz w:val="18"/>
                <w:szCs w:val="18"/>
                <w:lang w:val="es-CO"/>
              </w:rPr>
              <w:t>Actividades</w:t>
            </w:r>
          </w:p>
        </w:tc>
        <w:tc>
          <w:tcPr>
            <w:tcW w:w="630" w:type="dxa"/>
            <w:shd w:val="clear" w:color="auto" w:fill="F2F2F2" w:themeFill="background1" w:themeFillShade="F2"/>
          </w:tcPr>
          <w:p w14:paraId="674C4F66" w14:textId="04F6D976" w:rsidR="00273A96" w:rsidRPr="00041A72" w:rsidRDefault="00273A96" w:rsidP="00273A96">
            <w:pPr>
              <w:ind w:firstLine="0"/>
              <w:jc w:val="left"/>
              <w:rPr>
                <w:sz w:val="18"/>
                <w:szCs w:val="18"/>
                <w:lang w:val="es-CO"/>
              </w:rPr>
            </w:pPr>
            <w:r w:rsidRPr="00041A72">
              <w:rPr>
                <w:b/>
                <w:bCs/>
                <w:sz w:val="18"/>
                <w:szCs w:val="18"/>
                <w:lang w:val="es-CO"/>
              </w:rPr>
              <w:t>Año</w:t>
            </w:r>
            <w:r w:rsidRPr="00361102">
              <w:rPr>
                <w:b/>
                <w:bCs/>
                <w:sz w:val="18"/>
                <w:szCs w:val="18"/>
                <w:lang w:val="es-CO"/>
              </w:rPr>
              <w:t>/s</w:t>
            </w:r>
          </w:p>
        </w:tc>
        <w:tc>
          <w:tcPr>
            <w:tcW w:w="1530" w:type="dxa"/>
            <w:shd w:val="clear" w:color="auto" w:fill="F2F2F2" w:themeFill="background1" w:themeFillShade="F2"/>
          </w:tcPr>
          <w:p w14:paraId="758EFB6E" w14:textId="02C07C21" w:rsidR="00273A96" w:rsidRPr="00041A72" w:rsidRDefault="00273A96" w:rsidP="00273A96">
            <w:pPr>
              <w:ind w:firstLine="0"/>
              <w:jc w:val="left"/>
              <w:rPr>
                <w:sz w:val="18"/>
                <w:szCs w:val="18"/>
                <w:lang w:val="es-CO"/>
              </w:rPr>
            </w:pPr>
            <w:r w:rsidRPr="00041A72">
              <w:rPr>
                <w:b/>
                <w:bCs/>
                <w:sz w:val="18"/>
                <w:szCs w:val="18"/>
                <w:lang w:val="es-CO"/>
              </w:rPr>
              <w:t>Entidad/es responsable/s</w:t>
            </w:r>
          </w:p>
        </w:tc>
        <w:tc>
          <w:tcPr>
            <w:tcW w:w="540" w:type="dxa"/>
            <w:shd w:val="clear" w:color="auto" w:fill="F2F2F2" w:themeFill="background1" w:themeFillShade="F2"/>
          </w:tcPr>
          <w:p w14:paraId="0950A313" w14:textId="55295122" w:rsidR="00273A96" w:rsidRPr="00041A72" w:rsidRDefault="00273A96" w:rsidP="00273A96">
            <w:pPr>
              <w:ind w:firstLine="0"/>
              <w:jc w:val="left"/>
              <w:rPr>
                <w:b/>
                <w:bCs/>
                <w:sz w:val="18"/>
                <w:szCs w:val="18"/>
                <w:lang w:val="es-CO"/>
              </w:rPr>
            </w:pPr>
            <w:r w:rsidRPr="00041A72">
              <w:rPr>
                <w:b/>
                <w:bCs/>
                <w:sz w:val="18"/>
                <w:szCs w:val="18"/>
                <w:lang w:val="es-CO"/>
              </w:rPr>
              <w:t>AT</w:t>
            </w:r>
          </w:p>
        </w:tc>
        <w:tc>
          <w:tcPr>
            <w:tcW w:w="1440" w:type="dxa"/>
            <w:shd w:val="clear" w:color="auto" w:fill="F2F2F2" w:themeFill="background1" w:themeFillShade="F2"/>
          </w:tcPr>
          <w:p w14:paraId="758CC9F8" w14:textId="66FC5565" w:rsidR="00273A96" w:rsidRPr="00041A72" w:rsidRDefault="00273A96" w:rsidP="00273A96">
            <w:pPr>
              <w:ind w:firstLine="0"/>
              <w:jc w:val="left"/>
              <w:rPr>
                <w:b/>
                <w:bCs/>
                <w:sz w:val="18"/>
                <w:szCs w:val="18"/>
                <w:lang w:val="es-CO"/>
              </w:rPr>
            </w:pPr>
            <w:r w:rsidRPr="00041A72">
              <w:rPr>
                <w:b/>
                <w:bCs/>
                <w:sz w:val="18"/>
                <w:szCs w:val="18"/>
                <w:lang w:val="es-CO"/>
              </w:rPr>
              <w:t>Financiamiento requerido</w:t>
            </w:r>
          </w:p>
        </w:tc>
        <w:tc>
          <w:tcPr>
            <w:tcW w:w="900" w:type="dxa"/>
            <w:shd w:val="clear" w:color="auto" w:fill="F2F2F2" w:themeFill="background1" w:themeFillShade="F2"/>
          </w:tcPr>
          <w:p w14:paraId="2FE0C191" w14:textId="77777777" w:rsidR="00273A96" w:rsidRPr="00041A72" w:rsidRDefault="00273A96" w:rsidP="00273A96">
            <w:pPr>
              <w:spacing w:before="0" w:after="0"/>
              <w:ind w:firstLine="0"/>
              <w:jc w:val="left"/>
              <w:rPr>
                <w:b/>
                <w:bCs/>
                <w:sz w:val="18"/>
                <w:szCs w:val="18"/>
                <w:lang w:val="es-CO"/>
              </w:rPr>
            </w:pPr>
            <w:r w:rsidRPr="00041A72">
              <w:rPr>
                <w:b/>
                <w:bCs/>
                <w:sz w:val="18"/>
                <w:szCs w:val="18"/>
                <w:lang w:val="es-CO"/>
              </w:rPr>
              <w:t>Fuentes de financia-</w:t>
            </w:r>
          </w:p>
          <w:p w14:paraId="352D2688" w14:textId="5C6EB051" w:rsidR="00273A96" w:rsidRPr="00041A72" w:rsidRDefault="00273A96" w:rsidP="00273A96">
            <w:pPr>
              <w:spacing w:before="0" w:after="0"/>
              <w:ind w:firstLine="0"/>
              <w:jc w:val="left"/>
              <w:rPr>
                <w:b/>
                <w:bCs/>
                <w:sz w:val="18"/>
                <w:szCs w:val="18"/>
                <w:lang w:val="es-CO"/>
              </w:rPr>
            </w:pPr>
            <w:r w:rsidRPr="00041A72">
              <w:rPr>
                <w:b/>
                <w:bCs/>
                <w:sz w:val="18"/>
                <w:szCs w:val="18"/>
                <w:lang w:val="es-CO"/>
              </w:rPr>
              <w:t>miento</w:t>
            </w:r>
          </w:p>
        </w:tc>
        <w:tc>
          <w:tcPr>
            <w:tcW w:w="1080" w:type="dxa"/>
            <w:shd w:val="clear" w:color="auto" w:fill="F2F2F2" w:themeFill="background1" w:themeFillShade="F2"/>
          </w:tcPr>
          <w:p w14:paraId="202BF791" w14:textId="42E1C344" w:rsidR="00273A96" w:rsidRPr="00041A72" w:rsidRDefault="00273A96" w:rsidP="00273A96">
            <w:pPr>
              <w:ind w:firstLine="0"/>
              <w:jc w:val="left"/>
              <w:rPr>
                <w:b/>
                <w:bCs/>
                <w:sz w:val="18"/>
                <w:szCs w:val="18"/>
                <w:lang w:val="es-CO"/>
              </w:rPr>
            </w:pPr>
            <w:r w:rsidRPr="00041A72">
              <w:rPr>
                <w:b/>
                <w:bCs/>
                <w:sz w:val="18"/>
                <w:szCs w:val="18"/>
                <w:lang w:val="es-CO"/>
              </w:rPr>
              <w:t>Alineación con Planes Nacionales</w:t>
            </w:r>
          </w:p>
        </w:tc>
        <w:tc>
          <w:tcPr>
            <w:tcW w:w="1365" w:type="dxa"/>
            <w:shd w:val="clear" w:color="auto" w:fill="F2F2F2" w:themeFill="background1" w:themeFillShade="F2"/>
          </w:tcPr>
          <w:p w14:paraId="51C52614" w14:textId="0891E190" w:rsidR="00273A96" w:rsidRPr="00041A72" w:rsidRDefault="00273A96" w:rsidP="00273A96">
            <w:pPr>
              <w:ind w:firstLine="0"/>
              <w:jc w:val="left"/>
              <w:rPr>
                <w:sz w:val="18"/>
                <w:szCs w:val="18"/>
                <w:lang w:val="es-CO"/>
              </w:rPr>
            </w:pPr>
            <w:r w:rsidRPr="00041A72">
              <w:rPr>
                <w:b/>
                <w:bCs/>
                <w:sz w:val="18"/>
                <w:szCs w:val="18"/>
                <w:lang w:val="es-CO"/>
              </w:rPr>
              <w:t>Indicador de proceso</w:t>
            </w:r>
          </w:p>
        </w:tc>
      </w:tr>
      <w:tr w:rsidR="00273A96" w:rsidRPr="00041A72" w14:paraId="670B8915" w14:textId="77777777" w:rsidTr="00B03B8B">
        <w:trPr>
          <w:trHeight w:val="639"/>
        </w:trPr>
        <w:tc>
          <w:tcPr>
            <w:tcW w:w="265" w:type="dxa"/>
            <w:vMerge w:val="restart"/>
          </w:tcPr>
          <w:p w14:paraId="4A2CE29A" w14:textId="09B44667" w:rsidR="00273A96" w:rsidRPr="00041A72" w:rsidRDefault="00273A96" w:rsidP="00273A96">
            <w:pPr>
              <w:ind w:firstLine="0"/>
              <w:jc w:val="left"/>
              <w:rPr>
                <w:b/>
                <w:bCs/>
                <w:sz w:val="18"/>
                <w:szCs w:val="18"/>
                <w:lang w:val="es-CO"/>
              </w:rPr>
            </w:pPr>
            <w:r>
              <w:rPr>
                <w:b/>
                <w:bCs/>
                <w:sz w:val="18"/>
                <w:szCs w:val="18"/>
                <w:lang w:val="es-CO"/>
              </w:rPr>
              <w:t>s</w:t>
            </w:r>
          </w:p>
        </w:tc>
        <w:tc>
          <w:tcPr>
            <w:tcW w:w="2440" w:type="dxa"/>
            <w:vMerge w:val="restart"/>
          </w:tcPr>
          <w:p w14:paraId="36FE1280" w14:textId="3C3F539C" w:rsidR="00273A96" w:rsidRPr="004F36FC" w:rsidRDefault="00273A96" w:rsidP="00273A96">
            <w:pPr>
              <w:ind w:firstLine="0"/>
              <w:jc w:val="left"/>
              <w:rPr>
                <w:bCs/>
                <w:sz w:val="18"/>
                <w:szCs w:val="18"/>
                <w:lang w:val="es-CO"/>
              </w:rPr>
            </w:pPr>
            <w:r w:rsidRPr="004F36FC">
              <w:rPr>
                <w:bCs/>
                <w:sz w:val="18"/>
                <w:szCs w:val="18"/>
                <w:lang w:val="es-CO"/>
              </w:rPr>
              <w:t>Realizar una alianza estratégica entre la SEDH, AMHON</w:t>
            </w:r>
            <w:r>
              <w:rPr>
                <w:bCs/>
                <w:sz w:val="18"/>
                <w:szCs w:val="18"/>
                <w:lang w:val="es-CO"/>
              </w:rPr>
              <w:t>,</w:t>
            </w:r>
            <w:r w:rsidRPr="004F36FC">
              <w:rPr>
                <w:bCs/>
                <w:sz w:val="18"/>
                <w:szCs w:val="18"/>
                <w:lang w:val="es-CO"/>
              </w:rPr>
              <w:t xml:space="preserve"> el CONADEH</w:t>
            </w:r>
            <w:r>
              <w:rPr>
                <w:bCs/>
                <w:sz w:val="18"/>
                <w:szCs w:val="18"/>
                <w:lang w:val="es-CO"/>
              </w:rPr>
              <w:t xml:space="preserve"> y el Instituto Penitenciario </w:t>
            </w:r>
            <w:r w:rsidRPr="004F36FC">
              <w:rPr>
                <w:bCs/>
                <w:sz w:val="18"/>
                <w:szCs w:val="18"/>
                <w:lang w:val="es-CO"/>
              </w:rPr>
              <w:t xml:space="preserve">para que </w:t>
            </w:r>
            <w:r>
              <w:rPr>
                <w:bCs/>
                <w:sz w:val="18"/>
                <w:szCs w:val="18"/>
                <w:lang w:val="es-CO"/>
              </w:rPr>
              <w:t xml:space="preserve">se </w:t>
            </w:r>
            <w:r w:rsidRPr="004F36FC">
              <w:rPr>
                <w:bCs/>
                <w:sz w:val="18"/>
                <w:szCs w:val="18"/>
                <w:lang w:val="es-CO"/>
              </w:rPr>
              <w:t xml:space="preserve">implementen </w:t>
            </w:r>
            <w:r>
              <w:rPr>
                <w:bCs/>
                <w:sz w:val="18"/>
                <w:szCs w:val="18"/>
                <w:lang w:val="es-CO"/>
              </w:rPr>
              <w:t xml:space="preserve">acciones en defensa de </w:t>
            </w:r>
            <w:r w:rsidRPr="004F36FC">
              <w:rPr>
                <w:bCs/>
                <w:sz w:val="18"/>
                <w:szCs w:val="18"/>
                <w:lang w:val="es-CO"/>
              </w:rPr>
              <w:t>los Derechos Humanos</w:t>
            </w:r>
            <w:r>
              <w:rPr>
                <w:bCs/>
                <w:sz w:val="18"/>
                <w:szCs w:val="18"/>
                <w:lang w:val="es-CO"/>
              </w:rPr>
              <w:t xml:space="preserve"> de las personas privadas de libertad con TB – con participación y acompañamiento de la sociedad civil</w:t>
            </w:r>
          </w:p>
        </w:tc>
        <w:tc>
          <w:tcPr>
            <w:tcW w:w="440" w:type="dxa"/>
          </w:tcPr>
          <w:p w14:paraId="4C188933" w14:textId="656D3234" w:rsidR="00273A96" w:rsidRPr="004F36FC" w:rsidRDefault="00273A96" w:rsidP="00273A96">
            <w:pPr>
              <w:ind w:firstLine="0"/>
              <w:jc w:val="left"/>
              <w:rPr>
                <w:bCs/>
                <w:sz w:val="18"/>
                <w:szCs w:val="18"/>
                <w:lang w:val="es-CO"/>
              </w:rPr>
            </w:pPr>
            <w:r w:rsidRPr="004F36FC">
              <w:rPr>
                <w:bCs/>
                <w:sz w:val="18"/>
                <w:szCs w:val="18"/>
                <w:lang w:val="es-CO"/>
              </w:rPr>
              <w:t>38</w:t>
            </w:r>
          </w:p>
        </w:tc>
        <w:tc>
          <w:tcPr>
            <w:tcW w:w="3780" w:type="dxa"/>
          </w:tcPr>
          <w:p w14:paraId="6454350E" w14:textId="228A124B" w:rsidR="00273A96" w:rsidRPr="004F36FC" w:rsidRDefault="00273A96" w:rsidP="00273A96">
            <w:pPr>
              <w:ind w:firstLine="0"/>
              <w:jc w:val="left"/>
              <w:rPr>
                <w:bCs/>
                <w:sz w:val="18"/>
                <w:szCs w:val="18"/>
                <w:lang w:val="es-GT"/>
              </w:rPr>
            </w:pPr>
            <w:r w:rsidRPr="004F36FC">
              <w:rPr>
                <w:bCs/>
                <w:sz w:val="18"/>
                <w:szCs w:val="18"/>
                <w:lang w:val="es-CO"/>
              </w:rPr>
              <w:t>Establecimiento de un Convenio entre SEDH AMHON</w:t>
            </w:r>
            <w:r>
              <w:rPr>
                <w:bCs/>
                <w:sz w:val="18"/>
                <w:szCs w:val="18"/>
                <w:lang w:val="es-CO"/>
              </w:rPr>
              <w:t xml:space="preserve">, </w:t>
            </w:r>
            <w:r w:rsidRPr="004F36FC">
              <w:rPr>
                <w:bCs/>
                <w:sz w:val="18"/>
                <w:szCs w:val="18"/>
                <w:lang w:val="es-CO"/>
              </w:rPr>
              <w:t>el CONADEH</w:t>
            </w:r>
            <w:r>
              <w:rPr>
                <w:bCs/>
                <w:sz w:val="18"/>
                <w:szCs w:val="18"/>
                <w:lang w:val="es-CO"/>
              </w:rPr>
              <w:t xml:space="preserve"> y el Instituto Penitenciario</w:t>
            </w:r>
          </w:p>
        </w:tc>
        <w:tc>
          <w:tcPr>
            <w:tcW w:w="630" w:type="dxa"/>
          </w:tcPr>
          <w:p w14:paraId="0D843786" w14:textId="77777777" w:rsidR="00273A96" w:rsidRPr="00041A72" w:rsidRDefault="00273A96" w:rsidP="00273A96">
            <w:pPr>
              <w:ind w:firstLine="0"/>
              <w:jc w:val="left"/>
              <w:rPr>
                <w:bCs/>
                <w:sz w:val="18"/>
                <w:szCs w:val="18"/>
                <w:lang w:val="es-CO"/>
              </w:rPr>
            </w:pPr>
            <w:r w:rsidRPr="00041A72">
              <w:rPr>
                <w:bCs/>
                <w:sz w:val="18"/>
                <w:szCs w:val="18"/>
                <w:lang w:val="es-CO"/>
              </w:rPr>
              <w:t>2019</w:t>
            </w:r>
          </w:p>
        </w:tc>
        <w:tc>
          <w:tcPr>
            <w:tcW w:w="1530" w:type="dxa"/>
          </w:tcPr>
          <w:p w14:paraId="2452D690" w14:textId="086EF9CC" w:rsidR="00273A96" w:rsidRPr="00041A72" w:rsidRDefault="00273A96" w:rsidP="00273A96">
            <w:pPr>
              <w:ind w:firstLine="0"/>
              <w:jc w:val="left"/>
              <w:rPr>
                <w:bCs/>
                <w:sz w:val="18"/>
                <w:szCs w:val="18"/>
                <w:lang w:val="es-CO"/>
              </w:rPr>
            </w:pPr>
            <w:r w:rsidRPr="00041A72">
              <w:rPr>
                <w:bCs/>
                <w:sz w:val="18"/>
                <w:szCs w:val="18"/>
                <w:lang w:val="es-CO"/>
              </w:rPr>
              <w:t>SEDH, AMHON</w:t>
            </w:r>
            <w:r>
              <w:rPr>
                <w:bCs/>
                <w:sz w:val="18"/>
                <w:szCs w:val="18"/>
                <w:lang w:val="es-CO"/>
              </w:rPr>
              <w:t xml:space="preserve">, </w:t>
            </w:r>
            <w:r w:rsidRPr="00041A72">
              <w:rPr>
                <w:bCs/>
                <w:sz w:val="18"/>
                <w:szCs w:val="18"/>
                <w:lang w:val="es-CO"/>
              </w:rPr>
              <w:t>CONADEH</w:t>
            </w:r>
            <w:r>
              <w:rPr>
                <w:bCs/>
                <w:sz w:val="18"/>
                <w:szCs w:val="18"/>
                <w:lang w:val="es-CO"/>
              </w:rPr>
              <w:t xml:space="preserve"> y el Instituto Penitenciario</w:t>
            </w:r>
          </w:p>
        </w:tc>
        <w:tc>
          <w:tcPr>
            <w:tcW w:w="540" w:type="dxa"/>
          </w:tcPr>
          <w:p w14:paraId="18FE25B6" w14:textId="77777777" w:rsidR="00273A96" w:rsidRPr="00041A72" w:rsidRDefault="00273A96" w:rsidP="00273A96">
            <w:pPr>
              <w:ind w:firstLine="0"/>
              <w:jc w:val="left"/>
              <w:rPr>
                <w:bCs/>
                <w:sz w:val="18"/>
                <w:szCs w:val="18"/>
                <w:lang w:val="es-CO"/>
              </w:rPr>
            </w:pPr>
            <w:r w:rsidRPr="00041A72">
              <w:rPr>
                <w:bCs/>
                <w:sz w:val="18"/>
                <w:szCs w:val="18"/>
                <w:lang w:val="es-CO"/>
              </w:rPr>
              <w:t>No</w:t>
            </w:r>
          </w:p>
        </w:tc>
        <w:tc>
          <w:tcPr>
            <w:tcW w:w="1440" w:type="dxa"/>
          </w:tcPr>
          <w:p w14:paraId="68F970F6" w14:textId="77777777" w:rsidR="00273A96" w:rsidRPr="00041A72" w:rsidRDefault="00273A96" w:rsidP="00273A96">
            <w:pPr>
              <w:ind w:firstLine="0"/>
              <w:jc w:val="left"/>
              <w:rPr>
                <w:bCs/>
                <w:sz w:val="18"/>
                <w:szCs w:val="18"/>
                <w:lang w:val="es-CO"/>
              </w:rPr>
            </w:pPr>
          </w:p>
        </w:tc>
        <w:tc>
          <w:tcPr>
            <w:tcW w:w="900" w:type="dxa"/>
          </w:tcPr>
          <w:p w14:paraId="446F6FE6" w14:textId="77777777" w:rsidR="00273A96" w:rsidRPr="00041A72" w:rsidRDefault="00273A96" w:rsidP="00273A96">
            <w:pPr>
              <w:ind w:firstLine="0"/>
              <w:jc w:val="left"/>
              <w:rPr>
                <w:bCs/>
                <w:sz w:val="18"/>
                <w:szCs w:val="18"/>
                <w:lang w:val="es-419"/>
              </w:rPr>
            </w:pPr>
          </w:p>
        </w:tc>
        <w:tc>
          <w:tcPr>
            <w:tcW w:w="1080" w:type="dxa"/>
            <w:vMerge w:val="restart"/>
          </w:tcPr>
          <w:p w14:paraId="75183683" w14:textId="2511D117" w:rsidR="00273A96" w:rsidRPr="00041A72" w:rsidRDefault="00273A96" w:rsidP="00273A96">
            <w:pPr>
              <w:ind w:firstLine="0"/>
              <w:jc w:val="left"/>
              <w:rPr>
                <w:bCs/>
                <w:sz w:val="18"/>
                <w:szCs w:val="18"/>
                <w:lang w:val="es-CO"/>
              </w:rPr>
            </w:pPr>
          </w:p>
        </w:tc>
        <w:tc>
          <w:tcPr>
            <w:tcW w:w="1365" w:type="dxa"/>
          </w:tcPr>
          <w:p w14:paraId="3CF03AC6" w14:textId="77777777" w:rsidR="00273A96" w:rsidRPr="00041A72" w:rsidRDefault="00273A96" w:rsidP="00273A96">
            <w:pPr>
              <w:ind w:firstLine="0"/>
              <w:jc w:val="left"/>
              <w:rPr>
                <w:bCs/>
                <w:sz w:val="18"/>
                <w:szCs w:val="18"/>
                <w:lang w:val="es-CO"/>
              </w:rPr>
            </w:pPr>
            <w:r w:rsidRPr="00041A72">
              <w:rPr>
                <w:bCs/>
                <w:sz w:val="18"/>
                <w:szCs w:val="18"/>
                <w:lang w:val="es-CO"/>
              </w:rPr>
              <w:t>Convenio firmado</w:t>
            </w:r>
          </w:p>
        </w:tc>
      </w:tr>
      <w:tr w:rsidR="00273A96" w:rsidRPr="00041A72" w14:paraId="3D55BB19" w14:textId="77777777" w:rsidTr="00B03B8B">
        <w:trPr>
          <w:trHeight w:val="801"/>
        </w:trPr>
        <w:tc>
          <w:tcPr>
            <w:tcW w:w="265" w:type="dxa"/>
            <w:vMerge/>
          </w:tcPr>
          <w:p w14:paraId="740D14FA" w14:textId="77777777" w:rsidR="00273A96" w:rsidRPr="00041A72" w:rsidRDefault="00273A96" w:rsidP="00273A96">
            <w:pPr>
              <w:ind w:firstLine="0"/>
              <w:jc w:val="left"/>
              <w:rPr>
                <w:b/>
                <w:bCs/>
                <w:sz w:val="18"/>
                <w:szCs w:val="18"/>
                <w:lang w:val="es-CO"/>
              </w:rPr>
            </w:pPr>
          </w:p>
        </w:tc>
        <w:tc>
          <w:tcPr>
            <w:tcW w:w="2440" w:type="dxa"/>
            <w:vMerge/>
          </w:tcPr>
          <w:p w14:paraId="34EAB2B5" w14:textId="77777777" w:rsidR="00273A96" w:rsidRPr="004F36FC" w:rsidRDefault="00273A96" w:rsidP="00273A96">
            <w:pPr>
              <w:ind w:firstLine="0"/>
              <w:jc w:val="left"/>
              <w:rPr>
                <w:b/>
                <w:bCs/>
                <w:sz w:val="18"/>
                <w:szCs w:val="18"/>
                <w:lang w:val="es-CO"/>
              </w:rPr>
            </w:pPr>
          </w:p>
        </w:tc>
        <w:tc>
          <w:tcPr>
            <w:tcW w:w="440" w:type="dxa"/>
          </w:tcPr>
          <w:p w14:paraId="2AD69535" w14:textId="1224FC69" w:rsidR="00273A96" w:rsidRPr="004F36FC" w:rsidRDefault="00273A96" w:rsidP="00273A96">
            <w:pPr>
              <w:ind w:firstLine="0"/>
              <w:jc w:val="left"/>
              <w:rPr>
                <w:bCs/>
                <w:sz w:val="18"/>
                <w:szCs w:val="18"/>
                <w:lang w:val="es-CO"/>
              </w:rPr>
            </w:pPr>
            <w:r w:rsidRPr="004F36FC">
              <w:rPr>
                <w:bCs/>
                <w:sz w:val="18"/>
                <w:szCs w:val="18"/>
                <w:lang w:val="es-CO"/>
              </w:rPr>
              <w:t>39</w:t>
            </w:r>
          </w:p>
        </w:tc>
        <w:tc>
          <w:tcPr>
            <w:tcW w:w="3780" w:type="dxa"/>
          </w:tcPr>
          <w:p w14:paraId="0526E8BA" w14:textId="0C4D07F1" w:rsidR="00273A96" w:rsidRPr="004F36FC" w:rsidRDefault="00273A96" w:rsidP="00273A96">
            <w:pPr>
              <w:ind w:firstLine="0"/>
              <w:jc w:val="left"/>
              <w:rPr>
                <w:bCs/>
                <w:sz w:val="18"/>
                <w:szCs w:val="18"/>
                <w:lang w:val="es-GT"/>
              </w:rPr>
            </w:pPr>
            <w:r w:rsidRPr="004F36FC">
              <w:rPr>
                <w:bCs/>
                <w:sz w:val="18"/>
                <w:szCs w:val="18"/>
                <w:lang w:val="es-CO"/>
              </w:rPr>
              <w:t xml:space="preserve">Elaboración de un Plan de </w:t>
            </w:r>
            <w:r>
              <w:rPr>
                <w:bCs/>
                <w:sz w:val="18"/>
                <w:szCs w:val="18"/>
                <w:lang w:val="es-CO"/>
              </w:rPr>
              <w:t>Trabajo</w:t>
            </w:r>
          </w:p>
        </w:tc>
        <w:tc>
          <w:tcPr>
            <w:tcW w:w="630" w:type="dxa"/>
          </w:tcPr>
          <w:p w14:paraId="40BACC36" w14:textId="77777777" w:rsidR="00273A96" w:rsidRPr="00041A72" w:rsidRDefault="00273A96" w:rsidP="00273A96">
            <w:pPr>
              <w:ind w:firstLine="0"/>
              <w:jc w:val="left"/>
              <w:rPr>
                <w:bCs/>
                <w:sz w:val="18"/>
                <w:szCs w:val="18"/>
                <w:lang w:val="es-CO"/>
              </w:rPr>
            </w:pPr>
            <w:r w:rsidRPr="00041A72">
              <w:rPr>
                <w:bCs/>
                <w:sz w:val="18"/>
                <w:szCs w:val="18"/>
                <w:lang w:val="es-CO"/>
              </w:rPr>
              <w:t>2019</w:t>
            </w:r>
          </w:p>
        </w:tc>
        <w:tc>
          <w:tcPr>
            <w:tcW w:w="1530" w:type="dxa"/>
          </w:tcPr>
          <w:p w14:paraId="593906A3" w14:textId="023671C3" w:rsidR="00273A96" w:rsidRPr="00041A72" w:rsidRDefault="00273A96" w:rsidP="00273A96">
            <w:pPr>
              <w:ind w:firstLine="0"/>
              <w:jc w:val="left"/>
              <w:rPr>
                <w:bCs/>
                <w:sz w:val="18"/>
                <w:szCs w:val="18"/>
                <w:lang w:val="es-CO"/>
              </w:rPr>
            </w:pPr>
            <w:r w:rsidRPr="00041A72">
              <w:rPr>
                <w:bCs/>
                <w:sz w:val="18"/>
                <w:szCs w:val="18"/>
                <w:lang w:val="es-CO"/>
              </w:rPr>
              <w:t>SEDH, AMHON</w:t>
            </w:r>
            <w:r>
              <w:rPr>
                <w:bCs/>
                <w:sz w:val="18"/>
                <w:szCs w:val="18"/>
                <w:lang w:val="es-CO"/>
              </w:rPr>
              <w:t>,</w:t>
            </w:r>
            <w:r w:rsidRPr="00041A72">
              <w:rPr>
                <w:bCs/>
                <w:sz w:val="18"/>
                <w:szCs w:val="18"/>
                <w:lang w:val="es-CO"/>
              </w:rPr>
              <w:t xml:space="preserve"> CONADEH</w:t>
            </w:r>
            <w:r>
              <w:rPr>
                <w:bCs/>
                <w:sz w:val="18"/>
                <w:szCs w:val="18"/>
                <w:lang w:val="es-CO"/>
              </w:rPr>
              <w:t xml:space="preserve"> y el Instituto Penitenciario</w:t>
            </w:r>
          </w:p>
        </w:tc>
        <w:tc>
          <w:tcPr>
            <w:tcW w:w="540" w:type="dxa"/>
          </w:tcPr>
          <w:p w14:paraId="7BC07EF1" w14:textId="77777777" w:rsidR="00273A96" w:rsidRPr="00041A72" w:rsidRDefault="00273A96" w:rsidP="00273A96">
            <w:pPr>
              <w:ind w:firstLine="0"/>
              <w:jc w:val="left"/>
              <w:rPr>
                <w:bCs/>
                <w:sz w:val="18"/>
                <w:szCs w:val="18"/>
                <w:lang w:val="es-CO"/>
              </w:rPr>
            </w:pPr>
            <w:r w:rsidRPr="00041A72">
              <w:rPr>
                <w:bCs/>
                <w:sz w:val="18"/>
                <w:szCs w:val="18"/>
                <w:lang w:val="es-CO"/>
              </w:rPr>
              <w:t>Si</w:t>
            </w:r>
          </w:p>
        </w:tc>
        <w:tc>
          <w:tcPr>
            <w:tcW w:w="1440" w:type="dxa"/>
          </w:tcPr>
          <w:p w14:paraId="22D2DAB0" w14:textId="7DB6E4B5" w:rsidR="00273A96" w:rsidRPr="00041A72" w:rsidRDefault="00273A96" w:rsidP="00273A96">
            <w:pPr>
              <w:ind w:firstLine="0"/>
              <w:jc w:val="left"/>
              <w:rPr>
                <w:bCs/>
                <w:sz w:val="18"/>
                <w:szCs w:val="18"/>
                <w:lang w:val="es-CO"/>
              </w:rPr>
            </w:pPr>
            <w:r>
              <w:rPr>
                <w:bCs/>
                <w:sz w:val="18"/>
                <w:szCs w:val="18"/>
                <w:lang w:val="es-CO"/>
              </w:rPr>
              <w:t xml:space="preserve"> </w:t>
            </w:r>
          </w:p>
        </w:tc>
        <w:tc>
          <w:tcPr>
            <w:tcW w:w="900" w:type="dxa"/>
          </w:tcPr>
          <w:p w14:paraId="0E1C6496" w14:textId="77777777" w:rsidR="00273A96" w:rsidRPr="00041A72" w:rsidRDefault="00273A96" w:rsidP="00273A96">
            <w:pPr>
              <w:ind w:firstLine="0"/>
              <w:jc w:val="left"/>
              <w:rPr>
                <w:bCs/>
                <w:sz w:val="18"/>
                <w:szCs w:val="18"/>
                <w:lang w:val="es-CO"/>
              </w:rPr>
            </w:pPr>
          </w:p>
        </w:tc>
        <w:tc>
          <w:tcPr>
            <w:tcW w:w="1080" w:type="dxa"/>
            <w:vMerge/>
          </w:tcPr>
          <w:p w14:paraId="724B8F61" w14:textId="77777777" w:rsidR="00273A96" w:rsidRPr="00041A72" w:rsidRDefault="00273A96" w:rsidP="00273A96">
            <w:pPr>
              <w:ind w:firstLine="0"/>
              <w:jc w:val="left"/>
              <w:rPr>
                <w:bCs/>
                <w:sz w:val="18"/>
                <w:szCs w:val="18"/>
                <w:lang w:val="es-CO"/>
              </w:rPr>
            </w:pPr>
          </w:p>
        </w:tc>
        <w:tc>
          <w:tcPr>
            <w:tcW w:w="1365" w:type="dxa"/>
          </w:tcPr>
          <w:p w14:paraId="57C8619D" w14:textId="6C70EDAA" w:rsidR="00273A96" w:rsidRPr="00041A72" w:rsidRDefault="00273A96" w:rsidP="00273A96">
            <w:pPr>
              <w:ind w:firstLine="0"/>
              <w:jc w:val="left"/>
              <w:rPr>
                <w:bCs/>
                <w:sz w:val="18"/>
                <w:szCs w:val="18"/>
                <w:lang w:val="es-CO"/>
              </w:rPr>
            </w:pPr>
            <w:r w:rsidRPr="00041A72">
              <w:rPr>
                <w:bCs/>
                <w:sz w:val="18"/>
                <w:szCs w:val="18"/>
                <w:lang w:val="es-CO"/>
              </w:rPr>
              <w:t xml:space="preserve">Plan de </w:t>
            </w:r>
            <w:r>
              <w:rPr>
                <w:bCs/>
                <w:sz w:val="18"/>
                <w:szCs w:val="18"/>
                <w:lang w:val="es-CO"/>
              </w:rPr>
              <w:t>Trabajo</w:t>
            </w:r>
          </w:p>
        </w:tc>
      </w:tr>
      <w:tr w:rsidR="00273A96" w:rsidRPr="00041A72" w14:paraId="6CB68ECA" w14:textId="77777777" w:rsidTr="00B03B8B">
        <w:trPr>
          <w:trHeight w:val="801"/>
        </w:trPr>
        <w:tc>
          <w:tcPr>
            <w:tcW w:w="265" w:type="dxa"/>
          </w:tcPr>
          <w:p w14:paraId="78AF5E56" w14:textId="07FF1336" w:rsidR="00273A96" w:rsidRPr="00383D0B" w:rsidRDefault="00273A96" w:rsidP="00273A96">
            <w:pPr>
              <w:ind w:firstLine="0"/>
              <w:jc w:val="left"/>
              <w:rPr>
                <w:b/>
                <w:bCs/>
                <w:sz w:val="18"/>
                <w:szCs w:val="18"/>
                <w:lang w:val="es-CO"/>
              </w:rPr>
            </w:pPr>
            <w:r w:rsidRPr="00383D0B">
              <w:rPr>
                <w:b/>
                <w:bCs/>
                <w:sz w:val="18"/>
                <w:szCs w:val="18"/>
                <w:lang w:val="es-CO"/>
              </w:rPr>
              <w:t>t</w:t>
            </w:r>
          </w:p>
        </w:tc>
        <w:tc>
          <w:tcPr>
            <w:tcW w:w="2440" w:type="dxa"/>
          </w:tcPr>
          <w:p w14:paraId="7AC2F01E" w14:textId="09F042EB" w:rsidR="00273A96" w:rsidRPr="00D81148" w:rsidRDefault="00273A96" w:rsidP="00273A96">
            <w:pPr>
              <w:ind w:firstLine="0"/>
              <w:jc w:val="left"/>
              <w:rPr>
                <w:b/>
                <w:bCs/>
                <w:sz w:val="18"/>
                <w:szCs w:val="18"/>
                <w:lang w:val="es-CO"/>
              </w:rPr>
            </w:pPr>
            <w:r w:rsidRPr="00D81148">
              <w:rPr>
                <w:bCs/>
                <w:color w:val="000000"/>
                <w:sz w:val="18"/>
                <w:szCs w:val="18"/>
                <w:lang w:val="es-CO" w:eastAsia="fr-FR"/>
              </w:rPr>
              <w:t xml:space="preserve">Implementación </w:t>
            </w:r>
            <w:r>
              <w:rPr>
                <w:bCs/>
                <w:color w:val="000000"/>
                <w:sz w:val="18"/>
                <w:szCs w:val="18"/>
                <w:lang w:val="es-CO" w:eastAsia="fr-FR"/>
              </w:rPr>
              <w:t xml:space="preserve">y monitoreo </w:t>
            </w:r>
            <w:r w:rsidRPr="00D81148">
              <w:rPr>
                <w:bCs/>
                <w:color w:val="000000"/>
                <w:sz w:val="18"/>
                <w:szCs w:val="18"/>
                <w:lang w:val="es-CO" w:eastAsia="fr-FR"/>
              </w:rPr>
              <w:t>de las acciones del Plan de Reducción de Obstáculos Relacionados con los Derechos Humanos al Acceso a los Servicios de VIH, Plan Quinquenal 2019-2023</w:t>
            </w:r>
          </w:p>
        </w:tc>
        <w:tc>
          <w:tcPr>
            <w:tcW w:w="440" w:type="dxa"/>
          </w:tcPr>
          <w:p w14:paraId="238297E0" w14:textId="3C510839" w:rsidR="00273A96" w:rsidRPr="00D81148" w:rsidRDefault="00273A96" w:rsidP="00273A96">
            <w:pPr>
              <w:ind w:firstLine="0"/>
              <w:jc w:val="left"/>
              <w:rPr>
                <w:bCs/>
                <w:sz w:val="18"/>
                <w:szCs w:val="18"/>
                <w:lang w:val="es-CO"/>
              </w:rPr>
            </w:pPr>
            <w:r w:rsidRPr="00D81148">
              <w:rPr>
                <w:bCs/>
                <w:sz w:val="18"/>
                <w:szCs w:val="18"/>
                <w:lang w:val="es-CO"/>
              </w:rPr>
              <w:t>40</w:t>
            </w:r>
          </w:p>
        </w:tc>
        <w:tc>
          <w:tcPr>
            <w:tcW w:w="3780" w:type="dxa"/>
          </w:tcPr>
          <w:p w14:paraId="64093248" w14:textId="6C345264" w:rsidR="00273A96" w:rsidRPr="00D81148" w:rsidRDefault="00273A96" w:rsidP="00273A96">
            <w:pPr>
              <w:ind w:firstLine="0"/>
              <w:jc w:val="left"/>
              <w:rPr>
                <w:bCs/>
                <w:sz w:val="18"/>
                <w:szCs w:val="18"/>
                <w:lang w:val="es-CO"/>
              </w:rPr>
            </w:pPr>
            <w:r w:rsidRPr="00D81148">
              <w:rPr>
                <w:bCs/>
                <w:sz w:val="18"/>
                <w:szCs w:val="18"/>
                <w:lang w:val="es-CO"/>
              </w:rPr>
              <w:t>Seguimiento de la Implementación del Plan</w:t>
            </w:r>
            <w:r>
              <w:rPr>
                <w:bCs/>
                <w:sz w:val="18"/>
                <w:szCs w:val="18"/>
                <w:lang w:val="es-CO"/>
              </w:rPr>
              <w:t xml:space="preserve"> y propuesta de ajustes necesarios</w:t>
            </w:r>
          </w:p>
        </w:tc>
        <w:tc>
          <w:tcPr>
            <w:tcW w:w="630" w:type="dxa"/>
          </w:tcPr>
          <w:p w14:paraId="4FDAE00D" w14:textId="34563A0E" w:rsidR="00273A96" w:rsidRPr="005018D3" w:rsidRDefault="00273A96" w:rsidP="00273A96">
            <w:pPr>
              <w:ind w:firstLine="0"/>
              <w:jc w:val="left"/>
              <w:rPr>
                <w:bCs/>
                <w:sz w:val="18"/>
                <w:szCs w:val="18"/>
                <w:lang w:val="es-CO"/>
              </w:rPr>
            </w:pPr>
            <w:r w:rsidRPr="005018D3">
              <w:rPr>
                <w:bCs/>
                <w:sz w:val="18"/>
                <w:szCs w:val="18"/>
                <w:lang w:val="es-CO"/>
              </w:rPr>
              <w:t>2019- 2023</w:t>
            </w:r>
          </w:p>
        </w:tc>
        <w:tc>
          <w:tcPr>
            <w:tcW w:w="1530" w:type="dxa"/>
          </w:tcPr>
          <w:p w14:paraId="1AD24225" w14:textId="77DBE2A5" w:rsidR="00273A96" w:rsidRPr="002C3CEA" w:rsidRDefault="00273A96" w:rsidP="00273A96">
            <w:pPr>
              <w:ind w:firstLine="0"/>
              <w:jc w:val="left"/>
              <w:rPr>
                <w:bCs/>
                <w:sz w:val="18"/>
                <w:szCs w:val="18"/>
                <w:highlight w:val="blue"/>
                <w:lang w:val="es-CO"/>
              </w:rPr>
            </w:pPr>
            <w:r w:rsidRPr="00E846C9">
              <w:rPr>
                <w:bCs/>
                <w:sz w:val="18"/>
                <w:szCs w:val="18"/>
                <w:lang w:val="es-CO"/>
              </w:rPr>
              <w:t>Por determinar</w:t>
            </w:r>
          </w:p>
        </w:tc>
        <w:tc>
          <w:tcPr>
            <w:tcW w:w="540" w:type="dxa"/>
          </w:tcPr>
          <w:p w14:paraId="0F403CBE" w14:textId="2E1B4941" w:rsidR="00273A96" w:rsidRPr="002C3CEA" w:rsidRDefault="00273A96" w:rsidP="00273A96">
            <w:pPr>
              <w:ind w:firstLine="0"/>
              <w:jc w:val="left"/>
              <w:rPr>
                <w:bCs/>
                <w:sz w:val="18"/>
                <w:szCs w:val="18"/>
                <w:highlight w:val="blue"/>
                <w:lang w:val="es-CO"/>
              </w:rPr>
            </w:pPr>
            <w:r w:rsidRPr="005018D3">
              <w:rPr>
                <w:bCs/>
                <w:sz w:val="18"/>
                <w:szCs w:val="18"/>
                <w:lang w:val="es-CO"/>
              </w:rPr>
              <w:t>No</w:t>
            </w:r>
          </w:p>
        </w:tc>
        <w:tc>
          <w:tcPr>
            <w:tcW w:w="1440" w:type="dxa"/>
          </w:tcPr>
          <w:p w14:paraId="2E66FA73" w14:textId="191B74FE" w:rsidR="00273A96" w:rsidRPr="002C3CEA" w:rsidRDefault="00273A96" w:rsidP="00273A96">
            <w:pPr>
              <w:ind w:firstLine="0"/>
              <w:jc w:val="left"/>
              <w:rPr>
                <w:bCs/>
                <w:sz w:val="18"/>
                <w:szCs w:val="18"/>
                <w:highlight w:val="blue"/>
                <w:lang w:val="es-CO"/>
              </w:rPr>
            </w:pPr>
            <w:r>
              <w:rPr>
                <w:bCs/>
                <w:sz w:val="18"/>
                <w:szCs w:val="18"/>
                <w:lang w:val="es-CO"/>
              </w:rPr>
              <w:t>1.4 M USD ($900 M por FM)</w:t>
            </w:r>
          </w:p>
        </w:tc>
        <w:tc>
          <w:tcPr>
            <w:tcW w:w="900" w:type="dxa"/>
          </w:tcPr>
          <w:p w14:paraId="3FA2D4CF" w14:textId="77777777" w:rsidR="00273A96" w:rsidRPr="002C3CEA" w:rsidRDefault="00273A96" w:rsidP="00273A96">
            <w:pPr>
              <w:ind w:firstLine="0"/>
              <w:jc w:val="left"/>
              <w:rPr>
                <w:bCs/>
                <w:sz w:val="18"/>
                <w:szCs w:val="18"/>
                <w:highlight w:val="blue"/>
                <w:lang w:val="es-CO"/>
              </w:rPr>
            </w:pPr>
          </w:p>
        </w:tc>
        <w:tc>
          <w:tcPr>
            <w:tcW w:w="1080" w:type="dxa"/>
          </w:tcPr>
          <w:p w14:paraId="3FC3EE8D" w14:textId="77777777" w:rsidR="00273A96" w:rsidRPr="00041A72" w:rsidRDefault="00273A96" w:rsidP="00273A96">
            <w:pPr>
              <w:ind w:firstLine="0"/>
              <w:jc w:val="left"/>
              <w:rPr>
                <w:bCs/>
                <w:sz w:val="18"/>
                <w:szCs w:val="18"/>
                <w:lang w:val="es-419"/>
              </w:rPr>
            </w:pPr>
            <w:r w:rsidRPr="00041A72">
              <w:rPr>
                <w:bCs/>
                <w:sz w:val="18"/>
                <w:szCs w:val="18"/>
                <w:lang w:val="es-419"/>
              </w:rPr>
              <w:t>PENSIDA</w:t>
            </w:r>
          </w:p>
          <w:p w14:paraId="5AA35EB4" w14:textId="77777777" w:rsidR="00273A96" w:rsidRPr="00041A72" w:rsidRDefault="00273A96" w:rsidP="00273A96">
            <w:pPr>
              <w:ind w:firstLine="0"/>
              <w:jc w:val="left"/>
              <w:rPr>
                <w:bCs/>
                <w:sz w:val="18"/>
                <w:szCs w:val="18"/>
                <w:lang w:val="es-419"/>
              </w:rPr>
            </w:pPr>
            <w:r w:rsidRPr="00041A72">
              <w:rPr>
                <w:bCs/>
                <w:sz w:val="18"/>
                <w:szCs w:val="18"/>
                <w:lang w:val="es-419"/>
              </w:rPr>
              <w:t>1.2.1</w:t>
            </w:r>
          </w:p>
          <w:p w14:paraId="4875042B" w14:textId="77777777" w:rsidR="00273A96" w:rsidRPr="00041A72" w:rsidRDefault="00273A96" w:rsidP="00273A96">
            <w:pPr>
              <w:ind w:firstLine="0"/>
              <w:jc w:val="left"/>
              <w:rPr>
                <w:sz w:val="18"/>
                <w:szCs w:val="18"/>
                <w:lang w:val="es-419"/>
              </w:rPr>
            </w:pPr>
            <w:r w:rsidRPr="00041A72">
              <w:rPr>
                <w:sz w:val="18"/>
                <w:szCs w:val="18"/>
                <w:lang w:val="es-419"/>
              </w:rPr>
              <w:t>1.3.1</w:t>
            </w:r>
          </w:p>
          <w:p w14:paraId="64CAEA87" w14:textId="61635929" w:rsidR="00273A96" w:rsidRPr="005018D3" w:rsidRDefault="00273A96" w:rsidP="00273A96">
            <w:pPr>
              <w:ind w:firstLine="0"/>
              <w:jc w:val="left"/>
              <w:rPr>
                <w:sz w:val="18"/>
                <w:szCs w:val="18"/>
                <w:lang w:val="es-MX"/>
              </w:rPr>
            </w:pPr>
            <w:r w:rsidRPr="00041A72">
              <w:rPr>
                <w:sz w:val="18"/>
                <w:szCs w:val="18"/>
                <w:lang w:val="es-419"/>
              </w:rPr>
              <w:t>1.3.2</w:t>
            </w:r>
          </w:p>
        </w:tc>
        <w:tc>
          <w:tcPr>
            <w:tcW w:w="1365" w:type="dxa"/>
          </w:tcPr>
          <w:p w14:paraId="57943B5F" w14:textId="4E939BA9" w:rsidR="00273A96" w:rsidRPr="002C3CEA" w:rsidRDefault="00273A96" w:rsidP="00273A96">
            <w:pPr>
              <w:ind w:firstLine="0"/>
              <w:jc w:val="left"/>
              <w:rPr>
                <w:bCs/>
                <w:sz w:val="18"/>
                <w:szCs w:val="18"/>
                <w:highlight w:val="blue"/>
                <w:lang w:val="es-CO"/>
              </w:rPr>
            </w:pPr>
            <w:r w:rsidRPr="00E95AE0">
              <w:rPr>
                <w:bCs/>
                <w:sz w:val="18"/>
                <w:szCs w:val="18"/>
                <w:lang w:val="es-CO"/>
              </w:rPr>
              <w:t xml:space="preserve">Reportes semestrales </w:t>
            </w:r>
            <w:r>
              <w:rPr>
                <w:bCs/>
                <w:sz w:val="18"/>
                <w:szCs w:val="18"/>
                <w:lang w:val="es-CO"/>
              </w:rPr>
              <w:t xml:space="preserve">(escritos) </w:t>
            </w:r>
            <w:r w:rsidRPr="00E95AE0">
              <w:rPr>
                <w:bCs/>
                <w:sz w:val="18"/>
                <w:szCs w:val="18"/>
                <w:lang w:val="es-CO"/>
              </w:rPr>
              <w:t>al MCP</w:t>
            </w:r>
            <w:r>
              <w:rPr>
                <w:bCs/>
                <w:sz w:val="18"/>
                <w:szCs w:val="18"/>
                <w:lang w:val="es-CO"/>
              </w:rPr>
              <w:t xml:space="preserve"> o CONASIDA</w:t>
            </w:r>
          </w:p>
        </w:tc>
      </w:tr>
      <w:tr w:rsidR="00273A96" w:rsidRPr="00041A72" w14:paraId="1212800F" w14:textId="77777777" w:rsidTr="00B03B8B">
        <w:trPr>
          <w:trHeight w:val="530"/>
        </w:trPr>
        <w:tc>
          <w:tcPr>
            <w:tcW w:w="14410" w:type="dxa"/>
            <w:gridSpan w:val="11"/>
            <w:shd w:val="clear" w:color="auto" w:fill="1F4E79" w:themeFill="accent1" w:themeFillShade="80"/>
          </w:tcPr>
          <w:p w14:paraId="5D01331B" w14:textId="3FF4B048" w:rsidR="00273A96" w:rsidRPr="00B03B8B" w:rsidRDefault="00273A96" w:rsidP="00273A96">
            <w:pPr>
              <w:ind w:firstLine="0"/>
              <w:jc w:val="left"/>
              <w:rPr>
                <w:rFonts w:asciiTheme="majorHAnsi" w:hAnsiTheme="majorHAnsi" w:cstheme="majorHAnsi"/>
                <w:b/>
                <w:color w:val="FFFFFF" w:themeColor="background1"/>
                <w:sz w:val="24"/>
                <w:lang w:val="es-ES"/>
              </w:rPr>
            </w:pPr>
            <w:r>
              <w:rPr>
                <w:rFonts w:asciiTheme="majorHAnsi" w:hAnsiTheme="majorHAnsi" w:cstheme="majorHAnsi"/>
                <w:b/>
                <w:color w:val="FFFFFF" w:themeColor="background1"/>
                <w:sz w:val="24"/>
                <w:lang w:val="es-ES"/>
              </w:rPr>
              <w:t>(IV) Trabajar en el fortalecimiento de la sociedad civil</w:t>
            </w:r>
          </w:p>
        </w:tc>
      </w:tr>
      <w:tr w:rsidR="00273A96" w:rsidRPr="00041A72" w14:paraId="778FB0DD" w14:textId="77777777" w:rsidTr="00B03B8B">
        <w:trPr>
          <w:trHeight w:val="533"/>
        </w:trPr>
        <w:tc>
          <w:tcPr>
            <w:tcW w:w="14410" w:type="dxa"/>
            <w:gridSpan w:val="11"/>
            <w:shd w:val="clear" w:color="auto" w:fill="DEEAF6" w:themeFill="accent1" w:themeFillTint="33"/>
          </w:tcPr>
          <w:p w14:paraId="40722F5C" w14:textId="3A3E0B08" w:rsidR="00273A96" w:rsidRPr="00B03B8B" w:rsidRDefault="00273A96" w:rsidP="00273A96">
            <w:pPr>
              <w:ind w:firstLine="0"/>
              <w:jc w:val="left"/>
              <w:rPr>
                <w:rFonts w:asciiTheme="majorHAnsi" w:hAnsiTheme="majorHAnsi" w:cstheme="majorHAnsi"/>
                <w:b/>
                <w:sz w:val="24"/>
                <w:lang w:val="es-419"/>
              </w:rPr>
            </w:pPr>
            <w:r>
              <w:rPr>
                <w:rFonts w:asciiTheme="majorHAnsi" w:hAnsiTheme="majorHAnsi" w:cstheme="majorHAnsi"/>
                <w:b/>
                <w:sz w:val="20"/>
                <w:lang w:val="es-ES"/>
              </w:rPr>
              <w:t>Objetivo 6.</w:t>
            </w:r>
            <w:r w:rsidRPr="00B03B8B">
              <w:rPr>
                <w:rFonts w:asciiTheme="majorHAnsi" w:hAnsiTheme="majorHAnsi" w:cstheme="majorHAnsi"/>
                <w:b/>
                <w:sz w:val="20"/>
                <w:lang w:val="es-ES"/>
              </w:rPr>
              <w:t xml:space="preserve"> Fortalecimiento financiero y operativo de las </w:t>
            </w:r>
            <w:proofErr w:type="spellStart"/>
            <w:r w:rsidRPr="00B03B8B">
              <w:rPr>
                <w:rFonts w:asciiTheme="majorHAnsi" w:hAnsiTheme="majorHAnsi" w:cstheme="majorHAnsi"/>
                <w:b/>
                <w:sz w:val="20"/>
                <w:lang w:val="es-ES"/>
              </w:rPr>
              <w:t>OSCs</w:t>
            </w:r>
            <w:proofErr w:type="spellEnd"/>
            <w:r w:rsidRPr="00B03B8B">
              <w:rPr>
                <w:rFonts w:asciiTheme="majorHAnsi" w:hAnsiTheme="majorHAnsi" w:cstheme="majorHAnsi"/>
                <w:b/>
                <w:sz w:val="20"/>
                <w:lang w:val="es-ES"/>
              </w:rPr>
              <w:t xml:space="preserve"> trabajando en VIH y TB</w:t>
            </w:r>
          </w:p>
        </w:tc>
      </w:tr>
      <w:tr w:rsidR="00273A96" w:rsidRPr="00041A72" w14:paraId="544959A5" w14:textId="77777777" w:rsidTr="00B03B8B">
        <w:trPr>
          <w:trHeight w:val="395"/>
        </w:trPr>
        <w:tc>
          <w:tcPr>
            <w:tcW w:w="265" w:type="dxa"/>
            <w:shd w:val="clear" w:color="auto" w:fill="F2F2F2" w:themeFill="background1" w:themeFillShade="F2"/>
          </w:tcPr>
          <w:p w14:paraId="16695681" w14:textId="77777777" w:rsidR="00273A96" w:rsidRPr="00041A72" w:rsidRDefault="00273A96" w:rsidP="00273A96">
            <w:pPr>
              <w:ind w:firstLine="0"/>
              <w:jc w:val="left"/>
              <w:rPr>
                <w:b/>
                <w:bCs/>
                <w:sz w:val="18"/>
                <w:szCs w:val="18"/>
                <w:lang w:val="es-CO"/>
              </w:rPr>
            </w:pPr>
          </w:p>
        </w:tc>
        <w:tc>
          <w:tcPr>
            <w:tcW w:w="2440" w:type="dxa"/>
            <w:shd w:val="clear" w:color="auto" w:fill="F2F2F2" w:themeFill="background1" w:themeFillShade="F2"/>
          </w:tcPr>
          <w:p w14:paraId="6228540D" w14:textId="7DCA29B1" w:rsidR="00273A96" w:rsidRPr="00041A72" w:rsidRDefault="00273A96" w:rsidP="00273A96">
            <w:pPr>
              <w:ind w:firstLine="0"/>
              <w:jc w:val="left"/>
              <w:rPr>
                <w:b/>
                <w:bCs/>
                <w:sz w:val="18"/>
                <w:szCs w:val="18"/>
                <w:lang w:val="es-CO"/>
              </w:rPr>
            </w:pPr>
            <w:r w:rsidRPr="00041A72">
              <w:rPr>
                <w:b/>
                <w:bCs/>
                <w:sz w:val="18"/>
                <w:szCs w:val="18"/>
                <w:lang w:val="es-CO"/>
              </w:rPr>
              <w:t>Acciones</w:t>
            </w:r>
          </w:p>
        </w:tc>
        <w:tc>
          <w:tcPr>
            <w:tcW w:w="440" w:type="dxa"/>
            <w:shd w:val="clear" w:color="auto" w:fill="F2F2F2" w:themeFill="background1" w:themeFillShade="F2"/>
          </w:tcPr>
          <w:p w14:paraId="402D519C" w14:textId="7289F828" w:rsidR="00273A96" w:rsidRPr="00041A72" w:rsidRDefault="00273A96" w:rsidP="00273A96">
            <w:pPr>
              <w:ind w:firstLine="0"/>
              <w:jc w:val="left"/>
              <w:rPr>
                <w:b/>
                <w:bCs/>
                <w:sz w:val="18"/>
                <w:szCs w:val="18"/>
                <w:lang w:val="es-CO"/>
              </w:rPr>
            </w:pPr>
            <w:proofErr w:type="spellStart"/>
            <w:r w:rsidRPr="00041A72">
              <w:rPr>
                <w:b/>
                <w:bCs/>
                <w:sz w:val="18"/>
                <w:szCs w:val="18"/>
                <w:lang w:val="es-CO"/>
              </w:rPr>
              <w:t>N</w:t>
            </w:r>
            <w:r>
              <w:rPr>
                <w:b/>
                <w:bCs/>
                <w:sz w:val="18"/>
                <w:szCs w:val="18"/>
                <w:lang w:val="es-CO"/>
              </w:rPr>
              <w:t>°</w:t>
            </w:r>
            <w:proofErr w:type="spellEnd"/>
          </w:p>
        </w:tc>
        <w:tc>
          <w:tcPr>
            <w:tcW w:w="3780" w:type="dxa"/>
            <w:shd w:val="clear" w:color="auto" w:fill="F2F2F2" w:themeFill="background1" w:themeFillShade="F2"/>
          </w:tcPr>
          <w:p w14:paraId="25A0B42D" w14:textId="152C1C40" w:rsidR="00273A96" w:rsidRPr="00041A72" w:rsidRDefault="00273A96" w:rsidP="00273A96">
            <w:pPr>
              <w:ind w:firstLine="0"/>
              <w:jc w:val="left"/>
              <w:rPr>
                <w:b/>
                <w:bCs/>
                <w:sz w:val="18"/>
                <w:szCs w:val="18"/>
                <w:lang w:val="es-CO"/>
              </w:rPr>
            </w:pPr>
            <w:r w:rsidRPr="00041A72">
              <w:rPr>
                <w:b/>
                <w:bCs/>
                <w:sz w:val="18"/>
                <w:szCs w:val="18"/>
                <w:lang w:val="es-CO"/>
              </w:rPr>
              <w:t>Actividades</w:t>
            </w:r>
          </w:p>
        </w:tc>
        <w:tc>
          <w:tcPr>
            <w:tcW w:w="630" w:type="dxa"/>
            <w:shd w:val="clear" w:color="auto" w:fill="F2F2F2" w:themeFill="background1" w:themeFillShade="F2"/>
          </w:tcPr>
          <w:p w14:paraId="212CE868" w14:textId="582F10D9" w:rsidR="00273A96" w:rsidRPr="00041A72" w:rsidRDefault="00273A96" w:rsidP="00273A96">
            <w:pPr>
              <w:ind w:firstLine="0"/>
              <w:jc w:val="left"/>
              <w:rPr>
                <w:b/>
                <w:bCs/>
                <w:sz w:val="18"/>
                <w:szCs w:val="18"/>
                <w:lang w:val="es-CO"/>
              </w:rPr>
            </w:pPr>
            <w:r w:rsidRPr="00041A72">
              <w:rPr>
                <w:b/>
                <w:bCs/>
                <w:sz w:val="18"/>
                <w:szCs w:val="18"/>
                <w:lang w:val="es-CO"/>
              </w:rPr>
              <w:t>Año</w:t>
            </w:r>
            <w:r w:rsidRPr="00361102">
              <w:rPr>
                <w:b/>
                <w:bCs/>
                <w:sz w:val="18"/>
                <w:szCs w:val="18"/>
                <w:lang w:val="es-CO"/>
              </w:rPr>
              <w:t>/s</w:t>
            </w:r>
          </w:p>
        </w:tc>
        <w:tc>
          <w:tcPr>
            <w:tcW w:w="1530" w:type="dxa"/>
            <w:shd w:val="clear" w:color="auto" w:fill="F2F2F2" w:themeFill="background1" w:themeFillShade="F2"/>
          </w:tcPr>
          <w:p w14:paraId="52DCB140" w14:textId="26A07CE3" w:rsidR="00273A96" w:rsidRPr="00041A72" w:rsidRDefault="00273A96" w:rsidP="00273A96">
            <w:pPr>
              <w:ind w:firstLine="0"/>
              <w:jc w:val="left"/>
              <w:rPr>
                <w:b/>
                <w:bCs/>
                <w:sz w:val="18"/>
                <w:szCs w:val="18"/>
                <w:lang w:val="es-CO"/>
              </w:rPr>
            </w:pPr>
            <w:r w:rsidRPr="00041A72">
              <w:rPr>
                <w:b/>
                <w:bCs/>
                <w:sz w:val="18"/>
                <w:szCs w:val="18"/>
                <w:lang w:val="es-CO"/>
              </w:rPr>
              <w:t>Entidad/es responsable/s</w:t>
            </w:r>
          </w:p>
        </w:tc>
        <w:tc>
          <w:tcPr>
            <w:tcW w:w="540" w:type="dxa"/>
            <w:shd w:val="clear" w:color="auto" w:fill="F2F2F2" w:themeFill="background1" w:themeFillShade="F2"/>
          </w:tcPr>
          <w:p w14:paraId="7788CB6C" w14:textId="3E39E237" w:rsidR="00273A96" w:rsidRPr="00041A72" w:rsidRDefault="00273A96" w:rsidP="00273A96">
            <w:pPr>
              <w:ind w:firstLine="0"/>
              <w:jc w:val="left"/>
              <w:rPr>
                <w:b/>
                <w:bCs/>
                <w:sz w:val="18"/>
                <w:szCs w:val="18"/>
                <w:lang w:val="es-CO"/>
              </w:rPr>
            </w:pPr>
            <w:r w:rsidRPr="00041A72">
              <w:rPr>
                <w:b/>
                <w:bCs/>
                <w:sz w:val="18"/>
                <w:szCs w:val="18"/>
                <w:lang w:val="es-CO"/>
              </w:rPr>
              <w:t>AT</w:t>
            </w:r>
          </w:p>
        </w:tc>
        <w:tc>
          <w:tcPr>
            <w:tcW w:w="1440" w:type="dxa"/>
            <w:shd w:val="clear" w:color="auto" w:fill="F2F2F2" w:themeFill="background1" w:themeFillShade="F2"/>
          </w:tcPr>
          <w:p w14:paraId="55F0F302" w14:textId="4697ED77" w:rsidR="00273A96" w:rsidRPr="00041A72" w:rsidRDefault="00273A96" w:rsidP="00273A96">
            <w:pPr>
              <w:ind w:firstLine="0"/>
              <w:jc w:val="left"/>
              <w:rPr>
                <w:b/>
                <w:bCs/>
                <w:sz w:val="18"/>
                <w:szCs w:val="18"/>
                <w:lang w:val="es-CO"/>
              </w:rPr>
            </w:pPr>
            <w:r w:rsidRPr="00041A72">
              <w:rPr>
                <w:b/>
                <w:bCs/>
                <w:sz w:val="18"/>
                <w:szCs w:val="18"/>
                <w:lang w:val="es-CO"/>
              </w:rPr>
              <w:t>Financiamiento requerido</w:t>
            </w:r>
          </w:p>
        </w:tc>
        <w:tc>
          <w:tcPr>
            <w:tcW w:w="900" w:type="dxa"/>
            <w:shd w:val="clear" w:color="auto" w:fill="F2F2F2" w:themeFill="background1" w:themeFillShade="F2"/>
          </w:tcPr>
          <w:p w14:paraId="6B99C16B" w14:textId="77777777" w:rsidR="00273A96" w:rsidRPr="00041A72" w:rsidRDefault="00273A96" w:rsidP="00273A96">
            <w:pPr>
              <w:spacing w:before="0" w:after="0"/>
              <w:ind w:firstLine="0"/>
              <w:jc w:val="left"/>
              <w:rPr>
                <w:b/>
                <w:bCs/>
                <w:sz w:val="18"/>
                <w:szCs w:val="18"/>
                <w:lang w:val="es-CO"/>
              </w:rPr>
            </w:pPr>
            <w:r w:rsidRPr="00041A72">
              <w:rPr>
                <w:b/>
                <w:bCs/>
                <w:sz w:val="18"/>
                <w:szCs w:val="18"/>
                <w:lang w:val="es-CO"/>
              </w:rPr>
              <w:t>Fuentes de financia-</w:t>
            </w:r>
          </w:p>
          <w:p w14:paraId="17A76879" w14:textId="049E16F1" w:rsidR="00273A96" w:rsidRPr="00041A72" w:rsidRDefault="00273A96" w:rsidP="00273A96">
            <w:pPr>
              <w:spacing w:before="0"/>
              <w:ind w:firstLine="0"/>
              <w:jc w:val="left"/>
              <w:rPr>
                <w:b/>
                <w:bCs/>
                <w:sz w:val="18"/>
                <w:szCs w:val="18"/>
                <w:lang w:val="es-CO"/>
              </w:rPr>
            </w:pPr>
            <w:r w:rsidRPr="00041A72">
              <w:rPr>
                <w:b/>
                <w:bCs/>
                <w:sz w:val="18"/>
                <w:szCs w:val="18"/>
                <w:lang w:val="es-CO"/>
              </w:rPr>
              <w:t>miento</w:t>
            </w:r>
          </w:p>
        </w:tc>
        <w:tc>
          <w:tcPr>
            <w:tcW w:w="1080" w:type="dxa"/>
            <w:shd w:val="clear" w:color="auto" w:fill="F2F2F2" w:themeFill="background1" w:themeFillShade="F2"/>
          </w:tcPr>
          <w:p w14:paraId="0C5FAE25" w14:textId="7BBCCABF" w:rsidR="00273A96" w:rsidRPr="00041A72" w:rsidRDefault="00273A96" w:rsidP="00273A96">
            <w:pPr>
              <w:ind w:firstLine="0"/>
              <w:jc w:val="left"/>
              <w:rPr>
                <w:b/>
                <w:bCs/>
                <w:sz w:val="18"/>
                <w:szCs w:val="18"/>
                <w:lang w:val="es-CO"/>
              </w:rPr>
            </w:pPr>
            <w:r w:rsidRPr="00041A72">
              <w:rPr>
                <w:b/>
                <w:bCs/>
                <w:sz w:val="18"/>
                <w:szCs w:val="18"/>
                <w:lang w:val="es-CO"/>
              </w:rPr>
              <w:t>Alineación con Planes Nacionales</w:t>
            </w:r>
          </w:p>
        </w:tc>
        <w:tc>
          <w:tcPr>
            <w:tcW w:w="1365" w:type="dxa"/>
            <w:shd w:val="clear" w:color="auto" w:fill="F2F2F2" w:themeFill="background1" w:themeFillShade="F2"/>
          </w:tcPr>
          <w:p w14:paraId="4DA88028" w14:textId="630568F3" w:rsidR="00273A96" w:rsidRPr="00041A72" w:rsidRDefault="00273A96" w:rsidP="00273A96">
            <w:pPr>
              <w:ind w:firstLine="0"/>
              <w:jc w:val="left"/>
              <w:rPr>
                <w:b/>
                <w:bCs/>
                <w:sz w:val="18"/>
                <w:szCs w:val="18"/>
                <w:lang w:val="es-CO"/>
              </w:rPr>
            </w:pPr>
            <w:r w:rsidRPr="00041A72">
              <w:rPr>
                <w:b/>
                <w:bCs/>
                <w:sz w:val="18"/>
                <w:szCs w:val="18"/>
                <w:lang w:val="es-CO"/>
              </w:rPr>
              <w:t>Indicador de proceso</w:t>
            </w:r>
          </w:p>
        </w:tc>
      </w:tr>
      <w:tr w:rsidR="00273A96" w:rsidRPr="00041A72" w14:paraId="779402BF" w14:textId="77777777" w:rsidTr="00B03B8B">
        <w:trPr>
          <w:trHeight w:val="1152"/>
        </w:trPr>
        <w:tc>
          <w:tcPr>
            <w:tcW w:w="265" w:type="dxa"/>
            <w:vMerge w:val="restart"/>
          </w:tcPr>
          <w:p w14:paraId="46371A9B" w14:textId="63FD874D" w:rsidR="00273A96" w:rsidRPr="00D85B5A" w:rsidRDefault="00273A96" w:rsidP="00273A96">
            <w:pPr>
              <w:ind w:firstLine="0"/>
              <w:jc w:val="left"/>
              <w:rPr>
                <w:bCs/>
                <w:sz w:val="18"/>
                <w:szCs w:val="18"/>
                <w:lang w:val="es-CO"/>
              </w:rPr>
            </w:pPr>
            <w:r>
              <w:rPr>
                <w:bCs/>
                <w:sz w:val="18"/>
                <w:szCs w:val="18"/>
                <w:lang w:val="es-CO"/>
              </w:rPr>
              <w:t>u</w:t>
            </w:r>
          </w:p>
        </w:tc>
        <w:tc>
          <w:tcPr>
            <w:tcW w:w="2440" w:type="dxa"/>
            <w:vMerge w:val="restart"/>
          </w:tcPr>
          <w:p w14:paraId="4B0480E7" w14:textId="77777777" w:rsidR="00273A96" w:rsidRPr="00D85B5A" w:rsidRDefault="00273A96" w:rsidP="00273A96">
            <w:pPr>
              <w:ind w:firstLine="0"/>
              <w:jc w:val="left"/>
              <w:rPr>
                <w:bCs/>
                <w:sz w:val="18"/>
                <w:szCs w:val="18"/>
                <w:lang w:val="es-CO"/>
              </w:rPr>
            </w:pPr>
            <w:r w:rsidRPr="00D85B5A">
              <w:rPr>
                <w:bCs/>
                <w:sz w:val="18"/>
                <w:szCs w:val="18"/>
                <w:lang w:val="es-CO"/>
              </w:rPr>
              <w:t xml:space="preserve">Fortalecimiento y reestructuración de la CONASIDA para que pueda fungir como mecanismo </w:t>
            </w:r>
            <w:r w:rsidRPr="00D85B5A">
              <w:rPr>
                <w:bCs/>
                <w:sz w:val="18"/>
                <w:szCs w:val="18"/>
                <w:lang w:val="es-CO"/>
              </w:rPr>
              <w:lastRenderedPageBreak/>
              <w:t>coordinador y gestor de recursos financieros para OSC</w:t>
            </w:r>
          </w:p>
        </w:tc>
        <w:tc>
          <w:tcPr>
            <w:tcW w:w="440" w:type="dxa"/>
          </w:tcPr>
          <w:p w14:paraId="06D1FA88" w14:textId="0EF8AE86" w:rsidR="00273A96" w:rsidRPr="00041A72" w:rsidRDefault="00273A96" w:rsidP="00273A96">
            <w:pPr>
              <w:ind w:firstLine="0"/>
              <w:jc w:val="left"/>
              <w:rPr>
                <w:bCs/>
                <w:sz w:val="18"/>
                <w:szCs w:val="18"/>
                <w:lang w:val="es-CO"/>
              </w:rPr>
            </w:pPr>
            <w:r>
              <w:rPr>
                <w:bCs/>
                <w:sz w:val="18"/>
                <w:szCs w:val="18"/>
                <w:lang w:val="es-CO"/>
              </w:rPr>
              <w:lastRenderedPageBreak/>
              <w:t>41</w:t>
            </w:r>
          </w:p>
        </w:tc>
        <w:tc>
          <w:tcPr>
            <w:tcW w:w="3780" w:type="dxa"/>
          </w:tcPr>
          <w:p w14:paraId="4084FA5D" w14:textId="77777777" w:rsidR="00273A96" w:rsidRPr="00041A72" w:rsidRDefault="00273A96" w:rsidP="00273A96">
            <w:pPr>
              <w:ind w:firstLine="0"/>
              <w:jc w:val="left"/>
              <w:rPr>
                <w:bCs/>
                <w:sz w:val="18"/>
                <w:szCs w:val="18"/>
                <w:lang w:val="es-CO"/>
              </w:rPr>
            </w:pPr>
            <w:r w:rsidRPr="00041A72">
              <w:rPr>
                <w:bCs/>
                <w:sz w:val="18"/>
                <w:szCs w:val="18"/>
                <w:lang w:val="es-CO"/>
              </w:rPr>
              <w:t>Aprobación del Reglamento de la Ley de VIH modificado (</w:t>
            </w:r>
            <w:proofErr w:type="spellStart"/>
            <w:r w:rsidRPr="00041A72">
              <w:rPr>
                <w:bCs/>
                <w:sz w:val="18"/>
                <w:szCs w:val="18"/>
                <w:lang w:val="es-CO"/>
              </w:rPr>
              <w:t>Dec</w:t>
            </w:r>
            <w:proofErr w:type="spellEnd"/>
            <w:r w:rsidRPr="00041A72">
              <w:rPr>
                <w:bCs/>
                <w:sz w:val="18"/>
                <w:szCs w:val="18"/>
                <w:lang w:val="es-CO"/>
              </w:rPr>
              <w:t xml:space="preserve"> 147-1999) para incluir la función de gestión de recursos financieros dentro de las atribuciones del CONASIDA</w:t>
            </w:r>
          </w:p>
        </w:tc>
        <w:tc>
          <w:tcPr>
            <w:tcW w:w="630" w:type="dxa"/>
          </w:tcPr>
          <w:p w14:paraId="48859C26" w14:textId="77777777" w:rsidR="00273A96" w:rsidRPr="00041A72" w:rsidRDefault="00273A96" w:rsidP="00273A96">
            <w:pPr>
              <w:ind w:firstLine="0"/>
              <w:jc w:val="left"/>
              <w:rPr>
                <w:bCs/>
                <w:sz w:val="18"/>
                <w:szCs w:val="18"/>
                <w:lang w:val="es-CO"/>
              </w:rPr>
            </w:pPr>
            <w:r w:rsidRPr="00041A72">
              <w:rPr>
                <w:bCs/>
                <w:sz w:val="18"/>
                <w:szCs w:val="18"/>
                <w:lang w:val="es-CO"/>
              </w:rPr>
              <w:t>2019</w:t>
            </w:r>
          </w:p>
        </w:tc>
        <w:tc>
          <w:tcPr>
            <w:tcW w:w="1530" w:type="dxa"/>
          </w:tcPr>
          <w:p w14:paraId="48C439E4" w14:textId="556A2D64" w:rsidR="00273A96" w:rsidRPr="00041A72" w:rsidRDefault="00273A96" w:rsidP="00273A96">
            <w:pPr>
              <w:ind w:firstLine="0"/>
              <w:jc w:val="left"/>
              <w:rPr>
                <w:bCs/>
                <w:sz w:val="18"/>
                <w:szCs w:val="18"/>
                <w:lang w:val="es-CO"/>
              </w:rPr>
            </w:pPr>
            <w:r w:rsidRPr="00041A72">
              <w:rPr>
                <w:bCs/>
                <w:sz w:val="18"/>
                <w:szCs w:val="18"/>
                <w:lang w:val="es-CO"/>
              </w:rPr>
              <w:t>CONASIDA y SESAL, - con asistencia de OPS, FM y Plan Internacional</w:t>
            </w:r>
          </w:p>
        </w:tc>
        <w:tc>
          <w:tcPr>
            <w:tcW w:w="540" w:type="dxa"/>
          </w:tcPr>
          <w:p w14:paraId="2AEDC2BC" w14:textId="77777777" w:rsidR="00273A96" w:rsidRPr="00041A72" w:rsidRDefault="00273A96" w:rsidP="00273A96">
            <w:pPr>
              <w:ind w:firstLine="0"/>
              <w:jc w:val="left"/>
              <w:rPr>
                <w:bCs/>
                <w:sz w:val="18"/>
                <w:szCs w:val="18"/>
                <w:lang w:val="es-CO"/>
              </w:rPr>
            </w:pPr>
            <w:r w:rsidRPr="00041A72">
              <w:rPr>
                <w:bCs/>
                <w:sz w:val="18"/>
                <w:szCs w:val="18"/>
                <w:lang w:val="es-CO"/>
              </w:rPr>
              <w:t>No</w:t>
            </w:r>
          </w:p>
        </w:tc>
        <w:tc>
          <w:tcPr>
            <w:tcW w:w="1440" w:type="dxa"/>
          </w:tcPr>
          <w:p w14:paraId="7E547724" w14:textId="77777777" w:rsidR="00273A96" w:rsidRPr="00041A72" w:rsidRDefault="00273A96" w:rsidP="00273A96">
            <w:pPr>
              <w:ind w:firstLine="0"/>
              <w:jc w:val="left"/>
              <w:rPr>
                <w:bCs/>
                <w:sz w:val="18"/>
                <w:szCs w:val="18"/>
                <w:lang w:val="es-CO"/>
              </w:rPr>
            </w:pPr>
          </w:p>
        </w:tc>
        <w:tc>
          <w:tcPr>
            <w:tcW w:w="900" w:type="dxa"/>
          </w:tcPr>
          <w:p w14:paraId="096B9FE9" w14:textId="2D2C5840" w:rsidR="00273A96" w:rsidRPr="00A22CB6" w:rsidRDefault="00273A96" w:rsidP="00273A96">
            <w:pPr>
              <w:ind w:firstLine="0"/>
              <w:jc w:val="left"/>
              <w:rPr>
                <w:bCs/>
                <w:sz w:val="18"/>
                <w:szCs w:val="18"/>
                <w:lang w:val="es-CO"/>
              </w:rPr>
            </w:pPr>
            <w:r w:rsidRPr="00A22CB6">
              <w:rPr>
                <w:bCs/>
                <w:sz w:val="18"/>
                <w:szCs w:val="18"/>
                <w:lang w:val="es-CO"/>
              </w:rPr>
              <w:t>OPS, FM</w:t>
            </w:r>
          </w:p>
        </w:tc>
        <w:tc>
          <w:tcPr>
            <w:tcW w:w="1080" w:type="dxa"/>
            <w:vMerge w:val="restart"/>
          </w:tcPr>
          <w:p w14:paraId="00E25CA1" w14:textId="6AF1A1B6" w:rsidR="00273A96" w:rsidRPr="00A22CB6" w:rsidRDefault="00273A96" w:rsidP="00273A96">
            <w:pPr>
              <w:ind w:firstLine="0"/>
              <w:jc w:val="left"/>
              <w:rPr>
                <w:bCs/>
                <w:sz w:val="18"/>
                <w:szCs w:val="18"/>
                <w:lang w:val="es-CO"/>
              </w:rPr>
            </w:pPr>
            <w:r w:rsidRPr="00A22CB6">
              <w:rPr>
                <w:bCs/>
                <w:sz w:val="18"/>
                <w:szCs w:val="18"/>
                <w:lang w:val="es-CO"/>
              </w:rPr>
              <w:t xml:space="preserve">PENSIDA 1.1.4 </w:t>
            </w:r>
          </w:p>
          <w:p w14:paraId="07083BB2" w14:textId="77777777" w:rsidR="00273A96" w:rsidRPr="00A22CB6" w:rsidRDefault="00273A96" w:rsidP="00273A96">
            <w:pPr>
              <w:ind w:firstLine="0"/>
              <w:jc w:val="left"/>
              <w:rPr>
                <w:bCs/>
                <w:sz w:val="18"/>
                <w:szCs w:val="18"/>
                <w:lang w:val="es-CO"/>
              </w:rPr>
            </w:pPr>
            <w:r w:rsidRPr="00A22CB6">
              <w:rPr>
                <w:sz w:val="18"/>
                <w:szCs w:val="18"/>
                <w:lang w:val="es-419"/>
              </w:rPr>
              <w:t xml:space="preserve">cap. </w:t>
            </w:r>
          </w:p>
          <w:p w14:paraId="61E6DFC6" w14:textId="77777777" w:rsidR="00273A96" w:rsidRPr="00A22CB6" w:rsidRDefault="00273A96" w:rsidP="00273A96">
            <w:pPr>
              <w:ind w:firstLine="0"/>
              <w:jc w:val="left"/>
              <w:rPr>
                <w:i/>
                <w:sz w:val="18"/>
                <w:szCs w:val="18"/>
                <w:lang w:val="es-419"/>
              </w:rPr>
            </w:pPr>
            <w:r w:rsidRPr="00A22CB6">
              <w:rPr>
                <w:sz w:val="18"/>
                <w:szCs w:val="18"/>
                <w:lang w:val="es-419"/>
              </w:rPr>
              <w:lastRenderedPageBreak/>
              <w:t xml:space="preserve">5.2.2 </w:t>
            </w:r>
          </w:p>
          <w:p w14:paraId="77C41A97" w14:textId="77777777" w:rsidR="00273A96" w:rsidRPr="00A22CB6" w:rsidRDefault="00273A96" w:rsidP="00273A96">
            <w:pPr>
              <w:ind w:firstLine="0"/>
              <w:jc w:val="left"/>
              <w:rPr>
                <w:sz w:val="18"/>
                <w:szCs w:val="18"/>
                <w:lang w:val="es-419"/>
              </w:rPr>
            </w:pPr>
            <w:r w:rsidRPr="00A22CB6">
              <w:rPr>
                <w:sz w:val="18"/>
                <w:szCs w:val="18"/>
                <w:lang w:val="es-419"/>
              </w:rPr>
              <w:t xml:space="preserve">6.1.2 </w:t>
            </w:r>
          </w:p>
          <w:p w14:paraId="6B380036" w14:textId="77777777" w:rsidR="00273A96" w:rsidRPr="00A22CB6" w:rsidRDefault="00273A96" w:rsidP="00273A96">
            <w:pPr>
              <w:ind w:firstLine="0"/>
              <w:jc w:val="left"/>
              <w:rPr>
                <w:sz w:val="18"/>
                <w:szCs w:val="18"/>
                <w:lang w:val="es-419"/>
              </w:rPr>
            </w:pPr>
            <w:proofErr w:type="spellStart"/>
            <w:r w:rsidRPr="00A22CB6">
              <w:rPr>
                <w:sz w:val="18"/>
                <w:szCs w:val="18"/>
                <w:lang w:val="es-419"/>
              </w:rPr>
              <w:t>Eval</w:t>
            </w:r>
            <w:proofErr w:type="spellEnd"/>
            <w:r w:rsidRPr="00A22CB6">
              <w:rPr>
                <w:sz w:val="18"/>
                <w:szCs w:val="18"/>
                <w:lang w:val="es-419"/>
              </w:rPr>
              <w:t xml:space="preserve">. </w:t>
            </w:r>
            <w:proofErr w:type="spellStart"/>
            <w:r w:rsidRPr="00A22CB6">
              <w:rPr>
                <w:sz w:val="18"/>
                <w:szCs w:val="18"/>
                <w:lang w:val="es-419"/>
              </w:rPr>
              <w:t>Conj</w:t>
            </w:r>
            <w:proofErr w:type="spellEnd"/>
            <w:r w:rsidRPr="00A22CB6">
              <w:rPr>
                <w:sz w:val="18"/>
                <w:szCs w:val="18"/>
                <w:lang w:val="es-419"/>
              </w:rPr>
              <w:t>.</w:t>
            </w:r>
          </w:p>
          <w:p w14:paraId="5305A219" w14:textId="77777777" w:rsidR="00273A96" w:rsidRPr="00A22CB6" w:rsidRDefault="00273A96" w:rsidP="00273A96">
            <w:pPr>
              <w:ind w:firstLine="0"/>
              <w:jc w:val="left"/>
              <w:rPr>
                <w:sz w:val="18"/>
                <w:szCs w:val="18"/>
                <w:lang w:val="es-419"/>
              </w:rPr>
            </w:pPr>
            <w:r w:rsidRPr="00A22CB6">
              <w:rPr>
                <w:sz w:val="18"/>
                <w:szCs w:val="18"/>
                <w:lang w:val="es-419"/>
              </w:rPr>
              <w:t>5.3.12</w:t>
            </w:r>
          </w:p>
          <w:p w14:paraId="7123988A" w14:textId="071EE04B" w:rsidR="00273A96" w:rsidRPr="00A22CB6" w:rsidRDefault="00273A96" w:rsidP="00273A96">
            <w:pPr>
              <w:ind w:firstLine="0"/>
              <w:jc w:val="left"/>
              <w:rPr>
                <w:sz w:val="18"/>
                <w:szCs w:val="18"/>
                <w:lang w:val="es-419"/>
              </w:rPr>
            </w:pPr>
            <w:r w:rsidRPr="00A22CB6">
              <w:rPr>
                <w:sz w:val="18"/>
                <w:szCs w:val="18"/>
                <w:lang w:val="es-419"/>
              </w:rPr>
              <w:t>5.4.1</w:t>
            </w:r>
          </w:p>
        </w:tc>
        <w:tc>
          <w:tcPr>
            <w:tcW w:w="1365" w:type="dxa"/>
          </w:tcPr>
          <w:p w14:paraId="7D9FD3F9" w14:textId="77777777" w:rsidR="00273A96" w:rsidRPr="00041A72" w:rsidRDefault="00273A96" w:rsidP="00273A96">
            <w:pPr>
              <w:ind w:firstLine="0"/>
              <w:jc w:val="left"/>
              <w:rPr>
                <w:bCs/>
                <w:sz w:val="18"/>
                <w:szCs w:val="18"/>
                <w:lang w:val="es-CO"/>
              </w:rPr>
            </w:pPr>
            <w:r w:rsidRPr="00041A72">
              <w:rPr>
                <w:bCs/>
                <w:sz w:val="18"/>
                <w:szCs w:val="18"/>
                <w:lang w:val="es-CO"/>
              </w:rPr>
              <w:lastRenderedPageBreak/>
              <w:t>Reglamento modificado aprobado</w:t>
            </w:r>
          </w:p>
        </w:tc>
      </w:tr>
      <w:tr w:rsidR="00273A96" w:rsidRPr="00041A72" w14:paraId="760349D7" w14:textId="77777777" w:rsidTr="00B03B8B">
        <w:trPr>
          <w:trHeight w:val="954"/>
        </w:trPr>
        <w:tc>
          <w:tcPr>
            <w:tcW w:w="265" w:type="dxa"/>
            <w:vMerge/>
          </w:tcPr>
          <w:p w14:paraId="4BA8DD54" w14:textId="77777777" w:rsidR="00273A96" w:rsidRPr="00D85B5A" w:rsidRDefault="00273A96" w:rsidP="00273A96">
            <w:pPr>
              <w:ind w:firstLine="0"/>
              <w:jc w:val="left"/>
              <w:rPr>
                <w:bCs/>
                <w:sz w:val="18"/>
                <w:szCs w:val="18"/>
                <w:lang w:val="es-CO"/>
              </w:rPr>
            </w:pPr>
          </w:p>
        </w:tc>
        <w:tc>
          <w:tcPr>
            <w:tcW w:w="2440" w:type="dxa"/>
            <w:vMerge/>
          </w:tcPr>
          <w:p w14:paraId="283FC1AC" w14:textId="77777777" w:rsidR="00273A96" w:rsidRPr="00D85B5A" w:rsidRDefault="00273A96" w:rsidP="00273A96">
            <w:pPr>
              <w:ind w:firstLine="0"/>
              <w:jc w:val="left"/>
              <w:rPr>
                <w:bCs/>
                <w:sz w:val="18"/>
                <w:szCs w:val="18"/>
                <w:lang w:val="es-CO"/>
              </w:rPr>
            </w:pPr>
          </w:p>
        </w:tc>
        <w:tc>
          <w:tcPr>
            <w:tcW w:w="440" w:type="dxa"/>
          </w:tcPr>
          <w:p w14:paraId="30F5BB60" w14:textId="0965EF09" w:rsidR="00273A96" w:rsidRPr="00041A72" w:rsidRDefault="00273A96" w:rsidP="00273A96">
            <w:pPr>
              <w:ind w:firstLine="0"/>
              <w:jc w:val="left"/>
              <w:rPr>
                <w:bCs/>
                <w:sz w:val="18"/>
                <w:szCs w:val="18"/>
                <w:lang w:val="es-CO"/>
              </w:rPr>
            </w:pPr>
            <w:r>
              <w:rPr>
                <w:bCs/>
                <w:sz w:val="18"/>
                <w:szCs w:val="18"/>
                <w:lang w:val="es-CO"/>
              </w:rPr>
              <w:t>42</w:t>
            </w:r>
          </w:p>
        </w:tc>
        <w:tc>
          <w:tcPr>
            <w:tcW w:w="3780" w:type="dxa"/>
          </w:tcPr>
          <w:p w14:paraId="5E222E2F" w14:textId="77777777" w:rsidR="00273A96" w:rsidRPr="00041A72" w:rsidRDefault="00273A96" w:rsidP="00273A96">
            <w:pPr>
              <w:ind w:firstLine="0"/>
              <w:jc w:val="left"/>
              <w:rPr>
                <w:bCs/>
                <w:sz w:val="18"/>
                <w:szCs w:val="18"/>
                <w:lang w:val="es-CO"/>
              </w:rPr>
            </w:pPr>
            <w:r w:rsidRPr="00041A72">
              <w:rPr>
                <w:bCs/>
                <w:sz w:val="18"/>
                <w:szCs w:val="18"/>
                <w:lang w:val="es-CO"/>
              </w:rPr>
              <w:t>Nombramiento del personal trabajando a tiempo completo en la CONASIDA, sobre todo el Secretariado Técnico para satisfacer funciones básicas y de recursos financieros</w:t>
            </w:r>
          </w:p>
        </w:tc>
        <w:tc>
          <w:tcPr>
            <w:tcW w:w="630" w:type="dxa"/>
          </w:tcPr>
          <w:p w14:paraId="6052B8E2" w14:textId="77777777" w:rsidR="00273A96" w:rsidRPr="00041A72" w:rsidRDefault="00273A96" w:rsidP="00273A96">
            <w:pPr>
              <w:ind w:firstLine="0"/>
              <w:jc w:val="left"/>
              <w:rPr>
                <w:bCs/>
                <w:sz w:val="18"/>
                <w:szCs w:val="18"/>
                <w:lang w:val="es-CO"/>
              </w:rPr>
            </w:pPr>
            <w:r w:rsidRPr="00041A72">
              <w:rPr>
                <w:bCs/>
                <w:sz w:val="18"/>
                <w:szCs w:val="18"/>
                <w:lang w:val="es-CO"/>
              </w:rPr>
              <w:t>2019-2020</w:t>
            </w:r>
          </w:p>
        </w:tc>
        <w:tc>
          <w:tcPr>
            <w:tcW w:w="1530" w:type="dxa"/>
          </w:tcPr>
          <w:p w14:paraId="608BA0F3" w14:textId="17475B8E" w:rsidR="00273A96" w:rsidRPr="00041A72" w:rsidRDefault="00273A96" w:rsidP="00273A96">
            <w:pPr>
              <w:ind w:firstLine="0"/>
              <w:jc w:val="left"/>
              <w:rPr>
                <w:bCs/>
                <w:sz w:val="18"/>
                <w:szCs w:val="18"/>
                <w:lang w:val="es-CO"/>
              </w:rPr>
            </w:pPr>
            <w:r w:rsidRPr="00041A72">
              <w:rPr>
                <w:bCs/>
                <w:sz w:val="18"/>
                <w:szCs w:val="18"/>
                <w:lang w:val="es-CO"/>
              </w:rPr>
              <w:t>CONASIDA</w:t>
            </w:r>
            <w:r>
              <w:rPr>
                <w:bCs/>
                <w:sz w:val="18"/>
                <w:szCs w:val="18"/>
                <w:lang w:val="es-CO"/>
              </w:rPr>
              <w:t xml:space="preserve"> de</w:t>
            </w:r>
            <w:r w:rsidRPr="00041A72">
              <w:rPr>
                <w:bCs/>
                <w:sz w:val="18"/>
                <w:szCs w:val="18"/>
                <w:lang w:val="es-CO"/>
              </w:rPr>
              <w:t xml:space="preserve"> alto nivel </w:t>
            </w:r>
          </w:p>
        </w:tc>
        <w:tc>
          <w:tcPr>
            <w:tcW w:w="540" w:type="dxa"/>
          </w:tcPr>
          <w:p w14:paraId="67AA64DD" w14:textId="77777777" w:rsidR="00273A96" w:rsidRPr="00041A72" w:rsidRDefault="00273A96" w:rsidP="00273A96">
            <w:pPr>
              <w:ind w:firstLine="0"/>
              <w:jc w:val="left"/>
              <w:rPr>
                <w:bCs/>
                <w:sz w:val="18"/>
                <w:szCs w:val="18"/>
                <w:lang w:val="es-CO"/>
              </w:rPr>
            </w:pPr>
            <w:r w:rsidRPr="00041A72">
              <w:rPr>
                <w:bCs/>
                <w:sz w:val="18"/>
                <w:szCs w:val="18"/>
                <w:lang w:val="es-CO"/>
              </w:rPr>
              <w:t>No</w:t>
            </w:r>
          </w:p>
        </w:tc>
        <w:tc>
          <w:tcPr>
            <w:tcW w:w="1440" w:type="dxa"/>
          </w:tcPr>
          <w:p w14:paraId="0EEC6348" w14:textId="77777777" w:rsidR="00273A96" w:rsidRPr="00041A72" w:rsidRDefault="00273A96" w:rsidP="00273A96">
            <w:pPr>
              <w:ind w:firstLine="0"/>
              <w:jc w:val="left"/>
              <w:rPr>
                <w:bCs/>
                <w:sz w:val="18"/>
                <w:szCs w:val="18"/>
                <w:lang w:val="es-CO"/>
              </w:rPr>
            </w:pPr>
          </w:p>
        </w:tc>
        <w:tc>
          <w:tcPr>
            <w:tcW w:w="900" w:type="dxa"/>
          </w:tcPr>
          <w:p w14:paraId="1DA97156" w14:textId="590D30D5" w:rsidR="00273A96" w:rsidRPr="00A22CB6" w:rsidRDefault="00273A96" w:rsidP="00273A96">
            <w:pPr>
              <w:ind w:firstLine="0"/>
              <w:jc w:val="left"/>
              <w:rPr>
                <w:bCs/>
                <w:sz w:val="18"/>
                <w:szCs w:val="18"/>
                <w:lang w:val="es-CO"/>
              </w:rPr>
            </w:pPr>
            <w:r w:rsidRPr="00A22CB6">
              <w:rPr>
                <w:bCs/>
                <w:sz w:val="18"/>
                <w:szCs w:val="18"/>
                <w:lang w:val="es-CO"/>
              </w:rPr>
              <w:t>OPS, FM</w:t>
            </w:r>
          </w:p>
        </w:tc>
        <w:tc>
          <w:tcPr>
            <w:tcW w:w="1080" w:type="dxa"/>
            <w:vMerge/>
          </w:tcPr>
          <w:p w14:paraId="086DC238" w14:textId="77777777" w:rsidR="00273A96" w:rsidRPr="00A22CB6" w:rsidRDefault="00273A96" w:rsidP="00273A96">
            <w:pPr>
              <w:ind w:firstLine="0"/>
              <w:jc w:val="left"/>
              <w:rPr>
                <w:bCs/>
                <w:sz w:val="18"/>
                <w:szCs w:val="18"/>
                <w:lang w:val="es-CO"/>
              </w:rPr>
            </w:pPr>
          </w:p>
        </w:tc>
        <w:tc>
          <w:tcPr>
            <w:tcW w:w="1365" w:type="dxa"/>
          </w:tcPr>
          <w:p w14:paraId="75C086E1" w14:textId="77777777" w:rsidR="00273A96" w:rsidRPr="00041A72" w:rsidRDefault="00273A96" w:rsidP="00273A96">
            <w:pPr>
              <w:ind w:firstLine="0"/>
              <w:jc w:val="left"/>
              <w:rPr>
                <w:bCs/>
                <w:sz w:val="18"/>
                <w:szCs w:val="18"/>
                <w:lang w:val="es-CO"/>
              </w:rPr>
            </w:pPr>
            <w:r w:rsidRPr="00041A72">
              <w:rPr>
                <w:bCs/>
                <w:sz w:val="18"/>
                <w:szCs w:val="18"/>
                <w:lang w:val="es-CO"/>
              </w:rPr>
              <w:t xml:space="preserve">Personal nombrado y en funciones </w:t>
            </w:r>
          </w:p>
        </w:tc>
      </w:tr>
      <w:tr w:rsidR="00273A96" w:rsidRPr="00041A72" w14:paraId="6FE30617" w14:textId="77777777" w:rsidTr="00AA78FE">
        <w:trPr>
          <w:trHeight w:val="737"/>
        </w:trPr>
        <w:tc>
          <w:tcPr>
            <w:tcW w:w="265" w:type="dxa"/>
            <w:vMerge/>
          </w:tcPr>
          <w:p w14:paraId="3B6C672C" w14:textId="77777777" w:rsidR="00273A96" w:rsidRPr="00D85B5A" w:rsidRDefault="00273A96" w:rsidP="00273A96">
            <w:pPr>
              <w:ind w:firstLine="0"/>
              <w:jc w:val="left"/>
              <w:rPr>
                <w:bCs/>
                <w:sz w:val="18"/>
                <w:szCs w:val="18"/>
                <w:lang w:val="es-CO"/>
              </w:rPr>
            </w:pPr>
          </w:p>
        </w:tc>
        <w:tc>
          <w:tcPr>
            <w:tcW w:w="2440" w:type="dxa"/>
            <w:vMerge/>
          </w:tcPr>
          <w:p w14:paraId="48BEE537" w14:textId="77777777" w:rsidR="00273A96" w:rsidRPr="00D85B5A" w:rsidRDefault="00273A96" w:rsidP="00273A96">
            <w:pPr>
              <w:ind w:firstLine="0"/>
              <w:jc w:val="left"/>
              <w:rPr>
                <w:bCs/>
                <w:sz w:val="18"/>
                <w:szCs w:val="18"/>
                <w:lang w:val="es-CO"/>
              </w:rPr>
            </w:pPr>
          </w:p>
        </w:tc>
        <w:tc>
          <w:tcPr>
            <w:tcW w:w="440" w:type="dxa"/>
          </w:tcPr>
          <w:p w14:paraId="5E6C4DD7" w14:textId="7A2E010B" w:rsidR="00273A96" w:rsidRPr="00041A72" w:rsidRDefault="00273A96" w:rsidP="00273A96">
            <w:pPr>
              <w:ind w:firstLine="0"/>
              <w:jc w:val="left"/>
              <w:rPr>
                <w:bCs/>
                <w:sz w:val="18"/>
                <w:szCs w:val="18"/>
                <w:lang w:val="es-CO"/>
              </w:rPr>
            </w:pPr>
            <w:r>
              <w:rPr>
                <w:bCs/>
                <w:sz w:val="18"/>
                <w:szCs w:val="18"/>
                <w:lang w:val="es-CO"/>
              </w:rPr>
              <w:t>43</w:t>
            </w:r>
          </w:p>
        </w:tc>
        <w:tc>
          <w:tcPr>
            <w:tcW w:w="3780" w:type="dxa"/>
          </w:tcPr>
          <w:p w14:paraId="7BF3094B" w14:textId="39B3DC85" w:rsidR="00273A96" w:rsidRPr="00041A72" w:rsidRDefault="00273A96" w:rsidP="00273A96">
            <w:pPr>
              <w:ind w:firstLine="0"/>
              <w:jc w:val="left"/>
              <w:rPr>
                <w:bCs/>
                <w:sz w:val="18"/>
                <w:szCs w:val="18"/>
                <w:lang w:val="es-CO"/>
              </w:rPr>
            </w:pPr>
            <w:r w:rsidRPr="00041A72">
              <w:rPr>
                <w:bCs/>
                <w:sz w:val="18"/>
                <w:szCs w:val="18"/>
                <w:lang w:val="es-CO"/>
              </w:rPr>
              <w:t xml:space="preserve">Desarrollo del marco normativo que permita la gestión de recursos (financieros, logísticos y técnicos) para la OSC – mecanismo de contratación </w:t>
            </w:r>
            <w:r>
              <w:rPr>
                <w:bCs/>
                <w:sz w:val="18"/>
                <w:szCs w:val="18"/>
                <w:lang w:val="es-CO"/>
              </w:rPr>
              <w:t xml:space="preserve">pública de </w:t>
            </w:r>
            <w:proofErr w:type="spellStart"/>
            <w:r>
              <w:rPr>
                <w:bCs/>
                <w:sz w:val="18"/>
                <w:szCs w:val="18"/>
                <w:lang w:val="es-CO"/>
              </w:rPr>
              <w:t>OSCs</w:t>
            </w:r>
            <w:proofErr w:type="spellEnd"/>
            <w:r>
              <w:rPr>
                <w:bCs/>
                <w:sz w:val="18"/>
                <w:szCs w:val="18"/>
                <w:lang w:val="es-CO"/>
              </w:rPr>
              <w:t xml:space="preserve"> para la provisión de servicios de salud</w:t>
            </w:r>
          </w:p>
        </w:tc>
        <w:tc>
          <w:tcPr>
            <w:tcW w:w="630" w:type="dxa"/>
          </w:tcPr>
          <w:p w14:paraId="35B87A6F" w14:textId="77777777" w:rsidR="00273A96" w:rsidRPr="00041A72" w:rsidRDefault="00273A96" w:rsidP="00273A96">
            <w:pPr>
              <w:ind w:firstLine="0"/>
              <w:jc w:val="left"/>
              <w:rPr>
                <w:bCs/>
                <w:sz w:val="18"/>
                <w:szCs w:val="18"/>
                <w:lang w:val="es-CO"/>
              </w:rPr>
            </w:pPr>
            <w:r w:rsidRPr="00041A72">
              <w:rPr>
                <w:bCs/>
                <w:sz w:val="18"/>
                <w:szCs w:val="18"/>
                <w:lang w:val="es-CO"/>
              </w:rPr>
              <w:t>2019-2020</w:t>
            </w:r>
          </w:p>
        </w:tc>
        <w:tc>
          <w:tcPr>
            <w:tcW w:w="1530" w:type="dxa"/>
          </w:tcPr>
          <w:p w14:paraId="013DB54B" w14:textId="77777777" w:rsidR="00273A96" w:rsidRPr="00041A72" w:rsidRDefault="00273A96" w:rsidP="00273A96">
            <w:pPr>
              <w:ind w:firstLine="0"/>
              <w:jc w:val="left"/>
              <w:rPr>
                <w:bCs/>
                <w:sz w:val="18"/>
                <w:szCs w:val="18"/>
                <w:lang w:val="es-CO"/>
              </w:rPr>
            </w:pPr>
            <w:proofErr w:type="spellStart"/>
            <w:r w:rsidRPr="00041A72">
              <w:rPr>
                <w:bCs/>
                <w:sz w:val="18"/>
                <w:szCs w:val="18"/>
                <w:lang w:val="es-CO"/>
              </w:rPr>
              <w:t>Dept</w:t>
            </w:r>
            <w:proofErr w:type="spellEnd"/>
            <w:r w:rsidRPr="00041A72">
              <w:rPr>
                <w:bCs/>
                <w:sz w:val="18"/>
                <w:szCs w:val="18"/>
                <w:lang w:val="es-CO"/>
              </w:rPr>
              <w:t xml:space="preserve">. Legal SESAL (por confirmar) </w:t>
            </w:r>
          </w:p>
        </w:tc>
        <w:tc>
          <w:tcPr>
            <w:tcW w:w="540" w:type="dxa"/>
          </w:tcPr>
          <w:p w14:paraId="37609DDE" w14:textId="77777777" w:rsidR="00273A96" w:rsidRPr="00041A72" w:rsidRDefault="00273A96" w:rsidP="00273A96">
            <w:pPr>
              <w:ind w:firstLine="0"/>
              <w:jc w:val="left"/>
              <w:rPr>
                <w:bCs/>
                <w:sz w:val="18"/>
                <w:szCs w:val="18"/>
                <w:lang w:val="es-CO"/>
              </w:rPr>
            </w:pPr>
            <w:r w:rsidRPr="00041A72">
              <w:rPr>
                <w:bCs/>
                <w:sz w:val="18"/>
                <w:szCs w:val="18"/>
                <w:lang w:val="es-CO"/>
              </w:rPr>
              <w:t>Si</w:t>
            </w:r>
          </w:p>
        </w:tc>
        <w:tc>
          <w:tcPr>
            <w:tcW w:w="1440" w:type="dxa"/>
          </w:tcPr>
          <w:p w14:paraId="10951A28" w14:textId="77777777" w:rsidR="00273A96" w:rsidRPr="00041A72" w:rsidRDefault="00273A96" w:rsidP="00273A96">
            <w:pPr>
              <w:ind w:firstLine="0"/>
              <w:jc w:val="left"/>
              <w:rPr>
                <w:bCs/>
                <w:sz w:val="18"/>
                <w:szCs w:val="18"/>
                <w:lang w:val="es-CO"/>
              </w:rPr>
            </w:pPr>
            <w:r w:rsidRPr="00041A72">
              <w:rPr>
                <w:bCs/>
                <w:sz w:val="18"/>
                <w:szCs w:val="18"/>
                <w:lang w:val="es-CO"/>
              </w:rPr>
              <w:t>50,000 USD</w:t>
            </w:r>
          </w:p>
        </w:tc>
        <w:tc>
          <w:tcPr>
            <w:tcW w:w="900" w:type="dxa"/>
          </w:tcPr>
          <w:p w14:paraId="43191A91" w14:textId="6F78E4B9" w:rsidR="00273A96" w:rsidRPr="00041A72" w:rsidRDefault="00273A96" w:rsidP="00273A96">
            <w:pPr>
              <w:ind w:firstLine="0"/>
              <w:jc w:val="left"/>
              <w:rPr>
                <w:bCs/>
                <w:sz w:val="18"/>
                <w:szCs w:val="18"/>
                <w:lang w:val="es-CO"/>
              </w:rPr>
            </w:pPr>
            <w:r w:rsidRPr="00041A72">
              <w:rPr>
                <w:bCs/>
                <w:sz w:val="18"/>
                <w:szCs w:val="18"/>
                <w:lang w:val="es-CO"/>
              </w:rPr>
              <w:t>OPS, FM</w:t>
            </w:r>
          </w:p>
        </w:tc>
        <w:tc>
          <w:tcPr>
            <w:tcW w:w="1080" w:type="dxa"/>
            <w:vMerge/>
          </w:tcPr>
          <w:p w14:paraId="351D02B2" w14:textId="77777777" w:rsidR="00273A96" w:rsidRPr="00041A72" w:rsidRDefault="00273A96" w:rsidP="00273A96">
            <w:pPr>
              <w:ind w:firstLine="0"/>
              <w:jc w:val="left"/>
              <w:rPr>
                <w:bCs/>
                <w:sz w:val="18"/>
                <w:szCs w:val="18"/>
                <w:lang w:val="es-CO"/>
              </w:rPr>
            </w:pPr>
          </w:p>
        </w:tc>
        <w:tc>
          <w:tcPr>
            <w:tcW w:w="1365" w:type="dxa"/>
          </w:tcPr>
          <w:p w14:paraId="34FD2E39" w14:textId="77777777" w:rsidR="00273A96" w:rsidRPr="00041A72" w:rsidRDefault="00273A96" w:rsidP="00273A96">
            <w:pPr>
              <w:ind w:firstLine="0"/>
              <w:jc w:val="left"/>
              <w:rPr>
                <w:bCs/>
                <w:sz w:val="18"/>
                <w:szCs w:val="18"/>
                <w:lang w:val="es-CO"/>
              </w:rPr>
            </w:pPr>
            <w:r w:rsidRPr="00041A72">
              <w:rPr>
                <w:bCs/>
                <w:sz w:val="18"/>
                <w:szCs w:val="18"/>
                <w:lang w:val="es-CO"/>
              </w:rPr>
              <w:t xml:space="preserve">Marco Normativo Desarrollado </w:t>
            </w:r>
          </w:p>
        </w:tc>
      </w:tr>
      <w:tr w:rsidR="00273A96" w:rsidRPr="00041A72" w14:paraId="250CF51B" w14:textId="77777777" w:rsidTr="00AA78FE">
        <w:trPr>
          <w:trHeight w:val="710"/>
        </w:trPr>
        <w:tc>
          <w:tcPr>
            <w:tcW w:w="265" w:type="dxa"/>
            <w:vMerge/>
          </w:tcPr>
          <w:p w14:paraId="4B1AD4B8" w14:textId="77777777" w:rsidR="00273A96" w:rsidRPr="00D85B5A" w:rsidRDefault="00273A96" w:rsidP="00273A96">
            <w:pPr>
              <w:ind w:firstLine="0"/>
              <w:jc w:val="left"/>
              <w:rPr>
                <w:bCs/>
                <w:sz w:val="18"/>
                <w:szCs w:val="18"/>
                <w:lang w:val="es-CO"/>
              </w:rPr>
            </w:pPr>
          </w:p>
        </w:tc>
        <w:tc>
          <w:tcPr>
            <w:tcW w:w="2440" w:type="dxa"/>
            <w:vMerge/>
          </w:tcPr>
          <w:p w14:paraId="5F5F78EC" w14:textId="77777777" w:rsidR="00273A96" w:rsidRPr="00D85B5A" w:rsidRDefault="00273A96" w:rsidP="00273A96">
            <w:pPr>
              <w:ind w:firstLine="0"/>
              <w:jc w:val="left"/>
              <w:rPr>
                <w:bCs/>
                <w:sz w:val="18"/>
                <w:szCs w:val="18"/>
                <w:lang w:val="es-CO"/>
              </w:rPr>
            </w:pPr>
          </w:p>
        </w:tc>
        <w:tc>
          <w:tcPr>
            <w:tcW w:w="440" w:type="dxa"/>
          </w:tcPr>
          <w:p w14:paraId="6CAEED05" w14:textId="4108E023" w:rsidR="00273A96" w:rsidRPr="00041A72" w:rsidRDefault="00273A96" w:rsidP="00273A96">
            <w:pPr>
              <w:ind w:firstLine="0"/>
              <w:jc w:val="left"/>
              <w:rPr>
                <w:bCs/>
                <w:sz w:val="18"/>
                <w:szCs w:val="18"/>
                <w:lang w:val="es-CO"/>
              </w:rPr>
            </w:pPr>
            <w:r>
              <w:rPr>
                <w:bCs/>
                <w:sz w:val="18"/>
                <w:szCs w:val="18"/>
                <w:lang w:val="es-CO"/>
              </w:rPr>
              <w:t>44</w:t>
            </w:r>
          </w:p>
        </w:tc>
        <w:tc>
          <w:tcPr>
            <w:tcW w:w="3780" w:type="dxa"/>
          </w:tcPr>
          <w:p w14:paraId="0DC7B941" w14:textId="77777777" w:rsidR="00273A96" w:rsidRPr="00041A72" w:rsidRDefault="00273A96" w:rsidP="00273A96">
            <w:pPr>
              <w:ind w:firstLine="0"/>
              <w:jc w:val="left"/>
              <w:rPr>
                <w:bCs/>
                <w:sz w:val="18"/>
                <w:szCs w:val="18"/>
                <w:lang w:val="es-CO"/>
              </w:rPr>
            </w:pPr>
            <w:r w:rsidRPr="00041A72">
              <w:rPr>
                <w:bCs/>
                <w:sz w:val="18"/>
                <w:szCs w:val="18"/>
                <w:lang w:val="es-CO"/>
              </w:rPr>
              <w:t xml:space="preserve">Identificación de fuentes y asignación presupuestaria al CONASIDA para su operación y cumplimiento de funciones </w:t>
            </w:r>
          </w:p>
        </w:tc>
        <w:tc>
          <w:tcPr>
            <w:tcW w:w="630" w:type="dxa"/>
          </w:tcPr>
          <w:p w14:paraId="421A9D66" w14:textId="77777777" w:rsidR="00273A96" w:rsidRPr="00041A72" w:rsidRDefault="00273A96" w:rsidP="00273A96">
            <w:pPr>
              <w:ind w:firstLine="0"/>
              <w:jc w:val="left"/>
              <w:rPr>
                <w:bCs/>
                <w:sz w:val="18"/>
                <w:szCs w:val="18"/>
                <w:lang w:val="es-CO"/>
              </w:rPr>
            </w:pPr>
            <w:r w:rsidRPr="00041A72">
              <w:rPr>
                <w:bCs/>
                <w:sz w:val="18"/>
                <w:szCs w:val="18"/>
                <w:lang w:val="es-CO"/>
              </w:rPr>
              <w:t>2019-2020</w:t>
            </w:r>
          </w:p>
        </w:tc>
        <w:tc>
          <w:tcPr>
            <w:tcW w:w="1530" w:type="dxa"/>
          </w:tcPr>
          <w:p w14:paraId="12152108" w14:textId="77777777" w:rsidR="00273A96" w:rsidRPr="00041A72" w:rsidRDefault="00273A96" w:rsidP="00273A96">
            <w:pPr>
              <w:ind w:firstLine="0"/>
              <w:jc w:val="left"/>
              <w:rPr>
                <w:bCs/>
                <w:sz w:val="18"/>
                <w:szCs w:val="18"/>
                <w:lang w:val="es-CO"/>
              </w:rPr>
            </w:pPr>
            <w:r w:rsidRPr="00041A72">
              <w:rPr>
                <w:bCs/>
                <w:sz w:val="18"/>
                <w:szCs w:val="18"/>
                <w:lang w:val="es-CO"/>
              </w:rPr>
              <w:t>SEFIN</w:t>
            </w:r>
          </w:p>
        </w:tc>
        <w:tc>
          <w:tcPr>
            <w:tcW w:w="540" w:type="dxa"/>
          </w:tcPr>
          <w:p w14:paraId="4FA0F49D" w14:textId="77777777" w:rsidR="00273A96" w:rsidRPr="00041A72" w:rsidRDefault="00273A96" w:rsidP="00273A96">
            <w:pPr>
              <w:ind w:firstLine="0"/>
              <w:jc w:val="left"/>
              <w:rPr>
                <w:bCs/>
                <w:sz w:val="18"/>
                <w:szCs w:val="18"/>
                <w:lang w:val="es-CO"/>
              </w:rPr>
            </w:pPr>
            <w:r w:rsidRPr="00041A72">
              <w:rPr>
                <w:bCs/>
                <w:sz w:val="18"/>
                <w:szCs w:val="18"/>
                <w:lang w:val="es-CO"/>
              </w:rPr>
              <w:t>No</w:t>
            </w:r>
          </w:p>
        </w:tc>
        <w:tc>
          <w:tcPr>
            <w:tcW w:w="1440" w:type="dxa"/>
          </w:tcPr>
          <w:p w14:paraId="6CD51A87" w14:textId="77777777" w:rsidR="00273A96" w:rsidRPr="00041A72" w:rsidRDefault="00273A96" w:rsidP="00273A96">
            <w:pPr>
              <w:ind w:firstLine="0"/>
              <w:jc w:val="left"/>
              <w:rPr>
                <w:bCs/>
                <w:sz w:val="18"/>
                <w:szCs w:val="18"/>
                <w:lang w:val="es-CO"/>
              </w:rPr>
            </w:pPr>
          </w:p>
        </w:tc>
        <w:tc>
          <w:tcPr>
            <w:tcW w:w="900" w:type="dxa"/>
          </w:tcPr>
          <w:p w14:paraId="466791AC" w14:textId="423BB8C5" w:rsidR="00273A96" w:rsidRPr="00041A72" w:rsidRDefault="00273A96" w:rsidP="00273A96">
            <w:pPr>
              <w:ind w:firstLine="0"/>
              <w:jc w:val="left"/>
              <w:rPr>
                <w:bCs/>
                <w:sz w:val="18"/>
                <w:szCs w:val="18"/>
                <w:lang w:val="es-419"/>
              </w:rPr>
            </w:pPr>
            <w:r w:rsidRPr="00041A72">
              <w:rPr>
                <w:bCs/>
                <w:sz w:val="18"/>
                <w:szCs w:val="18"/>
                <w:lang w:val="es-419"/>
              </w:rPr>
              <w:t>OPS, FM</w:t>
            </w:r>
          </w:p>
        </w:tc>
        <w:tc>
          <w:tcPr>
            <w:tcW w:w="1080" w:type="dxa"/>
            <w:vMerge/>
          </w:tcPr>
          <w:p w14:paraId="0E4C4B3B" w14:textId="77777777" w:rsidR="00273A96" w:rsidRPr="00041A72" w:rsidRDefault="00273A96" w:rsidP="00273A96">
            <w:pPr>
              <w:ind w:firstLine="0"/>
              <w:jc w:val="left"/>
              <w:rPr>
                <w:bCs/>
                <w:sz w:val="18"/>
                <w:szCs w:val="18"/>
                <w:lang w:val="es-419"/>
              </w:rPr>
            </w:pPr>
          </w:p>
        </w:tc>
        <w:tc>
          <w:tcPr>
            <w:tcW w:w="1365" w:type="dxa"/>
          </w:tcPr>
          <w:p w14:paraId="1FEEBE73" w14:textId="77777777" w:rsidR="00273A96" w:rsidRPr="00041A72" w:rsidRDefault="00273A96" w:rsidP="00273A96">
            <w:pPr>
              <w:ind w:firstLine="0"/>
              <w:jc w:val="left"/>
              <w:rPr>
                <w:bCs/>
                <w:sz w:val="18"/>
                <w:szCs w:val="18"/>
                <w:lang w:val="es-CO"/>
              </w:rPr>
            </w:pPr>
            <w:r w:rsidRPr="00041A72">
              <w:rPr>
                <w:bCs/>
                <w:sz w:val="18"/>
                <w:szCs w:val="18"/>
                <w:lang w:val="es-CO"/>
              </w:rPr>
              <w:t xml:space="preserve">Presupuesto asignado y transferido </w:t>
            </w:r>
          </w:p>
        </w:tc>
      </w:tr>
      <w:tr w:rsidR="00273A96" w:rsidRPr="00041A72" w14:paraId="606FFCF5" w14:textId="77777777" w:rsidTr="00AA78FE">
        <w:trPr>
          <w:trHeight w:val="710"/>
        </w:trPr>
        <w:tc>
          <w:tcPr>
            <w:tcW w:w="265" w:type="dxa"/>
            <w:vMerge/>
          </w:tcPr>
          <w:p w14:paraId="32757FA6" w14:textId="77777777" w:rsidR="00273A96" w:rsidRPr="00D85B5A" w:rsidRDefault="00273A96" w:rsidP="00273A96">
            <w:pPr>
              <w:ind w:firstLine="0"/>
              <w:jc w:val="left"/>
              <w:rPr>
                <w:bCs/>
                <w:sz w:val="18"/>
                <w:szCs w:val="18"/>
                <w:lang w:val="es-CO"/>
              </w:rPr>
            </w:pPr>
          </w:p>
        </w:tc>
        <w:tc>
          <w:tcPr>
            <w:tcW w:w="2440" w:type="dxa"/>
            <w:vMerge/>
          </w:tcPr>
          <w:p w14:paraId="60AEDC78" w14:textId="77777777" w:rsidR="00273A96" w:rsidRPr="00D85B5A" w:rsidRDefault="00273A96" w:rsidP="00273A96">
            <w:pPr>
              <w:ind w:firstLine="0"/>
              <w:jc w:val="left"/>
              <w:rPr>
                <w:bCs/>
                <w:sz w:val="18"/>
                <w:szCs w:val="18"/>
                <w:lang w:val="es-CO"/>
              </w:rPr>
            </w:pPr>
          </w:p>
        </w:tc>
        <w:tc>
          <w:tcPr>
            <w:tcW w:w="440" w:type="dxa"/>
          </w:tcPr>
          <w:p w14:paraId="2F4CC747" w14:textId="5E68C813" w:rsidR="00273A96" w:rsidRDefault="00273A96" w:rsidP="00273A96">
            <w:pPr>
              <w:ind w:firstLine="0"/>
              <w:jc w:val="left"/>
              <w:rPr>
                <w:bCs/>
                <w:sz w:val="18"/>
                <w:szCs w:val="18"/>
                <w:lang w:val="es-CO"/>
              </w:rPr>
            </w:pPr>
            <w:r>
              <w:rPr>
                <w:bCs/>
                <w:sz w:val="18"/>
                <w:szCs w:val="18"/>
                <w:lang w:val="es-CO"/>
              </w:rPr>
              <w:t>45</w:t>
            </w:r>
          </w:p>
        </w:tc>
        <w:tc>
          <w:tcPr>
            <w:tcW w:w="3780" w:type="dxa"/>
          </w:tcPr>
          <w:p w14:paraId="2F85C6E9" w14:textId="2FEAC5B8" w:rsidR="00273A96" w:rsidRPr="00041A72" w:rsidRDefault="00273A96" w:rsidP="00273A96">
            <w:pPr>
              <w:ind w:firstLine="0"/>
              <w:jc w:val="left"/>
              <w:rPr>
                <w:bCs/>
                <w:sz w:val="18"/>
                <w:szCs w:val="18"/>
                <w:lang w:val="es-CO"/>
              </w:rPr>
            </w:pPr>
            <w:r>
              <w:rPr>
                <w:bCs/>
                <w:sz w:val="18"/>
                <w:szCs w:val="18"/>
                <w:lang w:val="es-CO"/>
              </w:rPr>
              <w:t>Revisar y simplificar el procedimiento y requisitos para que OSC puedan certificarse como proveedores de servicios de VIH y TB</w:t>
            </w:r>
          </w:p>
        </w:tc>
        <w:tc>
          <w:tcPr>
            <w:tcW w:w="630" w:type="dxa"/>
          </w:tcPr>
          <w:p w14:paraId="3A2CA380" w14:textId="23C88758" w:rsidR="00273A96" w:rsidRPr="00041A72" w:rsidRDefault="00273A96" w:rsidP="00273A96">
            <w:pPr>
              <w:ind w:firstLine="0"/>
              <w:jc w:val="left"/>
              <w:rPr>
                <w:bCs/>
                <w:sz w:val="18"/>
                <w:szCs w:val="18"/>
                <w:lang w:val="es-CO"/>
              </w:rPr>
            </w:pPr>
            <w:r>
              <w:rPr>
                <w:bCs/>
                <w:sz w:val="18"/>
                <w:szCs w:val="18"/>
                <w:lang w:val="es-CO"/>
              </w:rPr>
              <w:t>2020- 2021</w:t>
            </w:r>
          </w:p>
        </w:tc>
        <w:tc>
          <w:tcPr>
            <w:tcW w:w="1530" w:type="dxa"/>
          </w:tcPr>
          <w:p w14:paraId="5D892A95" w14:textId="667ACE58" w:rsidR="00273A96" w:rsidRPr="00041A72" w:rsidRDefault="00273A96" w:rsidP="00273A96">
            <w:pPr>
              <w:ind w:firstLine="0"/>
              <w:jc w:val="left"/>
              <w:rPr>
                <w:bCs/>
                <w:sz w:val="18"/>
                <w:szCs w:val="18"/>
                <w:lang w:val="es-CO"/>
              </w:rPr>
            </w:pPr>
            <w:r>
              <w:rPr>
                <w:bCs/>
                <w:sz w:val="18"/>
                <w:szCs w:val="18"/>
                <w:lang w:val="es-CO"/>
              </w:rPr>
              <w:t>SESAL</w:t>
            </w:r>
          </w:p>
        </w:tc>
        <w:tc>
          <w:tcPr>
            <w:tcW w:w="540" w:type="dxa"/>
          </w:tcPr>
          <w:p w14:paraId="72338219" w14:textId="3EBAB8A3" w:rsidR="00273A96" w:rsidRPr="00041A72" w:rsidRDefault="00273A96" w:rsidP="00273A96">
            <w:pPr>
              <w:ind w:firstLine="0"/>
              <w:jc w:val="left"/>
              <w:rPr>
                <w:bCs/>
                <w:sz w:val="18"/>
                <w:szCs w:val="18"/>
                <w:lang w:val="es-CO"/>
              </w:rPr>
            </w:pPr>
            <w:r>
              <w:rPr>
                <w:bCs/>
                <w:sz w:val="18"/>
                <w:szCs w:val="18"/>
                <w:lang w:val="es-CO"/>
              </w:rPr>
              <w:t>Si</w:t>
            </w:r>
          </w:p>
        </w:tc>
        <w:tc>
          <w:tcPr>
            <w:tcW w:w="1440" w:type="dxa"/>
          </w:tcPr>
          <w:p w14:paraId="3D12EF78" w14:textId="20F409A4" w:rsidR="00273A96" w:rsidRPr="00041A72" w:rsidRDefault="00273A96" w:rsidP="00273A96">
            <w:pPr>
              <w:ind w:firstLine="0"/>
              <w:jc w:val="left"/>
              <w:rPr>
                <w:bCs/>
                <w:sz w:val="18"/>
                <w:szCs w:val="18"/>
                <w:lang w:val="es-CO"/>
              </w:rPr>
            </w:pPr>
            <w:r>
              <w:rPr>
                <w:bCs/>
                <w:sz w:val="18"/>
                <w:szCs w:val="18"/>
                <w:lang w:val="es-CO"/>
              </w:rPr>
              <w:t>7,400 USD</w:t>
            </w:r>
          </w:p>
        </w:tc>
        <w:tc>
          <w:tcPr>
            <w:tcW w:w="900" w:type="dxa"/>
          </w:tcPr>
          <w:p w14:paraId="1A79A823" w14:textId="77777777" w:rsidR="00273A96" w:rsidRPr="00041A72" w:rsidRDefault="00273A96" w:rsidP="00273A96">
            <w:pPr>
              <w:ind w:firstLine="0"/>
              <w:jc w:val="left"/>
              <w:rPr>
                <w:bCs/>
                <w:sz w:val="18"/>
                <w:szCs w:val="18"/>
                <w:lang w:val="es-419"/>
              </w:rPr>
            </w:pPr>
          </w:p>
        </w:tc>
        <w:tc>
          <w:tcPr>
            <w:tcW w:w="1080" w:type="dxa"/>
            <w:vMerge/>
          </w:tcPr>
          <w:p w14:paraId="4833FC83" w14:textId="77777777" w:rsidR="00273A96" w:rsidRPr="00041A72" w:rsidRDefault="00273A96" w:rsidP="00273A96">
            <w:pPr>
              <w:ind w:firstLine="0"/>
              <w:jc w:val="left"/>
              <w:rPr>
                <w:bCs/>
                <w:sz w:val="18"/>
                <w:szCs w:val="18"/>
                <w:lang w:val="es-419"/>
              </w:rPr>
            </w:pPr>
          </w:p>
        </w:tc>
        <w:tc>
          <w:tcPr>
            <w:tcW w:w="1365" w:type="dxa"/>
          </w:tcPr>
          <w:p w14:paraId="0D6B1778" w14:textId="77777777" w:rsidR="00273A96" w:rsidRPr="00041A72" w:rsidRDefault="00273A96" w:rsidP="00273A96">
            <w:pPr>
              <w:ind w:firstLine="0"/>
              <w:jc w:val="left"/>
              <w:rPr>
                <w:bCs/>
                <w:sz w:val="18"/>
                <w:szCs w:val="18"/>
                <w:lang w:val="es-CO"/>
              </w:rPr>
            </w:pPr>
          </w:p>
        </w:tc>
      </w:tr>
      <w:tr w:rsidR="00273A96" w:rsidRPr="00041A72" w14:paraId="7E5D0139" w14:textId="77777777" w:rsidTr="00AA78FE">
        <w:trPr>
          <w:trHeight w:val="629"/>
        </w:trPr>
        <w:tc>
          <w:tcPr>
            <w:tcW w:w="265" w:type="dxa"/>
            <w:vMerge w:val="restart"/>
          </w:tcPr>
          <w:p w14:paraId="62044620" w14:textId="103C836C" w:rsidR="00273A96" w:rsidRPr="00D85B5A" w:rsidRDefault="00273A96" w:rsidP="00273A96">
            <w:pPr>
              <w:ind w:firstLine="0"/>
              <w:jc w:val="left"/>
              <w:rPr>
                <w:bCs/>
                <w:sz w:val="18"/>
                <w:szCs w:val="18"/>
                <w:lang w:val="es-CO"/>
              </w:rPr>
            </w:pPr>
            <w:r>
              <w:rPr>
                <w:bCs/>
                <w:sz w:val="18"/>
                <w:szCs w:val="18"/>
                <w:lang w:val="es-CO"/>
              </w:rPr>
              <w:t>v</w:t>
            </w:r>
          </w:p>
        </w:tc>
        <w:tc>
          <w:tcPr>
            <w:tcW w:w="2440" w:type="dxa"/>
            <w:vMerge w:val="restart"/>
          </w:tcPr>
          <w:p w14:paraId="59032D8A" w14:textId="441FB3A2" w:rsidR="00273A96" w:rsidRPr="00D85B5A" w:rsidRDefault="00273A96" w:rsidP="00273A96">
            <w:pPr>
              <w:ind w:firstLine="0"/>
              <w:jc w:val="left"/>
              <w:rPr>
                <w:bCs/>
                <w:sz w:val="18"/>
                <w:szCs w:val="18"/>
                <w:lang w:val="es-MX"/>
              </w:rPr>
            </w:pPr>
            <w:r w:rsidRPr="00D85B5A">
              <w:rPr>
                <w:bCs/>
                <w:sz w:val="18"/>
                <w:szCs w:val="18"/>
                <w:lang w:val="es-ES"/>
              </w:rPr>
              <w:t>Desarrollo de políticas y normas para que el sector privado financie las OSC complementando el financiamiento público, incluidos incentivos a través de donaciones y exoneración de impuestos</w:t>
            </w:r>
          </w:p>
        </w:tc>
        <w:tc>
          <w:tcPr>
            <w:tcW w:w="440" w:type="dxa"/>
          </w:tcPr>
          <w:p w14:paraId="69F6E0E5" w14:textId="7A49C4C4" w:rsidR="00273A96" w:rsidRPr="00041A72" w:rsidRDefault="00273A96" w:rsidP="00273A96">
            <w:pPr>
              <w:ind w:firstLine="0"/>
              <w:jc w:val="left"/>
              <w:rPr>
                <w:bCs/>
                <w:sz w:val="18"/>
                <w:szCs w:val="18"/>
                <w:lang w:val="es-CO"/>
              </w:rPr>
            </w:pPr>
            <w:r>
              <w:rPr>
                <w:bCs/>
                <w:sz w:val="18"/>
                <w:szCs w:val="18"/>
                <w:lang w:val="es-CO"/>
              </w:rPr>
              <w:t>46</w:t>
            </w:r>
          </w:p>
        </w:tc>
        <w:tc>
          <w:tcPr>
            <w:tcW w:w="3780" w:type="dxa"/>
          </w:tcPr>
          <w:p w14:paraId="3F1EA242" w14:textId="4712AFE8" w:rsidR="00273A96" w:rsidRPr="00041A72" w:rsidRDefault="00273A96" w:rsidP="00273A96">
            <w:pPr>
              <w:ind w:firstLine="0"/>
              <w:jc w:val="left"/>
              <w:rPr>
                <w:bCs/>
                <w:sz w:val="18"/>
                <w:szCs w:val="18"/>
                <w:lang w:val="es-US"/>
              </w:rPr>
            </w:pPr>
            <w:r>
              <w:rPr>
                <w:bCs/>
                <w:sz w:val="18"/>
                <w:szCs w:val="18"/>
                <w:lang w:val="es-MX"/>
              </w:rPr>
              <w:t>Revisión</w:t>
            </w:r>
            <w:r w:rsidRPr="00041A72">
              <w:rPr>
                <w:bCs/>
                <w:sz w:val="18"/>
                <w:szCs w:val="18"/>
                <w:lang w:val="es-MX"/>
              </w:rPr>
              <w:t xml:space="preserve"> de la legislación tributaria y de herencias, legados y donaciones</w:t>
            </w:r>
            <w:r>
              <w:rPr>
                <w:bCs/>
                <w:sz w:val="18"/>
                <w:szCs w:val="18"/>
                <w:lang w:val="es-MX"/>
              </w:rPr>
              <w:t>,</w:t>
            </w:r>
            <w:r w:rsidRPr="00041A72">
              <w:rPr>
                <w:bCs/>
                <w:sz w:val="18"/>
                <w:szCs w:val="18"/>
                <w:lang w:val="es-MX"/>
              </w:rPr>
              <w:t xml:space="preserve"> para </w:t>
            </w:r>
            <w:r>
              <w:rPr>
                <w:bCs/>
                <w:sz w:val="18"/>
                <w:szCs w:val="18"/>
                <w:lang w:val="es-MX"/>
              </w:rPr>
              <w:t>que las</w:t>
            </w:r>
            <w:r w:rsidRPr="00041A72">
              <w:rPr>
                <w:bCs/>
                <w:sz w:val="18"/>
                <w:szCs w:val="18"/>
                <w:lang w:val="es-MX"/>
              </w:rPr>
              <w:t xml:space="preserve"> OSC </w:t>
            </w:r>
            <w:r>
              <w:rPr>
                <w:bCs/>
                <w:sz w:val="18"/>
                <w:szCs w:val="18"/>
                <w:lang w:val="es-MX"/>
              </w:rPr>
              <w:t xml:space="preserve">puedan realizar </w:t>
            </w:r>
            <w:r w:rsidRPr="00041A72">
              <w:rPr>
                <w:bCs/>
                <w:sz w:val="18"/>
                <w:szCs w:val="18"/>
                <w:lang w:val="es-MX"/>
              </w:rPr>
              <w:t>exenciones de i</w:t>
            </w:r>
            <w:proofErr w:type="spellStart"/>
            <w:r w:rsidRPr="00041A72">
              <w:rPr>
                <w:bCs/>
                <w:sz w:val="18"/>
                <w:szCs w:val="18"/>
                <w:lang w:val="es-US"/>
              </w:rPr>
              <w:t>mpuest</w:t>
            </w:r>
            <w:r>
              <w:rPr>
                <w:bCs/>
                <w:sz w:val="18"/>
                <w:szCs w:val="18"/>
                <w:lang w:val="es-US"/>
              </w:rPr>
              <w:t>os</w:t>
            </w:r>
            <w:proofErr w:type="spellEnd"/>
          </w:p>
          <w:p w14:paraId="5DB0D842" w14:textId="0F3B151D" w:rsidR="00273A96" w:rsidRPr="00041A72" w:rsidRDefault="00273A96" w:rsidP="00273A96">
            <w:pPr>
              <w:ind w:firstLine="0"/>
              <w:jc w:val="left"/>
              <w:rPr>
                <w:bCs/>
                <w:sz w:val="18"/>
                <w:szCs w:val="18"/>
                <w:lang w:val="es-US"/>
              </w:rPr>
            </w:pPr>
            <w:r w:rsidRPr="00041A72">
              <w:rPr>
                <w:bCs/>
                <w:sz w:val="18"/>
                <w:szCs w:val="18"/>
                <w:lang w:val="es-US"/>
              </w:rPr>
              <w:t>Considerar opción de inmunidad tributaria general para las OSC como exención legal y no a discreción administrativa</w:t>
            </w:r>
          </w:p>
        </w:tc>
        <w:tc>
          <w:tcPr>
            <w:tcW w:w="630" w:type="dxa"/>
          </w:tcPr>
          <w:p w14:paraId="6465519D" w14:textId="55A5DB5F" w:rsidR="00273A96" w:rsidRPr="00041A72" w:rsidRDefault="00273A96" w:rsidP="00273A96">
            <w:pPr>
              <w:ind w:firstLine="0"/>
              <w:jc w:val="left"/>
              <w:rPr>
                <w:bCs/>
                <w:sz w:val="18"/>
                <w:szCs w:val="18"/>
                <w:lang w:val="es-CO"/>
              </w:rPr>
            </w:pPr>
            <w:r w:rsidRPr="00041A72">
              <w:rPr>
                <w:bCs/>
                <w:sz w:val="18"/>
                <w:szCs w:val="18"/>
                <w:lang w:val="es-CO"/>
              </w:rPr>
              <w:t>20</w:t>
            </w:r>
            <w:r>
              <w:rPr>
                <w:bCs/>
                <w:sz w:val="18"/>
                <w:szCs w:val="18"/>
                <w:lang w:val="es-CO"/>
              </w:rPr>
              <w:t>20</w:t>
            </w:r>
            <w:r w:rsidRPr="00041A72">
              <w:rPr>
                <w:bCs/>
                <w:sz w:val="18"/>
                <w:szCs w:val="18"/>
                <w:lang w:val="es-CO"/>
              </w:rPr>
              <w:t>-202</w:t>
            </w:r>
            <w:r>
              <w:rPr>
                <w:bCs/>
                <w:sz w:val="18"/>
                <w:szCs w:val="18"/>
                <w:lang w:val="es-CO"/>
              </w:rPr>
              <w:t>1</w:t>
            </w:r>
          </w:p>
        </w:tc>
        <w:tc>
          <w:tcPr>
            <w:tcW w:w="1530" w:type="dxa"/>
          </w:tcPr>
          <w:p w14:paraId="1DF8D49F" w14:textId="0A73FFD6" w:rsidR="00273A96" w:rsidRPr="00041A72" w:rsidRDefault="00273A96" w:rsidP="00273A96">
            <w:pPr>
              <w:ind w:firstLine="0"/>
              <w:jc w:val="left"/>
              <w:rPr>
                <w:bCs/>
                <w:sz w:val="18"/>
                <w:szCs w:val="18"/>
                <w:lang w:val="es-CO"/>
              </w:rPr>
            </w:pPr>
            <w:r>
              <w:rPr>
                <w:bCs/>
                <w:sz w:val="18"/>
                <w:szCs w:val="18"/>
                <w:lang w:val="es-CO"/>
              </w:rPr>
              <w:t xml:space="preserve">Coaliciones de </w:t>
            </w:r>
            <w:proofErr w:type="spellStart"/>
            <w:r>
              <w:rPr>
                <w:bCs/>
                <w:sz w:val="18"/>
                <w:szCs w:val="18"/>
                <w:lang w:val="es-CO"/>
              </w:rPr>
              <w:t>OSCs</w:t>
            </w:r>
            <w:proofErr w:type="spellEnd"/>
            <w:r>
              <w:rPr>
                <w:bCs/>
                <w:sz w:val="18"/>
                <w:szCs w:val="18"/>
                <w:lang w:val="es-CO"/>
              </w:rPr>
              <w:t>, SESAL, SEFIN y SAR</w:t>
            </w:r>
          </w:p>
        </w:tc>
        <w:tc>
          <w:tcPr>
            <w:tcW w:w="540" w:type="dxa"/>
          </w:tcPr>
          <w:p w14:paraId="6E019068" w14:textId="77777777" w:rsidR="00273A96" w:rsidRPr="00041A72" w:rsidRDefault="00273A96" w:rsidP="00273A96">
            <w:pPr>
              <w:ind w:firstLine="0"/>
              <w:jc w:val="left"/>
              <w:rPr>
                <w:bCs/>
                <w:sz w:val="18"/>
                <w:szCs w:val="18"/>
                <w:lang w:val="es-CO"/>
              </w:rPr>
            </w:pPr>
            <w:r w:rsidRPr="00041A72">
              <w:rPr>
                <w:bCs/>
                <w:sz w:val="18"/>
                <w:szCs w:val="18"/>
                <w:lang w:val="es-CO"/>
              </w:rPr>
              <w:t>Si</w:t>
            </w:r>
          </w:p>
        </w:tc>
        <w:tc>
          <w:tcPr>
            <w:tcW w:w="1440" w:type="dxa"/>
            <w:vMerge w:val="restart"/>
          </w:tcPr>
          <w:p w14:paraId="4D0DCBE8" w14:textId="77777777" w:rsidR="00273A96" w:rsidRPr="00041A72" w:rsidRDefault="00273A96" w:rsidP="00273A96">
            <w:pPr>
              <w:ind w:firstLine="0"/>
              <w:jc w:val="left"/>
              <w:rPr>
                <w:bCs/>
                <w:sz w:val="18"/>
                <w:szCs w:val="18"/>
                <w:lang w:val="es-CO"/>
              </w:rPr>
            </w:pPr>
            <w:r w:rsidRPr="00041A72">
              <w:rPr>
                <w:bCs/>
                <w:sz w:val="18"/>
                <w:szCs w:val="18"/>
                <w:lang w:val="es-CO"/>
              </w:rPr>
              <w:t>30,000 USD</w:t>
            </w:r>
          </w:p>
        </w:tc>
        <w:tc>
          <w:tcPr>
            <w:tcW w:w="900" w:type="dxa"/>
          </w:tcPr>
          <w:p w14:paraId="2554734D" w14:textId="77777777" w:rsidR="00273A96" w:rsidRPr="00041A72" w:rsidRDefault="00273A96" w:rsidP="00273A96">
            <w:pPr>
              <w:ind w:firstLine="0"/>
              <w:jc w:val="left"/>
              <w:rPr>
                <w:bCs/>
                <w:sz w:val="18"/>
                <w:szCs w:val="18"/>
                <w:lang w:val="es-CO"/>
              </w:rPr>
            </w:pPr>
          </w:p>
        </w:tc>
        <w:tc>
          <w:tcPr>
            <w:tcW w:w="1080" w:type="dxa"/>
            <w:vMerge w:val="restart"/>
          </w:tcPr>
          <w:p w14:paraId="33D819A7" w14:textId="77777777" w:rsidR="00273A96" w:rsidRPr="00041A72" w:rsidRDefault="00273A96" w:rsidP="00273A96">
            <w:pPr>
              <w:ind w:firstLine="0"/>
              <w:jc w:val="left"/>
              <w:rPr>
                <w:bCs/>
                <w:sz w:val="18"/>
                <w:szCs w:val="18"/>
                <w:lang w:val="es-CO"/>
              </w:rPr>
            </w:pPr>
          </w:p>
        </w:tc>
        <w:tc>
          <w:tcPr>
            <w:tcW w:w="1365" w:type="dxa"/>
          </w:tcPr>
          <w:p w14:paraId="045CFCDB" w14:textId="77777777" w:rsidR="00273A96" w:rsidRPr="00041A72" w:rsidRDefault="00273A96" w:rsidP="00273A96">
            <w:pPr>
              <w:ind w:firstLine="0"/>
              <w:jc w:val="left"/>
              <w:rPr>
                <w:bCs/>
                <w:sz w:val="18"/>
                <w:szCs w:val="18"/>
                <w:lang w:val="es-CO"/>
              </w:rPr>
            </w:pPr>
          </w:p>
        </w:tc>
      </w:tr>
      <w:tr w:rsidR="00273A96" w:rsidRPr="00041A72" w14:paraId="4FB07FA1" w14:textId="77777777" w:rsidTr="00D85B5A">
        <w:trPr>
          <w:trHeight w:val="791"/>
        </w:trPr>
        <w:tc>
          <w:tcPr>
            <w:tcW w:w="265" w:type="dxa"/>
            <w:vMerge/>
          </w:tcPr>
          <w:p w14:paraId="41284B16" w14:textId="77777777" w:rsidR="00273A96" w:rsidRPr="00D85B5A" w:rsidRDefault="00273A96" w:rsidP="00273A96">
            <w:pPr>
              <w:ind w:firstLine="0"/>
              <w:jc w:val="left"/>
              <w:rPr>
                <w:bCs/>
                <w:sz w:val="18"/>
                <w:szCs w:val="18"/>
                <w:lang w:val="es-CO"/>
              </w:rPr>
            </w:pPr>
          </w:p>
        </w:tc>
        <w:tc>
          <w:tcPr>
            <w:tcW w:w="2440" w:type="dxa"/>
            <w:vMerge/>
          </w:tcPr>
          <w:p w14:paraId="41D55DDD" w14:textId="77777777" w:rsidR="00273A96" w:rsidRPr="00D85B5A" w:rsidRDefault="00273A96" w:rsidP="00273A96">
            <w:pPr>
              <w:ind w:firstLine="0"/>
              <w:jc w:val="left"/>
              <w:rPr>
                <w:bCs/>
                <w:sz w:val="18"/>
                <w:szCs w:val="18"/>
                <w:lang w:val="es-ES"/>
              </w:rPr>
            </w:pPr>
          </w:p>
        </w:tc>
        <w:tc>
          <w:tcPr>
            <w:tcW w:w="440" w:type="dxa"/>
          </w:tcPr>
          <w:p w14:paraId="317EBD14" w14:textId="79E646C4" w:rsidR="00273A96" w:rsidRPr="00041A72" w:rsidRDefault="00273A96" w:rsidP="00273A96">
            <w:pPr>
              <w:ind w:firstLine="0"/>
              <w:jc w:val="left"/>
              <w:rPr>
                <w:bCs/>
                <w:sz w:val="18"/>
                <w:szCs w:val="18"/>
                <w:lang w:val="es-CO"/>
              </w:rPr>
            </w:pPr>
            <w:r w:rsidRPr="00041A72">
              <w:rPr>
                <w:bCs/>
                <w:sz w:val="18"/>
                <w:szCs w:val="18"/>
                <w:lang w:val="es-CO"/>
              </w:rPr>
              <w:t>4</w:t>
            </w:r>
            <w:r>
              <w:rPr>
                <w:bCs/>
                <w:sz w:val="18"/>
                <w:szCs w:val="18"/>
                <w:lang w:val="es-CO"/>
              </w:rPr>
              <w:t>7</w:t>
            </w:r>
          </w:p>
        </w:tc>
        <w:tc>
          <w:tcPr>
            <w:tcW w:w="3780" w:type="dxa"/>
          </w:tcPr>
          <w:p w14:paraId="66288147" w14:textId="68A5A30B" w:rsidR="00273A96" w:rsidRPr="00041A72" w:rsidRDefault="00273A96" w:rsidP="00273A96">
            <w:pPr>
              <w:ind w:firstLine="0"/>
              <w:jc w:val="left"/>
              <w:rPr>
                <w:bCs/>
                <w:sz w:val="18"/>
                <w:szCs w:val="18"/>
                <w:lang w:val="es-MX"/>
              </w:rPr>
            </w:pPr>
            <w:r w:rsidRPr="00041A72">
              <w:rPr>
                <w:bCs/>
                <w:sz w:val="18"/>
                <w:szCs w:val="18"/>
                <w:lang w:val="es-US"/>
              </w:rPr>
              <w:t>Desarrollo de normas para autorización de exención de impuestos de parte de la autoridad tributaria a OSC que califiquen con los requisitos</w:t>
            </w:r>
          </w:p>
        </w:tc>
        <w:tc>
          <w:tcPr>
            <w:tcW w:w="630" w:type="dxa"/>
          </w:tcPr>
          <w:p w14:paraId="3AF478E7" w14:textId="1451738C" w:rsidR="00273A96" w:rsidRPr="00041A72" w:rsidRDefault="00273A96" w:rsidP="00273A96">
            <w:pPr>
              <w:ind w:firstLine="0"/>
              <w:jc w:val="left"/>
              <w:rPr>
                <w:bCs/>
                <w:sz w:val="18"/>
                <w:szCs w:val="18"/>
                <w:lang w:val="es-CO"/>
              </w:rPr>
            </w:pPr>
            <w:r>
              <w:rPr>
                <w:bCs/>
                <w:sz w:val="18"/>
                <w:szCs w:val="18"/>
                <w:lang w:val="es-CO"/>
              </w:rPr>
              <w:t>2021 -2022</w:t>
            </w:r>
          </w:p>
        </w:tc>
        <w:tc>
          <w:tcPr>
            <w:tcW w:w="1530" w:type="dxa"/>
          </w:tcPr>
          <w:p w14:paraId="4FCF1646" w14:textId="5BDEC574" w:rsidR="00273A96" w:rsidRPr="00041A72" w:rsidRDefault="00273A96" w:rsidP="00273A96">
            <w:pPr>
              <w:ind w:firstLine="0"/>
              <w:jc w:val="left"/>
              <w:rPr>
                <w:bCs/>
                <w:sz w:val="18"/>
                <w:szCs w:val="18"/>
                <w:lang w:val="es-CO"/>
              </w:rPr>
            </w:pPr>
            <w:r>
              <w:rPr>
                <w:bCs/>
                <w:sz w:val="18"/>
                <w:szCs w:val="18"/>
                <w:lang w:val="es-CO"/>
              </w:rPr>
              <w:t>SEFIN y SAR</w:t>
            </w:r>
          </w:p>
        </w:tc>
        <w:tc>
          <w:tcPr>
            <w:tcW w:w="540" w:type="dxa"/>
          </w:tcPr>
          <w:p w14:paraId="56966BE5" w14:textId="77777777" w:rsidR="00273A96" w:rsidRPr="00041A72" w:rsidRDefault="00273A96" w:rsidP="00273A96">
            <w:pPr>
              <w:ind w:firstLine="0"/>
              <w:jc w:val="left"/>
              <w:rPr>
                <w:bCs/>
                <w:sz w:val="18"/>
                <w:szCs w:val="18"/>
                <w:lang w:val="es-CO"/>
              </w:rPr>
            </w:pPr>
          </w:p>
        </w:tc>
        <w:tc>
          <w:tcPr>
            <w:tcW w:w="1440" w:type="dxa"/>
            <w:vMerge/>
          </w:tcPr>
          <w:p w14:paraId="63B622AE" w14:textId="77777777" w:rsidR="00273A96" w:rsidRPr="00041A72" w:rsidRDefault="00273A96" w:rsidP="00273A96">
            <w:pPr>
              <w:ind w:firstLine="0"/>
              <w:jc w:val="left"/>
              <w:rPr>
                <w:bCs/>
                <w:sz w:val="18"/>
                <w:szCs w:val="18"/>
                <w:lang w:val="es-CO"/>
              </w:rPr>
            </w:pPr>
          </w:p>
        </w:tc>
        <w:tc>
          <w:tcPr>
            <w:tcW w:w="900" w:type="dxa"/>
          </w:tcPr>
          <w:p w14:paraId="5D5D5C07" w14:textId="77777777" w:rsidR="00273A96" w:rsidRPr="00041A72" w:rsidRDefault="00273A96" w:rsidP="00273A96">
            <w:pPr>
              <w:ind w:firstLine="0"/>
              <w:jc w:val="left"/>
              <w:rPr>
                <w:bCs/>
                <w:sz w:val="18"/>
                <w:szCs w:val="18"/>
                <w:lang w:val="es-CO"/>
              </w:rPr>
            </w:pPr>
          </w:p>
        </w:tc>
        <w:tc>
          <w:tcPr>
            <w:tcW w:w="1080" w:type="dxa"/>
            <w:vMerge/>
          </w:tcPr>
          <w:p w14:paraId="61A06B2E" w14:textId="77777777" w:rsidR="00273A96" w:rsidRPr="00041A72" w:rsidRDefault="00273A96" w:rsidP="00273A96">
            <w:pPr>
              <w:ind w:firstLine="0"/>
              <w:jc w:val="left"/>
              <w:rPr>
                <w:bCs/>
                <w:sz w:val="18"/>
                <w:szCs w:val="18"/>
                <w:lang w:val="es-CO"/>
              </w:rPr>
            </w:pPr>
          </w:p>
        </w:tc>
        <w:tc>
          <w:tcPr>
            <w:tcW w:w="1365" w:type="dxa"/>
          </w:tcPr>
          <w:p w14:paraId="623CC077" w14:textId="77777777" w:rsidR="00273A96" w:rsidRPr="00041A72" w:rsidRDefault="00273A96" w:rsidP="00273A96">
            <w:pPr>
              <w:ind w:firstLine="0"/>
              <w:jc w:val="left"/>
              <w:rPr>
                <w:bCs/>
                <w:sz w:val="18"/>
                <w:szCs w:val="18"/>
                <w:lang w:val="es-CO"/>
              </w:rPr>
            </w:pPr>
          </w:p>
        </w:tc>
      </w:tr>
      <w:tr w:rsidR="00273A96" w:rsidRPr="00041A72" w14:paraId="2A9265D7" w14:textId="77777777" w:rsidTr="00D85B5A">
        <w:trPr>
          <w:trHeight w:val="899"/>
        </w:trPr>
        <w:tc>
          <w:tcPr>
            <w:tcW w:w="265" w:type="dxa"/>
            <w:vMerge w:val="restart"/>
          </w:tcPr>
          <w:p w14:paraId="149375D9" w14:textId="7C8A6FAB" w:rsidR="00273A96" w:rsidRPr="00D85B5A" w:rsidRDefault="00273A96" w:rsidP="00273A96">
            <w:pPr>
              <w:ind w:firstLine="0"/>
              <w:jc w:val="left"/>
              <w:rPr>
                <w:bCs/>
                <w:sz w:val="18"/>
                <w:szCs w:val="18"/>
                <w:lang w:val="es-CO"/>
              </w:rPr>
            </w:pPr>
            <w:r>
              <w:rPr>
                <w:bCs/>
                <w:sz w:val="18"/>
                <w:szCs w:val="18"/>
                <w:lang w:val="es-CO"/>
              </w:rPr>
              <w:t>w</w:t>
            </w:r>
          </w:p>
        </w:tc>
        <w:tc>
          <w:tcPr>
            <w:tcW w:w="2440" w:type="dxa"/>
            <w:vMerge w:val="restart"/>
          </w:tcPr>
          <w:p w14:paraId="781CB3C3" w14:textId="77777777" w:rsidR="00273A96" w:rsidRPr="00D85B5A" w:rsidRDefault="00273A96" w:rsidP="00273A96">
            <w:pPr>
              <w:ind w:firstLine="0"/>
              <w:jc w:val="left"/>
              <w:rPr>
                <w:bCs/>
                <w:sz w:val="18"/>
                <w:szCs w:val="18"/>
                <w:lang w:val="es-CO"/>
              </w:rPr>
            </w:pPr>
            <w:r w:rsidRPr="00D85B5A">
              <w:rPr>
                <w:bCs/>
                <w:sz w:val="18"/>
                <w:szCs w:val="18"/>
                <w:lang w:val="es-ES"/>
              </w:rPr>
              <w:t>Mejorar la relación, comunicación y enlace con el Consejo Hondureño de la Empresa Privada, para explorar oportunidades de financiamiento privado y de proyectos conjuntos especialmente en discriminación laboral</w:t>
            </w:r>
          </w:p>
        </w:tc>
        <w:tc>
          <w:tcPr>
            <w:tcW w:w="440" w:type="dxa"/>
          </w:tcPr>
          <w:p w14:paraId="002926F2" w14:textId="338372A2" w:rsidR="00273A96" w:rsidRPr="00041A72" w:rsidRDefault="00273A96" w:rsidP="00273A96">
            <w:pPr>
              <w:ind w:firstLine="0"/>
              <w:jc w:val="left"/>
              <w:rPr>
                <w:bCs/>
                <w:sz w:val="18"/>
                <w:szCs w:val="18"/>
                <w:lang w:val="es-CO"/>
              </w:rPr>
            </w:pPr>
            <w:r w:rsidRPr="00041A72">
              <w:rPr>
                <w:bCs/>
                <w:sz w:val="18"/>
                <w:szCs w:val="18"/>
                <w:lang w:val="es-CO"/>
              </w:rPr>
              <w:t>4</w:t>
            </w:r>
            <w:r>
              <w:rPr>
                <w:bCs/>
                <w:sz w:val="18"/>
                <w:szCs w:val="18"/>
                <w:lang w:val="es-CO"/>
              </w:rPr>
              <w:t>8</w:t>
            </w:r>
          </w:p>
        </w:tc>
        <w:tc>
          <w:tcPr>
            <w:tcW w:w="3780" w:type="dxa"/>
          </w:tcPr>
          <w:p w14:paraId="0D382E47" w14:textId="356CCEF7" w:rsidR="00273A96" w:rsidRPr="00041A72" w:rsidRDefault="00273A96" w:rsidP="00273A96">
            <w:pPr>
              <w:ind w:firstLine="0"/>
              <w:jc w:val="left"/>
              <w:rPr>
                <w:bCs/>
                <w:sz w:val="18"/>
                <w:szCs w:val="18"/>
                <w:lang w:val="es-CO"/>
              </w:rPr>
            </w:pPr>
            <w:r w:rsidRPr="00041A72">
              <w:rPr>
                <w:bCs/>
                <w:sz w:val="18"/>
                <w:szCs w:val="18"/>
                <w:lang w:val="es-CO"/>
              </w:rPr>
              <w:t xml:space="preserve">Talleres con Consejo Hondureño de la Empresa Privada, SESAL, CONASIDA y OSC para </w:t>
            </w:r>
            <w:r>
              <w:rPr>
                <w:bCs/>
                <w:sz w:val="18"/>
                <w:szCs w:val="18"/>
                <w:lang w:val="es-CO"/>
              </w:rPr>
              <w:t>generar oportunidades de colaboración con</w:t>
            </w:r>
            <w:r w:rsidRPr="00041A72">
              <w:rPr>
                <w:bCs/>
                <w:sz w:val="18"/>
                <w:szCs w:val="18"/>
                <w:lang w:val="es-CO"/>
              </w:rPr>
              <w:t xml:space="preserve"> OSC en VIH y TB</w:t>
            </w:r>
          </w:p>
        </w:tc>
        <w:tc>
          <w:tcPr>
            <w:tcW w:w="630" w:type="dxa"/>
          </w:tcPr>
          <w:p w14:paraId="3F54173C" w14:textId="77777777" w:rsidR="00273A96" w:rsidRPr="00041A72" w:rsidRDefault="00273A96" w:rsidP="00273A96">
            <w:pPr>
              <w:ind w:firstLine="0"/>
              <w:jc w:val="left"/>
              <w:rPr>
                <w:bCs/>
                <w:sz w:val="18"/>
                <w:szCs w:val="18"/>
                <w:lang w:val="es-CO"/>
              </w:rPr>
            </w:pPr>
            <w:r w:rsidRPr="00041A72">
              <w:rPr>
                <w:bCs/>
                <w:sz w:val="18"/>
                <w:szCs w:val="18"/>
                <w:lang w:val="es-CO"/>
              </w:rPr>
              <w:t>2020</w:t>
            </w:r>
          </w:p>
        </w:tc>
        <w:tc>
          <w:tcPr>
            <w:tcW w:w="1530" w:type="dxa"/>
          </w:tcPr>
          <w:p w14:paraId="180C308A" w14:textId="21E1EFB5" w:rsidR="00273A96" w:rsidRPr="00041A72" w:rsidRDefault="00273A96" w:rsidP="00273A96">
            <w:pPr>
              <w:ind w:firstLine="0"/>
              <w:jc w:val="left"/>
              <w:rPr>
                <w:bCs/>
                <w:sz w:val="18"/>
                <w:szCs w:val="18"/>
                <w:lang w:val="es-CO"/>
              </w:rPr>
            </w:pPr>
            <w:r>
              <w:rPr>
                <w:bCs/>
                <w:sz w:val="18"/>
                <w:szCs w:val="18"/>
                <w:lang w:val="es-CO"/>
              </w:rPr>
              <w:t xml:space="preserve">Coaliciones de </w:t>
            </w:r>
            <w:proofErr w:type="spellStart"/>
            <w:r>
              <w:rPr>
                <w:bCs/>
                <w:sz w:val="18"/>
                <w:szCs w:val="18"/>
                <w:lang w:val="es-CO"/>
              </w:rPr>
              <w:t>OSCs</w:t>
            </w:r>
            <w:proofErr w:type="spellEnd"/>
            <w:r>
              <w:rPr>
                <w:bCs/>
                <w:sz w:val="18"/>
                <w:szCs w:val="18"/>
                <w:lang w:val="es-CO"/>
              </w:rPr>
              <w:t>, SESAL, FM, PEPFAR</w:t>
            </w:r>
          </w:p>
        </w:tc>
        <w:tc>
          <w:tcPr>
            <w:tcW w:w="540" w:type="dxa"/>
          </w:tcPr>
          <w:p w14:paraId="26AEEC82" w14:textId="442DEC5E" w:rsidR="00273A96" w:rsidRPr="00041A72" w:rsidRDefault="00273A96" w:rsidP="00273A96">
            <w:pPr>
              <w:ind w:firstLine="0"/>
              <w:jc w:val="left"/>
              <w:rPr>
                <w:bCs/>
                <w:sz w:val="18"/>
                <w:szCs w:val="18"/>
                <w:lang w:val="es-CO"/>
              </w:rPr>
            </w:pPr>
            <w:r>
              <w:rPr>
                <w:bCs/>
                <w:sz w:val="18"/>
                <w:szCs w:val="18"/>
                <w:lang w:val="es-CO"/>
              </w:rPr>
              <w:t>Si</w:t>
            </w:r>
          </w:p>
        </w:tc>
        <w:tc>
          <w:tcPr>
            <w:tcW w:w="1440" w:type="dxa"/>
          </w:tcPr>
          <w:p w14:paraId="1FB410EB" w14:textId="0470961F" w:rsidR="00273A96" w:rsidRPr="00041A72" w:rsidRDefault="00273A96" w:rsidP="00273A96">
            <w:pPr>
              <w:ind w:firstLine="0"/>
              <w:jc w:val="left"/>
              <w:rPr>
                <w:bCs/>
                <w:sz w:val="18"/>
                <w:szCs w:val="18"/>
                <w:lang w:val="es-CO"/>
              </w:rPr>
            </w:pPr>
            <w:r>
              <w:rPr>
                <w:bCs/>
                <w:sz w:val="18"/>
                <w:szCs w:val="18"/>
                <w:lang w:val="es-CO"/>
              </w:rPr>
              <w:t>1,000 USD por taller</w:t>
            </w:r>
          </w:p>
        </w:tc>
        <w:tc>
          <w:tcPr>
            <w:tcW w:w="900" w:type="dxa"/>
          </w:tcPr>
          <w:p w14:paraId="59F9CB1B" w14:textId="75B40BF1" w:rsidR="00273A96" w:rsidRPr="00041A72" w:rsidRDefault="00273A96" w:rsidP="00273A96">
            <w:pPr>
              <w:ind w:firstLine="0"/>
              <w:jc w:val="left"/>
              <w:rPr>
                <w:bCs/>
                <w:sz w:val="18"/>
                <w:szCs w:val="18"/>
                <w:lang w:val="es-CO"/>
              </w:rPr>
            </w:pPr>
            <w:r>
              <w:rPr>
                <w:bCs/>
                <w:sz w:val="18"/>
                <w:szCs w:val="18"/>
                <w:lang w:val="es-CO"/>
              </w:rPr>
              <w:t>PEPFARFM</w:t>
            </w:r>
          </w:p>
        </w:tc>
        <w:tc>
          <w:tcPr>
            <w:tcW w:w="1080" w:type="dxa"/>
            <w:vMerge w:val="restart"/>
          </w:tcPr>
          <w:p w14:paraId="5EF1AC70" w14:textId="77777777" w:rsidR="00273A96" w:rsidRPr="00041A72" w:rsidRDefault="00273A96" w:rsidP="00273A96">
            <w:pPr>
              <w:ind w:firstLine="0"/>
              <w:jc w:val="left"/>
              <w:rPr>
                <w:bCs/>
                <w:sz w:val="18"/>
                <w:szCs w:val="18"/>
                <w:lang w:val="es-CO"/>
              </w:rPr>
            </w:pPr>
          </w:p>
        </w:tc>
        <w:tc>
          <w:tcPr>
            <w:tcW w:w="1365" w:type="dxa"/>
          </w:tcPr>
          <w:p w14:paraId="78713886" w14:textId="77777777" w:rsidR="00273A96" w:rsidRPr="00041A72" w:rsidRDefault="00273A96" w:rsidP="00273A96">
            <w:pPr>
              <w:ind w:firstLine="0"/>
              <w:jc w:val="left"/>
              <w:rPr>
                <w:bCs/>
                <w:sz w:val="18"/>
                <w:szCs w:val="18"/>
                <w:lang w:val="es-CO"/>
              </w:rPr>
            </w:pPr>
          </w:p>
        </w:tc>
      </w:tr>
      <w:tr w:rsidR="00273A96" w:rsidRPr="00041A72" w14:paraId="13525E18" w14:textId="77777777" w:rsidTr="00EF36FE">
        <w:trPr>
          <w:trHeight w:val="893"/>
        </w:trPr>
        <w:tc>
          <w:tcPr>
            <w:tcW w:w="265" w:type="dxa"/>
            <w:vMerge/>
          </w:tcPr>
          <w:p w14:paraId="05F4E279" w14:textId="77777777" w:rsidR="00273A96" w:rsidRPr="00D85B5A" w:rsidRDefault="00273A96" w:rsidP="00273A96">
            <w:pPr>
              <w:ind w:firstLine="0"/>
              <w:jc w:val="left"/>
              <w:rPr>
                <w:bCs/>
                <w:sz w:val="18"/>
                <w:szCs w:val="18"/>
                <w:lang w:val="es-CO"/>
              </w:rPr>
            </w:pPr>
          </w:p>
        </w:tc>
        <w:tc>
          <w:tcPr>
            <w:tcW w:w="2440" w:type="dxa"/>
            <w:vMerge/>
          </w:tcPr>
          <w:p w14:paraId="1EA0E2D9" w14:textId="77777777" w:rsidR="00273A96" w:rsidRPr="00D85B5A" w:rsidRDefault="00273A96" w:rsidP="00273A96">
            <w:pPr>
              <w:ind w:firstLine="0"/>
              <w:jc w:val="left"/>
              <w:rPr>
                <w:bCs/>
                <w:sz w:val="18"/>
                <w:szCs w:val="18"/>
                <w:lang w:val="es-ES"/>
              </w:rPr>
            </w:pPr>
          </w:p>
        </w:tc>
        <w:tc>
          <w:tcPr>
            <w:tcW w:w="440" w:type="dxa"/>
          </w:tcPr>
          <w:p w14:paraId="1D2B5CBA" w14:textId="06F60C23" w:rsidR="00273A96" w:rsidRPr="00041A72" w:rsidRDefault="00273A96" w:rsidP="00273A96">
            <w:pPr>
              <w:ind w:firstLine="0"/>
              <w:jc w:val="left"/>
              <w:rPr>
                <w:bCs/>
                <w:sz w:val="18"/>
                <w:szCs w:val="18"/>
                <w:lang w:val="es-CO"/>
              </w:rPr>
            </w:pPr>
            <w:r w:rsidRPr="00041A72">
              <w:rPr>
                <w:bCs/>
                <w:sz w:val="18"/>
                <w:szCs w:val="18"/>
                <w:lang w:val="es-CO"/>
              </w:rPr>
              <w:t>4</w:t>
            </w:r>
            <w:r>
              <w:rPr>
                <w:bCs/>
                <w:sz w:val="18"/>
                <w:szCs w:val="18"/>
                <w:lang w:val="es-CO"/>
              </w:rPr>
              <w:t>9</w:t>
            </w:r>
          </w:p>
        </w:tc>
        <w:tc>
          <w:tcPr>
            <w:tcW w:w="3780" w:type="dxa"/>
          </w:tcPr>
          <w:p w14:paraId="0CC8FEB5" w14:textId="51C2BD2D" w:rsidR="00273A96" w:rsidRPr="00041A72" w:rsidRDefault="00273A96" w:rsidP="00273A96">
            <w:pPr>
              <w:ind w:firstLine="0"/>
              <w:jc w:val="left"/>
              <w:rPr>
                <w:bCs/>
                <w:sz w:val="18"/>
                <w:szCs w:val="18"/>
                <w:lang w:val="es-CO"/>
              </w:rPr>
            </w:pPr>
            <w:r w:rsidRPr="00041A72">
              <w:rPr>
                <w:bCs/>
                <w:sz w:val="18"/>
                <w:szCs w:val="18"/>
                <w:lang w:val="es-CO"/>
              </w:rPr>
              <w:t xml:space="preserve">Taller sobre Responsabilidad Social Empresarial y discriminación laboral </w:t>
            </w:r>
            <w:r>
              <w:rPr>
                <w:bCs/>
                <w:sz w:val="18"/>
                <w:szCs w:val="18"/>
                <w:lang w:val="es-CO"/>
              </w:rPr>
              <w:t xml:space="preserve">en VIH y TB con </w:t>
            </w:r>
            <w:proofErr w:type="spellStart"/>
            <w:r>
              <w:rPr>
                <w:bCs/>
                <w:sz w:val="18"/>
                <w:szCs w:val="18"/>
                <w:lang w:val="es-CO"/>
              </w:rPr>
              <w:t>OSCs</w:t>
            </w:r>
            <w:proofErr w:type="spellEnd"/>
            <w:r>
              <w:rPr>
                <w:bCs/>
                <w:sz w:val="18"/>
                <w:szCs w:val="18"/>
                <w:lang w:val="es-CO"/>
              </w:rPr>
              <w:t xml:space="preserve"> y el empresariado</w:t>
            </w:r>
          </w:p>
        </w:tc>
        <w:tc>
          <w:tcPr>
            <w:tcW w:w="630" w:type="dxa"/>
          </w:tcPr>
          <w:p w14:paraId="15E01B55" w14:textId="2F27CB37" w:rsidR="00273A96" w:rsidRPr="00041A72" w:rsidRDefault="00273A96" w:rsidP="00273A96">
            <w:pPr>
              <w:ind w:firstLine="0"/>
              <w:jc w:val="left"/>
              <w:rPr>
                <w:bCs/>
                <w:sz w:val="18"/>
                <w:szCs w:val="18"/>
                <w:lang w:val="es-CO"/>
              </w:rPr>
            </w:pPr>
            <w:r>
              <w:rPr>
                <w:bCs/>
                <w:sz w:val="18"/>
                <w:szCs w:val="18"/>
                <w:lang w:val="es-CO"/>
              </w:rPr>
              <w:t>2021</w:t>
            </w:r>
          </w:p>
        </w:tc>
        <w:tc>
          <w:tcPr>
            <w:tcW w:w="1530" w:type="dxa"/>
          </w:tcPr>
          <w:p w14:paraId="51853A7C" w14:textId="73B5AE3F" w:rsidR="00273A96" w:rsidRPr="00041A72" w:rsidRDefault="00273A96" w:rsidP="00273A96">
            <w:pPr>
              <w:ind w:firstLine="0"/>
              <w:jc w:val="left"/>
              <w:rPr>
                <w:bCs/>
                <w:sz w:val="18"/>
                <w:szCs w:val="18"/>
                <w:lang w:val="es-CO"/>
              </w:rPr>
            </w:pPr>
            <w:r>
              <w:rPr>
                <w:bCs/>
                <w:sz w:val="18"/>
                <w:szCs w:val="18"/>
                <w:lang w:val="es-CO"/>
              </w:rPr>
              <w:t xml:space="preserve">Coaliciones de </w:t>
            </w:r>
            <w:proofErr w:type="spellStart"/>
            <w:r>
              <w:rPr>
                <w:bCs/>
                <w:sz w:val="18"/>
                <w:szCs w:val="18"/>
                <w:lang w:val="es-CO"/>
              </w:rPr>
              <w:t>OSCs</w:t>
            </w:r>
            <w:proofErr w:type="spellEnd"/>
            <w:r>
              <w:rPr>
                <w:bCs/>
                <w:sz w:val="18"/>
                <w:szCs w:val="18"/>
                <w:lang w:val="es-CO"/>
              </w:rPr>
              <w:t>, SESAL, FM, PEPFAR</w:t>
            </w:r>
          </w:p>
        </w:tc>
        <w:tc>
          <w:tcPr>
            <w:tcW w:w="540" w:type="dxa"/>
          </w:tcPr>
          <w:p w14:paraId="7F218022" w14:textId="30E76526" w:rsidR="00273A96" w:rsidRPr="00041A72" w:rsidRDefault="00273A96" w:rsidP="00273A96">
            <w:pPr>
              <w:ind w:firstLine="0"/>
              <w:jc w:val="left"/>
              <w:rPr>
                <w:bCs/>
                <w:sz w:val="18"/>
                <w:szCs w:val="18"/>
                <w:lang w:val="es-CO"/>
              </w:rPr>
            </w:pPr>
            <w:r>
              <w:rPr>
                <w:bCs/>
                <w:sz w:val="18"/>
                <w:szCs w:val="18"/>
                <w:lang w:val="es-CO"/>
              </w:rPr>
              <w:t>Si</w:t>
            </w:r>
          </w:p>
        </w:tc>
        <w:tc>
          <w:tcPr>
            <w:tcW w:w="1440" w:type="dxa"/>
          </w:tcPr>
          <w:p w14:paraId="433D976E" w14:textId="35614BF6" w:rsidR="00273A96" w:rsidRPr="00041A72" w:rsidRDefault="00273A96" w:rsidP="00273A96">
            <w:pPr>
              <w:ind w:firstLine="0"/>
              <w:jc w:val="left"/>
              <w:rPr>
                <w:bCs/>
                <w:sz w:val="18"/>
                <w:szCs w:val="18"/>
                <w:lang w:val="es-CO"/>
              </w:rPr>
            </w:pPr>
            <w:r>
              <w:rPr>
                <w:bCs/>
                <w:sz w:val="18"/>
                <w:szCs w:val="18"/>
                <w:lang w:val="es-CO"/>
              </w:rPr>
              <w:t>1,000 USD</w:t>
            </w:r>
          </w:p>
        </w:tc>
        <w:tc>
          <w:tcPr>
            <w:tcW w:w="900" w:type="dxa"/>
          </w:tcPr>
          <w:p w14:paraId="2CE73333" w14:textId="3F56DD6C" w:rsidR="00273A96" w:rsidRPr="00041A72" w:rsidRDefault="00273A96" w:rsidP="00273A96">
            <w:pPr>
              <w:ind w:firstLine="0"/>
              <w:jc w:val="left"/>
              <w:rPr>
                <w:bCs/>
                <w:sz w:val="18"/>
                <w:szCs w:val="18"/>
                <w:lang w:val="es-CO"/>
              </w:rPr>
            </w:pPr>
            <w:r>
              <w:rPr>
                <w:bCs/>
                <w:sz w:val="18"/>
                <w:szCs w:val="18"/>
                <w:lang w:val="es-CO"/>
              </w:rPr>
              <w:t>PEPFARFM</w:t>
            </w:r>
          </w:p>
        </w:tc>
        <w:tc>
          <w:tcPr>
            <w:tcW w:w="1080" w:type="dxa"/>
            <w:vMerge/>
          </w:tcPr>
          <w:p w14:paraId="3CA3F602" w14:textId="77777777" w:rsidR="00273A96" w:rsidRPr="00041A72" w:rsidRDefault="00273A96" w:rsidP="00273A96">
            <w:pPr>
              <w:ind w:firstLine="0"/>
              <w:jc w:val="left"/>
              <w:rPr>
                <w:bCs/>
                <w:sz w:val="18"/>
                <w:szCs w:val="18"/>
                <w:lang w:val="es-CO"/>
              </w:rPr>
            </w:pPr>
          </w:p>
        </w:tc>
        <w:tc>
          <w:tcPr>
            <w:tcW w:w="1365" w:type="dxa"/>
          </w:tcPr>
          <w:p w14:paraId="79217354" w14:textId="77777777" w:rsidR="00273A96" w:rsidRPr="00041A72" w:rsidRDefault="00273A96" w:rsidP="00273A96">
            <w:pPr>
              <w:ind w:firstLine="0"/>
              <w:jc w:val="left"/>
              <w:rPr>
                <w:bCs/>
                <w:sz w:val="18"/>
                <w:szCs w:val="18"/>
                <w:lang w:val="es-CO"/>
              </w:rPr>
            </w:pPr>
          </w:p>
        </w:tc>
      </w:tr>
      <w:tr w:rsidR="00273A96" w:rsidRPr="00041A72" w14:paraId="3D276182" w14:textId="77777777" w:rsidTr="00850863">
        <w:trPr>
          <w:trHeight w:val="1187"/>
        </w:trPr>
        <w:tc>
          <w:tcPr>
            <w:tcW w:w="265" w:type="dxa"/>
            <w:vMerge w:val="restart"/>
          </w:tcPr>
          <w:p w14:paraId="7C590BCB" w14:textId="65EADE1E" w:rsidR="00273A96" w:rsidRPr="00D85B5A" w:rsidRDefault="00273A96" w:rsidP="00273A96">
            <w:pPr>
              <w:ind w:firstLine="0"/>
              <w:jc w:val="left"/>
              <w:rPr>
                <w:bCs/>
                <w:sz w:val="18"/>
                <w:szCs w:val="18"/>
                <w:lang w:val="es-CO"/>
              </w:rPr>
            </w:pPr>
            <w:r>
              <w:rPr>
                <w:bCs/>
                <w:sz w:val="18"/>
                <w:szCs w:val="18"/>
                <w:lang w:val="es-CO"/>
              </w:rPr>
              <w:t>x</w:t>
            </w:r>
          </w:p>
        </w:tc>
        <w:tc>
          <w:tcPr>
            <w:tcW w:w="2440" w:type="dxa"/>
            <w:vMerge w:val="restart"/>
          </w:tcPr>
          <w:p w14:paraId="7F266134" w14:textId="5987E11C" w:rsidR="00273A96" w:rsidRPr="00D81148" w:rsidRDefault="00273A96" w:rsidP="00273A96">
            <w:pPr>
              <w:ind w:firstLine="0"/>
              <w:jc w:val="left"/>
              <w:rPr>
                <w:bCs/>
                <w:sz w:val="18"/>
                <w:szCs w:val="18"/>
                <w:lang w:val="es-CO"/>
              </w:rPr>
            </w:pPr>
            <w:r w:rsidRPr="00D81148">
              <w:rPr>
                <w:bCs/>
                <w:sz w:val="18"/>
                <w:szCs w:val="18"/>
                <w:lang w:val="es-CO"/>
              </w:rPr>
              <w:t xml:space="preserve">Demandar las responsabilidades del gobierno en la prestación de servicios de salud y los servicios sociales en TB/VIH </w:t>
            </w:r>
            <w:r w:rsidRPr="00D81148">
              <w:rPr>
                <w:bCs/>
                <w:sz w:val="18"/>
                <w:szCs w:val="18"/>
                <w:lang w:val="es-CO"/>
              </w:rPr>
              <w:lastRenderedPageBreak/>
              <w:t>a través de un “Plan de Incidencia Política de la Sociedad Civil”</w:t>
            </w:r>
          </w:p>
        </w:tc>
        <w:tc>
          <w:tcPr>
            <w:tcW w:w="440" w:type="dxa"/>
          </w:tcPr>
          <w:p w14:paraId="7E6C0ED5" w14:textId="3D3F4DDC" w:rsidR="00273A96" w:rsidRPr="00D81148" w:rsidRDefault="00273A96" w:rsidP="00273A96">
            <w:pPr>
              <w:ind w:firstLine="0"/>
              <w:jc w:val="left"/>
              <w:rPr>
                <w:bCs/>
                <w:sz w:val="18"/>
                <w:szCs w:val="18"/>
                <w:lang w:val="es-CO"/>
              </w:rPr>
            </w:pPr>
            <w:r w:rsidRPr="00D81148">
              <w:rPr>
                <w:bCs/>
                <w:sz w:val="18"/>
                <w:szCs w:val="18"/>
                <w:lang w:val="es-CO"/>
              </w:rPr>
              <w:lastRenderedPageBreak/>
              <w:t>50</w:t>
            </w:r>
          </w:p>
        </w:tc>
        <w:tc>
          <w:tcPr>
            <w:tcW w:w="3780" w:type="dxa"/>
          </w:tcPr>
          <w:p w14:paraId="128206D4" w14:textId="77777777" w:rsidR="00273A96" w:rsidRPr="00D81148" w:rsidRDefault="00273A96" w:rsidP="00273A96">
            <w:pPr>
              <w:ind w:firstLine="0"/>
              <w:jc w:val="left"/>
              <w:rPr>
                <w:bCs/>
                <w:sz w:val="18"/>
                <w:szCs w:val="18"/>
                <w:lang w:val="es-CO"/>
              </w:rPr>
            </w:pPr>
            <w:r w:rsidRPr="00D81148">
              <w:rPr>
                <w:bCs/>
                <w:sz w:val="18"/>
                <w:szCs w:val="18"/>
                <w:lang w:val="es-CO"/>
              </w:rPr>
              <w:t>Unificación de criterios por parte de la sociedad civil para identificar las acciones a realizar con el gobierno</w:t>
            </w:r>
          </w:p>
        </w:tc>
        <w:tc>
          <w:tcPr>
            <w:tcW w:w="630" w:type="dxa"/>
          </w:tcPr>
          <w:p w14:paraId="214CB9D3" w14:textId="77777777" w:rsidR="00273A96" w:rsidRPr="00041A72" w:rsidRDefault="00273A96" w:rsidP="00273A96">
            <w:pPr>
              <w:ind w:firstLine="0"/>
              <w:jc w:val="left"/>
              <w:rPr>
                <w:bCs/>
                <w:sz w:val="18"/>
                <w:szCs w:val="18"/>
                <w:lang w:val="es-CO"/>
              </w:rPr>
            </w:pPr>
            <w:r w:rsidRPr="00041A72">
              <w:rPr>
                <w:bCs/>
                <w:sz w:val="18"/>
                <w:szCs w:val="18"/>
                <w:lang w:val="es-CO"/>
              </w:rPr>
              <w:t>2019</w:t>
            </w:r>
          </w:p>
        </w:tc>
        <w:tc>
          <w:tcPr>
            <w:tcW w:w="1530" w:type="dxa"/>
          </w:tcPr>
          <w:p w14:paraId="1781A015" w14:textId="6748850C" w:rsidR="00273A96" w:rsidRPr="00041A72" w:rsidRDefault="00273A96" w:rsidP="00273A96">
            <w:pPr>
              <w:ind w:firstLine="0"/>
              <w:jc w:val="left"/>
              <w:rPr>
                <w:bCs/>
                <w:sz w:val="18"/>
                <w:szCs w:val="18"/>
                <w:lang w:val="es-CO"/>
              </w:rPr>
            </w:pPr>
            <w:r w:rsidRPr="00041A72">
              <w:rPr>
                <w:bCs/>
                <w:sz w:val="18"/>
                <w:szCs w:val="18"/>
                <w:lang w:val="es-CO"/>
              </w:rPr>
              <w:t xml:space="preserve">Plataforma de VIH y DDHH de las poblaciones clave </w:t>
            </w:r>
            <w:r>
              <w:rPr>
                <w:bCs/>
                <w:sz w:val="18"/>
                <w:szCs w:val="18"/>
                <w:lang w:val="es-CO"/>
              </w:rPr>
              <w:t>y</w:t>
            </w:r>
            <w:r w:rsidRPr="00041A72">
              <w:rPr>
                <w:bCs/>
                <w:sz w:val="18"/>
                <w:szCs w:val="18"/>
                <w:lang w:val="es-CO"/>
              </w:rPr>
              <w:t xml:space="preserve"> coalición de TB</w:t>
            </w:r>
          </w:p>
        </w:tc>
        <w:tc>
          <w:tcPr>
            <w:tcW w:w="540" w:type="dxa"/>
          </w:tcPr>
          <w:p w14:paraId="62E70398" w14:textId="77777777" w:rsidR="00273A96" w:rsidRPr="00041A72" w:rsidRDefault="00273A96" w:rsidP="00273A96">
            <w:pPr>
              <w:ind w:firstLine="0"/>
              <w:jc w:val="left"/>
              <w:rPr>
                <w:bCs/>
                <w:sz w:val="18"/>
                <w:szCs w:val="18"/>
                <w:lang w:val="es-CO"/>
              </w:rPr>
            </w:pPr>
            <w:r w:rsidRPr="00041A72">
              <w:rPr>
                <w:bCs/>
                <w:sz w:val="18"/>
                <w:szCs w:val="18"/>
                <w:lang w:val="es-CO"/>
              </w:rPr>
              <w:t>No</w:t>
            </w:r>
          </w:p>
        </w:tc>
        <w:tc>
          <w:tcPr>
            <w:tcW w:w="1440" w:type="dxa"/>
          </w:tcPr>
          <w:p w14:paraId="5381C060" w14:textId="77777777" w:rsidR="00273A96" w:rsidRPr="00041A72" w:rsidRDefault="00273A96" w:rsidP="00273A96">
            <w:pPr>
              <w:ind w:firstLine="0"/>
              <w:jc w:val="left"/>
              <w:rPr>
                <w:bCs/>
                <w:sz w:val="18"/>
                <w:szCs w:val="18"/>
                <w:lang w:val="es-CO"/>
              </w:rPr>
            </w:pPr>
          </w:p>
        </w:tc>
        <w:tc>
          <w:tcPr>
            <w:tcW w:w="900" w:type="dxa"/>
          </w:tcPr>
          <w:p w14:paraId="33BDFAC4" w14:textId="77777777" w:rsidR="00273A96" w:rsidRPr="00041A72" w:rsidRDefault="00273A96" w:rsidP="00273A96">
            <w:pPr>
              <w:ind w:firstLine="0"/>
              <w:jc w:val="left"/>
              <w:rPr>
                <w:sz w:val="18"/>
                <w:szCs w:val="18"/>
                <w:lang w:val="es-CO"/>
              </w:rPr>
            </w:pPr>
          </w:p>
        </w:tc>
        <w:tc>
          <w:tcPr>
            <w:tcW w:w="1080" w:type="dxa"/>
            <w:vMerge w:val="restart"/>
          </w:tcPr>
          <w:p w14:paraId="0D26A267" w14:textId="77777777" w:rsidR="00273A96" w:rsidRDefault="00273A96" w:rsidP="00273A96">
            <w:pPr>
              <w:ind w:firstLine="0"/>
              <w:jc w:val="left"/>
              <w:rPr>
                <w:sz w:val="18"/>
                <w:szCs w:val="18"/>
                <w:lang w:val="es-CO"/>
              </w:rPr>
            </w:pPr>
            <w:r w:rsidRPr="00041A72">
              <w:rPr>
                <w:sz w:val="18"/>
                <w:szCs w:val="18"/>
                <w:lang w:val="es-CO"/>
              </w:rPr>
              <w:t>PENSIDA</w:t>
            </w:r>
          </w:p>
          <w:p w14:paraId="1A4A0D84" w14:textId="68D9F8B2" w:rsidR="00273A96" w:rsidRPr="00041A72" w:rsidRDefault="00273A96" w:rsidP="00273A96">
            <w:pPr>
              <w:ind w:firstLine="0"/>
              <w:jc w:val="left"/>
              <w:rPr>
                <w:sz w:val="18"/>
                <w:szCs w:val="18"/>
                <w:lang w:val="es-CO"/>
              </w:rPr>
            </w:pPr>
            <w:r w:rsidRPr="00041A72">
              <w:rPr>
                <w:sz w:val="18"/>
                <w:szCs w:val="18"/>
                <w:lang w:val="es-CO"/>
              </w:rPr>
              <w:t xml:space="preserve">1.1.2 </w:t>
            </w:r>
          </w:p>
          <w:p w14:paraId="521B01D0" w14:textId="77777777" w:rsidR="00273A96" w:rsidRDefault="00273A96" w:rsidP="00273A96">
            <w:pPr>
              <w:ind w:firstLine="0"/>
              <w:jc w:val="left"/>
              <w:rPr>
                <w:sz w:val="18"/>
                <w:szCs w:val="18"/>
                <w:lang w:val="es-419"/>
              </w:rPr>
            </w:pPr>
            <w:r w:rsidRPr="00041A72">
              <w:rPr>
                <w:sz w:val="18"/>
                <w:szCs w:val="18"/>
                <w:lang w:val="es-419"/>
              </w:rPr>
              <w:t>2.1.3</w:t>
            </w:r>
          </w:p>
          <w:p w14:paraId="59B8BF79" w14:textId="0B14CA52" w:rsidR="00273A96" w:rsidRDefault="00273A96" w:rsidP="00273A96">
            <w:pPr>
              <w:ind w:firstLine="0"/>
              <w:jc w:val="left"/>
              <w:rPr>
                <w:sz w:val="18"/>
                <w:szCs w:val="18"/>
                <w:lang w:val="es-CO"/>
              </w:rPr>
            </w:pPr>
            <w:r w:rsidRPr="00C769EF">
              <w:rPr>
                <w:sz w:val="18"/>
                <w:szCs w:val="18"/>
                <w:lang w:val="es-CO"/>
              </w:rPr>
              <w:lastRenderedPageBreak/>
              <w:t>Plan quinquenal</w:t>
            </w:r>
          </w:p>
          <w:p w14:paraId="37A26B2E" w14:textId="689E34E2" w:rsidR="00273A96" w:rsidRDefault="00273A96" w:rsidP="00273A96">
            <w:pPr>
              <w:ind w:firstLine="0"/>
              <w:jc w:val="left"/>
              <w:rPr>
                <w:sz w:val="18"/>
                <w:szCs w:val="18"/>
                <w:lang w:val="es-CO"/>
              </w:rPr>
            </w:pPr>
            <w:r>
              <w:rPr>
                <w:sz w:val="18"/>
                <w:szCs w:val="18"/>
                <w:lang w:val="es-CO"/>
              </w:rPr>
              <w:t>6.1</w:t>
            </w:r>
          </w:p>
          <w:p w14:paraId="185FA516" w14:textId="67E0C80B" w:rsidR="00273A96" w:rsidRDefault="00273A96" w:rsidP="00273A96">
            <w:pPr>
              <w:ind w:firstLine="0"/>
              <w:jc w:val="left"/>
              <w:rPr>
                <w:sz w:val="18"/>
                <w:szCs w:val="18"/>
                <w:lang w:val="es-CO"/>
              </w:rPr>
            </w:pPr>
            <w:r>
              <w:rPr>
                <w:sz w:val="18"/>
                <w:szCs w:val="18"/>
                <w:lang w:val="es-CO"/>
              </w:rPr>
              <w:t>6.2</w:t>
            </w:r>
          </w:p>
          <w:p w14:paraId="53EE31B4" w14:textId="2A4C97C6" w:rsidR="00273A96" w:rsidRDefault="00273A96" w:rsidP="00273A96">
            <w:pPr>
              <w:ind w:firstLine="0"/>
              <w:jc w:val="left"/>
              <w:rPr>
                <w:sz w:val="18"/>
                <w:szCs w:val="18"/>
                <w:lang w:val="es-CO"/>
              </w:rPr>
            </w:pPr>
            <w:r>
              <w:rPr>
                <w:sz w:val="18"/>
                <w:szCs w:val="18"/>
                <w:lang w:val="es-CO"/>
              </w:rPr>
              <w:t>6.8</w:t>
            </w:r>
          </w:p>
          <w:p w14:paraId="25F55267" w14:textId="49BCEED6" w:rsidR="00273A96" w:rsidRPr="00041A72" w:rsidRDefault="00273A96" w:rsidP="00273A96">
            <w:pPr>
              <w:ind w:firstLine="0"/>
              <w:jc w:val="left"/>
              <w:rPr>
                <w:sz w:val="18"/>
                <w:szCs w:val="18"/>
                <w:lang w:val="es-419"/>
              </w:rPr>
            </w:pPr>
            <w:r>
              <w:rPr>
                <w:sz w:val="18"/>
                <w:szCs w:val="18"/>
                <w:lang w:val="es-CO"/>
              </w:rPr>
              <w:t>Área de programa 3</w:t>
            </w:r>
          </w:p>
        </w:tc>
        <w:tc>
          <w:tcPr>
            <w:tcW w:w="1365" w:type="dxa"/>
          </w:tcPr>
          <w:p w14:paraId="4F66FDE7" w14:textId="77777777" w:rsidR="00273A96" w:rsidRPr="00041A72" w:rsidRDefault="00273A96" w:rsidP="00273A96">
            <w:pPr>
              <w:ind w:firstLine="0"/>
              <w:jc w:val="left"/>
              <w:rPr>
                <w:bCs/>
                <w:sz w:val="18"/>
                <w:szCs w:val="18"/>
                <w:lang w:val="es-CO"/>
              </w:rPr>
            </w:pPr>
          </w:p>
        </w:tc>
      </w:tr>
      <w:tr w:rsidR="00273A96" w:rsidRPr="00041A72" w14:paraId="7704F2F2" w14:textId="77777777" w:rsidTr="00D85B5A">
        <w:trPr>
          <w:trHeight w:val="530"/>
        </w:trPr>
        <w:tc>
          <w:tcPr>
            <w:tcW w:w="265" w:type="dxa"/>
            <w:vMerge/>
          </w:tcPr>
          <w:p w14:paraId="35ACE21A" w14:textId="77777777" w:rsidR="00273A96" w:rsidRPr="00D85B5A" w:rsidRDefault="00273A96" w:rsidP="00273A96">
            <w:pPr>
              <w:ind w:firstLine="0"/>
              <w:jc w:val="left"/>
              <w:rPr>
                <w:bCs/>
                <w:sz w:val="18"/>
                <w:szCs w:val="18"/>
                <w:lang w:val="es-CO"/>
              </w:rPr>
            </w:pPr>
          </w:p>
        </w:tc>
        <w:tc>
          <w:tcPr>
            <w:tcW w:w="2440" w:type="dxa"/>
            <w:vMerge/>
          </w:tcPr>
          <w:p w14:paraId="446AD16B" w14:textId="77777777" w:rsidR="00273A96" w:rsidRPr="00D81148" w:rsidRDefault="00273A96" w:rsidP="00273A96">
            <w:pPr>
              <w:ind w:firstLine="0"/>
              <w:jc w:val="left"/>
              <w:rPr>
                <w:bCs/>
                <w:sz w:val="18"/>
                <w:szCs w:val="18"/>
                <w:lang w:val="es-CO"/>
              </w:rPr>
            </w:pPr>
          </w:p>
        </w:tc>
        <w:tc>
          <w:tcPr>
            <w:tcW w:w="440" w:type="dxa"/>
          </w:tcPr>
          <w:p w14:paraId="50F0C4C5" w14:textId="63019BF8" w:rsidR="00273A96" w:rsidRPr="00D81148" w:rsidRDefault="00273A96" w:rsidP="00273A96">
            <w:pPr>
              <w:ind w:firstLine="0"/>
              <w:jc w:val="left"/>
              <w:rPr>
                <w:bCs/>
                <w:sz w:val="18"/>
                <w:szCs w:val="18"/>
                <w:lang w:val="es-CO"/>
              </w:rPr>
            </w:pPr>
            <w:r w:rsidRPr="00D81148">
              <w:rPr>
                <w:bCs/>
                <w:sz w:val="18"/>
                <w:szCs w:val="18"/>
                <w:lang w:val="es-CO"/>
              </w:rPr>
              <w:t>51</w:t>
            </w:r>
          </w:p>
        </w:tc>
        <w:tc>
          <w:tcPr>
            <w:tcW w:w="3780" w:type="dxa"/>
          </w:tcPr>
          <w:p w14:paraId="3FB99DAC" w14:textId="7E65E50B" w:rsidR="00273A96" w:rsidRPr="00D81148" w:rsidRDefault="00273A96" w:rsidP="00273A96">
            <w:pPr>
              <w:ind w:firstLine="0"/>
              <w:jc w:val="left"/>
              <w:rPr>
                <w:bCs/>
                <w:sz w:val="18"/>
                <w:szCs w:val="18"/>
                <w:lang w:val="es-CO"/>
              </w:rPr>
            </w:pPr>
            <w:r w:rsidRPr="00D81148">
              <w:rPr>
                <w:bCs/>
                <w:sz w:val="18"/>
                <w:szCs w:val="18"/>
                <w:lang w:val="es-CO"/>
              </w:rPr>
              <w:t xml:space="preserve">Creación de un plan de incidencia política con acciones afirmativas hacia población VIH y TB </w:t>
            </w:r>
          </w:p>
        </w:tc>
        <w:tc>
          <w:tcPr>
            <w:tcW w:w="630" w:type="dxa"/>
          </w:tcPr>
          <w:p w14:paraId="4EE29CBC" w14:textId="77777777" w:rsidR="00273A96" w:rsidRPr="00041A72" w:rsidRDefault="00273A96" w:rsidP="00273A96">
            <w:pPr>
              <w:ind w:firstLine="0"/>
              <w:jc w:val="left"/>
              <w:rPr>
                <w:bCs/>
                <w:sz w:val="18"/>
                <w:szCs w:val="18"/>
                <w:lang w:val="es-CO"/>
              </w:rPr>
            </w:pPr>
            <w:r w:rsidRPr="00041A72">
              <w:rPr>
                <w:bCs/>
                <w:sz w:val="18"/>
                <w:szCs w:val="18"/>
                <w:lang w:val="es-CO"/>
              </w:rPr>
              <w:t xml:space="preserve">2019 </w:t>
            </w:r>
          </w:p>
        </w:tc>
        <w:tc>
          <w:tcPr>
            <w:tcW w:w="1530" w:type="dxa"/>
          </w:tcPr>
          <w:p w14:paraId="66A3BC8D" w14:textId="1828693B" w:rsidR="00273A96" w:rsidRPr="00041A72" w:rsidRDefault="00273A96" w:rsidP="00273A96">
            <w:pPr>
              <w:ind w:firstLine="0"/>
              <w:jc w:val="left"/>
              <w:rPr>
                <w:bCs/>
                <w:sz w:val="18"/>
                <w:szCs w:val="18"/>
                <w:lang w:val="es-CO"/>
              </w:rPr>
            </w:pPr>
            <w:r w:rsidRPr="00041A72">
              <w:rPr>
                <w:bCs/>
                <w:sz w:val="18"/>
                <w:szCs w:val="18"/>
                <w:lang w:val="es-CO"/>
              </w:rPr>
              <w:t xml:space="preserve">Plataforma de VIH y DDHH de las poblaciones clave </w:t>
            </w:r>
            <w:r>
              <w:rPr>
                <w:bCs/>
                <w:sz w:val="18"/>
                <w:szCs w:val="18"/>
                <w:lang w:val="es-CO"/>
              </w:rPr>
              <w:t>y</w:t>
            </w:r>
            <w:r w:rsidRPr="00041A72">
              <w:rPr>
                <w:bCs/>
                <w:sz w:val="18"/>
                <w:szCs w:val="18"/>
                <w:lang w:val="es-CO"/>
              </w:rPr>
              <w:t xml:space="preserve"> coalición de TB</w:t>
            </w:r>
          </w:p>
        </w:tc>
        <w:tc>
          <w:tcPr>
            <w:tcW w:w="540" w:type="dxa"/>
          </w:tcPr>
          <w:p w14:paraId="32854869" w14:textId="77777777" w:rsidR="00273A96" w:rsidRPr="00041A72" w:rsidRDefault="00273A96" w:rsidP="00273A96">
            <w:pPr>
              <w:ind w:firstLine="0"/>
              <w:jc w:val="left"/>
              <w:rPr>
                <w:bCs/>
                <w:sz w:val="18"/>
                <w:szCs w:val="18"/>
                <w:lang w:val="es-CO"/>
              </w:rPr>
            </w:pPr>
            <w:r w:rsidRPr="00041A72">
              <w:rPr>
                <w:bCs/>
                <w:sz w:val="18"/>
                <w:szCs w:val="18"/>
                <w:lang w:val="es-CO"/>
              </w:rPr>
              <w:t>Si</w:t>
            </w:r>
          </w:p>
        </w:tc>
        <w:tc>
          <w:tcPr>
            <w:tcW w:w="1440" w:type="dxa"/>
          </w:tcPr>
          <w:p w14:paraId="3E37C028" w14:textId="77777777" w:rsidR="00273A96" w:rsidRPr="00041A72" w:rsidRDefault="00273A96" w:rsidP="00273A96">
            <w:pPr>
              <w:ind w:firstLine="0"/>
              <w:jc w:val="left"/>
              <w:rPr>
                <w:bCs/>
                <w:sz w:val="18"/>
                <w:szCs w:val="18"/>
                <w:lang w:val="es-CO"/>
              </w:rPr>
            </w:pPr>
            <w:r w:rsidRPr="00041A72">
              <w:rPr>
                <w:bCs/>
                <w:sz w:val="18"/>
                <w:szCs w:val="18"/>
                <w:lang w:val="es-CO"/>
              </w:rPr>
              <w:t>20,000-30,000 USD</w:t>
            </w:r>
          </w:p>
        </w:tc>
        <w:tc>
          <w:tcPr>
            <w:tcW w:w="900" w:type="dxa"/>
          </w:tcPr>
          <w:p w14:paraId="7BD39A77" w14:textId="1DCC3270" w:rsidR="00273A96" w:rsidRPr="00041A72" w:rsidRDefault="00273A96" w:rsidP="00273A96">
            <w:pPr>
              <w:ind w:firstLine="0"/>
              <w:jc w:val="left"/>
              <w:rPr>
                <w:bCs/>
                <w:sz w:val="18"/>
                <w:szCs w:val="18"/>
                <w:lang w:val="es-CO"/>
              </w:rPr>
            </w:pPr>
            <w:r>
              <w:rPr>
                <w:bCs/>
                <w:sz w:val="18"/>
                <w:szCs w:val="18"/>
                <w:lang w:val="es-CO"/>
              </w:rPr>
              <w:t>PEPFARFM PNUD</w:t>
            </w:r>
          </w:p>
        </w:tc>
        <w:tc>
          <w:tcPr>
            <w:tcW w:w="1080" w:type="dxa"/>
            <w:vMerge/>
          </w:tcPr>
          <w:p w14:paraId="7FD9C28F" w14:textId="77777777" w:rsidR="00273A96" w:rsidRPr="00041A72" w:rsidRDefault="00273A96" w:rsidP="00273A96">
            <w:pPr>
              <w:ind w:firstLine="0"/>
              <w:jc w:val="left"/>
              <w:rPr>
                <w:bCs/>
                <w:sz w:val="18"/>
                <w:szCs w:val="18"/>
                <w:lang w:val="es-CO"/>
              </w:rPr>
            </w:pPr>
          </w:p>
        </w:tc>
        <w:tc>
          <w:tcPr>
            <w:tcW w:w="1365" w:type="dxa"/>
          </w:tcPr>
          <w:p w14:paraId="6009E78D" w14:textId="77777777" w:rsidR="00273A96" w:rsidRPr="00041A72" w:rsidRDefault="00273A96" w:rsidP="00273A96">
            <w:pPr>
              <w:ind w:firstLine="0"/>
              <w:jc w:val="left"/>
              <w:rPr>
                <w:bCs/>
                <w:sz w:val="18"/>
                <w:szCs w:val="18"/>
                <w:lang w:val="es-CO"/>
              </w:rPr>
            </w:pPr>
          </w:p>
        </w:tc>
      </w:tr>
      <w:tr w:rsidR="00273A96" w:rsidRPr="00041A72" w14:paraId="59CA26F3" w14:textId="77777777" w:rsidTr="00EF36FE">
        <w:trPr>
          <w:trHeight w:val="956"/>
        </w:trPr>
        <w:tc>
          <w:tcPr>
            <w:tcW w:w="265" w:type="dxa"/>
            <w:vMerge/>
          </w:tcPr>
          <w:p w14:paraId="73C624C7" w14:textId="77777777" w:rsidR="00273A96" w:rsidRPr="00D85B5A" w:rsidRDefault="00273A96" w:rsidP="00273A96">
            <w:pPr>
              <w:ind w:firstLine="0"/>
              <w:jc w:val="left"/>
              <w:rPr>
                <w:bCs/>
                <w:sz w:val="18"/>
                <w:szCs w:val="18"/>
                <w:lang w:val="es-CO"/>
              </w:rPr>
            </w:pPr>
          </w:p>
        </w:tc>
        <w:tc>
          <w:tcPr>
            <w:tcW w:w="2440" w:type="dxa"/>
            <w:vMerge/>
          </w:tcPr>
          <w:p w14:paraId="137DDC88" w14:textId="77777777" w:rsidR="00273A96" w:rsidRPr="00D85B5A" w:rsidRDefault="00273A96" w:rsidP="00273A96">
            <w:pPr>
              <w:ind w:firstLine="0"/>
              <w:jc w:val="left"/>
              <w:rPr>
                <w:bCs/>
                <w:sz w:val="18"/>
                <w:szCs w:val="18"/>
                <w:lang w:val="es-CO"/>
              </w:rPr>
            </w:pPr>
          </w:p>
        </w:tc>
        <w:tc>
          <w:tcPr>
            <w:tcW w:w="440" w:type="dxa"/>
          </w:tcPr>
          <w:p w14:paraId="5E821928" w14:textId="302750DA" w:rsidR="00273A96" w:rsidRPr="00041A72" w:rsidRDefault="00273A96" w:rsidP="00273A96">
            <w:pPr>
              <w:ind w:firstLine="0"/>
              <w:jc w:val="left"/>
              <w:rPr>
                <w:bCs/>
                <w:sz w:val="18"/>
                <w:szCs w:val="18"/>
                <w:lang w:val="es-CO"/>
              </w:rPr>
            </w:pPr>
            <w:r>
              <w:rPr>
                <w:bCs/>
                <w:sz w:val="18"/>
                <w:szCs w:val="18"/>
                <w:lang w:val="es-CO"/>
              </w:rPr>
              <w:t>52</w:t>
            </w:r>
          </w:p>
        </w:tc>
        <w:tc>
          <w:tcPr>
            <w:tcW w:w="3780" w:type="dxa"/>
          </w:tcPr>
          <w:p w14:paraId="400C05DF" w14:textId="77777777" w:rsidR="00273A96" w:rsidRPr="00041A72" w:rsidRDefault="00273A96" w:rsidP="00273A96">
            <w:pPr>
              <w:ind w:firstLine="0"/>
              <w:jc w:val="left"/>
              <w:rPr>
                <w:bCs/>
                <w:sz w:val="18"/>
                <w:szCs w:val="18"/>
                <w:lang w:val="es-CO"/>
              </w:rPr>
            </w:pPr>
            <w:r w:rsidRPr="00041A72">
              <w:rPr>
                <w:bCs/>
                <w:sz w:val="18"/>
                <w:szCs w:val="18"/>
                <w:lang w:val="es-CO"/>
              </w:rPr>
              <w:t xml:space="preserve">Implementación y monitoreo de plan de incidencia </w:t>
            </w:r>
          </w:p>
        </w:tc>
        <w:tc>
          <w:tcPr>
            <w:tcW w:w="630" w:type="dxa"/>
          </w:tcPr>
          <w:p w14:paraId="284A1CE5" w14:textId="16A4054B" w:rsidR="00273A96" w:rsidRPr="00041A72" w:rsidRDefault="00273A96" w:rsidP="00273A96">
            <w:pPr>
              <w:ind w:firstLine="0"/>
              <w:jc w:val="left"/>
              <w:rPr>
                <w:bCs/>
                <w:sz w:val="18"/>
                <w:szCs w:val="18"/>
                <w:lang w:val="es-CO"/>
              </w:rPr>
            </w:pPr>
            <w:r w:rsidRPr="00041A72">
              <w:rPr>
                <w:bCs/>
                <w:sz w:val="18"/>
                <w:szCs w:val="18"/>
                <w:lang w:val="es-CO"/>
              </w:rPr>
              <w:t>20</w:t>
            </w:r>
            <w:r>
              <w:rPr>
                <w:bCs/>
                <w:sz w:val="18"/>
                <w:szCs w:val="18"/>
                <w:lang w:val="es-CO"/>
              </w:rPr>
              <w:t>20</w:t>
            </w:r>
            <w:r w:rsidRPr="00041A72">
              <w:rPr>
                <w:bCs/>
                <w:sz w:val="18"/>
                <w:szCs w:val="18"/>
                <w:lang w:val="es-CO"/>
              </w:rPr>
              <w:t>–</w:t>
            </w:r>
            <w:r>
              <w:rPr>
                <w:bCs/>
                <w:sz w:val="18"/>
                <w:szCs w:val="18"/>
                <w:lang w:val="es-CO"/>
              </w:rPr>
              <w:t>2023</w:t>
            </w:r>
            <w:r w:rsidRPr="00041A72">
              <w:rPr>
                <w:bCs/>
                <w:sz w:val="18"/>
                <w:szCs w:val="18"/>
                <w:lang w:val="es-CO"/>
              </w:rPr>
              <w:t xml:space="preserve"> </w:t>
            </w:r>
          </w:p>
        </w:tc>
        <w:tc>
          <w:tcPr>
            <w:tcW w:w="1530" w:type="dxa"/>
          </w:tcPr>
          <w:p w14:paraId="3E4351B6" w14:textId="7DC3DC4D" w:rsidR="00273A96" w:rsidRPr="00041A72" w:rsidRDefault="00273A96" w:rsidP="00273A96">
            <w:pPr>
              <w:ind w:firstLine="0"/>
              <w:jc w:val="left"/>
              <w:rPr>
                <w:bCs/>
                <w:sz w:val="18"/>
                <w:szCs w:val="18"/>
                <w:lang w:val="es-CO"/>
              </w:rPr>
            </w:pPr>
            <w:r w:rsidRPr="00041A72">
              <w:rPr>
                <w:bCs/>
                <w:sz w:val="18"/>
                <w:szCs w:val="18"/>
                <w:lang w:val="es-CO"/>
              </w:rPr>
              <w:t xml:space="preserve">Plataforma de VIH y DDHH de las poblaciones clave </w:t>
            </w:r>
            <w:r>
              <w:rPr>
                <w:bCs/>
                <w:sz w:val="18"/>
                <w:szCs w:val="18"/>
                <w:lang w:val="es-CO"/>
              </w:rPr>
              <w:t>y</w:t>
            </w:r>
            <w:r w:rsidRPr="00041A72">
              <w:rPr>
                <w:bCs/>
                <w:sz w:val="18"/>
                <w:szCs w:val="18"/>
                <w:lang w:val="es-CO"/>
              </w:rPr>
              <w:t xml:space="preserve"> coalición de TB</w:t>
            </w:r>
          </w:p>
        </w:tc>
        <w:tc>
          <w:tcPr>
            <w:tcW w:w="540" w:type="dxa"/>
          </w:tcPr>
          <w:p w14:paraId="37A288C3" w14:textId="77777777" w:rsidR="00273A96" w:rsidRPr="00041A72" w:rsidRDefault="00273A96" w:rsidP="00273A96">
            <w:pPr>
              <w:ind w:firstLine="0"/>
              <w:jc w:val="left"/>
              <w:rPr>
                <w:bCs/>
                <w:sz w:val="18"/>
                <w:szCs w:val="18"/>
                <w:lang w:val="es-CO"/>
              </w:rPr>
            </w:pPr>
            <w:r w:rsidRPr="00041A72">
              <w:rPr>
                <w:bCs/>
                <w:sz w:val="18"/>
                <w:szCs w:val="18"/>
                <w:lang w:val="es-CO"/>
              </w:rPr>
              <w:t>Si</w:t>
            </w:r>
          </w:p>
        </w:tc>
        <w:tc>
          <w:tcPr>
            <w:tcW w:w="1440" w:type="dxa"/>
          </w:tcPr>
          <w:p w14:paraId="71656BEA" w14:textId="77777777" w:rsidR="00273A96" w:rsidRPr="00041A72" w:rsidRDefault="00273A96" w:rsidP="00273A96">
            <w:pPr>
              <w:ind w:firstLine="0"/>
              <w:jc w:val="left"/>
              <w:rPr>
                <w:bCs/>
                <w:sz w:val="18"/>
                <w:szCs w:val="18"/>
                <w:lang w:val="es-CO"/>
              </w:rPr>
            </w:pPr>
            <w:r w:rsidRPr="00041A72">
              <w:rPr>
                <w:bCs/>
                <w:sz w:val="18"/>
                <w:szCs w:val="18"/>
                <w:lang w:val="es-CO"/>
              </w:rPr>
              <w:t>(incluido en la actividad anterior)</w:t>
            </w:r>
          </w:p>
        </w:tc>
        <w:tc>
          <w:tcPr>
            <w:tcW w:w="900" w:type="dxa"/>
          </w:tcPr>
          <w:p w14:paraId="5AE9F05C" w14:textId="3E404442" w:rsidR="00273A96" w:rsidRPr="00041A72" w:rsidRDefault="00273A96" w:rsidP="00273A96">
            <w:pPr>
              <w:ind w:firstLine="0"/>
              <w:jc w:val="left"/>
              <w:rPr>
                <w:sz w:val="18"/>
                <w:szCs w:val="18"/>
                <w:lang w:val="es-419"/>
              </w:rPr>
            </w:pPr>
            <w:r>
              <w:rPr>
                <w:bCs/>
                <w:sz w:val="18"/>
                <w:szCs w:val="18"/>
                <w:lang w:val="es-CO"/>
              </w:rPr>
              <w:t>PEPFARFM PNUD</w:t>
            </w:r>
          </w:p>
        </w:tc>
        <w:tc>
          <w:tcPr>
            <w:tcW w:w="1080" w:type="dxa"/>
            <w:vMerge/>
          </w:tcPr>
          <w:p w14:paraId="5BB6D91B" w14:textId="77777777" w:rsidR="00273A96" w:rsidRPr="00041A72" w:rsidRDefault="00273A96" w:rsidP="00273A96">
            <w:pPr>
              <w:ind w:firstLine="0"/>
              <w:jc w:val="left"/>
              <w:rPr>
                <w:sz w:val="18"/>
                <w:szCs w:val="18"/>
                <w:lang w:val="es-419"/>
              </w:rPr>
            </w:pPr>
          </w:p>
        </w:tc>
        <w:tc>
          <w:tcPr>
            <w:tcW w:w="1365" w:type="dxa"/>
          </w:tcPr>
          <w:p w14:paraId="10B3B8ED" w14:textId="77777777" w:rsidR="00273A96" w:rsidRPr="00041A72" w:rsidRDefault="00273A96" w:rsidP="00273A96">
            <w:pPr>
              <w:ind w:firstLine="0"/>
              <w:jc w:val="left"/>
              <w:rPr>
                <w:bCs/>
                <w:sz w:val="18"/>
                <w:szCs w:val="18"/>
                <w:lang w:val="es-CO"/>
              </w:rPr>
            </w:pPr>
          </w:p>
        </w:tc>
      </w:tr>
      <w:tr w:rsidR="00273A96" w:rsidRPr="00041A72" w14:paraId="458709F0" w14:textId="77777777" w:rsidTr="00EF36FE">
        <w:trPr>
          <w:trHeight w:val="776"/>
        </w:trPr>
        <w:tc>
          <w:tcPr>
            <w:tcW w:w="265" w:type="dxa"/>
            <w:vMerge w:val="restart"/>
          </w:tcPr>
          <w:p w14:paraId="66785C2D" w14:textId="7E580D6C" w:rsidR="00273A96" w:rsidRPr="00D85B5A" w:rsidRDefault="00273A96" w:rsidP="00273A96">
            <w:pPr>
              <w:ind w:firstLine="0"/>
              <w:jc w:val="left"/>
              <w:rPr>
                <w:bCs/>
                <w:sz w:val="18"/>
                <w:szCs w:val="18"/>
                <w:lang w:val="es-CO"/>
              </w:rPr>
            </w:pPr>
            <w:r>
              <w:rPr>
                <w:bCs/>
                <w:sz w:val="18"/>
                <w:szCs w:val="18"/>
                <w:lang w:val="es-CO"/>
              </w:rPr>
              <w:t>y</w:t>
            </w:r>
          </w:p>
        </w:tc>
        <w:tc>
          <w:tcPr>
            <w:tcW w:w="2440" w:type="dxa"/>
            <w:vMerge w:val="restart"/>
          </w:tcPr>
          <w:p w14:paraId="327520BC" w14:textId="77777777" w:rsidR="00273A96" w:rsidRPr="00D85B5A" w:rsidRDefault="00273A96" w:rsidP="00273A96">
            <w:pPr>
              <w:ind w:firstLine="0"/>
              <w:jc w:val="left"/>
              <w:rPr>
                <w:bCs/>
                <w:sz w:val="18"/>
                <w:szCs w:val="18"/>
                <w:lang w:val="es-CO"/>
              </w:rPr>
            </w:pPr>
            <w:r w:rsidRPr="00D85B5A">
              <w:rPr>
                <w:bCs/>
                <w:sz w:val="18"/>
                <w:szCs w:val="18"/>
                <w:lang w:val="es-CO"/>
              </w:rPr>
              <w:t xml:space="preserve">Desarrollar un programa nacional de apoyo y sostenimiento institucional y operacional de las OSC con financiamiento público, privado, y externo </w:t>
            </w:r>
          </w:p>
        </w:tc>
        <w:tc>
          <w:tcPr>
            <w:tcW w:w="440" w:type="dxa"/>
          </w:tcPr>
          <w:p w14:paraId="5275A5D6" w14:textId="411DED9F" w:rsidR="00273A96" w:rsidRPr="00041A72" w:rsidRDefault="00273A96" w:rsidP="00273A96">
            <w:pPr>
              <w:ind w:firstLine="0"/>
              <w:jc w:val="left"/>
              <w:rPr>
                <w:bCs/>
                <w:sz w:val="18"/>
                <w:szCs w:val="18"/>
                <w:lang w:val="es-CO"/>
              </w:rPr>
            </w:pPr>
            <w:r>
              <w:rPr>
                <w:bCs/>
                <w:sz w:val="18"/>
                <w:szCs w:val="18"/>
                <w:lang w:val="es-CO"/>
              </w:rPr>
              <w:t>53</w:t>
            </w:r>
          </w:p>
        </w:tc>
        <w:tc>
          <w:tcPr>
            <w:tcW w:w="3780" w:type="dxa"/>
          </w:tcPr>
          <w:p w14:paraId="0667DEE8" w14:textId="77777777" w:rsidR="00273A96" w:rsidRPr="00041A72" w:rsidRDefault="00273A96" w:rsidP="00273A96">
            <w:pPr>
              <w:ind w:firstLine="0"/>
              <w:jc w:val="left"/>
              <w:rPr>
                <w:bCs/>
                <w:sz w:val="18"/>
                <w:szCs w:val="18"/>
                <w:lang w:val="es-CO"/>
              </w:rPr>
            </w:pPr>
            <w:r w:rsidRPr="00041A72">
              <w:rPr>
                <w:bCs/>
                <w:sz w:val="18"/>
                <w:szCs w:val="18"/>
                <w:lang w:val="es-CO"/>
              </w:rPr>
              <w:t xml:space="preserve">Mapeo de actores clave de la cooperación externa y de gobierno para la creación y financiamiento de un programa coordinado de sostenibilidad </w:t>
            </w:r>
          </w:p>
        </w:tc>
        <w:tc>
          <w:tcPr>
            <w:tcW w:w="630" w:type="dxa"/>
          </w:tcPr>
          <w:p w14:paraId="59DF2DCA" w14:textId="77777777" w:rsidR="00273A96" w:rsidRPr="00041A72" w:rsidRDefault="00273A96" w:rsidP="00273A96">
            <w:pPr>
              <w:ind w:firstLine="0"/>
              <w:jc w:val="left"/>
              <w:rPr>
                <w:bCs/>
                <w:sz w:val="18"/>
                <w:szCs w:val="18"/>
                <w:lang w:val="es-CO"/>
              </w:rPr>
            </w:pPr>
            <w:r w:rsidRPr="00041A72">
              <w:rPr>
                <w:bCs/>
                <w:sz w:val="18"/>
                <w:szCs w:val="18"/>
                <w:lang w:val="es-CO"/>
              </w:rPr>
              <w:t>2019</w:t>
            </w:r>
          </w:p>
        </w:tc>
        <w:tc>
          <w:tcPr>
            <w:tcW w:w="1530" w:type="dxa"/>
          </w:tcPr>
          <w:p w14:paraId="61EC9179" w14:textId="77777777" w:rsidR="00273A96" w:rsidRPr="00041A72" w:rsidRDefault="00273A96" w:rsidP="00273A96">
            <w:pPr>
              <w:ind w:firstLine="0"/>
              <w:jc w:val="left"/>
              <w:rPr>
                <w:bCs/>
                <w:sz w:val="18"/>
                <w:szCs w:val="18"/>
                <w:lang w:val="es-CO"/>
              </w:rPr>
            </w:pPr>
            <w:r w:rsidRPr="00041A72">
              <w:rPr>
                <w:bCs/>
                <w:sz w:val="18"/>
                <w:szCs w:val="18"/>
                <w:lang w:val="es-CO"/>
              </w:rPr>
              <w:t xml:space="preserve">SESAL en VIH y TB </w:t>
            </w:r>
          </w:p>
        </w:tc>
        <w:tc>
          <w:tcPr>
            <w:tcW w:w="540" w:type="dxa"/>
          </w:tcPr>
          <w:p w14:paraId="4B95A8CC" w14:textId="77777777" w:rsidR="00273A96" w:rsidRPr="00041A72" w:rsidRDefault="00273A96" w:rsidP="00273A96">
            <w:pPr>
              <w:ind w:firstLine="0"/>
              <w:jc w:val="left"/>
              <w:rPr>
                <w:bCs/>
                <w:sz w:val="18"/>
                <w:szCs w:val="18"/>
                <w:lang w:val="es-CO"/>
              </w:rPr>
            </w:pPr>
            <w:r w:rsidRPr="00041A72">
              <w:rPr>
                <w:bCs/>
                <w:sz w:val="18"/>
                <w:szCs w:val="18"/>
                <w:lang w:val="es-CO"/>
              </w:rPr>
              <w:t>Si</w:t>
            </w:r>
          </w:p>
        </w:tc>
        <w:tc>
          <w:tcPr>
            <w:tcW w:w="1440" w:type="dxa"/>
          </w:tcPr>
          <w:p w14:paraId="47796BC8" w14:textId="77777777" w:rsidR="00273A96" w:rsidRPr="00041A72" w:rsidRDefault="00273A96" w:rsidP="00273A96">
            <w:pPr>
              <w:ind w:firstLine="0"/>
              <w:jc w:val="left"/>
              <w:rPr>
                <w:bCs/>
                <w:sz w:val="18"/>
                <w:szCs w:val="18"/>
                <w:lang w:val="es-CO"/>
              </w:rPr>
            </w:pPr>
            <w:r w:rsidRPr="00041A72">
              <w:rPr>
                <w:bCs/>
                <w:sz w:val="18"/>
                <w:szCs w:val="18"/>
                <w:lang w:val="es-CO"/>
              </w:rPr>
              <w:t>30,000 USD</w:t>
            </w:r>
          </w:p>
        </w:tc>
        <w:tc>
          <w:tcPr>
            <w:tcW w:w="900" w:type="dxa"/>
          </w:tcPr>
          <w:p w14:paraId="1828B10C" w14:textId="1122560F" w:rsidR="00273A96" w:rsidRPr="00041A72" w:rsidRDefault="00273A96" w:rsidP="00273A96">
            <w:pPr>
              <w:ind w:firstLine="0"/>
              <w:jc w:val="left"/>
              <w:rPr>
                <w:sz w:val="18"/>
                <w:szCs w:val="18"/>
                <w:lang w:val="es-419"/>
              </w:rPr>
            </w:pPr>
            <w:r>
              <w:rPr>
                <w:bCs/>
                <w:sz w:val="18"/>
                <w:szCs w:val="18"/>
                <w:lang w:val="es-CO"/>
              </w:rPr>
              <w:t>PEPFARFM PNUD</w:t>
            </w:r>
          </w:p>
        </w:tc>
        <w:tc>
          <w:tcPr>
            <w:tcW w:w="1080" w:type="dxa"/>
            <w:vMerge w:val="restart"/>
          </w:tcPr>
          <w:p w14:paraId="4626F232" w14:textId="77777777" w:rsidR="00273A96" w:rsidRDefault="00273A96" w:rsidP="00273A96">
            <w:pPr>
              <w:ind w:firstLine="0"/>
              <w:jc w:val="left"/>
              <w:rPr>
                <w:sz w:val="18"/>
                <w:szCs w:val="18"/>
                <w:lang w:val="es-419"/>
              </w:rPr>
            </w:pPr>
            <w:r w:rsidRPr="00041A72">
              <w:rPr>
                <w:sz w:val="18"/>
                <w:szCs w:val="18"/>
                <w:lang w:val="es-419"/>
              </w:rPr>
              <w:t xml:space="preserve">PENSIDA </w:t>
            </w:r>
          </w:p>
          <w:p w14:paraId="0F9A40AA" w14:textId="77777777" w:rsidR="00273A96" w:rsidRDefault="00273A96" w:rsidP="00273A96">
            <w:pPr>
              <w:ind w:firstLine="0"/>
              <w:jc w:val="left"/>
              <w:rPr>
                <w:sz w:val="18"/>
                <w:szCs w:val="18"/>
                <w:lang w:val="es-419"/>
              </w:rPr>
            </w:pPr>
            <w:r w:rsidRPr="00041A72">
              <w:rPr>
                <w:sz w:val="18"/>
                <w:szCs w:val="18"/>
                <w:lang w:val="es-419"/>
              </w:rPr>
              <w:t xml:space="preserve">1.2.1 </w:t>
            </w:r>
          </w:p>
          <w:p w14:paraId="4FB10279" w14:textId="77777777" w:rsidR="00273A96" w:rsidRDefault="00273A96" w:rsidP="00273A96">
            <w:pPr>
              <w:ind w:firstLine="0"/>
              <w:jc w:val="left"/>
              <w:rPr>
                <w:sz w:val="18"/>
                <w:szCs w:val="18"/>
                <w:lang w:val="es-419"/>
              </w:rPr>
            </w:pPr>
            <w:proofErr w:type="spellStart"/>
            <w:r>
              <w:rPr>
                <w:sz w:val="18"/>
                <w:szCs w:val="18"/>
                <w:lang w:val="es-419"/>
              </w:rPr>
              <w:t>Eval</w:t>
            </w:r>
            <w:proofErr w:type="spellEnd"/>
            <w:r>
              <w:rPr>
                <w:sz w:val="18"/>
                <w:szCs w:val="18"/>
                <w:lang w:val="es-419"/>
              </w:rPr>
              <w:t xml:space="preserve">. </w:t>
            </w:r>
            <w:proofErr w:type="spellStart"/>
            <w:r>
              <w:rPr>
                <w:sz w:val="18"/>
                <w:szCs w:val="18"/>
                <w:lang w:val="es-419"/>
              </w:rPr>
              <w:t>Conj</w:t>
            </w:r>
            <w:proofErr w:type="spellEnd"/>
            <w:r>
              <w:rPr>
                <w:sz w:val="18"/>
                <w:szCs w:val="18"/>
                <w:lang w:val="es-419"/>
              </w:rPr>
              <w:t>.</w:t>
            </w:r>
          </w:p>
          <w:p w14:paraId="6C1CE795" w14:textId="20C37853" w:rsidR="00273A96" w:rsidRPr="00041A72" w:rsidRDefault="00273A96" w:rsidP="00273A96">
            <w:pPr>
              <w:ind w:firstLine="0"/>
              <w:jc w:val="left"/>
              <w:rPr>
                <w:sz w:val="18"/>
                <w:szCs w:val="18"/>
                <w:lang w:val="es-419"/>
              </w:rPr>
            </w:pPr>
            <w:r>
              <w:rPr>
                <w:sz w:val="18"/>
                <w:szCs w:val="18"/>
                <w:lang w:val="es-419"/>
              </w:rPr>
              <w:t>5.4.3</w:t>
            </w:r>
          </w:p>
        </w:tc>
        <w:tc>
          <w:tcPr>
            <w:tcW w:w="1365" w:type="dxa"/>
          </w:tcPr>
          <w:p w14:paraId="2BED313F" w14:textId="77777777" w:rsidR="00273A96" w:rsidRPr="00041A72" w:rsidRDefault="00273A96" w:rsidP="00273A96">
            <w:pPr>
              <w:ind w:firstLine="0"/>
              <w:jc w:val="left"/>
              <w:rPr>
                <w:bCs/>
                <w:sz w:val="18"/>
                <w:szCs w:val="18"/>
                <w:lang w:val="es-CO"/>
              </w:rPr>
            </w:pPr>
          </w:p>
        </w:tc>
      </w:tr>
      <w:tr w:rsidR="00273A96" w:rsidRPr="00041A72" w14:paraId="23EF422E" w14:textId="77777777" w:rsidTr="00AA78FE">
        <w:trPr>
          <w:trHeight w:val="980"/>
        </w:trPr>
        <w:tc>
          <w:tcPr>
            <w:tcW w:w="265" w:type="dxa"/>
            <w:vMerge/>
          </w:tcPr>
          <w:p w14:paraId="3C946408" w14:textId="77777777" w:rsidR="00273A96" w:rsidRPr="00D85B5A" w:rsidRDefault="00273A96" w:rsidP="00273A96">
            <w:pPr>
              <w:ind w:firstLine="0"/>
              <w:jc w:val="left"/>
              <w:rPr>
                <w:bCs/>
                <w:sz w:val="18"/>
                <w:szCs w:val="18"/>
                <w:lang w:val="es-CO"/>
              </w:rPr>
            </w:pPr>
          </w:p>
        </w:tc>
        <w:tc>
          <w:tcPr>
            <w:tcW w:w="2440" w:type="dxa"/>
            <w:vMerge/>
          </w:tcPr>
          <w:p w14:paraId="23CE5CED" w14:textId="77777777" w:rsidR="00273A96" w:rsidRPr="00D85B5A" w:rsidRDefault="00273A96" w:rsidP="00273A96">
            <w:pPr>
              <w:ind w:firstLine="0"/>
              <w:jc w:val="left"/>
              <w:rPr>
                <w:bCs/>
                <w:sz w:val="18"/>
                <w:szCs w:val="18"/>
                <w:lang w:val="es-CO"/>
              </w:rPr>
            </w:pPr>
          </w:p>
        </w:tc>
        <w:tc>
          <w:tcPr>
            <w:tcW w:w="440" w:type="dxa"/>
          </w:tcPr>
          <w:p w14:paraId="3ECFB7A8" w14:textId="76D5FA02" w:rsidR="00273A96" w:rsidRPr="00041A72" w:rsidRDefault="00273A96" w:rsidP="00273A96">
            <w:pPr>
              <w:ind w:firstLine="0"/>
              <w:jc w:val="left"/>
              <w:rPr>
                <w:bCs/>
                <w:sz w:val="18"/>
                <w:szCs w:val="18"/>
                <w:lang w:val="es-CO"/>
              </w:rPr>
            </w:pPr>
            <w:r>
              <w:rPr>
                <w:bCs/>
                <w:sz w:val="18"/>
                <w:szCs w:val="18"/>
                <w:lang w:val="es-CO"/>
              </w:rPr>
              <w:t>54</w:t>
            </w:r>
          </w:p>
        </w:tc>
        <w:tc>
          <w:tcPr>
            <w:tcW w:w="3780" w:type="dxa"/>
          </w:tcPr>
          <w:p w14:paraId="41C56D6A" w14:textId="77777777" w:rsidR="00273A96" w:rsidRPr="00041A72" w:rsidRDefault="00273A96" w:rsidP="00273A96">
            <w:pPr>
              <w:ind w:firstLine="0"/>
              <w:jc w:val="left"/>
              <w:rPr>
                <w:bCs/>
                <w:sz w:val="18"/>
                <w:szCs w:val="18"/>
                <w:lang w:val="es-CO"/>
              </w:rPr>
            </w:pPr>
            <w:r w:rsidRPr="00041A72">
              <w:rPr>
                <w:bCs/>
                <w:sz w:val="18"/>
                <w:szCs w:val="18"/>
                <w:lang w:val="es-CO"/>
              </w:rPr>
              <w:t xml:space="preserve">Creación del programa nacional de apoyo y sostenibilidad </w:t>
            </w:r>
          </w:p>
        </w:tc>
        <w:tc>
          <w:tcPr>
            <w:tcW w:w="630" w:type="dxa"/>
          </w:tcPr>
          <w:p w14:paraId="4E035CFD" w14:textId="77777777" w:rsidR="00273A96" w:rsidRPr="00041A72" w:rsidRDefault="00273A96" w:rsidP="00273A96">
            <w:pPr>
              <w:ind w:firstLine="0"/>
              <w:jc w:val="left"/>
              <w:rPr>
                <w:bCs/>
                <w:sz w:val="18"/>
                <w:szCs w:val="18"/>
                <w:lang w:val="es-CO"/>
              </w:rPr>
            </w:pPr>
            <w:r w:rsidRPr="00041A72">
              <w:rPr>
                <w:bCs/>
                <w:sz w:val="18"/>
                <w:szCs w:val="18"/>
                <w:lang w:val="es-CO"/>
              </w:rPr>
              <w:t>2020</w:t>
            </w:r>
          </w:p>
        </w:tc>
        <w:tc>
          <w:tcPr>
            <w:tcW w:w="1530" w:type="dxa"/>
          </w:tcPr>
          <w:p w14:paraId="72133BCF" w14:textId="77777777" w:rsidR="00273A96" w:rsidRPr="00041A72" w:rsidRDefault="00273A96" w:rsidP="00273A96">
            <w:pPr>
              <w:ind w:firstLine="0"/>
              <w:jc w:val="left"/>
              <w:rPr>
                <w:bCs/>
                <w:sz w:val="18"/>
                <w:szCs w:val="18"/>
                <w:lang w:val="es-CO"/>
              </w:rPr>
            </w:pPr>
            <w:r w:rsidRPr="00041A72">
              <w:rPr>
                <w:bCs/>
                <w:sz w:val="18"/>
                <w:szCs w:val="18"/>
                <w:lang w:val="es-CO"/>
              </w:rPr>
              <w:t xml:space="preserve">SESAL / Cooperación externa / empresa privada </w:t>
            </w:r>
          </w:p>
        </w:tc>
        <w:tc>
          <w:tcPr>
            <w:tcW w:w="540" w:type="dxa"/>
          </w:tcPr>
          <w:p w14:paraId="66EA7599" w14:textId="77777777" w:rsidR="00273A96" w:rsidRPr="00041A72" w:rsidRDefault="00273A96" w:rsidP="00273A96">
            <w:pPr>
              <w:ind w:firstLine="0"/>
              <w:jc w:val="left"/>
              <w:rPr>
                <w:bCs/>
                <w:sz w:val="18"/>
                <w:szCs w:val="18"/>
                <w:lang w:val="es-CO"/>
              </w:rPr>
            </w:pPr>
            <w:r w:rsidRPr="00041A72">
              <w:rPr>
                <w:bCs/>
                <w:sz w:val="18"/>
                <w:szCs w:val="18"/>
                <w:lang w:val="es-CO"/>
              </w:rPr>
              <w:t>Si</w:t>
            </w:r>
          </w:p>
        </w:tc>
        <w:tc>
          <w:tcPr>
            <w:tcW w:w="1440" w:type="dxa"/>
          </w:tcPr>
          <w:p w14:paraId="4BAE6318" w14:textId="0689A5BF" w:rsidR="00273A96" w:rsidRPr="00041A72" w:rsidRDefault="00273A96" w:rsidP="00273A96">
            <w:pPr>
              <w:ind w:firstLine="0"/>
              <w:jc w:val="left"/>
              <w:rPr>
                <w:bCs/>
                <w:sz w:val="18"/>
                <w:szCs w:val="18"/>
                <w:lang w:val="es-CO"/>
              </w:rPr>
            </w:pPr>
            <w:r w:rsidRPr="00041A72">
              <w:rPr>
                <w:bCs/>
                <w:sz w:val="18"/>
                <w:szCs w:val="18"/>
                <w:lang w:val="es-CO"/>
              </w:rPr>
              <w:t xml:space="preserve">7,400 USD </w:t>
            </w:r>
          </w:p>
        </w:tc>
        <w:tc>
          <w:tcPr>
            <w:tcW w:w="900" w:type="dxa"/>
          </w:tcPr>
          <w:p w14:paraId="7C1C7ADD" w14:textId="77777777" w:rsidR="00273A96" w:rsidRPr="00041A72" w:rsidRDefault="00273A96" w:rsidP="00273A96">
            <w:pPr>
              <w:ind w:firstLine="0"/>
              <w:jc w:val="left"/>
              <w:rPr>
                <w:bCs/>
                <w:sz w:val="18"/>
                <w:szCs w:val="18"/>
                <w:lang w:val="es-CO"/>
              </w:rPr>
            </w:pPr>
          </w:p>
        </w:tc>
        <w:tc>
          <w:tcPr>
            <w:tcW w:w="1080" w:type="dxa"/>
            <w:vMerge/>
          </w:tcPr>
          <w:p w14:paraId="6BA266BF" w14:textId="77777777" w:rsidR="00273A96" w:rsidRPr="00041A72" w:rsidRDefault="00273A96" w:rsidP="00273A96">
            <w:pPr>
              <w:ind w:firstLine="0"/>
              <w:jc w:val="left"/>
              <w:rPr>
                <w:bCs/>
                <w:sz w:val="18"/>
                <w:szCs w:val="18"/>
                <w:lang w:val="es-CO"/>
              </w:rPr>
            </w:pPr>
          </w:p>
        </w:tc>
        <w:tc>
          <w:tcPr>
            <w:tcW w:w="1365" w:type="dxa"/>
          </w:tcPr>
          <w:p w14:paraId="504C8DF8" w14:textId="77777777" w:rsidR="00273A96" w:rsidRPr="00041A72" w:rsidRDefault="00273A96" w:rsidP="00273A96">
            <w:pPr>
              <w:ind w:firstLine="0"/>
              <w:jc w:val="left"/>
              <w:rPr>
                <w:bCs/>
                <w:sz w:val="18"/>
                <w:szCs w:val="18"/>
                <w:lang w:val="es-CO"/>
              </w:rPr>
            </w:pPr>
          </w:p>
        </w:tc>
      </w:tr>
      <w:tr w:rsidR="00273A96" w:rsidRPr="00041A72" w14:paraId="149909C5" w14:textId="77777777" w:rsidTr="00527C5C">
        <w:trPr>
          <w:trHeight w:val="533"/>
        </w:trPr>
        <w:tc>
          <w:tcPr>
            <w:tcW w:w="265" w:type="dxa"/>
            <w:vMerge/>
          </w:tcPr>
          <w:p w14:paraId="7539CBDF" w14:textId="77777777" w:rsidR="00273A96" w:rsidRPr="00D85B5A" w:rsidRDefault="00273A96" w:rsidP="00273A96">
            <w:pPr>
              <w:ind w:firstLine="0"/>
              <w:jc w:val="left"/>
              <w:rPr>
                <w:bCs/>
                <w:sz w:val="18"/>
                <w:szCs w:val="18"/>
                <w:lang w:val="es-CO"/>
              </w:rPr>
            </w:pPr>
          </w:p>
        </w:tc>
        <w:tc>
          <w:tcPr>
            <w:tcW w:w="2440" w:type="dxa"/>
            <w:vMerge/>
          </w:tcPr>
          <w:p w14:paraId="454F1276" w14:textId="77777777" w:rsidR="00273A96" w:rsidRPr="00D85B5A" w:rsidRDefault="00273A96" w:rsidP="00273A96">
            <w:pPr>
              <w:ind w:firstLine="0"/>
              <w:jc w:val="left"/>
              <w:rPr>
                <w:bCs/>
                <w:sz w:val="18"/>
                <w:szCs w:val="18"/>
                <w:lang w:val="es-CO"/>
              </w:rPr>
            </w:pPr>
          </w:p>
        </w:tc>
        <w:tc>
          <w:tcPr>
            <w:tcW w:w="440" w:type="dxa"/>
          </w:tcPr>
          <w:p w14:paraId="05841ACD" w14:textId="344274D5" w:rsidR="00273A96" w:rsidRPr="00041A72" w:rsidRDefault="00273A96" w:rsidP="00273A96">
            <w:pPr>
              <w:ind w:firstLine="0"/>
              <w:jc w:val="left"/>
              <w:rPr>
                <w:bCs/>
                <w:sz w:val="18"/>
                <w:szCs w:val="18"/>
                <w:lang w:val="es-CO"/>
              </w:rPr>
            </w:pPr>
            <w:r>
              <w:rPr>
                <w:bCs/>
                <w:sz w:val="18"/>
                <w:szCs w:val="18"/>
                <w:lang w:val="es-CO"/>
              </w:rPr>
              <w:t>55</w:t>
            </w:r>
          </w:p>
        </w:tc>
        <w:tc>
          <w:tcPr>
            <w:tcW w:w="3780" w:type="dxa"/>
          </w:tcPr>
          <w:p w14:paraId="3804ED76" w14:textId="77777777" w:rsidR="00273A96" w:rsidRPr="00041A72" w:rsidRDefault="00273A96" w:rsidP="00273A96">
            <w:pPr>
              <w:ind w:firstLine="0"/>
              <w:jc w:val="left"/>
              <w:rPr>
                <w:bCs/>
                <w:sz w:val="18"/>
                <w:szCs w:val="18"/>
                <w:lang w:val="es-CO"/>
              </w:rPr>
            </w:pPr>
            <w:r w:rsidRPr="00041A72">
              <w:rPr>
                <w:bCs/>
                <w:sz w:val="18"/>
                <w:szCs w:val="18"/>
                <w:lang w:val="es-CO"/>
              </w:rPr>
              <w:t xml:space="preserve">Implementación del Programa Nacional de Apoyo y Sostenibilidad </w:t>
            </w:r>
          </w:p>
        </w:tc>
        <w:tc>
          <w:tcPr>
            <w:tcW w:w="630" w:type="dxa"/>
          </w:tcPr>
          <w:p w14:paraId="30168A2E" w14:textId="1DBC5C4C" w:rsidR="00273A96" w:rsidRPr="00041A72" w:rsidRDefault="00273A96" w:rsidP="00273A96">
            <w:pPr>
              <w:ind w:firstLine="0"/>
              <w:jc w:val="left"/>
              <w:rPr>
                <w:bCs/>
                <w:sz w:val="18"/>
                <w:szCs w:val="18"/>
                <w:lang w:val="es-CO"/>
              </w:rPr>
            </w:pPr>
            <w:r w:rsidRPr="00041A72">
              <w:rPr>
                <w:bCs/>
                <w:sz w:val="18"/>
                <w:szCs w:val="18"/>
                <w:lang w:val="es-CO"/>
              </w:rPr>
              <w:t>202</w:t>
            </w:r>
            <w:r>
              <w:rPr>
                <w:bCs/>
                <w:sz w:val="18"/>
                <w:szCs w:val="18"/>
                <w:lang w:val="es-CO"/>
              </w:rPr>
              <w:t>1</w:t>
            </w:r>
          </w:p>
        </w:tc>
        <w:tc>
          <w:tcPr>
            <w:tcW w:w="1530" w:type="dxa"/>
          </w:tcPr>
          <w:p w14:paraId="6BBFD708" w14:textId="6BBBCC6F" w:rsidR="00273A96" w:rsidRPr="00041A72" w:rsidRDefault="00273A96" w:rsidP="00273A96">
            <w:pPr>
              <w:ind w:firstLine="0"/>
              <w:jc w:val="left"/>
              <w:rPr>
                <w:bCs/>
                <w:sz w:val="18"/>
                <w:szCs w:val="18"/>
                <w:lang w:val="es-CO"/>
              </w:rPr>
            </w:pPr>
            <w:r w:rsidRPr="00041A72">
              <w:rPr>
                <w:bCs/>
                <w:sz w:val="18"/>
                <w:szCs w:val="18"/>
                <w:lang w:val="es-CO"/>
              </w:rPr>
              <w:t>SESAL</w:t>
            </w:r>
            <w:r>
              <w:rPr>
                <w:bCs/>
                <w:sz w:val="18"/>
                <w:szCs w:val="18"/>
                <w:lang w:val="es-CO"/>
              </w:rPr>
              <w:t>-</w:t>
            </w:r>
            <w:r w:rsidRPr="00041A72">
              <w:rPr>
                <w:bCs/>
                <w:sz w:val="18"/>
                <w:szCs w:val="18"/>
                <w:lang w:val="es-CO"/>
              </w:rPr>
              <w:t xml:space="preserve"> </w:t>
            </w:r>
            <w:r>
              <w:rPr>
                <w:bCs/>
                <w:sz w:val="18"/>
                <w:szCs w:val="18"/>
                <w:lang w:val="es-CO"/>
              </w:rPr>
              <w:t xml:space="preserve">OSC </w:t>
            </w:r>
            <w:r w:rsidRPr="00041A72">
              <w:rPr>
                <w:bCs/>
                <w:sz w:val="18"/>
                <w:szCs w:val="18"/>
                <w:lang w:val="es-CO"/>
              </w:rPr>
              <w:t xml:space="preserve">cooperación </w:t>
            </w:r>
            <w:r>
              <w:rPr>
                <w:bCs/>
                <w:sz w:val="18"/>
                <w:szCs w:val="18"/>
                <w:lang w:val="es-CO"/>
              </w:rPr>
              <w:t xml:space="preserve">- </w:t>
            </w:r>
            <w:r w:rsidRPr="00041A72">
              <w:rPr>
                <w:bCs/>
                <w:sz w:val="18"/>
                <w:szCs w:val="18"/>
                <w:lang w:val="es-CO"/>
              </w:rPr>
              <w:t xml:space="preserve">empresas </w:t>
            </w:r>
          </w:p>
        </w:tc>
        <w:tc>
          <w:tcPr>
            <w:tcW w:w="540" w:type="dxa"/>
          </w:tcPr>
          <w:p w14:paraId="39A94352" w14:textId="77777777" w:rsidR="00273A96" w:rsidRPr="00041A72" w:rsidRDefault="00273A96" w:rsidP="00273A96">
            <w:pPr>
              <w:ind w:firstLine="0"/>
              <w:jc w:val="left"/>
              <w:rPr>
                <w:bCs/>
                <w:sz w:val="18"/>
                <w:szCs w:val="18"/>
                <w:lang w:val="es-CO"/>
              </w:rPr>
            </w:pPr>
            <w:r w:rsidRPr="00041A72">
              <w:rPr>
                <w:bCs/>
                <w:sz w:val="18"/>
                <w:szCs w:val="18"/>
                <w:lang w:val="es-CO"/>
              </w:rPr>
              <w:t>No</w:t>
            </w:r>
          </w:p>
        </w:tc>
        <w:tc>
          <w:tcPr>
            <w:tcW w:w="1440" w:type="dxa"/>
          </w:tcPr>
          <w:p w14:paraId="2D886C8B" w14:textId="77777777" w:rsidR="00273A96" w:rsidRPr="00041A72" w:rsidRDefault="00273A96" w:rsidP="00273A96">
            <w:pPr>
              <w:ind w:firstLine="0"/>
              <w:jc w:val="left"/>
              <w:rPr>
                <w:bCs/>
                <w:sz w:val="18"/>
                <w:szCs w:val="18"/>
                <w:lang w:val="es-CO"/>
              </w:rPr>
            </w:pPr>
          </w:p>
        </w:tc>
        <w:tc>
          <w:tcPr>
            <w:tcW w:w="900" w:type="dxa"/>
          </w:tcPr>
          <w:p w14:paraId="65B8DC79" w14:textId="414A58C6" w:rsidR="00273A96" w:rsidRPr="00041A72" w:rsidRDefault="00273A96" w:rsidP="00273A96">
            <w:pPr>
              <w:ind w:firstLine="0"/>
              <w:jc w:val="left"/>
              <w:rPr>
                <w:bCs/>
                <w:sz w:val="18"/>
                <w:szCs w:val="18"/>
                <w:lang w:val="es-CO"/>
              </w:rPr>
            </w:pPr>
            <w:r>
              <w:rPr>
                <w:bCs/>
                <w:sz w:val="18"/>
                <w:szCs w:val="18"/>
                <w:lang w:val="es-CO"/>
              </w:rPr>
              <w:t>PNUD</w:t>
            </w:r>
          </w:p>
        </w:tc>
        <w:tc>
          <w:tcPr>
            <w:tcW w:w="1080" w:type="dxa"/>
            <w:vMerge/>
          </w:tcPr>
          <w:p w14:paraId="7FEEEED6" w14:textId="77777777" w:rsidR="00273A96" w:rsidRPr="00041A72" w:rsidRDefault="00273A96" w:rsidP="00273A96">
            <w:pPr>
              <w:ind w:firstLine="0"/>
              <w:jc w:val="left"/>
              <w:rPr>
                <w:bCs/>
                <w:sz w:val="18"/>
                <w:szCs w:val="18"/>
                <w:lang w:val="es-CO"/>
              </w:rPr>
            </w:pPr>
          </w:p>
        </w:tc>
        <w:tc>
          <w:tcPr>
            <w:tcW w:w="1365" w:type="dxa"/>
          </w:tcPr>
          <w:p w14:paraId="0C4D82A1" w14:textId="77777777" w:rsidR="00273A96" w:rsidRPr="00041A72" w:rsidRDefault="00273A96" w:rsidP="00273A96">
            <w:pPr>
              <w:ind w:firstLine="0"/>
              <w:jc w:val="left"/>
              <w:rPr>
                <w:bCs/>
                <w:sz w:val="18"/>
                <w:szCs w:val="18"/>
                <w:lang w:val="es-CO"/>
              </w:rPr>
            </w:pPr>
          </w:p>
        </w:tc>
      </w:tr>
      <w:tr w:rsidR="00273A96" w:rsidRPr="00041A72" w14:paraId="6EB8887A" w14:textId="77777777" w:rsidTr="005F374D">
        <w:trPr>
          <w:trHeight w:val="632"/>
        </w:trPr>
        <w:tc>
          <w:tcPr>
            <w:tcW w:w="265" w:type="dxa"/>
            <w:vMerge/>
          </w:tcPr>
          <w:p w14:paraId="2031B4EF" w14:textId="1C54ECDD" w:rsidR="00273A96" w:rsidRPr="00D85B5A" w:rsidRDefault="00273A96" w:rsidP="00273A96">
            <w:pPr>
              <w:ind w:firstLine="0"/>
              <w:jc w:val="left"/>
              <w:rPr>
                <w:bCs/>
                <w:sz w:val="18"/>
                <w:szCs w:val="18"/>
                <w:lang w:val="es-CO"/>
              </w:rPr>
            </w:pPr>
          </w:p>
        </w:tc>
        <w:tc>
          <w:tcPr>
            <w:tcW w:w="2440" w:type="dxa"/>
            <w:vMerge/>
          </w:tcPr>
          <w:p w14:paraId="2DF6EE12" w14:textId="035CDB47" w:rsidR="00273A96" w:rsidRPr="00D85B5A" w:rsidRDefault="00273A96" w:rsidP="00273A96">
            <w:pPr>
              <w:ind w:firstLine="0"/>
              <w:jc w:val="left"/>
              <w:rPr>
                <w:bCs/>
                <w:sz w:val="18"/>
                <w:szCs w:val="18"/>
                <w:lang w:val="es-MX"/>
              </w:rPr>
            </w:pPr>
          </w:p>
        </w:tc>
        <w:tc>
          <w:tcPr>
            <w:tcW w:w="440" w:type="dxa"/>
          </w:tcPr>
          <w:p w14:paraId="7517F9AF" w14:textId="415412F1" w:rsidR="00273A96" w:rsidRPr="00041A72" w:rsidRDefault="00273A96" w:rsidP="00273A96">
            <w:pPr>
              <w:ind w:firstLine="0"/>
              <w:jc w:val="left"/>
              <w:rPr>
                <w:bCs/>
                <w:sz w:val="18"/>
                <w:szCs w:val="18"/>
                <w:lang w:val="es-CO"/>
              </w:rPr>
            </w:pPr>
            <w:r>
              <w:rPr>
                <w:bCs/>
                <w:sz w:val="18"/>
                <w:szCs w:val="18"/>
                <w:lang w:val="es-CO"/>
              </w:rPr>
              <w:t>56</w:t>
            </w:r>
          </w:p>
        </w:tc>
        <w:tc>
          <w:tcPr>
            <w:tcW w:w="3780" w:type="dxa"/>
          </w:tcPr>
          <w:p w14:paraId="33D2A3EA" w14:textId="576749B1" w:rsidR="00273A96" w:rsidRPr="00041A72" w:rsidRDefault="00273A96" w:rsidP="00273A96">
            <w:pPr>
              <w:ind w:firstLine="0"/>
              <w:jc w:val="left"/>
              <w:rPr>
                <w:bCs/>
                <w:sz w:val="18"/>
                <w:szCs w:val="18"/>
                <w:lang w:val="es-CO"/>
              </w:rPr>
            </w:pPr>
            <w:r w:rsidRPr="00041A72">
              <w:rPr>
                <w:bCs/>
                <w:sz w:val="18"/>
                <w:szCs w:val="18"/>
                <w:lang w:val="es-CO"/>
              </w:rPr>
              <w:t>Desarrollo de un Plan SESAL/CONASIDA para financiar la participación de OSC en eventos regionales de sociedad civil en VIH y TB</w:t>
            </w:r>
          </w:p>
        </w:tc>
        <w:tc>
          <w:tcPr>
            <w:tcW w:w="630" w:type="dxa"/>
          </w:tcPr>
          <w:p w14:paraId="32E70CDE" w14:textId="77777777" w:rsidR="00273A96" w:rsidRPr="00041A72" w:rsidRDefault="00273A96" w:rsidP="00273A96">
            <w:pPr>
              <w:ind w:firstLine="0"/>
              <w:jc w:val="left"/>
              <w:rPr>
                <w:bCs/>
                <w:sz w:val="18"/>
                <w:szCs w:val="18"/>
                <w:lang w:val="es-CO"/>
              </w:rPr>
            </w:pPr>
            <w:r w:rsidRPr="00041A72">
              <w:rPr>
                <w:bCs/>
                <w:sz w:val="18"/>
                <w:szCs w:val="18"/>
                <w:lang w:val="es-CO"/>
              </w:rPr>
              <w:t>2019</w:t>
            </w:r>
          </w:p>
        </w:tc>
        <w:tc>
          <w:tcPr>
            <w:tcW w:w="1530" w:type="dxa"/>
          </w:tcPr>
          <w:p w14:paraId="64E577B7" w14:textId="0755DC5E" w:rsidR="00273A96" w:rsidRPr="00041A72" w:rsidRDefault="00273A96" w:rsidP="00273A96">
            <w:pPr>
              <w:ind w:firstLine="0"/>
              <w:jc w:val="left"/>
              <w:rPr>
                <w:bCs/>
                <w:sz w:val="18"/>
                <w:szCs w:val="18"/>
                <w:lang w:val="es-CO"/>
              </w:rPr>
            </w:pPr>
            <w:r>
              <w:rPr>
                <w:bCs/>
                <w:sz w:val="18"/>
                <w:szCs w:val="18"/>
                <w:lang w:val="es-CO"/>
              </w:rPr>
              <w:t xml:space="preserve">Coaliciones de </w:t>
            </w:r>
            <w:proofErr w:type="spellStart"/>
            <w:r>
              <w:rPr>
                <w:bCs/>
                <w:sz w:val="18"/>
                <w:szCs w:val="18"/>
                <w:lang w:val="es-CO"/>
              </w:rPr>
              <w:t>OSCs</w:t>
            </w:r>
            <w:proofErr w:type="spellEnd"/>
          </w:p>
        </w:tc>
        <w:tc>
          <w:tcPr>
            <w:tcW w:w="540" w:type="dxa"/>
          </w:tcPr>
          <w:p w14:paraId="522E83DE" w14:textId="77777777" w:rsidR="00273A96" w:rsidRPr="00041A72" w:rsidRDefault="00273A96" w:rsidP="00273A96">
            <w:pPr>
              <w:ind w:firstLine="0"/>
              <w:jc w:val="left"/>
              <w:rPr>
                <w:bCs/>
                <w:sz w:val="18"/>
                <w:szCs w:val="18"/>
                <w:lang w:val="es-CO"/>
              </w:rPr>
            </w:pPr>
            <w:r w:rsidRPr="00041A72">
              <w:rPr>
                <w:bCs/>
                <w:sz w:val="18"/>
                <w:szCs w:val="18"/>
                <w:lang w:val="es-CO"/>
              </w:rPr>
              <w:t>No</w:t>
            </w:r>
          </w:p>
        </w:tc>
        <w:tc>
          <w:tcPr>
            <w:tcW w:w="1440" w:type="dxa"/>
          </w:tcPr>
          <w:p w14:paraId="5D85B410" w14:textId="77777777" w:rsidR="00273A96" w:rsidRPr="00041A72" w:rsidRDefault="00273A96" w:rsidP="00273A96">
            <w:pPr>
              <w:ind w:firstLine="0"/>
              <w:jc w:val="left"/>
              <w:rPr>
                <w:bCs/>
                <w:sz w:val="18"/>
                <w:szCs w:val="18"/>
                <w:lang w:val="es-CO"/>
              </w:rPr>
            </w:pPr>
          </w:p>
        </w:tc>
        <w:tc>
          <w:tcPr>
            <w:tcW w:w="900" w:type="dxa"/>
          </w:tcPr>
          <w:p w14:paraId="6D59B089" w14:textId="77B6650E" w:rsidR="00273A96" w:rsidRPr="00EC5CB8" w:rsidRDefault="00273A96" w:rsidP="00273A96">
            <w:pPr>
              <w:ind w:firstLine="0"/>
              <w:jc w:val="left"/>
              <w:rPr>
                <w:bCs/>
                <w:sz w:val="18"/>
                <w:szCs w:val="18"/>
                <w:lang w:val="es-CO"/>
              </w:rPr>
            </w:pPr>
          </w:p>
        </w:tc>
        <w:tc>
          <w:tcPr>
            <w:tcW w:w="1080" w:type="dxa"/>
            <w:vMerge/>
          </w:tcPr>
          <w:p w14:paraId="24D67919" w14:textId="78F537A0" w:rsidR="00273A96" w:rsidRPr="00EC5CB8" w:rsidRDefault="00273A96" w:rsidP="00273A96">
            <w:pPr>
              <w:ind w:firstLine="0"/>
              <w:jc w:val="left"/>
              <w:rPr>
                <w:bCs/>
                <w:sz w:val="18"/>
                <w:szCs w:val="18"/>
                <w:lang w:val="es-CO"/>
              </w:rPr>
            </w:pPr>
          </w:p>
        </w:tc>
        <w:tc>
          <w:tcPr>
            <w:tcW w:w="1365" w:type="dxa"/>
          </w:tcPr>
          <w:p w14:paraId="52F07B57" w14:textId="77777777" w:rsidR="00273A96" w:rsidRPr="00041A72" w:rsidRDefault="00273A96" w:rsidP="00273A96">
            <w:pPr>
              <w:ind w:firstLine="0"/>
              <w:jc w:val="left"/>
              <w:rPr>
                <w:bCs/>
                <w:sz w:val="18"/>
                <w:szCs w:val="18"/>
                <w:lang w:val="es-CO"/>
              </w:rPr>
            </w:pPr>
          </w:p>
        </w:tc>
      </w:tr>
      <w:tr w:rsidR="00273A96" w:rsidRPr="00041A72" w14:paraId="30B8235C" w14:textId="77777777" w:rsidTr="001964E4">
        <w:trPr>
          <w:trHeight w:val="970"/>
        </w:trPr>
        <w:tc>
          <w:tcPr>
            <w:tcW w:w="265" w:type="dxa"/>
            <w:vMerge/>
          </w:tcPr>
          <w:p w14:paraId="3B56AF00" w14:textId="77777777" w:rsidR="00273A96" w:rsidRPr="00041A72" w:rsidRDefault="00273A96" w:rsidP="00273A96">
            <w:pPr>
              <w:ind w:firstLine="0"/>
              <w:jc w:val="left"/>
              <w:rPr>
                <w:b/>
                <w:bCs/>
                <w:sz w:val="18"/>
                <w:szCs w:val="18"/>
                <w:lang w:val="es-CO"/>
              </w:rPr>
            </w:pPr>
          </w:p>
        </w:tc>
        <w:tc>
          <w:tcPr>
            <w:tcW w:w="2440" w:type="dxa"/>
            <w:vMerge/>
          </w:tcPr>
          <w:p w14:paraId="07845CBC" w14:textId="77777777" w:rsidR="00273A96" w:rsidRPr="00041A72" w:rsidRDefault="00273A96" w:rsidP="00273A96">
            <w:pPr>
              <w:ind w:firstLine="0"/>
              <w:jc w:val="left"/>
              <w:rPr>
                <w:b/>
                <w:bCs/>
                <w:sz w:val="18"/>
                <w:szCs w:val="18"/>
                <w:lang w:val="es-ES"/>
              </w:rPr>
            </w:pPr>
          </w:p>
        </w:tc>
        <w:tc>
          <w:tcPr>
            <w:tcW w:w="440" w:type="dxa"/>
          </w:tcPr>
          <w:p w14:paraId="7BE64194" w14:textId="0A12740E" w:rsidR="00273A96" w:rsidRPr="00041A72" w:rsidRDefault="00273A96" w:rsidP="00273A96">
            <w:pPr>
              <w:ind w:firstLine="0"/>
              <w:jc w:val="left"/>
              <w:rPr>
                <w:bCs/>
                <w:sz w:val="18"/>
                <w:szCs w:val="18"/>
                <w:lang w:val="es-CO"/>
              </w:rPr>
            </w:pPr>
            <w:r>
              <w:rPr>
                <w:bCs/>
                <w:sz w:val="18"/>
                <w:szCs w:val="18"/>
                <w:lang w:val="es-CO"/>
              </w:rPr>
              <w:t>57</w:t>
            </w:r>
          </w:p>
        </w:tc>
        <w:tc>
          <w:tcPr>
            <w:tcW w:w="3780" w:type="dxa"/>
          </w:tcPr>
          <w:p w14:paraId="4B6ECE31" w14:textId="3082DF12" w:rsidR="00273A96" w:rsidRPr="00041A72" w:rsidRDefault="00273A96" w:rsidP="00273A96">
            <w:pPr>
              <w:ind w:firstLine="0"/>
              <w:jc w:val="left"/>
              <w:rPr>
                <w:bCs/>
                <w:sz w:val="18"/>
                <w:szCs w:val="18"/>
                <w:lang w:val="es-CO"/>
              </w:rPr>
            </w:pPr>
            <w:r w:rsidRPr="00041A72">
              <w:rPr>
                <w:bCs/>
                <w:sz w:val="18"/>
                <w:szCs w:val="18"/>
                <w:lang w:val="es-CO"/>
              </w:rPr>
              <w:t>Taller regional en Honduras sobre intercambio de políticas y experiencias de financiamiento y participación de las OSC en la prestación de servicios de salud y sociales</w:t>
            </w:r>
          </w:p>
        </w:tc>
        <w:tc>
          <w:tcPr>
            <w:tcW w:w="630" w:type="dxa"/>
          </w:tcPr>
          <w:p w14:paraId="74E8F85A" w14:textId="3A7CFEAE" w:rsidR="00273A96" w:rsidRPr="00041A72" w:rsidRDefault="00273A96" w:rsidP="00273A96">
            <w:pPr>
              <w:ind w:firstLine="0"/>
              <w:jc w:val="left"/>
              <w:rPr>
                <w:bCs/>
                <w:sz w:val="18"/>
                <w:szCs w:val="18"/>
                <w:lang w:val="es-CO"/>
              </w:rPr>
            </w:pPr>
            <w:r>
              <w:rPr>
                <w:bCs/>
                <w:sz w:val="18"/>
                <w:szCs w:val="18"/>
                <w:lang w:val="es-CO"/>
              </w:rPr>
              <w:t>2020</w:t>
            </w:r>
          </w:p>
        </w:tc>
        <w:tc>
          <w:tcPr>
            <w:tcW w:w="1530" w:type="dxa"/>
          </w:tcPr>
          <w:p w14:paraId="288C8AA2" w14:textId="557DBC6F" w:rsidR="00273A96" w:rsidRPr="00041A72" w:rsidRDefault="00273A96" w:rsidP="00273A96">
            <w:pPr>
              <w:ind w:firstLine="0"/>
              <w:jc w:val="left"/>
              <w:rPr>
                <w:bCs/>
                <w:sz w:val="18"/>
                <w:szCs w:val="18"/>
                <w:lang w:val="es-CO"/>
              </w:rPr>
            </w:pPr>
            <w:r>
              <w:rPr>
                <w:bCs/>
                <w:sz w:val="18"/>
                <w:szCs w:val="18"/>
                <w:lang w:val="es-CO"/>
              </w:rPr>
              <w:t xml:space="preserve">Coaliciones de </w:t>
            </w:r>
            <w:proofErr w:type="spellStart"/>
            <w:r>
              <w:rPr>
                <w:bCs/>
                <w:sz w:val="18"/>
                <w:szCs w:val="18"/>
                <w:lang w:val="es-CO"/>
              </w:rPr>
              <w:t>OSCs</w:t>
            </w:r>
            <w:proofErr w:type="spellEnd"/>
          </w:p>
        </w:tc>
        <w:tc>
          <w:tcPr>
            <w:tcW w:w="540" w:type="dxa"/>
          </w:tcPr>
          <w:p w14:paraId="32AF3F18" w14:textId="5BDE3C26" w:rsidR="00273A96" w:rsidRPr="00041A72" w:rsidRDefault="00273A96" w:rsidP="00273A96">
            <w:pPr>
              <w:ind w:firstLine="0"/>
              <w:jc w:val="left"/>
              <w:rPr>
                <w:bCs/>
                <w:sz w:val="18"/>
                <w:szCs w:val="18"/>
                <w:lang w:val="es-CO"/>
              </w:rPr>
            </w:pPr>
            <w:r>
              <w:rPr>
                <w:bCs/>
                <w:sz w:val="18"/>
                <w:szCs w:val="18"/>
                <w:lang w:val="es-CO"/>
              </w:rPr>
              <w:t>Sí</w:t>
            </w:r>
          </w:p>
        </w:tc>
        <w:tc>
          <w:tcPr>
            <w:tcW w:w="1440" w:type="dxa"/>
          </w:tcPr>
          <w:p w14:paraId="0814582F" w14:textId="4369EAA2" w:rsidR="00273A96" w:rsidRPr="00041A72" w:rsidRDefault="00273A96" w:rsidP="00273A96">
            <w:pPr>
              <w:ind w:firstLine="0"/>
              <w:jc w:val="left"/>
              <w:rPr>
                <w:bCs/>
                <w:sz w:val="18"/>
                <w:szCs w:val="18"/>
                <w:lang w:val="es-CO"/>
              </w:rPr>
            </w:pPr>
            <w:r>
              <w:rPr>
                <w:bCs/>
                <w:sz w:val="18"/>
                <w:szCs w:val="18"/>
                <w:lang w:val="es-CO"/>
              </w:rPr>
              <w:t>7,400 USD</w:t>
            </w:r>
          </w:p>
        </w:tc>
        <w:tc>
          <w:tcPr>
            <w:tcW w:w="900" w:type="dxa"/>
          </w:tcPr>
          <w:p w14:paraId="0F87BC19" w14:textId="0AD7C66E" w:rsidR="00273A96" w:rsidRPr="00041A72" w:rsidRDefault="00273A96" w:rsidP="00273A96">
            <w:pPr>
              <w:ind w:firstLine="0"/>
              <w:jc w:val="left"/>
              <w:rPr>
                <w:bCs/>
                <w:sz w:val="18"/>
                <w:szCs w:val="18"/>
                <w:lang w:val="es-419"/>
              </w:rPr>
            </w:pPr>
            <w:r>
              <w:rPr>
                <w:bCs/>
                <w:sz w:val="18"/>
                <w:szCs w:val="18"/>
                <w:lang w:val="es-419"/>
              </w:rPr>
              <w:t>PNUD</w:t>
            </w:r>
          </w:p>
        </w:tc>
        <w:tc>
          <w:tcPr>
            <w:tcW w:w="1080" w:type="dxa"/>
            <w:vMerge/>
          </w:tcPr>
          <w:p w14:paraId="6547C753" w14:textId="77777777" w:rsidR="00273A96" w:rsidRPr="00041A72" w:rsidRDefault="00273A96" w:rsidP="00273A96">
            <w:pPr>
              <w:ind w:firstLine="0"/>
              <w:jc w:val="left"/>
              <w:rPr>
                <w:bCs/>
                <w:sz w:val="18"/>
                <w:szCs w:val="18"/>
                <w:lang w:val="es-419"/>
              </w:rPr>
            </w:pPr>
          </w:p>
        </w:tc>
        <w:tc>
          <w:tcPr>
            <w:tcW w:w="1365" w:type="dxa"/>
          </w:tcPr>
          <w:p w14:paraId="0DB6967E" w14:textId="77777777" w:rsidR="00273A96" w:rsidRPr="00041A72" w:rsidRDefault="00273A96" w:rsidP="00273A96">
            <w:pPr>
              <w:ind w:firstLine="0"/>
              <w:jc w:val="left"/>
              <w:rPr>
                <w:bCs/>
                <w:sz w:val="18"/>
                <w:szCs w:val="18"/>
                <w:lang w:val="es-CO"/>
              </w:rPr>
            </w:pPr>
          </w:p>
        </w:tc>
      </w:tr>
      <w:tr w:rsidR="00273A96" w:rsidRPr="00041A72" w14:paraId="3BA6F772" w14:textId="77777777" w:rsidTr="00527C5C">
        <w:trPr>
          <w:trHeight w:val="128"/>
        </w:trPr>
        <w:tc>
          <w:tcPr>
            <w:tcW w:w="14410" w:type="dxa"/>
            <w:gridSpan w:val="11"/>
            <w:shd w:val="clear" w:color="auto" w:fill="1F4E79" w:themeFill="accent1" w:themeFillShade="80"/>
          </w:tcPr>
          <w:p w14:paraId="3674D89E" w14:textId="7E25174F" w:rsidR="00273A96" w:rsidRPr="002F6D6D" w:rsidRDefault="00273A96" w:rsidP="00273A96">
            <w:pPr>
              <w:ind w:firstLine="0"/>
              <w:jc w:val="left"/>
              <w:rPr>
                <w:rFonts w:asciiTheme="majorHAnsi" w:hAnsiTheme="majorHAnsi" w:cstheme="majorHAnsi"/>
                <w:b/>
                <w:color w:val="FFFFFF" w:themeColor="background1"/>
                <w:sz w:val="24"/>
                <w:lang w:val="es-CO"/>
              </w:rPr>
            </w:pPr>
            <w:r>
              <w:rPr>
                <w:rFonts w:asciiTheme="majorHAnsi" w:hAnsiTheme="majorHAnsi" w:cstheme="majorHAnsi"/>
                <w:b/>
                <w:color w:val="FFFFFF" w:themeColor="background1"/>
                <w:sz w:val="24"/>
                <w:lang w:val="es-CO"/>
              </w:rPr>
              <w:t>(V) Generar un entorno</w:t>
            </w:r>
            <w:r w:rsidRPr="002F6D6D">
              <w:rPr>
                <w:rFonts w:asciiTheme="majorHAnsi" w:hAnsiTheme="majorHAnsi" w:cstheme="majorHAnsi"/>
                <w:b/>
                <w:color w:val="FFFFFF" w:themeColor="background1"/>
                <w:sz w:val="24"/>
                <w:lang w:val="es-CO"/>
              </w:rPr>
              <w:t xml:space="preserve"> </w:t>
            </w:r>
            <w:r>
              <w:rPr>
                <w:rFonts w:asciiTheme="majorHAnsi" w:hAnsiTheme="majorHAnsi" w:cstheme="majorHAnsi"/>
                <w:b/>
                <w:color w:val="FFFFFF" w:themeColor="background1"/>
                <w:sz w:val="24"/>
                <w:lang w:val="es-CO"/>
              </w:rPr>
              <w:t>p</w:t>
            </w:r>
            <w:r w:rsidRPr="002F6D6D">
              <w:rPr>
                <w:rFonts w:asciiTheme="majorHAnsi" w:hAnsiTheme="majorHAnsi" w:cstheme="majorHAnsi"/>
                <w:b/>
                <w:color w:val="FFFFFF" w:themeColor="background1"/>
                <w:sz w:val="24"/>
                <w:lang w:val="es-CO"/>
              </w:rPr>
              <w:t>olític</w:t>
            </w:r>
            <w:r>
              <w:rPr>
                <w:rFonts w:asciiTheme="majorHAnsi" w:hAnsiTheme="majorHAnsi" w:cstheme="majorHAnsi"/>
                <w:b/>
                <w:color w:val="FFFFFF" w:themeColor="background1"/>
                <w:sz w:val="24"/>
                <w:lang w:val="es-CO"/>
              </w:rPr>
              <w:t>o</w:t>
            </w:r>
            <w:r w:rsidRPr="002F6D6D">
              <w:rPr>
                <w:rFonts w:asciiTheme="majorHAnsi" w:hAnsiTheme="majorHAnsi" w:cstheme="majorHAnsi"/>
                <w:b/>
                <w:color w:val="FFFFFF" w:themeColor="background1"/>
                <w:sz w:val="24"/>
                <w:lang w:val="es-CO"/>
              </w:rPr>
              <w:t>,</w:t>
            </w:r>
            <w:r>
              <w:rPr>
                <w:rFonts w:asciiTheme="majorHAnsi" w:hAnsiTheme="majorHAnsi" w:cstheme="majorHAnsi"/>
                <w:b/>
                <w:color w:val="FFFFFF" w:themeColor="background1"/>
                <w:sz w:val="24"/>
                <w:lang w:val="es-CO"/>
              </w:rPr>
              <w:t xml:space="preserve"> regulatorio</w:t>
            </w:r>
            <w:r w:rsidRPr="002F6D6D">
              <w:rPr>
                <w:rFonts w:asciiTheme="majorHAnsi" w:hAnsiTheme="majorHAnsi" w:cstheme="majorHAnsi"/>
                <w:b/>
                <w:color w:val="FFFFFF" w:themeColor="background1"/>
                <w:sz w:val="24"/>
                <w:lang w:val="es-CO"/>
              </w:rPr>
              <w:t xml:space="preserve"> y </w:t>
            </w:r>
            <w:r>
              <w:rPr>
                <w:rFonts w:asciiTheme="majorHAnsi" w:hAnsiTheme="majorHAnsi" w:cstheme="majorHAnsi"/>
                <w:b/>
                <w:color w:val="FFFFFF" w:themeColor="background1"/>
                <w:sz w:val="24"/>
                <w:lang w:val="es-CO"/>
              </w:rPr>
              <w:t>g</w:t>
            </w:r>
            <w:r w:rsidRPr="002F6D6D">
              <w:rPr>
                <w:rFonts w:asciiTheme="majorHAnsi" w:hAnsiTheme="majorHAnsi" w:cstheme="majorHAnsi"/>
                <w:b/>
                <w:color w:val="FFFFFF" w:themeColor="background1"/>
                <w:sz w:val="24"/>
                <w:lang w:val="es-CO"/>
              </w:rPr>
              <w:t>obernanza</w:t>
            </w:r>
            <w:r>
              <w:rPr>
                <w:rFonts w:asciiTheme="majorHAnsi" w:hAnsiTheme="majorHAnsi" w:cstheme="majorHAnsi"/>
                <w:b/>
                <w:color w:val="FFFFFF" w:themeColor="background1"/>
                <w:sz w:val="24"/>
                <w:lang w:val="es-CO"/>
              </w:rPr>
              <w:t xml:space="preserve"> favorable a la atención del VIH y TB</w:t>
            </w:r>
          </w:p>
        </w:tc>
      </w:tr>
      <w:tr w:rsidR="00273A96" w:rsidRPr="00041A72" w14:paraId="5C1E4AB4" w14:textId="77777777" w:rsidTr="00527C5C">
        <w:trPr>
          <w:trHeight w:val="389"/>
        </w:trPr>
        <w:tc>
          <w:tcPr>
            <w:tcW w:w="14410" w:type="dxa"/>
            <w:gridSpan w:val="11"/>
            <w:shd w:val="clear" w:color="auto" w:fill="DEEAF6" w:themeFill="accent1" w:themeFillTint="33"/>
          </w:tcPr>
          <w:p w14:paraId="494AF824" w14:textId="2379FEED" w:rsidR="00273A96" w:rsidRPr="00970162" w:rsidRDefault="00273A96" w:rsidP="00273A96">
            <w:pPr>
              <w:ind w:firstLine="0"/>
              <w:jc w:val="left"/>
              <w:rPr>
                <w:rFonts w:asciiTheme="majorHAnsi" w:hAnsiTheme="majorHAnsi" w:cstheme="majorHAnsi"/>
                <w:b/>
                <w:sz w:val="20"/>
                <w:lang w:val="es-ES"/>
              </w:rPr>
            </w:pPr>
            <w:r w:rsidRPr="00970162">
              <w:rPr>
                <w:rFonts w:asciiTheme="majorHAnsi" w:hAnsiTheme="majorHAnsi" w:cstheme="majorHAnsi"/>
                <w:b/>
                <w:sz w:val="20"/>
                <w:lang w:val="es-ES"/>
              </w:rPr>
              <w:t>Objetivo 7. Mejorar la rendición de cuentas y capacidad técnica de alto nivel para los servicios de VIH y TB</w:t>
            </w:r>
          </w:p>
        </w:tc>
      </w:tr>
      <w:tr w:rsidR="00273A96" w:rsidRPr="00041A72" w14:paraId="22763C04" w14:textId="77777777" w:rsidTr="00994F8B">
        <w:trPr>
          <w:trHeight w:val="548"/>
        </w:trPr>
        <w:tc>
          <w:tcPr>
            <w:tcW w:w="265" w:type="dxa"/>
            <w:shd w:val="clear" w:color="auto" w:fill="F2F2F2" w:themeFill="background1" w:themeFillShade="F2"/>
          </w:tcPr>
          <w:p w14:paraId="4951DE35" w14:textId="77777777" w:rsidR="00273A96" w:rsidRPr="00041A72" w:rsidRDefault="00273A96" w:rsidP="00273A96">
            <w:pPr>
              <w:ind w:firstLine="0"/>
              <w:jc w:val="left"/>
              <w:rPr>
                <w:bCs/>
                <w:sz w:val="18"/>
                <w:szCs w:val="18"/>
                <w:lang w:val="es-CO"/>
              </w:rPr>
            </w:pPr>
          </w:p>
        </w:tc>
        <w:tc>
          <w:tcPr>
            <w:tcW w:w="2440" w:type="dxa"/>
            <w:shd w:val="clear" w:color="auto" w:fill="F2F2F2" w:themeFill="background1" w:themeFillShade="F2"/>
          </w:tcPr>
          <w:p w14:paraId="64C67523" w14:textId="40594305" w:rsidR="00273A96" w:rsidRPr="00041A72" w:rsidRDefault="00273A96" w:rsidP="00273A96">
            <w:pPr>
              <w:ind w:firstLine="0"/>
              <w:jc w:val="left"/>
              <w:rPr>
                <w:bCs/>
                <w:sz w:val="18"/>
                <w:szCs w:val="18"/>
                <w:lang w:val="es-CO"/>
              </w:rPr>
            </w:pPr>
            <w:r w:rsidRPr="00041A72">
              <w:rPr>
                <w:b/>
                <w:bCs/>
                <w:sz w:val="18"/>
                <w:szCs w:val="18"/>
                <w:lang w:val="es-CO"/>
              </w:rPr>
              <w:t>Acciones</w:t>
            </w:r>
          </w:p>
        </w:tc>
        <w:tc>
          <w:tcPr>
            <w:tcW w:w="440" w:type="dxa"/>
            <w:shd w:val="clear" w:color="auto" w:fill="F2F2F2" w:themeFill="background1" w:themeFillShade="F2"/>
          </w:tcPr>
          <w:p w14:paraId="2C88B069" w14:textId="3B6CE8F0" w:rsidR="00273A96" w:rsidRPr="00041A72" w:rsidRDefault="00273A96" w:rsidP="00273A96">
            <w:pPr>
              <w:ind w:firstLine="0"/>
              <w:jc w:val="left"/>
              <w:rPr>
                <w:bCs/>
                <w:sz w:val="18"/>
                <w:szCs w:val="18"/>
                <w:lang w:val="es-CO"/>
              </w:rPr>
            </w:pPr>
            <w:proofErr w:type="spellStart"/>
            <w:r w:rsidRPr="00041A72">
              <w:rPr>
                <w:b/>
                <w:bCs/>
                <w:sz w:val="18"/>
                <w:szCs w:val="18"/>
                <w:lang w:val="es-CO"/>
              </w:rPr>
              <w:t>N</w:t>
            </w:r>
            <w:r>
              <w:rPr>
                <w:b/>
                <w:bCs/>
                <w:sz w:val="18"/>
                <w:szCs w:val="18"/>
                <w:lang w:val="es-CO"/>
              </w:rPr>
              <w:t>°</w:t>
            </w:r>
            <w:proofErr w:type="spellEnd"/>
          </w:p>
        </w:tc>
        <w:tc>
          <w:tcPr>
            <w:tcW w:w="3780" w:type="dxa"/>
            <w:shd w:val="clear" w:color="auto" w:fill="F2F2F2" w:themeFill="background1" w:themeFillShade="F2"/>
          </w:tcPr>
          <w:p w14:paraId="12E466D1" w14:textId="630CEE0A" w:rsidR="00273A96" w:rsidRPr="00041A72" w:rsidRDefault="00273A96" w:rsidP="00273A96">
            <w:pPr>
              <w:ind w:firstLine="0"/>
              <w:jc w:val="left"/>
              <w:rPr>
                <w:bCs/>
                <w:sz w:val="18"/>
                <w:szCs w:val="18"/>
                <w:lang w:val="es-CO"/>
              </w:rPr>
            </w:pPr>
            <w:r w:rsidRPr="00041A72">
              <w:rPr>
                <w:b/>
                <w:bCs/>
                <w:sz w:val="18"/>
                <w:szCs w:val="18"/>
                <w:lang w:val="es-CO"/>
              </w:rPr>
              <w:t>Actividades</w:t>
            </w:r>
          </w:p>
        </w:tc>
        <w:tc>
          <w:tcPr>
            <w:tcW w:w="630" w:type="dxa"/>
            <w:shd w:val="clear" w:color="auto" w:fill="F2F2F2" w:themeFill="background1" w:themeFillShade="F2"/>
          </w:tcPr>
          <w:p w14:paraId="5F491C04" w14:textId="7761B8D8" w:rsidR="00273A96" w:rsidRPr="00041A72" w:rsidRDefault="00273A96" w:rsidP="00273A96">
            <w:pPr>
              <w:ind w:firstLine="0"/>
              <w:jc w:val="left"/>
              <w:rPr>
                <w:bCs/>
                <w:sz w:val="18"/>
                <w:szCs w:val="18"/>
                <w:lang w:val="es-CO"/>
              </w:rPr>
            </w:pPr>
            <w:r w:rsidRPr="00041A72">
              <w:rPr>
                <w:b/>
                <w:bCs/>
                <w:sz w:val="18"/>
                <w:szCs w:val="18"/>
                <w:lang w:val="es-CO"/>
              </w:rPr>
              <w:t>Año</w:t>
            </w:r>
            <w:r w:rsidRPr="00361102">
              <w:rPr>
                <w:b/>
                <w:bCs/>
                <w:sz w:val="18"/>
                <w:szCs w:val="18"/>
                <w:lang w:val="es-CO"/>
              </w:rPr>
              <w:t>/s</w:t>
            </w:r>
          </w:p>
        </w:tc>
        <w:tc>
          <w:tcPr>
            <w:tcW w:w="1530" w:type="dxa"/>
            <w:shd w:val="clear" w:color="auto" w:fill="F2F2F2" w:themeFill="background1" w:themeFillShade="F2"/>
          </w:tcPr>
          <w:p w14:paraId="12C4B938" w14:textId="5EEDCFBF" w:rsidR="00273A96" w:rsidRPr="00041A72" w:rsidRDefault="00273A96" w:rsidP="00273A96">
            <w:pPr>
              <w:ind w:firstLine="0"/>
              <w:jc w:val="left"/>
              <w:rPr>
                <w:bCs/>
                <w:sz w:val="18"/>
                <w:szCs w:val="18"/>
                <w:lang w:val="es-CO"/>
              </w:rPr>
            </w:pPr>
            <w:r w:rsidRPr="00041A72">
              <w:rPr>
                <w:b/>
                <w:bCs/>
                <w:sz w:val="18"/>
                <w:szCs w:val="18"/>
                <w:lang w:val="es-CO"/>
              </w:rPr>
              <w:t>Entidad/es responsable/s</w:t>
            </w:r>
          </w:p>
        </w:tc>
        <w:tc>
          <w:tcPr>
            <w:tcW w:w="540" w:type="dxa"/>
            <w:shd w:val="clear" w:color="auto" w:fill="F2F2F2" w:themeFill="background1" w:themeFillShade="F2"/>
          </w:tcPr>
          <w:p w14:paraId="2002652C" w14:textId="2C174536" w:rsidR="00273A96" w:rsidRPr="00041A72" w:rsidRDefault="00273A96" w:rsidP="00273A96">
            <w:pPr>
              <w:ind w:firstLine="0"/>
              <w:jc w:val="left"/>
              <w:rPr>
                <w:b/>
                <w:bCs/>
                <w:sz w:val="18"/>
                <w:szCs w:val="18"/>
                <w:lang w:val="es-CO"/>
              </w:rPr>
            </w:pPr>
            <w:r w:rsidRPr="00041A72">
              <w:rPr>
                <w:b/>
                <w:bCs/>
                <w:sz w:val="18"/>
                <w:szCs w:val="18"/>
                <w:lang w:val="es-CO"/>
              </w:rPr>
              <w:t>AT</w:t>
            </w:r>
          </w:p>
        </w:tc>
        <w:tc>
          <w:tcPr>
            <w:tcW w:w="1440" w:type="dxa"/>
            <w:shd w:val="clear" w:color="auto" w:fill="F2F2F2" w:themeFill="background1" w:themeFillShade="F2"/>
          </w:tcPr>
          <w:p w14:paraId="16F01BEF" w14:textId="51073E98" w:rsidR="00273A96" w:rsidRPr="00041A72" w:rsidRDefault="00273A96" w:rsidP="00273A96">
            <w:pPr>
              <w:ind w:firstLine="0"/>
              <w:jc w:val="left"/>
              <w:rPr>
                <w:b/>
                <w:bCs/>
                <w:sz w:val="18"/>
                <w:szCs w:val="18"/>
                <w:lang w:val="es-CO"/>
              </w:rPr>
            </w:pPr>
            <w:r w:rsidRPr="00041A72">
              <w:rPr>
                <w:b/>
                <w:bCs/>
                <w:sz w:val="18"/>
                <w:szCs w:val="18"/>
                <w:lang w:val="es-CO"/>
              </w:rPr>
              <w:t>Financiamiento requerido</w:t>
            </w:r>
          </w:p>
        </w:tc>
        <w:tc>
          <w:tcPr>
            <w:tcW w:w="900" w:type="dxa"/>
            <w:shd w:val="clear" w:color="auto" w:fill="F2F2F2" w:themeFill="background1" w:themeFillShade="F2"/>
          </w:tcPr>
          <w:p w14:paraId="7BA3ED60" w14:textId="77777777" w:rsidR="00273A96" w:rsidRPr="00041A72" w:rsidRDefault="00273A96" w:rsidP="00273A96">
            <w:pPr>
              <w:spacing w:before="0" w:after="0"/>
              <w:ind w:firstLine="0"/>
              <w:jc w:val="left"/>
              <w:rPr>
                <w:b/>
                <w:bCs/>
                <w:sz w:val="18"/>
                <w:szCs w:val="18"/>
                <w:lang w:val="es-CO"/>
              </w:rPr>
            </w:pPr>
            <w:r w:rsidRPr="00041A72">
              <w:rPr>
                <w:b/>
                <w:bCs/>
                <w:sz w:val="18"/>
                <w:szCs w:val="18"/>
                <w:lang w:val="es-CO"/>
              </w:rPr>
              <w:t>Fuentes de financia-</w:t>
            </w:r>
          </w:p>
          <w:p w14:paraId="146C563A" w14:textId="5AD6722F" w:rsidR="00273A96" w:rsidRPr="00041A72" w:rsidRDefault="00273A96" w:rsidP="00273A96">
            <w:pPr>
              <w:spacing w:before="0" w:after="0"/>
              <w:ind w:firstLine="0"/>
              <w:jc w:val="left"/>
              <w:rPr>
                <w:b/>
                <w:bCs/>
                <w:sz w:val="18"/>
                <w:szCs w:val="18"/>
                <w:lang w:val="es-CO"/>
              </w:rPr>
            </w:pPr>
            <w:r w:rsidRPr="00041A72">
              <w:rPr>
                <w:b/>
                <w:bCs/>
                <w:sz w:val="18"/>
                <w:szCs w:val="18"/>
                <w:lang w:val="es-CO"/>
              </w:rPr>
              <w:t>miento</w:t>
            </w:r>
          </w:p>
        </w:tc>
        <w:tc>
          <w:tcPr>
            <w:tcW w:w="1080" w:type="dxa"/>
            <w:shd w:val="clear" w:color="auto" w:fill="F2F2F2" w:themeFill="background1" w:themeFillShade="F2"/>
          </w:tcPr>
          <w:p w14:paraId="1B349D9A" w14:textId="1C7702E2" w:rsidR="00273A96" w:rsidRPr="00041A72" w:rsidRDefault="00273A96" w:rsidP="00273A96">
            <w:pPr>
              <w:ind w:firstLine="0"/>
              <w:jc w:val="left"/>
              <w:rPr>
                <w:b/>
                <w:bCs/>
                <w:sz w:val="18"/>
                <w:szCs w:val="18"/>
                <w:lang w:val="es-CO"/>
              </w:rPr>
            </w:pPr>
            <w:r w:rsidRPr="00041A72">
              <w:rPr>
                <w:b/>
                <w:bCs/>
                <w:sz w:val="18"/>
                <w:szCs w:val="18"/>
                <w:lang w:val="es-CO"/>
              </w:rPr>
              <w:t>Alineación con Planes Nacionales</w:t>
            </w:r>
          </w:p>
        </w:tc>
        <w:tc>
          <w:tcPr>
            <w:tcW w:w="1365" w:type="dxa"/>
            <w:shd w:val="clear" w:color="auto" w:fill="F2F2F2" w:themeFill="background1" w:themeFillShade="F2"/>
          </w:tcPr>
          <w:p w14:paraId="4C8EEF11" w14:textId="1A3EAA44" w:rsidR="00273A96" w:rsidRPr="00041A72" w:rsidRDefault="00273A96" w:rsidP="00273A96">
            <w:pPr>
              <w:ind w:firstLine="0"/>
              <w:jc w:val="left"/>
              <w:rPr>
                <w:bCs/>
                <w:sz w:val="18"/>
                <w:szCs w:val="18"/>
                <w:lang w:val="es-CO"/>
              </w:rPr>
            </w:pPr>
            <w:r w:rsidRPr="00041A72">
              <w:rPr>
                <w:b/>
                <w:bCs/>
                <w:sz w:val="18"/>
                <w:szCs w:val="18"/>
                <w:lang w:val="es-CO"/>
              </w:rPr>
              <w:t>Indicador de proceso</w:t>
            </w:r>
          </w:p>
        </w:tc>
      </w:tr>
      <w:tr w:rsidR="00273A96" w:rsidRPr="00041A72" w14:paraId="744CEED4" w14:textId="77777777" w:rsidTr="00535EF2">
        <w:trPr>
          <w:trHeight w:val="665"/>
        </w:trPr>
        <w:tc>
          <w:tcPr>
            <w:tcW w:w="265" w:type="dxa"/>
            <w:vMerge w:val="restart"/>
          </w:tcPr>
          <w:p w14:paraId="05BBD0A5" w14:textId="1307D0FD" w:rsidR="00273A96" w:rsidRPr="00AF14D4" w:rsidRDefault="00273A96" w:rsidP="00273A96">
            <w:pPr>
              <w:ind w:firstLine="0"/>
              <w:jc w:val="left"/>
              <w:rPr>
                <w:bCs/>
                <w:sz w:val="18"/>
                <w:szCs w:val="18"/>
                <w:lang w:val="es-CO"/>
              </w:rPr>
            </w:pPr>
            <w:r>
              <w:rPr>
                <w:bCs/>
                <w:sz w:val="18"/>
                <w:szCs w:val="18"/>
                <w:lang w:val="es-CO"/>
              </w:rPr>
              <w:lastRenderedPageBreak/>
              <w:t>z</w:t>
            </w:r>
          </w:p>
        </w:tc>
        <w:tc>
          <w:tcPr>
            <w:tcW w:w="2440" w:type="dxa"/>
            <w:vMerge w:val="restart"/>
          </w:tcPr>
          <w:p w14:paraId="114000CB" w14:textId="20D9C445" w:rsidR="00273A96" w:rsidRPr="00AF14D4" w:rsidRDefault="00273A96" w:rsidP="00273A96">
            <w:pPr>
              <w:ind w:firstLine="0"/>
              <w:jc w:val="left"/>
              <w:rPr>
                <w:sz w:val="18"/>
                <w:szCs w:val="18"/>
                <w:lang w:val="es-419"/>
              </w:rPr>
            </w:pPr>
            <w:r w:rsidRPr="00A35F73">
              <w:rPr>
                <w:sz w:val="18"/>
                <w:szCs w:val="18"/>
                <w:lang w:val="es-CO"/>
              </w:rPr>
              <w:t>Reactivar instancias directas dentro de la SESAL responsables de la coordinación de las acciones en VIH y TB</w:t>
            </w:r>
          </w:p>
        </w:tc>
        <w:tc>
          <w:tcPr>
            <w:tcW w:w="440" w:type="dxa"/>
          </w:tcPr>
          <w:p w14:paraId="5F6B1DB9" w14:textId="38D6F45C" w:rsidR="00273A96" w:rsidRPr="00041A72" w:rsidRDefault="00273A96" w:rsidP="00273A96">
            <w:pPr>
              <w:ind w:firstLine="0"/>
              <w:jc w:val="left"/>
              <w:rPr>
                <w:bCs/>
                <w:sz w:val="18"/>
                <w:szCs w:val="18"/>
                <w:lang w:val="es-CO"/>
              </w:rPr>
            </w:pPr>
            <w:r>
              <w:rPr>
                <w:bCs/>
                <w:sz w:val="18"/>
                <w:szCs w:val="18"/>
                <w:lang w:val="es-CO"/>
              </w:rPr>
              <w:t>58</w:t>
            </w:r>
          </w:p>
        </w:tc>
        <w:tc>
          <w:tcPr>
            <w:tcW w:w="3780" w:type="dxa"/>
          </w:tcPr>
          <w:p w14:paraId="2B6021F8" w14:textId="23AFB97E" w:rsidR="00273A96" w:rsidRPr="00041A72" w:rsidRDefault="00273A96" w:rsidP="00273A96">
            <w:pPr>
              <w:ind w:firstLine="0"/>
              <w:jc w:val="left"/>
              <w:rPr>
                <w:bCs/>
                <w:sz w:val="18"/>
                <w:szCs w:val="18"/>
                <w:lang w:val="es-CO"/>
              </w:rPr>
            </w:pPr>
            <w:r w:rsidRPr="00041A72">
              <w:rPr>
                <w:bCs/>
                <w:sz w:val="18"/>
                <w:szCs w:val="18"/>
                <w:lang w:val="es-CO"/>
              </w:rPr>
              <w:t xml:space="preserve">Elaboración del Acuerdo del Programa Nacional de VIH para su reactivación </w:t>
            </w:r>
          </w:p>
        </w:tc>
        <w:tc>
          <w:tcPr>
            <w:tcW w:w="630" w:type="dxa"/>
          </w:tcPr>
          <w:p w14:paraId="2203DFD1" w14:textId="77777777" w:rsidR="00273A96" w:rsidRPr="00041A72" w:rsidRDefault="00273A96" w:rsidP="00273A96">
            <w:pPr>
              <w:ind w:firstLine="0"/>
              <w:jc w:val="left"/>
              <w:rPr>
                <w:bCs/>
                <w:sz w:val="18"/>
                <w:szCs w:val="18"/>
                <w:lang w:val="es-CO"/>
              </w:rPr>
            </w:pPr>
            <w:r w:rsidRPr="00041A72">
              <w:rPr>
                <w:sz w:val="18"/>
                <w:szCs w:val="18"/>
                <w:lang w:val="es-CO"/>
              </w:rPr>
              <w:t>2019</w:t>
            </w:r>
          </w:p>
        </w:tc>
        <w:tc>
          <w:tcPr>
            <w:tcW w:w="1530" w:type="dxa"/>
          </w:tcPr>
          <w:p w14:paraId="09AE1BA9" w14:textId="77777777" w:rsidR="00273A96" w:rsidRPr="00041A72" w:rsidRDefault="00273A96" w:rsidP="00273A96">
            <w:pPr>
              <w:ind w:firstLine="0"/>
              <w:jc w:val="left"/>
              <w:rPr>
                <w:bCs/>
                <w:sz w:val="18"/>
                <w:szCs w:val="18"/>
                <w:lang w:val="es-CO"/>
              </w:rPr>
            </w:pPr>
            <w:r w:rsidRPr="00041A72">
              <w:rPr>
                <w:sz w:val="18"/>
                <w:szCs w:val="18"/>
                <w:lang w:val="es-CO"/>
              </w:rPr>
              <w:t>SESAL, CONASIDA</w:t>
            </w:r>
          </w:p>
        </w:tc>
        <w:tc>
          <w:tcPr>
            <w:tcW w:w="540" w:type="dxa"/>
          </w:tcPr>
          <w:p w14:paraId="7767E7DA" w14:textId="77777777" w:rsidR="00273A96" w:rsidRPr="00041A72" w:rsidRDefault="00273A96" w:rsidP="00273A96">
            <w:pPr>
              <w:ind w:firstLine="0"/>
              <w:jc w:val="left"/>
              <w:rPr>
                <w:sz w:val="18"/>
                <w:szCs w:val="18"/>
                <w:lang w:val="es-CO"/>
              </w:rPr>
            </w:pPr>
            <w:r w:rsidRPr="00041A72">
              <w:rPr>
                <w:sz w:val="18"/>
                <w:szCs w:val="18"/>
                <w:lang w:val="es-CO"/>
              </w:rPr>
              <w:t>No</w:t>
            </w:r>
          </w:p>
        </w:tc>
        <w:tc>
          <w:tcPr>
            <w:tcW w:w="1440" w:type="dxa"/>
          </w:tcPr>
          <w:p w14:paraId="68367EA5" w14:textId="77777777" w:rsidR="00273A96" w:rsidRPr="00041A72" w:rsidRDefault="00273A96" w:rsidP="00273A96">
            <w:pPr>
              <w:ind w:firstLine="0"/>
              <w:jc w:val="left"/>
              <w:rPr>
                <w:sz w:val="18"/>
                <w:szCs w:val="18"/>
                <w:lang w:val="es-CO"/>
              </w:rPr>
            </w:pPr>
          </w:p>
        </w:tc>
        <w:tc>
          <w:tcPr>
            <w:tcW w:w="900" w:type="dxa"/>
          </w:tcPr>
          <w:p w14:paraId="0DA561E0" w14:textId="77777777" w:rsidR="00273A96" w:rsidRPr="00041A72" w:rsidRDefault="00273A96" w:rsidP="00273A96">
            <w:pPr>
              <w:ind w:firstLine="0"/>
              <w:jc w:val="left"/>
              <w:rPr>
                <w:sz w:val="18"/>
                <w:szCs w:val="18"/>
                <w:lang w:val="es-419"/>
              </w:rPr>
            </w:pPr>
          </w:p>
        </w:tc>
        <w:tc>
          <w:tcPr>
            <w:tcW w:w="1080" w:type="dxa"/>
            <w:vMerge w:val="restart"/>
          </w:tcPr>
          <w:p w14:paraId="1CA8915D" w14:textId="77777777" w:rsidR="00273A96" w:rsidRPr="00041A72" w:rsidRDefault="00273A96" w:rsidP="00273A96">
            <w:pPr>
              <w:ind w:firstLine="0"/>
              <w:jc w:val="left"/>
              <w:rPr>
                <w:sz w:val="18"/>
                <w:szCs w:val="18"/>
                <w:lang w:val="es-CO"/>
              </w:rPr>
            </w:pPr>
            <w:r w:rsidRPr="00041A72">
              <w:rPr>
                <w:sz w:val="18"/>
                <w:szCs w:val="18"/>
                <w:lang w:val="es-419"/>
              </w:rPr>
              <w:t xml:space="preserve">PENSIDA 1.2.1 </w:t>
            </w:r>
          </w:p>
          <w:p w14:paraId="09DD5F1A" w14:textId="77777777" w:rsidR="00273A96" w:rsidRPr="00041A72" w:rsidRDefault="00273A96" w:rsidP="00273A96">
            <w:pPr>
              <w:ind w:firstLine="0"/>
              <w:jc w:val="left"/>
              <w:rPr>
                <w:sz w:val="18"/>
                <w:szCs w:val="18"/>
                <w:lang w:val="es-CO"/>
              </w:rPr>
            </w:pPr>
          </w:p>
        </w:tc>
        <w:tc>
          <w:tcPr>
            <w:tcW w:w="1365" w:type="dxa"/>
          </w:tcPr>
          <w:p w14:paraId="0C961269" w14:textId="77777777" w:rsidR="00273A96" w:rsidRPr="00041A72" w:rsidRDefault="00273A96" w:rsidP="00273A96">
            <w:pPr>
              <w:ind w:firstLine="0"/>
              <w:jc w:val="left"/>
              <w:rPr>
                <w:b/>
                <w:bCs/>
                <w:sz w:val="18"/>
                <w:szCs w:val="18"/>
                <w:lang w:val="es-CO"/>
              </w:rPr>
            </w:pPr>
            <w:r w:rsidRPr="00041A72">
              <w:rPr>
                <w:sz w:val="18"/>
                <w:szCs w:val="18"/>
                <w:lang w:val="es-CO"/>
              </w:rPr>
              <w:t>Existencia del Acuerdo de Reactivación</w:t>
            </w:r>
          </w:p>
        </w:tc>
      </w:tr>
      <w:tr w:rsidR="00273A96" w:rsidRPr="00041A72" w14:paraId="6E245B9F" w14:textId="77777777" w:rsidTr="00527C5C">
        <w:trPr>
          <w:trHeight w:val="857"/>
        </w:trPr>
        <w:tc>
          <w:tcPr>
            <w:tcW w:w="265" w:type="dxa"/>
            <w:vMerge/>
          </w:tcPr>
          <w:p w14:paraId="1B3B5F03" w14:textId="77777777" w:rsidR="00273A96" w:rsidRPr="00041A72" w:rsidRDefault="00273A96" w:rsidP="00273A96">
            <w:pPr>
              <w:ind w:firstLine="0"/>
              <w:jc w:val="left"/>
              <w:rPr>
                <w:bCs/>
                <w:sz w:val="18"/>
                <w:szCs w:val="18"/>
                <w:lang w:val="es-CO"/>
              </w:rPr>
            </w:pPr>
          </w:p>
        </w:tc>
        <w:tc>
          <w:tcPr>
            <w:tcW w:w="2440" w:type="dxa"/>
            <w:vMerge/>
          </w:tcPr>
          <w:p w14:paraId="4FB8B09C" w14:textId="77777777" w:rsidR="00273A96" w:rsidRPr="00041A72" w:rsidRDefault="00273A96" w:rsidP="00273A96">
            <w:pPr>
              <w:ind w:firstLine="0"/>
              <w:jc w:val="left"/>
              <w:rPr>
                <w:b/>
                <w:bCs/>
                <w:sz w:val="18"/>
                <w:szCs w:val="18"/>
                <w:lang w:val="es-CO"/>
              </w:rPr>
            </w:pPr>
          </w:p>
        </w:tc>
        <w:tc>
          <w:tcPr>
            <w:tcW w:w="440" w:type="dxa"/>
          </w:tcPr>
          <w:p w14:paraId="7B5C2530" w14:textId="4735EE99" w:rsidR="00273A96" w:rsidRPr="00041A72" w:rsidRDefault="00273A96" w:rsidP="00273A96">
            <w:pPr>
              <w:ind w:firstLine="0"/>
              <w:jc w:val="left"/>
              <w:rPr>
                <w:bCs/>
                <w:sz w:val="18"/>
                <w:szCs w:val="18"/>
                <w:lang w:val="es-CO"/>
              </w:rPr>
            </w:pPr>
            <w:r>
              <w:rPr>
                <w:bCs/>
                <w:sz w:val="18"/>
                <w:szCs w:val="18"/>
                <w:lang w:val="es-CO"/>
              </w:rPr>
              <w:t>59</w:t>
            </w:r>
          </w:p>
        </w:tc>
        <w:tc>
          <w:tcPr>
            <w:tcW w:w="3780" w:type="dxa"/>
          </w:tcPr>
          <w:p w14:paraId="190B9E72" w14:textId="354812B5" w:rsidR="00273A96" w:rsidRPr="00041A72" w:rsidRDefault="00273A96" w:rsidP="00273A96">
            <w:pPr>
              <w:ind w:firstLine="0"/>
              <w:jc w:val="left"/>
              <w:rPr>
                <w:bCs/>
                <w:sz w:val="18"/>
                <w:szCs w:val="18"/>
                <w:lang w:val="es-CO"/>
              </w:rPr>
            </w:pPr>
            <w:r>
              <w:rPr>
                <w:bCs/>
                <w:sz w:val="18"/>
                <w:szCs w:val="18"/>
                <w:lang w:val="es-CO"/>
              </w:rPr>
              <w:t>Análisis de las funciones a integrar nuevamente dentro de los programas de control de enfermedad (ventajas y desventajas de integración)</w:t>
            </w:r>
          </w:p>
        </w:tc>
        <w:tc>
          <w:tcPr>
            <w:tcW w:w="630" w:type="dxa"/>
          </w:tcPr>
          <w:p w14:paraId="6DCA4691" w14:textId="09927602" w:rsidR="00273A96" w:rsidRPr="00041A72" w:rsidRDefault="00273A96" w:rsidP="00273A96">
            <w:pPr>
              <w:ind w:firstLine="0"/>
              <w:jc w:val="left"/>
              <w:rPr>
                <w:sz w:val="18"/>
                <w:szCs w:val="18"/>
                <w:lang w:val="es-CO"/>
              </w:rPr>
            </w:pPr>
            <w:r>
              <w:rPr>
                <w:sz w:val="18"/>
                <w:szCs w:val="18"/>
                <w:lang w:val="es-CO"/>
              </w:rPr>
              <w:t>2019</w:t>
            </w:r>
          </w:p>
        </w:tc>
        <w:tc>
          <w:tcPr>
            <w:tcW w:w="1530" w:type="dxa"/>
          </w:tcPr>
          <w:p w14:paraId="040209A3" w14:textId="67D987A5" w:rsidR="00273A96" w:rsidRPr="00041A72" w:rsidRDefault="00273A96" w:rsidP="00273A96">
            <w:pPr>
              <w:ind w:firstLine="0"/>
              <w:jc w:val="left"/>
              <w:rPr>
                <w:sz w:val="18"/>
                <w:szCs w:val="18"/>
                <w:lang w:val="es-CO"/>
              </w:rPr>
            </w:pPr>
            <w:r w:rsidRPr="00041A72">
              <w:rPr>
                <w:sz w:val="18"/>
                <w:szCs w:val="18"/>
                <w:lang w:val="es-CO"/>
              </w:rPr>
              <w:t>SESAL, CONASIDA</w:t>
            </w:r>
          </w:p>
        </w:tc>
        <w:tc>
          <w:tcPr>
            <w:tcW w:w="540" w:type="dxa"/>
          </w:tcPr>
          <w:p w14:paraId="5D38677D" w14:textId="0A6BF3C4" w:rsidR="00273A96" w:rsidRPr="00041A72" w:rsidRDefault="00273A96" w:rsidP="00273A96">
            <w:pPr>
              <w:ind w:firstLine="0"/>
              <w:jc w:val="left"/>
              <w:rPr>
                <w:sz w:val="18"/>
                <w:szCs w:val="18"/>
                <w:lang w:val="es-CO"/>
              </w:rPr>
            </w:pPr>
            <w:r>
              <w:rPr>
                <w:sz w:val="18"/>
                <w:szCs w:val="18"/>
                <w:lang w:val="es-CO"/>
              </w:rPr>
              <w:t>Si</w:t>
            </w:r>
          </w:p>
        </w:tc>
        <w:tc>
          <w:tcPr>
            <w:tcW w:w="1440" w:type="dxa"/>
          </w:tcPr>
          <w:p w14:paraId="57E705DE" w14:textId="47ED624B" w:rsidR="00273A96" w:rsidRPr="00041A72" w:rsidRDefault="00273A96" w:rsidP="00273A96">
            <w:pPr>
              <w:ind w:firstLine="0"/>
              <w:jc w:val="left"/>
              <w:rPr>
                <w:sz w:val="18"/>
                <w:szCs w:val="18"/>
                <w:lang w:val="es-CO"/>
              </w:rPr>
            </w:pPr>
            <w:r>
              <w:rPr>
                <w:sz w:val="18"/>
                <w:szCs w:val="18"/>
                <w:lang w:val="es-CO"/>
              </w:rPr>
              <w:t>25,000-30,000 USD</w:t>
            </w:r>
          </w:p>
        </w:tc>
        <w:tc>
          <w:tcPr>
            <w:tcW w:w="900" w:type="dxa"/>
          </w:tcPr>
          <w:p w14:paraId="54D8FF39" w14:textId="0EAF97AA" w:rsidR="00273A96" w:rsidRPr="00041A72" w:rsidRDefault="00273A96" w:rsidP="00273A96">
            <w:pPr>
              <w:ind w:firstLine="0"/>
              <w:jc w:val="left"/>
              <w:rPr>
                <w:sz w:val="18"/>
                <w:szCs w:val="18"/>
                <w:lang w:val="es-CO"/>
              </w:rPr>
            </w:pPr>
            <w:r>
              <w:rPr>
                <w:sz w:val="18"/>
                <w:szCs w:val="18"/>
                <w:lang w:val="es-CO"/>
              </w:rPr>
              <w:t>BM, OPS, FM</w:t>
            </w:r>
          </w:p>
        </w:tc>
        <w:tc>
          <w:tcPr>
            <w:tcW w:w="1080" w:type="dxa"/>
            <w:vMerge/>
          </w:tcPr>
          <w:p w14:paraId="23C404ED" w14:textId="77777777" w:rsidR="00273A96" w:rsidRPr="00041A72" w:rsidRDefault="00273A96" w:rsidP="00273A96">
            <w:pPr>
              <w:ind w:firstLine="0"/>
              <w:jc w:val="left"/>
              <w:rPr>
                <w:sz w:val="18"/>
                <w:szCs w:val="18"/>
                <w:lang w:val="es-CO"/>
              </w:rPr>
            </w:pPr>
          </w:p>
        </w:tc>
        <w:tc>
          <w:tcPr>
            <w:tcW w:w="1365" w:type="dxa"/>
          </w:tcPr>
          <w:p w14:paraId="31FDBC0F" w14:textId="079554A0" w:rsidR="00273A96" w:rsidRPr="00041A72" w:rsidRDefault="00273A96" w:rsidP="00273A96">
            <w:pPr>
              <w:ind w:firstLine="0"/>
              <w:jc w:val="left"/>
              <w:rPr>
                <w:sz w:val="18"/>
                <w:szCs w:val="18"/>
                <w:lang w:val="es-CO"/>
              </w:rPr>
            </w:pPr>
          </w:p>
        </w:tc>
      </w:tr>
      <w:tr w:rsidR="00273A96" w:rsidRPr="00041A72" w14:paraId="6C1FF45E" w14:textId="77777777" w:rsidTr="00527C5C">
        <w:trPr>
          <w:trHeight w:val="857"/>
        </w:trPr>
        <w:tc>
          <w:tcPr>
            <w:tcW w:w="265" w:type="dxa"/>
            <w:vMerge/>
          </w:tcPr>
          <w:p w14:paraId="4B945D9C" w14:textId="77777777" w:rsidR="00273A96" w:rsidRPr="00041A72" w:rsidRDefault="00273A96" w:rsidP="00273A96">
            <w:pPr>
              <w:ind w:firstLine="0"/>
              <w:jc w:val="left"/>
              <w:rPr>
                <w:bCs/>
                <w:sz w:val="18"/>
                <w:szCs w:val="18"/>
                <w:lang w:val="es-CO"/>
              </w:rPr>
            </w:pPr>
          </w:p>
        </w:tc>
        <w:tc>
          <w:tcPr>
            <w:tcW w:w="2440" w:type="dxa"/>
            <w:vMerge/>
          </w:tcPr>
          <w:p w14:paraId="15D7F640" w14:textId="77777777" w:rsidR="00273A96" w:rsidRPr="00041A72" w:rsidRDefault="00273A96" w:rsidP="00273A96">
            <w:pPr>
              <w:ind w:firstLine="0"/>
              <w:jc w:val="left"/>
              <w:rPr>
                <w:b/>
                <w:bCs/>
                <w:sz w:val="18"/>
                <w:szCs w:val="18"/>
                <w:lang w:val="es-CO"/>
              </w:rPr>
            </w:pPr>
          </w:p>
        </w:tc>
        <w:tc>
          <w:tcPr>
            <w:tcW w:w="440" w:type="dxa"/>
          </w:tcPr>
          <w:p w14:paraId="190EC128" w14:textId="68D1908D" w:rsidR="00273A96" w:rsidRPr="00041A72" w:rsidRDefault="00273A96" w:rsidP="00273A96">
            <w:pPr>
              <w:ind w:firstLine="0"/>
              <w:jc w:val="left"/>
              <w:rPr>
                <w:bCs/>
                <w:sz w:val="18"/>
                <w:szCs w:val="18"/>
                <w:lang w:val="es-CO"/>
              </w:rPr>
            </w:pPr>
            <w:r>
              <w:rPr>
                <w:bCs/>
                <w:sz w:val="18"/>
                <w:szCs w:val="18"/>
                <w:lang w:val="es-CO"/>
              </w:rPr>
              <w:t>60</w:t>
            </w:r>
          </w:p>
        </w:tc>
        <w:tc>
          <w:tcPr>
            <w:tcW w:w="3780" w:type="dxa"/>
          </w:tcPr>
          <w:p w14:paraId="6614CF14" w14:textId="77777777" w:rsidR="00273A96" w:rsidRPr="00041A72" w:rsidRDefault="00273A96" w:rsidP="00273A96">
            <w:pPr>
              <w:ind w:firstLine="0"/>
              <w:jc w:val="left"/>
              <w:rPr>
                <w:bCs/>
                <w:sz w:val="18"/>
                <w:szCs w:val="18"/>
                <w:lang w:val="es-CO"/>
              </w:rPr>
            </w:pPr>
            <w:r w:rsidRPr="00041A72">
              <w:rPr>
                <w:bCs/>
                <w:sz w:val="18"/>
                <w:szCs w:val="18"/>
                <w:lang w:val="es-CO"/>
              </w:rPr>
              <w:t>Identificar y asignar los Programas a la dependencia que corresponda según la actual estructura organizativa de la SESAL (REDES)</w:t>
            </w:r>
          </w:p>
        </w:tc>
        <w:tc>
          <w:tcPr>
            <w:tcW w:w="630" w:type="dxa"/>
          </w:tcPr>
          <w:p w14:paraId="47593145" w14:textId="77777777" w:rsidR="00273A96" w:rsidRPr="00041A72" w:rsidRDefault="00273A96" w:rsidP="00273A96">
            <w:pPr>
              <w:ind w:firstLine="0"/>
              <w:jc w:val="left"/>
              <w:rPr>
                <w:bCs/>
                <w:sz w:val="18"/>
                <w:szCs w:val="18"/>
                <w:lang w:val="es-CO"/>
              </w:rPr>
            </w:pPr>
            <w:r w:rsidRPr="00041A72">
              <w:rPr>
                <w:sz w:val="18"/>
                <w:szCs w:val="18"/>
                <w:lang w:val="es-CO"/>
              </w:rPr>
              <w:t>2019</w:t>
            </w:r>
          </w:p>
        </w:tc>
        <w:tc>
          <w:tcPr>
            <w:tcW w:w="1530" w:type="dxa"/>
          </w:tcPr>
          <w:p w14:paraId="43C3F956" w14:textId="77777777" w:rsidR="00273A96" w:rsidRPr="00041A72" w:rsidRDefault="00273A96" w:rsidP="00273A96">
            <w:pPr>
              <w:ind w:firstLine="0"/>
              <w:jc w:val="left"/>
              <w:rPr>
                <w:bCs/>
                <w:sz w:val="18"/>
                <w:szCs w:val="18"/>
                <w:lang w:val="es-CO"/>
              </w:rPr>
            </w:pPr>
            <w:r w:rsidRPr="00041A72">
              <w:rPr>
                <w:sz w:val="18"/>
                <w:szCs w:val="18"/>
                <w:lang w:val="es-CO"/>
              </w:rPr>
              <w:t xml:space="preserve">SESAL, CONASIDA (secretariado técnico) </w:t>
            </w:r>
          </w:p>
        </w:tc>
        <w:tc>
          <w:tcPr>
            <w:tcW w:w="540" w:type="dxa"/>
          </w:tcPr>
          <w:p w14:paraId="504126D7" w14:textId="77777777" w:rsidR="00273A96" w:rsidRPr="00041A72" w:rsidRDefault="00273A96" w:rsidP="00273A96">
            <w:pPr>
              <w:ind w:firstLine="0"/>
              <w:jc w:val="left"/>
              <w:rPr>
                <w:sz w:val="18"/>
                <w:szCs w:val="18"/>
                <w:lang w:val="es-CO"/>
              </w:rPr>
            </w:pPr>
            <w:r w:rsidRPr="00041A72">
              <w:rPr>
                <w:sz w:val="18"/>
                <w:szCs w:val="18"/>
                <w:lang w:val="es-CO"/>
              </w:rPr>
              <w:t>No</w:t>
            </w:r>
          </w:p>
        </w:tc>
        <w:tc>
          <w:tcPr>
            <w:tcW w:w="1440" w:type="dxa"/>
          </w:tcPr>
          <w:p w14:paraId="6E7BF4B2" w14:textId="77777777" w:rsidR="00273A96" w:rsidRPr="00041A72" w:rsidRDefault="00273A96" w:rsidP="00273A96">
            <w:pPr>
              <w:ind w:firstLine="0"/>
              <w:jc w:val="left"/>
              <w:rPr>
                <w:sz w:val="18"/>
                <w:szCs w:val="18"/>
                <w:lang w:val="es-CO"/>
              </w:rPr>
            </w:pPr>
          </w:p>
        </w:tc>
        <w:tc>
          <w:tcPr>
            <w:tcW w:w="900" w:type="dxa"/>
          </w:tcPr>
          <w:p w14:paraId="246754C4" w14:textId="77777777" w:rsidR="00273A96" w:rsidRPr="00041A72" w:rsidRDefault="00273A96" w:rsidP="00273A96">
            <w:pPr>
              <w:ind w:firstLine="0"/>
              <w:jc w:val="left"/>
              <w:rPr>
                <w:sz w:val="18"/>
                <w:szCs w:val="18"/>
                <w:lang w:val="es-CO"/>
              </w:rPr>
            </w:pPr>
          </w:p>
        </w:tc>
        <w:tc>
          <w:tcPr>
            <w:tcW w:w="1080" w:type="dxa"/>
            <w:vMerge/>
          </w:tcPr>
          <w:p w14:paraId="2B2B9FAC" w14:textId="77777777" w:rsidR="00273A96" w:rsidRPr="00041A72" w:rsidRDefault="00273A96" w:rsidP="00273A96">
            <w:pPr>
              <w:ind w:firstLine="0"/>
              <w:jc w:val="left"/>
              <w:rPr>
                <w:sz w:val="18"/>
                <w:szCs w:val="18"/>
                <w:lang w:val="es-CO"/>
              </w:rPr>
            </w:pPr>
          </w:p>
        </w:tc>
        <w:tc>
          <w:tcPr>
            <w:tcW w:w="1365" w:type="dxa"/>
          </w:tcPr>
          <w:p w14:paraId="4399535D" w14:textId="2596AABF" w:rsidR="00273A96" w:rsidRPr="00041A72" w:rsidRDefault="00273A96" w:rsidP="00273A96">
            <w:pPr>
              <w:ind w:firstLine="0"/>
              <w:jc w:val="left"/>
              <w:rPr>
                <w:b/>
                <w:bCs/>
                <w:sz w:val="18"/>
                <w:szCs w:val="18"/>
                <w:lang w:val="es-CO"/>
              </w:rPr>
            </w:pPr>
            <w:r w:rsidRPr="00041A72">
              <w:rPr>
                <w:sz w:val="18"/>
                <w:szCs w:val="18"/>
                <w:lang w:val="es-CO"/>
              </w:rPr>
              <w:t xml:space="preserve">Programa Nacional funcionando </w:t>
            </w:r>
          </w:p>
        </w:tc>
      </w:tr>
      <w:tr w:rsidR="00273A96" w:rsidRPr="00041A72" w14:paraId="4B52A35F" w14:textId="77777777" w:rsidTr="00C0213C">
        <w:trPr>
          <w:trHeight w:val="83"/>
        </w:trPr>
        <w:tc>
          <w:tcPr>
            <w:tcW w:w="265" w:type="dxa"/>
            <w:vMerge/>
          </w:tcPr>
          <w:p w14:paraId="00AF4909" w14:textId="77777777" w:rsidR="00273A96" w:rsidRPr="00041A72" w:rsidRDefault="00273A96" w:rsidP="00273A96">
            <w:pPr>
              <w:ind w:firstLine="0"/>
              <w:jc w:val="left"/>
              <w:rPr>
                <w:bCs/>
                <w:sz w:val="18"/>
                <w:szCs w:val="18"/>
                <w:lang w:val="es-CO"/>
              </w:rPr>
            </w:pPr>
          </w:p>
        </w:tc>
        <w:tc>
          <w:tcPr>
            <w:tcW w:w="2440" w:type="dxa"/>
            <w:vMerge/>
          </w:tcPr>
          <w:p w14:paraId="5F9198DD" w14:textId="77777777" w:rsidR="00273A96" w:rsidRPr="00041A72" w:rsidRDefault="00273A96" w:rsidP="00273A96">
            <w:pPr>
              <w:ind w:firstLine="0"/>
              <w:jc w:val="left"/>
              <w:rPr>
                <w:b/>
                <w:bCs/>
                <w:sz w:val="18"/>
                <w:szCs w:val="18"/>
                <w:lang w:val="es-CO"/>
              </w:rPr>
            </w:pPr>
          </w:p>
        </w:tc>
        <w:tc>
          <w:tcPr>
            <w:tcW w:w="440" w:type="dxa"/>
          </w:tcPr>
          <w:p w14:paraId="6FA231C5" w14:textId="61A478B3" w:rsidR="00273A96" w:rsidRPr="00041A72" w:rsidRDefault="00273A96" w:rsidP="00273A96">
            <w:pPr>
              <w:ind w:firstLine="0"/>
              <w:jc w:val="left"/>
              <w:rPr>
                <w:bCs/>
                <w:sz w:val="18"/>
                <w:szCs w:val="18"/>
                <w:lang w:val="es-CO"/>
              </w:rPr>
            </w:pPr>
            <w:r>
              <w:rPr>
                <w:bCs/>
                <w:sz w:val="18"/>
                <w:szCs w:val="18"/>
                <w:lang w:val="es-CO"/>
              </w:rPr>
              <w:t>61</w:t>
            </w:r>
          </w:p>
        </w:tc>
        <w:tc>
          <w:tcPr>
            <w:tcW w:w="3780" w:type="dxa"/>
          </w:tcPr>
          <w:p w14:paraId="14F839D5" w14:textId="7FBC2EB5" w:rsidR="00273A96" w:rsidRPr="00C0213C" w:rsidRDefault="00273A96" w:rsidP="00273A96">
            <w:pPr>
              <w:ind w:firstLine="0"/>
              <w:jc w:val="left"/>
              <w:rPr>
                <w:bCs/>
                <w:sz w:val="18"/>
                <w:szCs w:val="18"/>
                <w:lang w:val="es-419"/>
              </w:rPr>
            </w:pPr>
            <w:r w:rsidRPr="00041A72">
              <w:rPr>
                <w:bCs/>
                <w:sz w:val="18"/>
                <w:szCs w:val="18"/>
                <w:lang w:val="es-CO"/>
              </w:rPr>
              <w:t>Creación de la estructura operativa d</w:t>
            </w:r>
            <w:r>
              <w:rPr>
                <w:bCs/>
                <w:sz w:val="18"/>
                <w:szCs w:val="18"/>
                <w:lang w:val="es-CO"/>
              </w:rPr>
              <w:t xml:space="preserve">e </w:t>
            </w:r>
            <w:r w:rsidRPr="00041A72">
              <w:rPr>
                <w:bCs/>
                <w:sz w:val="18"/>
                <w:szCs w:val="18"/>
                <w:lang w:val="es-CO"/>
              </w:rPr>
              <w:t>l</w:t>
            </w:r>
            <w:r>
              <w:rPr>
                <w:bCs/>
                <w:sz w:val="18"/>
                <w:szCs w:val="18"/>
                <w:lang w:val="es-CO"/>
              </w:rPr>
              <w:t>os</w:t>
            </w:r>
            <w:r w:rsidRPr="00041A72">
              <w:rPr>
                <w:bCs/>
                <w:sz w:val="18"/>
                <w:szCs w:val="18"/>
                <w:lang w:val="es-CO"/>
              </w:rPr>
              <w:t xml:space="preserve"> Programa</w:t>
            </w:r>
            <w:r>
              <w:rPr>
                <w:bCs/>
                <w:sz w:val="18"/>
                <w:szCs w:val="18"/>
                <w:lang w:val="es-CO"/>
              </w:rPr>
              <w:t>s</w:t>
            </w:r>
            <w:r w:rsidRPr="00041A72">
              <w:rPr>
                <w:bCs/>
                <w:sz w:val="18"/>
                <w:szCs w:val="18"/>
                <w:lang w:val="es-CO"/>
              </w:rPr>
              <w:t xml:space="preserve"> Nacional</w:t>
            </w:r>
            <w:r>
              <w:rPr>
                <w:bCs/>
                <w:sz w:val="18"/>
                <w:szCs w:val="18"/>
                <w:lang w:val="es-CO"/>
              </w:rPr>
              <w:t>es</w:t>
            </w:r>
            <w:r w:rsidRPr="00041A72">
              <w:rPr>
                <w:bCs/>
                <w:sz w:val="18"/>
                <w:szCs w:val="18"/>
                <w:lang w:val="es-CO"/>
              </w:rPr>
              <w:t xml:space="preserve"> de VIH y TB que obedezca a los objetivos establecidos:</w:t>
            </w:r>
            <w:r>
              <w:rPr>
                <w:bCs/>
                <w:sz w:val="18"/>
                <w:szCs w:val="18"/>
                <w:lang w:val="es-419"/>
              </w:rPr>
              <w:t xml:space="preserve"> (1) </w:t>
            </w:r>
            <w:r w:rsidRPr="00041A72">
              <w:rPr>
                <w:bCs/>
                <w:sz w:val="18"/>
                <w:szCs w:val="18"/>
                <w:lang w:val="es-CO"/>
              </w:rPr>
              <w:t>Descripción de funciones de cada puesto según la estructura del Programa</w:t>
            </w:r>
            <w:r>
              <w:rPr>
                <w:bCs/>
                <w:sz w:val="18"/>
                <w:szCs w:val="18"/>
                <w:lang w:val="es-CO"/>
              </w:rPr>
              <w:t xml:space="preserve"> y (2)</w:t>
            </w:r>
            <w:r>
              <w:rPr>
                <w:bCs/>
                <w:sz w:val="18"/>
                <w:szCs w:val="18"/>
                <w:lang w:val="es-419"/>
              </w:rPr>
              <w:t xml:space="preserve"> </w:t>
            </w:r>
            <w:r w:rsidRPr="00041A72">
              <w:rPr>
                <w:bCs/>
                <w:sz w:val="18"/>
                <w:szCs w:val="18"/>
                <w:lang w:val="es-CO"/>
              </w:rPr>
              <w:t>Selección y contratación de personal</w:t>
            </w:r>
          </w:p>
        </w:tc>
        <w:tc>
          <w:tcPr>
            <w:tcW w:w="630" w:type="dxa"/>
          </w:tcPr>
          <w:p w14:paraId="11CF53DC" w14:textId="77777777" w:rsidR="00273A96" w:rsidRPr="00041A72" w:rsidRDefault="00273A96" w:rsidP="00273A96">
            <w:pPr>
              <w:ind w:firstLine="0"/>
              <w:jc w:val="left"/>
              <w:rPr>
                <w:bCs/>
                <w:sz w:val="18"/>
                <w:szCs w:val="18"/>
                <w:lang w:val="es-CO"/>
              </w:rPr>
            </w:pPr>
            <w:r w:rsidRPr="00041A72">
              <w:rPr>
                <w:sz w:val="18"/>
                <w:szCs w:val="18"/>
                <w:lang w:val="es-CO"/>
              </w:rPr>
              <w:t>2019</w:t>
            </w:r>
          </w:p>
        </w:tc>
        <w:tc>
          <w:tcPr>
            <w:tcW w:w="1530" w:type="dxa"/>
          </w:tcPr>
          <w:p w14:paraId="59D0CA3B" w14:textId="77777777" w:rsidR="00273A96" w:rsidRPr="00041A72" w:rsidRDefault="00273A96" w:rsidP="00273A96">
            <w:pPr>
              <w:ind w:firstLine="0"/>
              <w:jc w:val="left"/>
              <w:rPr>
                <w:bCs/>
                <w:sz w:val="18"/>
                <w:szCs w:val="18"/>
                <w:lang w:val="es-CO"/>
              </w:rPr>
            </w:pPr>
            <w:r w:rsidRPr="00041A72">
              <w:rPr>
                <w:sz w:val="18"/>
                <w:szCs w:val="18"/>
                <w:lang w:val="es-CO"/>
              </w:rPr>
              <w:t>CONASIDA</w:t>
            </w:r>
          </w:p>
        </w:tc>
        <w:tc>
          <w:tcPr>
            <w:tcW w:w="540" w:type="dxa"/>
          </w:tcPr>
          <w:p w14:paraId="39EB12D3" w14:textId="77777777" w:rsidR="00273A96" w:rsidRPr="00041A72" w:rsidRDefault="00273A96" w:rsidP="00273A96">
            <w:pPr>
              <w:ind w:firstLine="0"/>
              <w:jc w:val="left"/>
              <w:rPr>
                <w:sz w:val="18"/>
                <w:szCs w:val="18"/>
                <w:lang w:val="es-CO"/>
              </w:rPr>
            </w:pPr>
            <w:r w:rsidRPr="00041A72">
              <w:rPr>
                <w:sz w:val="18"/>
                <w:szCs w:val="18"/>
                <w:lang w:val="es-CO"/>
              </w:rPr>
              <w:t>No</w:t>
            </w:r>
          </w:p>
        </w:tc>
        <w:tc>
          <w:tcPr>
            <w:tcW w:w="1440" w:type="dxa"/>
          </w:tcPr>
          <w:p w14:paraId="0A3DF6E2" w14:textId="77777777" w:rsidR="00273A96" w:rsidRPr="00041A72" w:rsidRDefault="00273A96" w:rsidP="00273A96">
            <w:pPr>
              <w:ind w:firstLine="0"/>
              <w:jc w:val="left"/>
              <w:rPr>
                <w:sz w:val="18"/>
                <w:szCs w:val="18"/>
                <w:lang w:val="es-CO"/>
              </w:rPr>
            </w:pPr>
          </w:p>
        </w:tc>
        <w:tc>
          <w:tcPr>
            <w:tcW w:w="900" w:type="dxa"/>
          </w:tcPr>
          <w:p w14:paraId="0634E17F" w14:textId="77777777" w:rsidR="00273A96" w:rsidRPr="00041A72" w:rsidRDefault="00273A96" w:rsidP="00273A96">
            <w:pPr>
              <w:ind w:firstLine="0"/>
              <w:jc w:val="left"/>
              <w:rPr>
                <w:sz w:val="18"/>
                <w:szCs w:val="18"/>
                <w:lang w:val="es-CO"/>
              </w:rPr>
            </w:pPr>
          </w:p>
        </w:tc>
        <w:tc>
          <w:tcPr>
            <w:tcW w:w="1080" w:type="dxa"/>
            <w:vMerge/>
          </w:tcPr>
          <w:p w14:paraId="35BB6AC0" w14:textId="77777777" w:rsidR="00273A96" w:rsidRPr="00041A72" w:rsidRDefault="00273A96" w:rsidP="00273A96">
            <w:pPr>
              <w:ind w:firstLine="0"/>
              <w:jc w:val="left"/>
              <w:rPr>
                <w:sz w:val="18"/>
                <w:szCs w:val="18"/>
                <w:lang w:val="es-CO"/>
              </w:rPr>
            </w:pPr>
          </w:p>
        </w:tc>
        <w:tc>
          <w:tcPr>
            <w:tcW w:w="1365" w:type="dxa"/>
          </w:tcPr>
          <w:p w14:paraId="71FB28A1" w14:textId="77777777" w:rsidR="00273A96" w:rsidRPr="00041A72" w:rsidRDefault="00273A96" w:rsidP="00273A96">
            <w:pPr>
              <w:ind w:firstLine="0"/>
              <w:jc w:val="left"/>
              <w:rPr>
                <w:b/>
                <w:bCs/>
                <w:sz w:val="18"/>
                <w:szCs w:val="18"/>
                <w:lang w:val="es-CO"/>
              </w:rPr>
            </w:pPr>
            <w:r w:rsidRPr="00041A72">
              <w:rPr>
                <w:sz w:val="18"/>
                <w:szCs w:val="18"/>
                <w:lang w:val="es-CO"/>
              </w:rPr>
              <w:t>Estructura del Programa funcionando</w:t>
            </w:r>
          </w:p>
        </w:tc>
      </w:tr>
      <w:tr w:rsidR="00273A96" w:rsidRPr="00041A72" w14:paraId="5BCE9B94" w14:textId="77777777" w:rsidTr="002C3CB5">
        <w:trPr>
          <w:trHeight w:val="440"/>
        </w:trPr>
        <w:tc>
          <w:tcPr>
            <w:tcW w:w="265" w:type="dxa"/>
            <w:vMerge/>
          </w:tcPr>
          <w:p w14:paraId="3BCD4E9C" w14:textId="77777777" w:rsidR="00273A96" w:rsidRPr="00041A72" w:rsidRDefault="00273A96" w:rsidP="00273A96">
            <w:pPr>
              <w:ind w:firstLine="0"/>
              <w:jc w:val="left"/>
              <w:rPr>
                <w:bCs/>
                <w:sz w:val="18"/>
                <w:szCs w:val="18"/>
                <w:lang w:val="es-CO"/>
              </w:rPr>
            </w:pPr>
          </w:p>
        </w:tc>
        <w:tc>
          <w:tcPr>
            <w:tcW w:w="2440" w:type="dxa"/>
            <w:vMerge/>
          </w:tcPr>
          <w:p w14:paraId="4E4D90A9" w14:textId="77777777" w:rsidR="00273A96" w:rsidRPr="00041A72" w:rsidRDefault="00273A96" w:rsidP="00273A96">
            <w:pPr>
              <w:ind w:firstLine="0"/>
              <w:jc w:val="left"/>
              <w:rPr>
                <w:b/>
                <w:bCs/>
                <w:sz w:val="18"/>
                <w:szCs w:val="18"/>
                <w:lang w:val="es-CO"/>
              </w:rPr>
            </w:pPr>
          </w:p>
        </w:tc>
        <w:tc>
          <w:tcPr>
            <w:tcW w:w="440" w:type="dxa"/>
          </w:tcPr>
          <w:p w14:paraId="10B38302" w14:textId="08D5D0CF" w:rsidR="00273A96" w:rsidRPr="00041A72" w:rsidRDefault="00273A96" w:rsidP="00273A96">
            <w:pPr>
              <w:ind w:firstLine="0"/>
              <w:jc w:val="left"/>
              <w:rPr>
                <w:bCs/>
                <w:sz w:val="18"/>
                <w:szCs w:val="18"/>
                <w:lang w:val="es-CO"/>
              </w:rPr>
            </w:pPr>
            <w:r>
              <w:rPr>
                <w:bCs/>
                <w:sz w:val="18"/>
                <w:szCs w:val="18"/>
                <w:lang w:val="es-CO"/>
              </w:rPr>
              <w:t>62</w:t>
            </w:r>
          </w:p>
        </w:tc>
        <w:tc>
          <w:tcPr>
            <w:tcW w:w="3780" w:type="dxa"/>
          </w:tcPr>
          <w:p w14:paraId="51B58E83" w14:textId="77777777" w:rsidR="00273A96" w:rsidRPr="00041A72" w:rsidRDefault="00273A96" w:rsidP="00273A96">
            <w:pPr>
              <w:ind w:firstLine="0"/>
              <w:jc w:val="left"/>
              <w:rPr>
                <w:bCs/>
                <w:sz w:val="18"/>
                <w:szCs w:val="18"/>
                <w:lang w:val="es-CO"/>
              </w:rPr>
            </w:pPr>
            <w:r w:rsidRPr="00041A72">
              <w:rPr>
                <w:bCs/>
                <w:sz w:val="18"/>
                <w:szCs w:val="18"/>
                <w:lang w:val="es-MX"/>
              </w:rPr>
              <w:t>Asignación de Presupuesto</w:t>
            </w:r>
          </w:p>
        </w:tc>
        <w:tc>
          <w:tcPr>
            <w:tcW w:w="630" w:type="dxa"/>
          </w:tcPr>
          <w:p w14:paraId="3D290691" w14:textId="77777777" w:rsidR="00273A96" w:rsidRPr="00041A72" w:rsidRDefault="00273A96" w:rsidP="00273A96">
            <w:pPr>
              <w:ind w:firstLine="0"/>
              <w:jc w:val="left"/>
              <w:rPr>
                <w:sz w:val="18"/>
                <w:szCs w:val="18"/>
                <w:lang w:val="es-CO"/>
              </w:rPr>
            </w:pPr>
            <w:r w:rsidRPr="00041A72">
              <w:rPr>
                <w:sz w:val="18"/>
                <w:szCs w:val="18"/>
                <w:lang w:val="es-CO"/>
              </w:rPr>
              <w:t>2019</w:t>
            </w:r>
          </w:p>
        </w:tc>
        <w:tc>
          <w:tcPr>
            <w:tcW w:w="1530" w:type="dxa"/>
          </w:tcPr>
          <w:p w14:paraId="69EDAD62" w14:textId="77777777" w:rsidR="00273A96" w:rsidRPr="00041A72" w:rsidRDefault="00273A96" w:rsidP="00273A96">
            <w:pPr>
              <w:ind w:firstLine="0"/>
              <w:jc w:val="left"/>
              <w:rPr>
                <w:sz w:val="18"/>
                <w:szCs w:val="18"/>
                <w:lang w:val="es-CO"/>
              </w:rPr>
            </w:pPr>
            <w:r w:rsidRPr="00041A72">
              <w:rPr>
                <w:sz w:val="18"/>
                <w:szCs w:val="18"/>
                <w:lang w:val="es-CO"/>
              </w:rPr>
              <w:t>Finanzas</w:t>
            </w:r>
          </w:p>
        </w:tc>
        <w:tc>
          <w:tcPr>
            <w:tcW w:w="540" w:type="dxa"/>
          </w:tcPr>
          <w:p w14:paraId="5E217818" w14:textId="77777777" w:rsidR="00273A96" w:rsidRPr="00041A72" w:rsidRDefault="00273A96" w:rsidP="00273A96">
            <w:pPr>
              <w:ind w:firstLine="0"/>
              <w:jc w:val="left"/>
              <w:rPr>
                <w:sz w:val="18"/>
                <w:szCs w:val="18"/>
                <w:lang w:val="es-MX"/>
              </w:rPr>
            </w:pPr>
            <w:r w:rsidRPr="00041A72">
              <w:rPr>
                <w:sz w:val="18"/>
                <w:szCs w:val="18"/>
                <w:lang w:val="es-MX"/>
              </w:rPr>
              <w:t>No</w:t>
            </w:r>
          </w:p>
        </w:tc>
        <w:tc>
          <w:tcPr>
            <w:tcW w:w="1440" w:type="dxa"/>
          </w:tcPr>
          <w:p w14:paraId="45091559" w14:textId="77777777" w:rsidR="00273A96" w:rsidRPr="00041A72" w:rsidRDefault="00273A96" w:rsidP="00273A96">
            <w:pPr>
              <w:ind w:firstLine="0"/>
              <w:jc w:val="left"/>
              <w:rPr>
                <w:sz w:val="18"/>
                <w:szCs w:val="18"/>
                <w:lang w:val="es-MX"/>
              </w:rPr>
            </w:pPr>
          </w:p>
        </w:tc>
        <w:tc>
          <w:tcPr>
            <w:tcW w:w="900" w:type="dxa"/>
          </w:tcPr>
          <w:p w14:paraId="0884CF00" w14:textId="77777777" w:rsidR="00273A96" w:rsidRPr="00041A72" w:rsidRDefault="00273A96" w:rsidP="00273A96">
            <w:pPr>
              <w:ind w:firstLine="0"/>
              <w:jc w:val="left"/>
              <w:rPr>
                <w:sz w:val="18"/>
                <w:szCs w:val="18"/>
                <w:lang w:val="es-MX"/>
              </w:rPr>
            </w:pPr>
          </w:p>
        </w:tc>
        <w:tc>
          <w:tcPr>
            <w:tcW w:w="1080" w:type="dxa"/>
            <w:vMerge/>
          </w:tcPr>
          <w:p w14:paraId="6A05FA68" w14:textId="77777777" w:rsidR="00273A96" w:rsidRPr="00041A72" w:rsidRDefault="00273A96" w:rsidP="00273A96">
            <w:pPr>
              <w:ind w:firstLine="0"/>
              <w:jc w:val="left"/>
              <w:rPr>
                <w:sz w:val="18"/>
                <w:szCs w:val="18"/>
                <w:lang w:val="es-MX"/>
              </w:rPr>
            </w:pPr>
          </w:p>
        </w:tc>
        <w:tc>
          <w:tcPr>
            <w:tcW w:w="1365" w:type="dxa"/>
          </w:tcPr>
          <w:p w14:paraId="02644598" w14:textId="77777777" w:rsidR="00273A96" w:rsidRPr="00041A72" w:rsidRDefault="00273A96" w:rsidP="00273A96">
            <w:pPr>
              <w:ind w:firstLine="0"/>
              <w:jc w:val="left"/>
              <w:rPr>
                <w:sz w:val="18"/>
                <w:szCs w:val="18"/>
                <w:lang w:val="es-CO"/>
              </w:rPr>
            </w:pPr>
            <w:r w:rsidRPr="00041A72">
              <w:rPr>
                <w:sz w:val="18"/>
                <w:szCs w:val="18"/>
                <w:lang w:val="es-MX"/>
              </w:rPr>
              <w:t>Programa Nacional con presupuesto asignado y transferido</w:t>
            </w:r>
          </w:p>
        </w:tc>
      </w:tr>
      <w:tr w:rsidR="00273A96" w:rsidRPr="00041A72" w14:paraId="1FFBFDC8" w14:textId="77777777" w:rsidTr="00AA78FE">
        <w:trPr>
          <w:trHeight w:val="602"/>
        </w:trPr>
        <w:tc>
          <w:tcPr>
            <w:tcW w:w="265" w:type="dxa"/>
          </w:tcPr>
          <w:p w14:paraId="19AF136C" w14:textId="357041FB" w:rsidR="00273A96" w:rsidRPr="00041A72" w:rsidRDefault="00273A96" w:rsidP="00273A96">
            <w:pPr>
              <w:ind w:firstLine="0"/>
              <w:jc w:val="left"/>
              <w:rPr>
                <w:bCs/>
                <w:sz w:val="18"/>
                <w:szCs w:val="18"/>
                <w:lang w:val="es-CO"/>
              </w:rPr>
            </w:pPr>
            <w:proofErr w:type="spellStart"/>
            <w:r>
              <w:rPr>
                <w:bCs/>
                <w:sz w:val="18"/>
                <w:szCs w:val="18"/>
                <w:lang w:val="es-CO"/>
              </w:rPr>
              <w:t>aa</w:t>
            </w:r>
            <w:proofErr w:type="spellEnd"/>
          </w:p>
        </w:tc>
        <w:tc>
          <w:tcPr>
            <w:tcW w:w="2440" w:type="dxa"/>
          </w:tcPr>
          <w:p w14:paraId="6C88DD1D" w14:textId="1F2EA507" w:rsidR="00273A96" w:rsidRPr="00D81148" w:rsidRDefault="00273A96" w:rsidP="00273A96">
            <w:pPr>
              <w:ind w:firstLine="0"/>
              <w:jc w:val="left"/>
              <w:rPr>
                <w:b/>
                <w:bCs/>
                <w:sz w:val="18"/>
                <w:szCs w:val="18"/>
                <w:lang w:val="es-CO"/>
              </w:rPr>
            </w:pPr>
            <w:r w:rsidRPr="00D81148">
              <w:rPr>
                <w:bCs/>
                <w:sz w:val="18"/>
                <w:szCs w:val="18"/>
                <w:lang w:val="es-MX"/>
              </w:rPr>
              <w:t>Establecer el monitoreo de la Estrategia de Sostenibilidad con el apoyo a través de la Secretaría de Coordinación</w:t>
            </w:r>
            <w:r>
              <w:rPr>
                <w:bCs/>
                <w:sz w:val="18"/>
                <w:szCs w:val="18"/>
                <w:lang w:val="es-MX"/>
              </w:rPr>
              <w:t xml:space="preserve"> General</w:t>
            </w:r>
            <w:r w:rsidRPr="00D81148">
              <w:rPr>
                <w:bCs/>
                <w:sz w:val="18"/>
                <w:szCs w:val="18"/>
                <w:lang w:val="es-MX"/>
              </w:rPr>
              <w:t xml:space="preserve"> de Gobierno </w:t>
            </w:r>
          </w:p>
        </w:tc>
        <w:tc>
          <w:tcPr>
            <w:tcW w:w="440" w:type="dxa"/>
          </w:tcPr>
          <w:p w14:paraId="59979B4B" w14:textId="70281945" w:rsidR="00273A96" w:rsidRPr="00D81148" w:rsidRDefault="00273A96" w:rsidP="00273A96">
            <w:pPr>
              <w:ind w:firstLine="0"/>
              <w:jc w:val="left"/>
              <w:rPr>
                <w:bCs/>
                <w:sz w:val="18"/>
                <w:szCs w:val="18"/>
                <w:lang w:val="es-CO"/>
              </w:rPr>
            </w:pPr>
            <w:r w:rsidRPr="00D81148">
              <w:rPr>
                <w:bCs/>
                <w:sz w:val="18"/>
                <w:szCs w:val="18"/>
                <w:lang w:val="es-CO"/>
              </w:rPr>
              <w:t>63</w:t>
            </w:r>
          </w:p>
        </w:tc>
        <w:tc>
          <w:tcPr>
            <w:tcW w:w="3780" w:type="dxa"/>
          </w:tcPr>
          <w:p w14:paraId="282D6C88" w14:textId="2BF51D47" w:rsidR="00273A96" w:rsidRPr="00D81148" w:rsidRDefault="00273A96" w:rsidP="00273A96">
            <w:pPr>
              <w:ind w:firstLine="0"/>
              <w:jc w:val="left"/>
              <w:rPr>
                <w:bCs/>
                <w:sz w:val="18"/>
                <w:szCs w:val="18"/>
                <w:lang w:val="es-MX"/>
              </w:rPr>
            </w:pPr>
            <w:r w:rsidRPr="00D81148">
              <w:rPr>
                <w:bCs/>
                <w:sz w:val="18"/>
                <w:szCs w:val="18"/>
                <w:lang w:val="es-MX"/>
              </w:rPr>
              <w:t>Reportar los avances de indicadores clave hacia metas globales y aspectos claves de la sostenibilidad al Gabinete Social</w:t>
            </w:r>
          </w:p>
        </w:tc>
        <w:tc>
          <w:tcPr>
            <w:tcW w:w="630" w:type="dxa"/>
          </w:tcPr>
          <w:p w14:paraId="71A9608A" w14:textId="15866F62" w:rsidR="00273A96" w:rsidRPr="00041A72" w:rsidRDefault="00273A96" w:rsidP="00273A96">
            <w:pPr>
              <w:ind w:firstLine="0"/>
              <w:jc w:val="left"/>
              <w:rPr>
                <w:sz w:val="18"/>
                <w:szCs w:val="18"/>
                <w:lang w:val="es-CO"/>
              </w:rPr>
            </w:pPr>
            <w:r>
              <w:rPr>
                <w:sz w:val="18"/>
                <w:szCs w:val="18"/>
                <w:lang w:val="es-CO"/>
              </w:rPr>
              <w:t>2019</w:t>
            </w:r>
          </w:p>
        </w:tc>
        <w:tc>
          <w:tcPr>
            <w:tcW w:w="1530" w:type="dxa"/>
          </w:tcPr>
          <w:p w14:paraId="09E984BF" w14:textId="7D6179CC" w:rsidR="00273A96" w:rsidRPr="00041A72" w:rsidRDefault="00273A96" w:rsidP="00273A96">
            <w:pPr>
              <w:ind w:firstLine="0"/>
              <w:jc w:val="left"/>
              <w:rPr>
                <w:sz w:val="18"/>
                <w:szCs w:val="18"/>
                <w:lang w:val="es-CO"/>
              </w:rPr>
            </w:pPr>
            <w:r>
              <w:rPr>
                <w:sz w:val="18"/>
                <w:szCs w:val="18"/>
                <w:lang w:val="es-CO"/>
              </w:rPr>
              <w:t>SESAL/SCGG</w:t>
            </w:r>
          </w:p>
        </w:tc>
        <w:tc>
          <w:tcPr>
            <w:tcW w:w="540" w:type="dxa"/>
          </w:tcPr>
          <w:p w14:paraId="5E965B8B" w14:textId="252163F9" w:rsidR="00273A96" w:rsidRPr="00041A72" w:rsidRDefault="00273A96" w:rsidP="00273A96">
            <w:pPr>
              <w:ind w:firstLine="0"/>
              <w:jc w:val="left"/>
              <w:rPr>
                <w:sz w:val="18"/>
                <w:szCs w:val="18"/>
                <w:lang w:val="es-MX"/>
              </w:rPr>
            </w:pPr>
            <w:r>
              <w:rPr>
                <w:sz w:val="18"/>
                <w:szCs w:val="18"/>
                <w:lang w:val="es-MX"/>
              </w:rPr>
              <w:t>No</w:t>
            </w:r>
          </w:p>
        </w:tc>
        <w:tc>
          <w:tcPr>
            <w:tcW w:w="1440" w:type="dxa"/>
          </w:tcPr>
          <w:p w14:paraId="4942BA43" w14:textId="77777777" w:rsidR="00273A96" w:rsidRPr="00041A72" w:rsidRDefault="00273A96" w:rsidP="00273A96">
            <w:pPr>
              <w:ind w:firstLine="0"/>
              <w:jc w:val="left"/>
              <w:rPr>
                <w:sz w:val="18"/>
                <w:szCs w:val="18"/>
                <w:lang w:val="es-MX"/>
              </w:rPr>
            </w:pPr>
          </w:p>
        </w:tc>
        <w:tc>
          <w:tcPr>
            <w:tcW w:w="900" w:type="dxa"/>
          </w:tcPr>
          <w:p w14:paraId="1FF08338" w14:textId="77777777" w:rsidR="00273A96" w:rsidRPr="00041A72" w:rsidRDefault="00273A96" w:rsidP="00273A96">
            <w:pPr>
              <w:ind w:firstLine="0"/>
              <w:jc w:val="left"/>
              <w:rPr>
                <w:sz w:val="18"/>
                <w:szCs w:val="18"/>
                <w:lang w:val="es-MX"/>
              </w:rPr>
            </w:pPr>
          </w:p>
        </w:tc>
        <w:tc>
          <w:tcPr>
            <w:tcW w:w="1080" w:type="dxa"/>
          </w:tcPr>
          <w:p w14:paraId="68E6BDE1" w14:textId="39429842" w:rsidR="00273A96" w:rsidRPr="00DF3FB3" w:rsidRDefault="00273A96" w:rsidP="00273A96">
            <w:pPr>
              <w:ind w:firstLine="0"/>
              <w:jc w:val="left"/>
              <w:rPr>
                <w:sz w:val="18"/>
                <w:szCs w:val="18"/>
                <w:highlight w:val="green"/>
                <w:lang w:val="es-MX"/>
              </w:rPr>
            </w:pPr>
          </w:p>
        </w:tc>
        <w:tc>
          <w:tcPr>
            <w:tcW w:w="1365" w:type="dxa"/>
          </w:tcPr>
          <w:p w14:paraId="770F45F7" w14:textId="09D28AC1" w:rsidR="00273A96" w:rsidRPr="00041A72" w:rsidRDefault="00273A96" w:rsidP="00273A96">
            <w:pPr>
              <w:ind w:firstLine="0"/>
              <w:jc w:val="left"/>
              <w:rPr>
                <w:sz w:val="18"/>
                <w:szCs w:val="18"/>
                <w:lang w:val="es-MX"/>
              </w:rPr>
            </w:pPr>
            <w:r>
              <w:rPr>
                <w:sz w:val="18"/>
                <w:szCs w:val="18"/>
                <w:lang w:val="es-MX"/>
              </w:rPr>
              <w:t>Reporte anual de avances respecto a metas globales y esta ES</w:t>
            </w:r>
          </w:p>
        </w:tc>
      </w:tr>
      <w:tr w:rsidR="00273A96" w:rsidRPr="00041A72" w14:paraId="72355503" w14:textId="77777777" w:rsidTr="00AA78FE">
        <w:trPr>
          <w:trHeight w:val="602"/>
        </w:trPr>
        <w:tc>
          <w:tcPr>
            <w:tcW w:w="265" w:type="dxa"/>
          </w:tcPr>
          <w:p w14:paraId="4042C406" w14:textId="3BC41BA9" w:rsidR="00273A96" w:rsidRDefault="00273A96" w:rsidP="00273A96">
            <w:pPr>
              <w:ind w:firstLine="0"/>
              <w:jc w:val="left"/>
              <w:rPr>
                <w:bCs/>
                <w:sz w:val="18"/>
                <w:szCs w:val="18"/>
                <w:lang w:val="es-CO"/>
              </w:rPr>
            </w:pPr>
            <w:proofErr w:type="spellStart"/>
            <w:r>
              <w:rPr>
                <w:bCs/>
                <w:sz w:val="18"/>
                <w:szCs w:val="18"/>
                <w:lang w:val="es-CO"/>
              </w:rPr>
              <w:t>bb</w:t>
            </w:r>
            <w:proofErr w:type="spellEnd"/>
          </w:p>
        </w:tc>
        <w:tc>
          <w:tcPr>
            <w:tcW w:w="2440" w:type="dxa"/>
          </w:tcPr>
          <w:p w14:paraId="5C66F49E" w14:textId="3F6137BD" w:rsidR="00273A96" w:rsidRPr="00EF3CF4" w:rsidRDefault="00273A96" w:rsidP="00273A96">
            <w:pPr>
              <w:ind w:firstLine="0"/>
              <w:jc w:val="left"/>
              <w:rPr>
                <w:bCs/>
                <w:sz w:val="18"/>
                <w:szCs w:val="18"/>
                <w:lang w:val="es-MX"/>
              </w:rPr>
            </w:pPr>
            <w:r w:rsidRPr="00EF3CF4">
              <w:rPr>
                <w:bCs/>
                <w:sz w:val="18"/>
                <w:szCs w:val="18"/>
                <w:lang w:val="es-MX"/>
              </w:rPr>
              <w:t>Establecer marcos de desempeño para VIH y TB en el nivel regional, incluyendo las metas para lograr la Estrategia 90-90-90 por cada región del país</w:t>
            </w:r>
          </w:p>
        </w:tc>
        <w:tc>
          <w:tcPr>
            <w:tcW w:w="440" w:type="dxa"/>
          </w:tcPr>
          <w:p w14:paraId="74C33473" w14:textId="37EB6194" w:rsidR="00273A96" w:rsidRPr="00EF3CF4" w:rsidRDefault="00273A96" w:rsidP="00273A96">
            <w:pPr>
              <w:ind w:firstLine="0"/>
              <w:jc w:val="left"/>
              <w:rPr>
                <w:bCs/>
                <w:sz w:val="18"/>
                <w:szCs w:val="18"/>
                <w:lang w:val="es-CO"/>
              </w:rPr>
            </w:pPr>
            <w:r w:rsidRPr="00EF3CF4">
              <w:rPr>
                <w:bCs/>
                <w:sz w:val="18"/>
                <w:szCs w:val="18"/>
                <w:lang w:val="es-CO"/>
              </w:rPr>
              <w:t>64</w:t>
            </w:r>
          </w:p>
        </w:tc>
        <w:tc>
          <w:tcPr>
            <w:tcW w:w="3780" w:type="dxa"/>
          </w:tcPr>
          <w:p w14:paraId="7FC024EC" w14:textId="4AC71B7E" w:rsidR="00273A96" w:rsidRPr="00EF3CF4" w:rsidRDefault="00273A96" w:rsidP="00273A96">
            <w:pPr>
              <w:ind w:firstLine="0"/>
              <w:jc w:val="left"/>
              <w:rPr>
                <w:bCs/>
                <w:sz w:val="18"/>
                <w:szCs w:val="18"/>
                <w:lang w:val="es-MX"/>
              </w:rPr>
            </w:pPr>
            <w:r w:rsidRPr="00EF3CF4">
              <w:rPr>
                <w:bCs/>
                <w:sz w:val="18"/>
                <w:szCs w:val="18"/>
                <w:lang w:val="es-MX"/>
              </w:rPr>
              <w:t>Estimación de las brechas regionales y su socialización con las regiones</w:t>
            </w:r>
          </w:p>
        </w:tc>
        <w:tc>
          <w:tcPr>
            <w:tcW w:w="630" w:type="dxa"/>
          </w:tcPr>
          <w:p w14:paraId="09556966" w14:textId="412B2CDF" w:rsidR="00273A96" w:rsidRPr="00D06C34" w:rsidRDefault="00273A96" w:rsidP="00273A96">
            <w:pPr>
              <w:ind w:firstLine="0"/>
              <w:jc w:val="left"/>
              <w:rPr>
                <w:sz w:val="18"/>
                <w:szCs w:val="18"/>
                <w:lang w:val="es-MX"/>
              </w:rPr>
            </w:pPr>
            <w:r>
              <w:rPr>
                <w:sz w:val="18"/>
                <w:szCs w:val="18"/>
                <w:lang w:val="es-MX"/>
              </w:rPr>
              <w:t>2019-2020</w:t>
            </w:r>
          </w:p>
        </w:tc>
        <w:tc>
          <w:tcPr>
            <w:tcW w:w="1530" w:type="dxa"/>
          </w:tcPr>
          <w:p w14:paraId="2CB924AE" w14:textId="75A6F9EC" w:rsidR="00273A96" w:rsidRDefault="00273A96" w:rsidP="00273A96">
            <w:pPr>
              <w:ind w:firstLine="0"/>
              <w:jc w:val="left"/>
              <w:rPr>
                <w:sz w:val="18"/>
                <w:szCs w:val="18"/>
                <w:lang w:val="es-CO"/>
              </w:rPr>
            </w:pPr>
            <w:r>
              <w:rPr>
                <w:sz w:val="18"/>
                <w:szCs w:val="18"/>
                <w:lang w:val="es-CO"/>
              </w:rPr>
              <w:t>SESAL</w:t>
            </w:r>
          </w:p>
        </w:tc>
        <w:tc>
          <w:tcPr>
            <w:tcW w:w="540" w:type="dxa"/>
          </w:tcPr>
          <w:p w14:paraId="55C0EAA5" w14:textId="5DB60F95" w:rsidR="00273A96" w:rsidRDefault="00273A96" w:rsidP="00273A96">
            <w:pPr>
              <w:ind w:firstLine="0"/>
              <w:jc w:val="left"/>
              <w:rPr>
                <w:sz w:val="18"/>
                <w:szCs w:val="18"/>
                <w:lang w:val="es-MX"/>
              </w:rPr>
            </w:pPr>
            <w:r>
              <w:rPr>
                <w:sz w:val="18"/>
                <w:szCs w:val="18"/>
                <w:lang w:val="es-MX"/>
              </w:rPr>
              <w:t>Si</w:t>
            </w:r>
          </w:p>
        </w:tc>
        <w:tc>
          <w:tcPr>
            <w:tcW w:w="1440" w:type="dxa"/>
          </w:tcPr>
          <w:p w14:paraId="64F6A810" w14:textId="77777777" w:rsidR="00273A96" w:rsidRPr="00041A72" w:rsidRDefault="00273A96" w:rsidP="00273A96">
            <w:pPr>
              <w:ind w:firstLine="0"/>
              <w:jc w:val="left"/>
              <w:rPr>
                <w:sz w:val="18"/>
                <w:szCs w:val="18"/>
                <w:lang w:val="es-MX"/>
              </w:rPr>
            </w:pPr>
          </w:p>
        </w:tc>
        <w:tc>
          <w:tcPr>
            <w:tcW w:w="900" w:type="dxa"/>
          </w:tcPr>
          <w:p w14:paraId="659A4BC5" w14:textId="5A6EBD97" w:rsidR="00273A96" w:rsidRPr="00041A72" w:rsidRDefault="00273A96" w:rsidP="00273A96">
            <w:pPr>
              <w:ind w:firstLine="0"/>
              <w:jc w:val="left"/>
              <w:rPr>
                <w:sz w:val="18"/>
                <w:szCs w:val="18"/>
                <w:lang w:val="es-MX"/>
              </w:rPr>
            </w:pPr>
            <w:r>
              <w:rPr>
                <w:sz w:val="18"/>
                <w:szCs w:val="18"/>
                <w:lang w:val="es-MX"/>
              </w:rPr>
              <w:t>PEPFAR</w:t>
            </w:r>
          </w:p>
        </w:tc>
        <w:tc>
          <w:tcPr>
            <w:tcW w:w="1080" w:type="dxa"/>
          </w:tcPr>
          <w:p w14:paraId="6B59BC39" w14:textId="4AD7EFAC" w:rsidR="00273A96" w:rsidRPr="00DF3FB3" w:rsidRDefault="00273A96" w:rsidP="00273A96">
            <w:pPr>
              <w:ind w:firstLine="0"/>
              <w:jc w:val="left"/>
              <w:rPr>
                <w:sz w:val="18"/>
                <w:szCs w:val="18"/>
                <w:highlight w:val="green"/>
                <w:lang w:val="es-MX"/>
              </w:rPr>
            </w:pPr>
          </w:p>
        </w:tc>
        <w:tc>
          <w:tcPr>
            <w:tcW w:w="1365" w:type="dxa"/>
          </w:tcPr>
          <w:p w14:paraId="6C96D9FB" w14:textId="201984E8" w:rsidR="00273A96" w:rsidRDefault="00273A96" w:rsidP="00273A96">
            <w:pPr>
              <w:ind w:firstLine="0"/>
              <w:jc w:val="left"/>
              <w:rPr>
                <w:sz w:val="18"/>
                <w:szCs w:val="18"/>
                <w:lang w:val="es-MX"/>
              </w:rPr>
            </w:pPr>
            <w:r>
              <w:rPr>
                <w:sz w:val="18"/>
                <w:szCs w:val="18"/>
                <w:lang w:val="es-MX"/>
              </w:rPr>
              <w:t>Metodología y estimaciones concluidas</w:t>
            </w:r>
          </w:p>
        </w:tc>
      </w:tr>
      <w:tr w:rsidR="00273A96" w:rsidRPr="00041A72" w14:paraId="49A30B86" w14:textId="77777777" w:rsidTr="00AA78FE">
        <w:trPr>
          <w:trHeight w:val="602"/>
        </w:trPr>
        <w:tc>
          <w:tcPr>
            <w:tcW w:w="265" w:type="dxa"/>
          </w:tcPr>
          <w:p w14:paraId="3920E5D2" w14:textId="7C39DF16" w:rsidR="00273A96" w:rsidRDefault="00273A96" w:rsidP="00273A96">
            <w:pPr>
              <w:ind w:firstLine="0"/>
              <w:jc w:val="left"/>
              <w:rPr>
                <w:bCs/>
                <w:sz w:val="18"/>
                <w:szCs w:val="18"/>
                <w:lang w:val="es-CO"/>
              </w:rPr>
            </w:pPr>
            <w:proofErr w:type="spellStart"/>
            <w:r>
              <w:rPr>
                <w:bCs/>
                <w:sz w:val="18"/>
                <w:szCs w:val="18"/>
                <w:lang w:val="es-CO"/>
              </w:rPr>
              <w:t>cc</w:t>
            </w:r>
            <w:proofErr w:type="spellEnd"/>
          </w:p>
        </w:tc>
        <w:tc>
          <w:tcPr>
            <w:tcW w:w="2440" w:type="dxa"/>
          </w:tcPr>
          <w:p w14:paraId="3E1D8740" w14:textId="042B4173" w:rsidR="00273A96" w:rsidRPr="00EF3CF4" w:rsidRDefault="00273A96" w:rsidP="00273A96">
            <w:pPr>
              <w:ind w:firstLine="0"/>
              <w:jc w:val="left"/>
              <w:rPr>
                <w:bCs/>
                <w:sz w:val="18"/>
                <w:szCs w:val="18"/>
                <w:lang w:val="es-MX"/>
              </w:rPr>
            </w:pPr>
            <w:r w:rsidRPr="00EF3CF4">
              <w:rPr>
                <w:bCs/>
                <w:color w:val="000000"/>
                <w:sz w:val="18"/>
                <w:szCs w:val="18"/>
                <w:lang w:val="es-MX" w:eastAsia="fr-FR"/>
              </w:rPr>
              <w:t>Disponibilidad pública de información sobre prestación de servicios de TB y VIH</w:t>
            </w:r>
          </w:p>
        </w:tc>
        <w:tc>
          <w:tcPr>
            <w:tcW w:w="440" w:type="dxa"/>
          </w:tcPr>
          <w:p w14:paraId="0DDA738D" w14:textId="370063BB" w:rsidR="00273A96" w:rsidRPr="00EF3CF4" w:rsidRDefault="00273A96" w:rsidP="00273A96">
            <w:pPr>
              <w:ind w:firstLine="0"/>
              <w:jc w:val="left"/>
              <w:rPr>
                <w:bCs/>
                <w:sz w:val="18"/>
                <w:szCs w:val="18"/>
                <w:lang w:val="es-CO"/>
              </w:rPr>
            </w:pPr>
            <w:r w:rsidRPr="00EF3CF4">
              <w:rPr>
                <w:bCs/>
                <w:sz w:val="18"/>
                <w:szCs w:val="18"/>
                <w:lang w:val="es-CO"/>
              </w:rPr>
              <w:t>65</w:t>
            </w:r>
          </w:p>
        </w:tc>
        <w:tc>
          <w:tcPr>
            <w:tcW w:w="3780" w:type="dxa"/>
          </w:tcPr>
          <w:p w14:paraId="108F9EC6" w14:textId="0E8A188E" w:rsidR="00273A96" w:rsidRPr="00EF3CF4" w:rsidRDefault="00273A96" w:rsidP="00273A96">
            <w:pPr>
              <w:ind w:firstLine="0"/>
              <w:jc w:val="left"/>
              <w:rPr>
                <w:bCs/>
                <w:sz w:val="18"/>
                <w:szCs w:val="18"/>
                <w:lang w:val="es-MX"/>
              </w:rPr>
            </w:pPr>
            <w:r w:rsidRPr="00EF3CF4">
              <w:rPr>
                <w:bCs/>
                <w:sz w:val="18"/>
                <w:szCs w:val="18"/>
                <w:lang w:val="es-MX"/>
              </w:rPr>
              <w:t>Creación del sitio web y definición de reportes a publicar y su periodicidad</w:t>
            </w:r>
          </w:p>
        </w:tc>
        <w:tc>
          <w:tcPr>
            <w:tcW w:w="630" w:type="dxa"/>
          </w:tcPr>
          <w:p w14:paraId="70CACE65" w14:textId="5A79D9A0" w:rsidR="00273A96" w:rsidRDefault="00273A96" w:rsidP="00273A96">
            <w:pPr>
              <w:ind w:firstLine="0"/>
              <w:jc w:val="left"/>
              <w:rPr>
                <w:sz w:val="18"/>
                <w:szCs w:val="18"/>
                <w:lang w:val="es-CO"/>
              </w:rPr>
            </w:pPr>
            <w:r>
              <w:rPr>
                <w:sz w:val="18"/>
                <w:szCs w:val="18"/>
                <w:lang w:val="es-CO"/>
              </w:rPr>
              <w:t>2020-2021</w:t>
            </w:r>
          </w:p>
        </w:tc>
        <w:tc>
          <w:tcPr>
            <w:tcW w:w="1530" w:type="dxa"/>
          </w:tcPr>
          <w:p w14:paraId="2F5CE8EF" w14:textId="5757C9E1" w:rsidR="00273A96" w:rsidRDefault="00273A96" w:rsidP="00273A96">
            <w:pPr>
              <w:ind w:firstLine="0"/>
              <w:jc w:val="left"/>
              <w:rPr>
                <w:sz w:val="18"/>
                <w:szCs w:val="18"/>
                <w:lang w:val="es-CO"/>
              </w:rPr>
            </w:pPr>
            <w:r>
              <w:rPr>
                <w:sz w:val="18"/>
                <w:szCs w:val="18"/>
                <w:lang w:val="es-CO"/>
              </w:rPr>
              <w:t>CONASIDA</w:t>
            </w:r>
          </w:p>
        </w:tc>
        <w:tc>
          <w:tcPr>
            <w:tcW w:w="540" w:type="dxa"/>
          </w:tcPr>
          <w:p w14:paraId="1A60F690" w14:textId="0B38E605" w:rsidR="00273A96" w:rsidRDefault="00273A96" w:rsidP="00273A96">
            <w:pPr>
              <w:ind w:firstLine="0"/>
              <w:jc w:val="left"/>
              <w:rPr>
                <w:sz w:val="18"/>
                <w:szCs w:val="18"/>
                <w:lang w:val="es-MX"/>
              </w:rPr>
            </w:pPr>
            <w:r>
              <w:rPr>
                <w:sz w:val="18"/>
                <w:szCs w:val="18"/>
                <w:lang w:val="es-MX"/>
              </w:rPr>
              <w:t>Si</w:t>
            </w:r>
          </w:p>
        </w:tc>
        <w:tc>
          <w:tcPr>
            <w:tcW w:w="1440" w:type="dxa"/>
          </w:tcPr>
          <w:p w14:paraId="14DFAEB5" w14:textId="228B3D12" w:rsidR="00273A96" w:rsidRPr="00041A72" w:rsidRDefault="00273A96" w:rsidP="00273A96">
            <w:pPr>
              <w:ind w:firstLine="0"/>
              <w:jc w:val="left"/>
              <w:rPr>
                <w:sz w:val="18"/>
                <w:szCs w:val="18"/>
                <w:lang w:val="es-MX"/>
              </w:rPr>
            </w:pPr>
            <w:r>
              <w:rPr>
                <w:sz w:val="18"/>
                <w:szCs w:val="18"/>
                <w:lang w:val="es-MX"/>
              </w:rPr>
              <w:t>7,400 USD</w:t>
            </w:r>
          </w:p>
        </w:tc>
        <w:tc>
          <w:tcPr>
            <w:tcW w:w="900" w:type="dxa"/>
          </w:tcPr>
          <w:p w14:paraId="643E18AA" w14:textId="77777777" w:rsidR="00273A96" w:rsidRPr="00041A72" w:rsidRDefault="00273A96" w:rsidP="00273A96">
            <w:pPr>
              <w:ind w:firstLine="0"/>
              <w:jc w:val="left"/>
              <w:rPr>
                <w:sz w:val="18"/>
                <w:szCs w:val="18"/>
                <w:lang w:val="es-MX"/>
              </w:rPr>
            </w:pPr>
          </w:p>
        </w:tc>
        <w:tc>
          <w:tcPr>
            <w:tcW w:w="1080" w:type="dxa"/>
          </w:tcPr>
          <w:p w14:paraId="529592D1" w14:textId="77777777" w:rsidR="00273A96" w:rsidRPr="00D81148" w:rsidRDefault="00273A96" w:rsidP="00273A96">
            <w:pPr>
              <w:ind w:firstLine="0"/>
              <w:jc w:val="left"/>
              <w:rPr>
                <w:sz w:val="18"/>
                <w:szCs w:val="18"/>
                <w:lang w:val="es-MX"/>
              </w:rPr>
            </w:pPr>
            <w:r w:rsidRPr="00D81148">
              <w:rPr>
                <w:sz w:val="18"/>
                <w:szCs w:val="18"/>
                <w:lang w:val="es-MX"/>
              </w:rPr>
              <w:t xml:space="preserve">PENSIDA </w:t>
            </w:r>
          </w:p>
          <w:p w14:paraId="43B1714F" w14:textId="77777777" w:rsidR="00273A96" w:rsidRDefault="00273A96" w:rsidP="00273A96">
            <w:pPr>
              <w:ind w:firstLine="0"/>
              <w:jc w:val="left"/>
              <w:rPr>
                <w:sz w:val="18"/>
                <w:szCs w:val="18"/>
                <w:lang w:val="es-MX"/>
              </w:rPr>
            </w:pPr>
            <w:r w:rsidRPr="00D81148">
              <w:rPr>
                <w:sz w:val="18"/>
                <w:szCs w:val="18"/>
                <w:lang w:val="es-MX"/>
              </w:rPr>
              <w:t>4.1.1</w:t>
            </w:r>
          </w:p>
          <w:p w14:paraId="641B5201" w14:textId="77777777" w:rsidR="00273A96" w:rsidRDefault="00273A96" w:rsidP="00273A96">
            <w:pPr>
              <w:ind w:firstLine="0"/>
              <w:jc w:val="left"/>
              <w:rPr>
                <w:sz w:val="18"/>
                <w:szCs w:val="18"/>
                <w:lang w:val="es-MX"/>
              </w:rPr>
            </w:pPr>
            <w:proofErr w:type="spellStart"/>
            <w:r>
              <w:rPr>
                <w:sz w:val="18"/>
                <w:szCs w:val="18"/>
                <w:lang w:val="es-MX"/>
              </w:rPr>
              <w:t>Eval</w:t>
            </w:r>
            <w:proofErr w:type="spellEnd"/>
            <w:r>
              <w:rPr>
                <w:sz w:val="18"/>
                <w:szCs w:val="18"/>
                <w:lang w:val="es-MX"/>
              </w:rPr>
              <w:t xml:space="preserve">. </w:t>
            </w:r>
            <w:proofErr w:type="spellStart"/>
            <w:r>
              <w:rPr>
                <w:sz w:val="18"/>
                <w:szCs w:val="18"/>
                <w:lang w:val="es-MX"/>
              </w:rPr>
              <w:t>Conj</w:t>
            </w:r>
            <w:proofErr w:type="spellEnd"/>
            <w:r>
              <w:rPr>
                <w:sz w:val="18"/>
                <w:szCs w:val="18"/>
                <w:lang w:val="es-MX"/>
              </w:rPr>
              <w:t>.</w:t>
            </w:r>
          </w:p>
          <w:p w14:paraId="3D451377" w14:textId="0527C061" w:rsidR="00273A96" w:rsidRPr="00EF3CF4" w:rsidRDefault="00273A96" w:rsidP="00273A96">
            <w:pPr>
              <w:ind w:firstLine="0"/>
              <w:jc w:val="left"/>
              <w:rPr>
                <w:sz w:val="18"/>
                <w:szCs w:val="18"/>
                <w:lang w:val="es-MX"/>
              </w:rPr>
            </w:pPr>
            <w:r>
              <w:rPr>
                <w:sz w:val="18"/>
                <w:szCs w:val="18"/>
                <w:lang w:val="es-MX"/>
              </w:rPr>
              <w:t>5.4.4</w:t>
            </w:r>
            <w:r w:rsidRPr="00D81148">
              <w:rPr>
                <w:sz w:val="18"/>
                <w:szCs w:val="18"/>
                <w:lang w:val="es-MX"/>
              </w:rPr>
              <w:t xml:space="preserve"> </w:t>
            </w:r>
          </w:p>
        </w:tc>
        <w:tc>
          <w:tcPr>
            <w:tcW w:w="1365" w:type="dxa"/>
          </w:tcPr>
          <w:p w14:paraId="1E0890AD" w14:textId="77777777" w:rsidR="00273A96" w:rsidRDefault="00273A96" w:rsidP="00273A96">
            <w:pPr>
              <w:ind w:firstLine="0"/>
              <w:jc w:val="left"/>
              <w:rPr>
                <w:sz w:val="18"/>
                <w:szCs w:val="18"/>
                <w:lang w:val="es-MX"/>
              </w:rPr>
            </w:pPr>
          </w:p>
        </w:tc>
      </w:tr>
      <w:tr w:rsidR="00273A96" w:rsidRPr="00041A72" w14:paraId="7AA1719A" w14:textId="77777777" w:rsidTr="00AA78FE">
        <w:trPr>
          <w:trHeight w:val="602"/>
        </w:trPr>
        <w:tc>
          <w:tcPr>
            <w:tcW w:w="265" w:type="dxa"/>
          </w:tcPr>
          <w:p w14:paraId="458A1B85" w14:textId="7F5B02E8" w:rsidR="00273A96" w:rsidRDefault="00273A96" w:rsidP="00273A96">
            <w:pPr>
              <w:ind w:firstLine="0"/>
              <w:jc w:val="left"/>
              <w:rPr>
                <w:bCs/>
                <w:sz w:val="18"/>
                <w:szCs w:val="18"/>
                <w:lang w:val="es-CO"/>
              </w:rPr>
            </w:pPr>
            <w:proofErr w:type="spellStart"/>
            <w:r>
              <w:rPr>
                <w:bCs/>
                <w:sz w:val="18"/>
                <w:szCs w:val="18"/>
                <w:lang w:val="es-CO"/>
              </w:rPr>
              <w:lastRenderedPageBreak/>
              <w:t>dd</w:t>
            </w:r>
            <w:proofErr w:type="spellEnd"/>
          </w:p>
        </w:tc>
        <w:tc>
          <w:tcPr>
            <w:tcW w:w="2440" w:type="dxa"/>
          </w:tcPr>
          <w:p w14:paraId="5E4EA7CA" w14:textId="0FA420E9" w:rsidR="00273A96" w:rsidRPr="00D81148" w:rsidRDefault="00273A96" w:rsidP="00273A96">
            <w:pPr>
              <w:ind w:firstLine="0"/>
              <w:jc w:val="left"/>
              <w:rPr>
                <w:bCs/>
                <w:sz w:val="18"/>
                <w:szCs w:val="18"/>
                <w:lang w:val="es-MX"/>
              </w:rPr>
            </w:pPr>
            <w:r w:rsidRPr="00D81148">
              <w:rPr>
                <w:bCs/>
                <w:color w:val="000000"/>
                <w:sz w:val="18"/>
                <w:szCs w:val="18"/>
                <w:lang w:val="es-MX" w:eastAsia="fr-FR"/>
              </w:rPr>
              <w:t>Fortalecimiento del Sistema de Información Integrado en Salud en cumplimento de lo establecido por la SESAL para lograr su operatividad y uso continuo</w:t>
            </w:r>
          </w:p>
        </w:tc>
        <w:tc>
          <w:tcPr>
            <w:tcW w:w="440" w:type="dxa"/>
          </w:tcPr>
          <w:p w14:paraId="0A87CE7F" w14:textId="601A94BF" w:rsidR="00273A96" w:rsidRPr="00D81148" w:rsidRDefault="00273A96" w:rsidP="00273A96">
            <w:pPr>
              <w:ind w:firstLine="0"/>
              <w:jc w:val="left"/>
              <w:rPr>
                <w:bCs/>
                <w:sz w:val="18"/>
                <w:szCs w:val="18"/>
                <w:lang w:val="es-CO"/>
              </w:rPr>
            </w:pPr>
            <w:r w:rsidRPr="00D81148">
              <w:rPr>
                <w:bCs/>
                <w:sz w:val="18"/>
                <w:szCs w:val="18"/>
                <w:lang w:val="es-CO"/>
              </w:rPr>
              <w:t>66</w:t>
            </w:r>
          </w:p>
        </w:tc>
        <w:tc>
          <w:tcPr>
            <w:tcW w:w="3780" w:type="dxa"/>
          </w:tcPr>
          <w:p w14:paraId="17099703" w14:textId="0AAC8BDA" w:rsidR="00273A96" w:rsidRPr="00D81148" w:rsidRDefault="00273A96" w:rsidP="00273A96">
            <w:pPr>
              <w:ind w:firstLine="0"/>
              <w:jc w:val="left"/>
              <w:rPr>
                <w:bCs/>
                <w:sz w:val="18"/>
                <w:szCs w:val="18"/>
                <w:lang w:val="es-MX"/>
              </w:rPr>
            </w:pPr>
            <w:r w:rsidRPr="00D81148">
              <w:rPr>
                <w:bCs/>
                <w:sz w:val="18"/>
                <w:szCs w:val="18"/>
                <w:lang w:val="es-MX"/>
              </w:rPr>
              <w:t>Finalizar la construcción del SIIS y la capacitación del personal de salud en su uso</w:t>
            </w:r>
          </w:p>
        </w:tc>
        <w:tc>
          <w:tcPr>
            <w:tcW w:w="630" w:type="dxa"/>
          </w:tcPr>
          <w:p w14:paraId="65F2FC65" w14:textId="655D17C2" w:rsidR="00273A96" w:rsidRDefault="00273A96" w:rsidP="00273A96">
            <w:pPr>
              <w:ind w:firstLine="0"/>
              <w:jc w:val="left"/>
              <w:rPr>
                <w:sz w:val="18"/>
                <w:szCs w:val="18"/>
                <w:lang w:val="es-CO"/>
              </w:rPr>
            </w:pPr>
            <w:r>
              <w:rPr>
                <w:sz w:val="18"/>
                <w:szCs w:val="18"/>
                <w:lang w:val="es-CO"/>
              </w:rPr>
              <w:t>2017- 2019</w:t>
            </w:r>
          </w:p>
        </w:tc>
        <w:tc>
          <w:tcPr>
            <w:tcW w:w="1530" w:type="dxa"/>
          </w:tcPr>
          <w:p w14:paraId="35C99246" w14:textId="01BB62FD" w:rsidR="00273A96" w:rsidRDefault="00273A96" w:rsidP="00273A96">
            <w:pPr>
              <w:ind w:firstLine="0"/>
              <w:jc w:val="left"/>
              <w:rPr>
                <w:sz w:val="18"/>
                <w:szCs w:val="18"/>
                <w:lang w:val="es-CO"/>
              </w:rPr>
            </w:pPr>
            <w:r>
              <w:rPr>
                <w:sz w:val="18"/>
                <w:szCs w:val="18"/>
                <w:lang w:val="es-CO"/>
              </w:rPr>
              <w:t xml:space="preserve">Receptores principales (Global </w:t>
            </w:r>
            <w:proofErr w:type="spellStart"/>
            <w:r>
              <w:rPr>
                <w:sz w:val="18"/>
                <w:szCs w:val="18"/>
                <w:lang w:val="es-CO"/>
              </w:rPr>
              <w:t>Communities</w:t>
            </w:r>
            <w:proofErr w:type="spellEnd"/>
            <w:r>
              <w:rPr>
                <w:sz w:val="18"/>
                <w:szCs w:val="18"/>
                <w:lang w:val="es-CO"/>
              </w:rPr>
              <w:t>/UAFCE) y UGI / SESAL</w:t>
            </w:r>
          </w:p>
        </w:tc>
        <w:tc>
          <w:tcPr>
            <w:tcW w:w="540" w:type="dxa"/>
          </w:tcPr>
          <w:p w14:paraId="10FD4A45" w14:textId="685DB463" w:rsidR="00273A96" w:rsidRDefault="00273A96" w:rsidP="00273A96">
            <w:pPr>
              <w:ind w:firstLine="0"/>
              <w:jc w:val="left"/>
              <w:rPr>
                <w:sz w:val="18"/>
                <w:szCs w:val="18"/>
                <w:lang w:val="es-MX"/>
              </w:rPr>
            </w:pPr>
            <w:r>
              <w:rPr>
                <w:sz w:val="18"/>
                <w:szCs w:val="18"/>
                <w:lang w:val="es-MX"/>
              </w:rPr>
              <w:t>Si</w:t>
            </w:r>
          </w:p>
        </w:tc>
        <w:tc>
          <w:tcPr>
            <w:tcW w:w="1440" w:type="dxa"/>
          </w:tcPr>
          <w:p w14:paraId="6016ED71" w14:textId="31D28A71" w:rsidR="00273A96" w:rsidRPr="00041A72" w:rsidRDefault="00273A96" w:rsidP="00273A96">
            <w:pPr>
              <w:ind w:firstLine="0"/>
              <w:jc w:val="left"/>
              <w:rPr>
                <w:sz w:val="18"/>
                <w:szCs w:val="18"/>
                <w:lang w:val="es-MX"/>
              </w:rPr>
            </w:pPr>
            <w:r w:rsidRPr="00EE471E">
              <w:rPr>
                <w:sz w:val="18"/>
                <w:szCs w:val="18"/>
                <w:lang w:val="es-MX"/>
              </w:rPr>
              <w:t xml:space="preserve">Por determinar </w:t>
            </w:r>
          </w:p>
        </w:tc>
        <w:tc>
          <w:tcPr>
            <w:tcW w:w="900" w:type="dxa"/>
          </w:tcPr>
          <w:p w14:paraId="6A9FE09D" w14:textId="66E61806" w:rsidR="00273A96" w:rsidRPr="00041A72" w:rsidRDefault="00273A96" w:rsidP="00273A96">
            <w:pPr>
              <w:ind w:firstLine="0"/>
              <w:jc w:val="left"/>
              <w:rPr>
                <w:sz w:val="18"/>
                <w:szCs w:val="18"/>
                <w:lang w:val="es-MX"/>
              </w:rPr>
            </w:pPr>
            <w:r>
              <w:rPr>
                <w:sz w:val="18"/>
                <w:szCs w:val="18"/>
                <w:lang w:val="es-MX"/>
              </w:rPr>
              <w:t>FM, CHAI</w:t>
            </w:r>
          </w:p>
        </w:tc>
        <w:tc>
          <w:tcPr>
            <w:tcW w:w="1080" w:type="dxa"/>
          </w:tcPr>
          <w:p w14:paraId="5A6D4429" w14:textId="77777777" w:rsidR="00273A96" w:rsidRPr="00D81148" w:rsidRDefault="00273A96" w:rsidP="00273A96">
            <w:pPr>
              <w:ind w:firstLine="0"/>
              <w:jc w:val="left"/>
              <w:rPr>
                <w:sz w:val="18"/>
                <w:szCs w:val="18"/>
                <w:lang w:val="es-MX"/>
              </w:rPr>
            </w:pPr>
            <w:r w:rsidRPr="00D81148">
              <w:rPr>
                <w:sz w:val="18"/>
                <w:szCs w:val="18"/>
                <w:lang w:val="es-MX"/>
              </w:rPr>
              <w:t xml:space="preserve">PENSIDA </w:t>
            </w:r>
          </w:p>
          <w:p w14:paraId="2A1DA3D5" w14:textId="77777777" w:rsidR="00273A96" w:rsidRPr="00D81148" w:rsidRDefault="00273A96" w:rsidP="00273A96">
            <w:pPr>
              <w:ind w:firstLine="0"/>
              <w:jc w:val="left"/>
              <w:rPr>
                <w:sz w:val="18"/>
                <w:szCs w:val="18"/>
                <w:lang w:val="es-MX"/>
              </w:rPr>
            </w:pPr>
            <w:r w:rsidRPr="00D81148">
              <w:rPr>
                <w:sz w:val="18"/>
                <w:szCs w:val="18"/>
                <w:lang w:val="es-MX"/>
              </w:rPr>
              <w:t xml:space="preserve">4.1.1 </w:t>
            </w:r>
          </w:p>
          <w:p w14:paraId="4E9E8630" w14:textId="77777777" w:rsidR="00273A96" w:rsidRPr="00D81148" w:rsidRDefault="00273A96" w:rsidP="00273A96">
            <w:pPr>
              <w:ind w:firstLine="0"/>
              <w:jc w:val="left"/>
              <w:rPr>
                <w:sz w:val="18"/>
                <w:szCs w:val="18"/>
                <w:lang w:val="es-MX"/>
              </w:rPr>
            </w:pPr>
            <w:r w:rsidRPr="00D81148">
              <w:rPr>
                <w:sz w:val="18"/>
                <w:szCs w:val="18"/>
                <w:lang w:val="es-MX"/>
              </w:rPr>
              <w:t xml:space="preserve">PENTB </w:t>
            </w:r>
          </w:p>
          <w:p w14:paraId="6BAF7852" w14:textId="77777777" w:rsidR="00273A96" w:rsidRPr="00D81148" w:rsidRDefault="00273A96" w:rsidP="00273A96">
            <w:pPr>
              <w:ind w:firstLine="0"/>
              <w:jc w:val="left"/>
              <w:rPr>
                <w:sz w:val="18"/>
                <w:szCs w:val="18"/>
                <w:lang w:val="es-MX"/>
              </w:rPr>
            </w:pPr>
            <w:r w:rsidRPr="00D81148">
              <w:rPr>
                <w:sz w:val="18"/>
                <w:szCs w:val="18"/>
                <w:lang w:val="es-MX"/>
              </w:rPr>
              <w:t>4.1.1</w:t>
            </w:r>
          </w:p>
          <w:p w14:paraId="4FB61726" w14:textId="77777777" w:rsidR="00273A96" w:rsidRPr="00D81148" w:rsidRDefault="00273A96" w:rsidP="00273A96">
            <w:pPr>
              <w:ind w:firstLine="0"/>
              <w:jc w:val="left"/>
              <w:rPr>
                <w:sz w:val="18"/>
                <w:szCs w:val="18"/>
                <w:lang w:val="es-MX"/>
              </w:rPr>
            </w:pPr>
            <w:r w:rsidRPr="00D81148">
              <w:rPr>
                <w:sz w:val="18"/>
                <w:szCs w:val="18"/>
                <w:lang w:val="es-MX"/>
              </w:rPr>
              <w:t>4.1.2</w:t>
            </w:r>
          </w:p>
          <w:p w14:paraId="5FB0331F" w14:textId="77777777" w:rsidR="00273A96" w:rsidRPr="00D81148" w:rsidRDefault="00273A96" w:rsidP="00273A96">
            <w:pPr>
              <w:ind w:firstLine="0"/>
              <w:jc w:val="left"/>
              <w:rPr>
                <w:sz w:val="18"/>
                <w:szCs w:val="18"/>
                <w:lang w:val="es-MX"/>
              </w:rPr>
            </w:pPr>
            <w:r w:rsidRPr="00D81148">
              <w:rPr>
                <w:sz w:val="18"/>
                <w:szCs w:val="18"/>
                <w:lang w:val="es-MX"/>
              </w:rPr>
              <w:t>4.1.3</w:t>
            </w:r>
          </w:p>
          <w:p w14:paraId="1278DBB4" w14:textId="05A61F21" w:rsidR="00273A96" w:rsidRPr="00041A72" w:rsidRDefault="00273A96" w:rsidP="00273A96">
            <w:pPr>
              <w:ind w:firstLine="0"/>
              <w:jc w:val="left"/>
              <w:rPr>
                <w:sz w:val="18"/>
                <w:szCs w:val="18"/>
                <w:lang w:val="es-MX"/>
              </w:rPr>
            </w:pPr>
            <w:r w:rsidRPr="00D81148">
              <w:rPr>
                <w:sz w:val="18"/>
                <w:szCs w:val="18"/>
                <w:lang w:val="es-MX"/>
              </w:rPr>
              <w:t>4.2.1</w:t>
            </w:r>
          </w:p>
        </w:tc>
        <w:tc>
          <w:tcPr>
            <w:tcW w:w="1365" w:type="dxa"/>
          </w:tcPr>
          <w:p w14:paraId="419134C0" w14:textId="0AB5EF7E" w:rsidR="00273A96" w:rsidRDefault="00273A96" w:rsidP="00273A96">
            <w:pPr>
              <w:ind w:firstLine="0"/>
              <w:jc w:val="left"/>
              <w:rPr>
                <w:sz w:val="18"/>
                <w:szCs w:val="18"/>
                <w:lang w:val="es-MX"/>
              </w:rPr>
            </w:pPr>
            <w:r>
              <w:rPr>
                <w:sz w:val="18"/>
                <w:szCs w:val="18"/>
                <w:lang w:val="es-MX"/>
              </w:rPr>
              <w:t xml:space="preserve">SIIS en funcionamiento y </w:t>
            </w:r>
          </w:p>
        </w:tc>
      </w:tr>
      <w:bookmarkEnd w:id="48"/>
    </w:tbl>
    <w:p w14:paraId="4F1493A1" w14:textId="77777777" w:rsidR="00535E4F" w:rsidRPr="00041A72" w:rsidRDefault="00535E4F" w:rsidP="00535E4F">
      <w:pPr>
        <w:ind w:firstLine="0"/>
        <w:jc w:val="left"/>
        <w:rPr>
          <w:sz w:val="18"/>
          <w:szCs w:val="18"/>
          <w:lang w:val="es-419"/>
        </w:rPr>
      </w:pPr>
    </w:p>
    <w:p w14:paraId="76CF63D3" w14:textId="1DBD79A8" w:rsidR="009343F0" w:rsidRDefault="009343F0" w:rsidP="00F948D1">
      <w:pPr>
        <w:ind w:firstLine="0"/>
        <w:rPr>
          <w:lang w:val="es-EC"/>
        </w:rPr>
        <w:sectPr w:rsidR="009343F0" w:rsidSect="00CF505D">
          <w:pgSz w:w="15840" w:h="12240" w:orient="landscape" w:code="1"/>
          <w:pgMar w:top="720" w:right="720" w:bottom="720" w:left="720" w:header="720" w:footer="720" w:gutter="0"/>
          <w:cols w:space="720"/>
          <w:docGrid w:linePitch="360"/>
        </w:sectPr>
      </w:pPr>
    </w:p>
    <w:p w14:paraId="0D3585D3" w14:textId="77777777" w:rsidR="00004167" w:rsidRPr="008F60A2" w:rsidRDefault="002D6A7A" w:rsidP="00F948D1">
      <w:pPr>
        <w:pStyle w:val="Heading1"/>
        <w:ind w:firstLine="0"/>
        <w:rPr>
          <w:lang w:val="es-GT"/>
        </w:rPr>
      </w:pPr>
      <w:bookmarkStart w:id="49" w:name="_Toc8381168"/>
      <w:r w:rsidRPr="008F60A2">
        <w:rPr>
          <w:lang w:val="es-GT"/>
        </w:rPr>
        <w:lastRenderedPageBreak/>
        <w:t>Recomendaciones de monitoreo de la sostenibilidad</w:t>
      </w:r>
      <w:bookmarkEnd w:id="49"/>
      <w:r w:rsidR="00004167" w:rsidRPr="008F60A2">
        <w:rPr>
          <w:lang w:val="es-GT"/>
        </w:rPr>
        <w:t xml:space="preserve"> </w:t>
      </w:r>
    </w:p>
    <w:p w14:paraId="241C1400" w14:textId="78F3340D" w:rsidR="00E85858" w:rsidRDefault="002D6A7A" w:rsidP="00F948D1">
      <w:pPr>
        <w:ind w:firstLine="0"/>
        <w:rPr>
          <w:lang w:val="es-GT"/>
        </w:rPr>
      </w:pPr>
      <w:r w:rsidRPr="008F60A2">
        <w:rPr>
          <w:lang w:val="es-GT"/>
        </w:rPr>
        <w:t>Hacer</w:t>
      </w:r>
      <w:r w:rsidR="00004167" w:rsidRPr="008F60A2">
        <w:rPr>
          <w:lang w:val="es-GT"/>
        </w:rPr>
        <w:t xml:space="preserve"> sostenib</w:t>
      </w:r>
      <w:r w:rsidRPr="008F60A2">
        <w:rPr>
          <w:lang w:val="es-GT"/>
        </w:rPr>
        <w:t>le</w:t>
      </w:r>
      <w:r w:rsidR="00004167" w:rsidRPr="008F60A2">
        <w:rPr>
          <w:lang w:val="es-GT"/>
        </w:rPr>
        <w:t xml:space="preserve"> la respuesta al VIH/sida</w:t>
      </w:r>
      <w:r w:rsidR="00E02C62" w:rsidRPr="008F60A2">
        <w:rPr>
          <w:lang w:val="es-GT"/>
        </w:rPr>
        <w:t xml:space="preserve"> y TB</w:t>
      </w:r>
      <w:r w:rsidR="00004167" w:rsidRPr="008F60A2">
        <w:rPr>
          <w:lang w:val="es-GT"/>
        </w:rPr>
        <w:t xml:space="preserve"> es crucial para </w:t>
      </w:r>
      <w:r w:rsidRPr="008F60A2">
        <w:rPr>
          <w:lang w:val="es-GT"/>
        </w:rPr>
        <w:t>la contención y eventual erradicación de la</w:t>
      </w:r>
      <w:r w:rsidR="00E02C62" w:rsidRPr="008F60A2">
        <w:rPr>
          <w:lang w:val="es-GT"/>
        </w:rPr>
        <w:t xml:space="preserve">s </w:t>
      </w:r>
      <w:r w:rsidRPr="008F60A2">
        <w:rPr>
          <w:lang w:val="es-GT"/>
        </w:rPr>
        <w:t>epidemia</w:t>
      </w:r>
      <w:r w:rsidR="00E02C62" w:rsidRPr="008F60A2">
        <w:rPr>
          <w:lang w:val="es-GT"/>
        </w:rPr>
        <w:t>s</w:t>
      </w:r>
      <w:r w:rsidRPr="008F60A2">
        <w:rPr>
          <w:lang w:val="es-GT"/>
        </w:rPr>
        <w:t>. Para evaluar el grado de avance del país en su estrategia de sostenibilidad,</w:t>
      </w:r>
      <w:r w:rsidR="00004167" w:rsidRPr="008F60A2">
        <w:rPr>
          <w:lang w:val="es-GT"/>
        </w:rPr>
        <w:t xml:space="preserve"> </w:t>
      </w:r>
      <w:r w:rsidRPr="008F60A2">
        <w:rPr>
          <w:lang w:val="es-GT"/>
        </w:rPr>
        <w:t xml:space="preserve">se </w:t>
      </w:r>
      <w:r w:rsidR="00004167" w:rsidRPr="008F60A2">
        <w:rPr>
          <w:lang w:val="es-GT"/>
        </w:rPr>
        <w:t xml:space="preserve">requiere un seguimiento permanente del cumplimiento de las tareas planificadas, mediante la medición de indicadores </w:t>
      </w:r>
      <w:r w:rsidRPr="008F60A2">
        <w:rPr>
          <w:lang w:val="es-GT"/>
        </w:rPr>
        <w:t>de avance y desempeño</w:t>
      </w:r>
      <w:r w:rsidR="00004167" w:rsidRPr="008F60A2">
        <w:rPr>
          <w:lang w:val="es-GT"/>
        </w:rPr>
        <w:t xml:space="preserve">. </w:t>
      </w:r>
      <w:r w:rsidR="00D66170">
        <w:rPr>
          <w:lang w:val="es-GT"/>
        </w:rPr>
        <w:t>Debido a la alta jerarquía de</w:t>
      </w:r>
      <w:r w:rsidR="00CD718D">
        <w:rPr>
          <w:lang w:val="es-GT"/>
        </w:rPr>
        <w:t>ntro del</w:t>
      </w:r>
      <w:r w:rsidR="00D66170">
        <w:rPr>
          <w:lang w:val="es-GT"/>
        </w:rPr>
        <w:t xml:space="preserve"> Gabinete</w:t>
      </w:r>
      <w:r w:rsidR="00CD718D">
        <w:rPr>
          <w:lang w:val="es-GT"/>
        </w:rPr>
        <w:t xml:space="preserve"> Social y </w:t>
      </w:r>
      <w:r w:rsidR="00383D0B">
        <w:rPr>
          <w:lang w:val="es-GT"/>
        </w:rPr>
        <w:t>su</w:t>
      </w:r>
      <w:r w:rsidR="00CD718D">
        <w:rPr>
          <w:lang w:val="es-GT"/>
        </w:rPr>
        <w:t xml:space="preserve"> seguimiento de indicadores a nivel país, se ha acordado que la Secretaría de Coordinación </w:t>
      </w:r>
      <w:r w:rsidR="0009383D">
        <w:rPr>
          <w:lang w:val="es-GT"/>
        </w:rPr>
        <w:t xml:space="preserve">General </w:t>
      </w:r>
      <w:r w:rsidR="00CD718D">
        <w:rPr>
          <w:lang w:val="es-GT"/>
        </w:rPr>
        <w:t xml:space="preserve">de Gobierno </w:t>
      </w:r>
      <w:r w:rsidR="000036E6">
        <w:rPr>
          <w:lang w:val="es-GT"/>
        </w:rPr>
        <w:t>monitoreará</w:t>
      </w:r>
      <w:r w:rsidR="00CD718D">
        <w:rPr>
          <w:lang w:val="es-GT"/>
        </w:rPr>
        <w:t xml:space="preserve"> este Plan de Trabajo y organizar</w:t>
      </w:r>
      <w:r w:rsidR="00B71B76">
        <w:rPr>
          <w:lang w:val="es-GT"/>
        </w:rPr>
        <w:t>á</w:t>
      </w:r>
      <w:r w:rsidR="00CD718D">
        <w:rPr>
          <w:lang w:val="es-GT"/>
        </w:rPr>
        <w:t xml:space="preserve"> los grupos de trabajo para su </w:t>
      </w:r>
      <w:r w:rsidR="00B71B76">
        <w:rPr>
          <w:lang w:val="es-GT"/>
        </w:rPr>
        <w:t>seguimiento</w:t>
      </w:r>
      <w:r w:rsidR="00CD718D">
        <w:rPr>
          <w:lang w:val="es-GT"/>
        </w:rPr>
        <w:t xml:space="preserve"> y ajustes necesarios.</w:t>
      </w:r>
    </w:p>
    <w:p w14:paraId="6C8E99F5" w14:textId="7CC3359A" w:rsidR="00383D0B" w:rsidRPr="00383D0B" w:rsidRDefault="00004167" w:rsidP="00383D0B">
      <w:pPr>
        <w:ind w:firstLine="0"/>
        <w:rPr>
          <w:lang w:val="es-GT"/>
        </w:rPr>
      </w:pPr>
      <w:r w:rsidRPr="008F60A2">
        <w:rPr>
          <w:lang w:val="es-GT"/>
        </w:rPr>
        <w:t xml:space="preserve">Para el monitoreo intermedio, el plan de trabajo propone indicadores de proceso. </w:t>
      </w:r>
      <w:r w:rsidR="002D6A7A" w:rsidRPr="008F60A2">
        <w:rPr>
          <w:lang w:val="es-GT"/>
        </w:rPr>
        <w:t>Estos medirán</w:t>
      </w:r>
      <w:r w:rsidRPr="008F60A2">
        <w:rPr>
          <w:lang w:val="es-GT"/>
        </w:rPr>
        <w:t xml:space="preserve"> si las acciones planificadas se están llevando a cabo y producen los resultados esperados.</w:t>
      </w:r>
      <w:r w:rsidR="009B7C1E" w:rsidRPr="009B7C1E">
        <w:rPr>
          <w:lang w:val="es-GT"/>
        </w:rPr>
        <w:t xml:space="preserve"> </w:t>
      </w:r>
      <w:r w:rsidR="009B7C1E">
        <w:rPr>
          <w:lang w:val="es-GT"/>
        </w:rPr>
        <w:t>Los</w:t>
      </w:r>
      <w:r w:rsidR="009B7C1E" w:rsidRPr="008F60A2">
        <w:rPr>
          <w:lang w:val="es-GT"/>
        </w:rPr>
        <w:t xml:space="preserve"> indicadores</w:t>
      </w:r>
      <w:r w:rsidR="009B7C1E">
        <w:rPr>
          <w:lang w:val="es-GT"/>
        </w:rPr>
        <w:t xml:space="preserve"> propuestos a continuación</w:t>
      </w:r>
      <w:r w:rsidR="009B7C1E" w:rsidRPr="008F60A2">
        <w:rPr>
          <w:lang w:val="es-GT"/>
        </w:rPr>
        <w:t xml:space="preserve"> complementarán los definidos en el PENSIDA y PENTB, que mide</w:t>
      </w:r>
      <w:r w:rsidR="009B7C1E">
        <w:rPr>
          <w:lang w:val="es-GT"/>
        </w:rPr>
        <w:t>n</w:t>
      </w:r>
      <w:r w:rsidR="009B7C1E" w:rsidRPr="008F60A2">
        <w:rPr>
          <w:lang w:val="es-GT"/>
        </w:rPr>
        <w:t xml:space="preserve"> el progreso de las acciones de la respuesta nacional al VIH/sida y los resultados epidemiológicos</w:t>
      </w:r>
      <w:r w:rsidR="009B7C1E">
        <w:rPr>
          <w:lang w:val="es-GT"/>
        </w:rPr>
        <w:t>, en seguimiento a las metas de sostenibilidad acordadas por el país.</w:t>
      </w:r>
    </w:p>
    <w:p w14:paraId="5FD549D9" w14:textId="26C65A85" w:rsidR="00E81358" w:rsidRPr="00383D0B" w:rsidRDefault="005E58EB" w:rsidP="00E02C62">
      <w:pPr>
        <w:pStyle w:val="ListParagraph"/>
        <w:numPr>
          <w:ilvl w:val="0"/>
          <w:numId w:val="1"/>
        </w:numPr>
        <w:tabs>
          <w:tab w:val="left" w:pos="1080"/>
        </w:tabs>
        <w:ind w:firstLine="0"/>
        <w:rPr>
          <w:lang w:val="es-GT"/>
        </w:rPr>
      </w:pPr>
      <w:r>
        <w:rPr>
          <w:lang w:val="es-GT"/>
        </w:rPr>
        <w:t>Resultados para m</w:t>
      </w:r>
      <w:r w:rsidR="00E81358">
        <w:rPr>
          <w:lang w:val="es-GT"/>
        </w:rPr>
        <w:t>onitoreo para la cascada de atención en VIH y alcance de las metas 90-90-90</w:t>
      </w:r>
      <w:r w:rsidR="00CC7D1C">
        <w:rPr>
          <w:lang w:val="es-GT"/>
        </w:rPr>
        <w:t>,</w:t>
      </w:r>
      <w:r w:rsidR="00E81358">
        <w:rPr>
          <w:lang w:val="es-GT"/>
        </w:rPr>
        <w:t xml:space="preserve"> incluyend</w:t>
      </w:r>
      <w:r w:rsidR="00CC7D1C">
        <w:rPr>
          <w:lang w:val="es-GT"/>
        </w:rPr>
        <w:t xml:space="preserve">o el desglose por población clave </w:t>
      </w:r>
      <w:r w:rsidR="001B5B8F">
        <w:rPr>
          <w:lang w:val="es-GT"/>
        </w:rPr>
        <w:t>cuando se cuente con el SIIS</w:t>
      </w:r>
      <w:r w:rsidR="004E0D59">
        <w:rPr>
          <w:lang w:val="es-GT"/>
        </w:rPr>
        <w:t>.</w:t>
      </w:r>
    </w:p>
    <w:p w14:paraId="73648EEE" w14:textId="7ED1E41A" w:rsidR="00383D0B" w:rsidRPr="00383D0B" w:rsidRDefault="00383D0B" w:rsidP="00383D0B">
      <w:pPr>
        <w:ind w:left="1080" w:firstLine="360"/>
        <w:rPr>
          <w:lang w:val="es-GT"/>
        </w:rPr>
      </w:pPr>
      <w:r w:rsidRPr="008F60A2">
        <w:rPr>
          <w:lang w:val="es-GT"/>
        </w:rPr>
        <w:t xml:space="preserve">Fuentes de datos: SESAL, UGI, Dirección de Redes, </w:t>
      </w:r>
      <w:r w:rsidR="00AF39D6">
        <w:rPr>
          <w:lang w:val="es-GT"/>
        </w:rPr>
        <w:t>SIIS.</w:t>
      </w:r>
    </w:p>
    <w:p w14:paraId="1F0A8A8F" w14:textId="3A04C564" w:rsidR="00E02C62" w:rsidRPr="008F60A2" w:rsidRDefault="00E02C62" w:rsidP="00E02C62">
      <w:pPr>
        <w:pStyle w:val="ListParagraph"/>
        <w:numPr>
          <w:ilvl w:val="0"/>
          <w:numId w:val="1"/>
        </w:numPr>
        <w:tabs>
          <w:tab w:val="left" w:pos="1080"/>
        </w:tabs>
        <w:ind w:firstLine="0"/>
        <w:rPr>
          <w:lang w:val="es-GT"/>
        </w:rPr>
      </w:pPr>
      <w:r w:rsidRPr="008F60A2">
        <w:rPr>
          <w:i/>
          <w:lang w:val="es-GT"/>
        </w:rPr>
        <w:t>Resultados para población con TB</w:t>
      </w:r>
      <w:r w:rsidRPr="008F60A2">
        <w:rPr>
          <w:lang w:val="es-GT"/>
        </w:rPr>
        <w:t>. Mantenimiento o mejora de cobertura de servicios para poblaciones vulnerable (en especial PPL, niños, adultos mayores y personas diabéticas) en la respuesta a</w:t>
      </w:r>
      <w:r w:rsidR="00997A31">
        <w:rPr>
          <w:lang w:val="es-GT"/>
        </w:rPr>
        <w:t xml:space="preserve"> la TB.</w:t>
      </w:r>
    </w:p>
    <w:p w14:paraId="28A20F75" w14:textId="03228028" w:rsidR="00E02C62" w:rsidRPr="009206AC" w:rsidRDefault="00E02C62" w:rsidP="006D54BD">
      <w:pPr>
        <w:pStyle w:val="ListParagraph"/>
        <w:numPr>
          <w:ilvl w:val="1"/>
          <w:numId w:val="9"/>
        </w:numPr>
        <w:tabs>
          <w:tab w:val="left" w:pos="1800"/>
        </w:tabs>
        <w:ind w:firstLine="0"/>
        <w:rPr>
          <w:lang w:val="es-MX"/>
        </w:rPr>
      </w:pPr>
      <w:r w:rsidRPr="008F60A2">
        <w:rPr>
          <w:lang w:val="es-GT"/>
        </w:rPr>
        <w:t xml:space="preserve">Aumento en </w:t>
      </w:r>
      <w:r w:rsidR="003C0D9B" w:rsidRPr="008F60A2">
        <w:rPr>
          <w:lang w:val="es-GT"/>
        </w:rPr>
        <w:t>la búsqueda de casos</w:t>
      </w:r>
      <w:r w:rsidRPr="008F60A2">
        <w:rPr>
          <w:lang w:val="es-GT"/>
        </w:rPr>
        <w:t xml:space="preserve"> </w:t>
      </w:r>
      <w:r w:rsidR="003C0D9B" w:rsidRPr="008F60A2">
        <w:rPr>
          <w:lang w:val="es-GT"/>
        </w:rPr>
        <w:t>(especialmente en las regiones con mayor número de casos de TB-MDR</w:t>
      </w:r>
      <w:r w:rsidR="00B74E50">
        <w:rPr>
          <w:lang w:val="es-GT"/>
        </w:rPr>
        <w:t xml:space="preserve"> y en </w:t>
      </w:r>
      <w:r w:rsidR="00B74E50" w:rsidRPr="008F60A2">
        <w:rPr>
          <w:lang w:val="es-GT"/>
        </w:rPr>
        <w:t>PPL, niños, adultos mayores y personas diabéticas</w:t>
      </w:r>
      <w:r w:rsidR="003C0D9B" w:rsidRPr="008F60A2">
        <w:rPr>
          <w:lang w:val="es-GT"/>
        </w:rPr>
        <w:t>)</w:t>
      </w:r>
      <w:r w:rsidR="00E74079">
        <w:rPr>
          <w:lang w:val="es-GT"/>
        </w:rPr>
        <w:t>, para</w:t>
      </w:r>
      <w:r w:rsidR="00BE2A21">
        <w:rPr>
          <w:lang w:val="es-GT"/>
        </w:rPr>
        <w:t xml:space="preserve"> incrementar </w:t>
      </w:r>
      <w:r w:rsidR="00BE2A21" w:rsidRPr="009206AC">
        <w:rPr>
          <w:lang w:val="es-MX"/>
        </w:rPr>
        <w:t>el diag</w:t>
      </w:r>
      <w:r w:rsidR="009206AC" w:rsidRPr="009206AC">
        <w:rPr>
          <w:lang w:val="es-MX"/>
        </w:rPr>
        <w:t>nó</w:t>
      </w:r>
      <w:r w:rsidR="00BE2A21" w:rsidRPr="009206AC">
        <w:rPr>
          <w:lang w:val="es-MX"/>
        </w:rPr>
        <w:t>stico de 80% en 2017 al 90% en 20</w:t>
      </w:r>
      <w:r w:rsidR="002E1212" w:rsidRPr="009206AC">
        <w:rPr>
          <w:lang w:val="es-MX"/>
        </w:rPr>
        <w:t>23</w:t>
      </w:r>
      <w:r w:rsidR="00BE2A21" w:rsidRPr="009206AC">
        <w:rPr>
          <w:lang w:val="es-MX"/>
        </w:rPr>
        <w:t>.</w:t>
      </w:r>
    </w:p>
    <w:p w14:paraId="4FB1FE90" w14:textId="167CBA36" w:rsidR="005A2E32" w:rsidRDefault="005A2E32" w:rsidP="006D54BD">
      <w:pPr>
        <w:pStyle w:val="ListParagraph"/>
        <w:numPr>
          <w:ilvl w:val="1"/>
          <w:numId w:val="9"/>
        </w:numPr>
        <w:tabs>
          <w:tab w:val="left" w:pos="1800"/>
        </w:tabs>
        <w:ind w:firstLine="0"/>
        <w:rPr>
          <w:lang w:val="es-GT"/>
        </w:rPr>
      </w:pPr>
      <w:r w:rsidRPr="009206AC">
        <w:rPr>
          <w:lang w:val="es-MX"/>
        </w:rPr>
        <w:t>Incremento en las PS</w:t>
      </w:r>
      <w:r w:rsidR="00746751">
        <w:rPr>
          <w:lang w:val="es-MX"/>
        </w:rPr>
        <w:t>D</w:t>
      </w:r>
      <w:r w:rsidRPr="009206AC">
        <w:rPr>
          <w:lang w:val="es-MX"/>
        </w:rPr>
        <w:t xml:space="preserve"> </w:t>
      </w:r>
      <w:r w:rsidR="00BF2187" w:rsidRPr="009206AC">
        <w:rPr>
          <w:lang w:val="es-MX"/>
        </w:rPr>
        <w:t>en</w:t>
      </w:r>
      <w:r>
        <w:rPr>
          <w:lang w:val="es-GT"/>
        </w:rPr>
        <w:t xml:space="preserve"> los pacientes tratados de 51% en 2017 a 75% en 2023</w:t>
      </w:r>
      <w:r w:rsidR="000136DA">
        <w:rPr>
          <w:lang w:val="es-GT"/>
        </w:rPr>
        <w:t>.</w:t>
      </w:r>
    </w:p>
    <w:p w14:paraId="6C37B2E0" w14:textId="2E78145D" w:rsidR="00E02C62" w:rsidRPr="00B41F11" w:rsidRDefault="00E02C62" w:rsidP="006D54BD">
      <w:pPr>
        <w:pStyle w:val="ListParagraph"/>
        <w:numPr>
          <w:ilvl w:val="1"/>
          <w:numId w:val="9"/>
        </w:numPr>
        <w:tabs>
          <w:tab w:val="left" w:pos="1800"/>
        </w:tabs>
        <w:ind w:firstLine="0"/>
        <w:rPr>
          <w:lang w:val="es-GT"/>
        </w:rPr>
      </w:pPr>
      <w:r w:rsidRPr="00B41F11">
        <w:rPr>
          <w:lang w:val="es-GT"/>
        </w:rPr>
        <w:t xml:space="preserve">Incremento en el porcentaje del presupuesto </w:t>
      </w:r>
      <w:r w:rsidR="00C11C07" w:rsidRPr="00B41F11">
        <w:rPr>
          <w:lang w:val="es-GT"/>
        </w:rPr>
        <w:t>para los RRHH destinados a la supervisión y movilización comunitaria.</w:t>
      </w:r>
    </w:p>
    <w:p w14:paraId="350E3FFB" w14:textId="6539E458" w:rsidR="00004167" w:rsidRPr="008F60A2" w:rsidRDefault="00E02C62" w:rsidP="00D61D1B">
      <w:pPr>
        <w:ind w:left="1080" w:firstLine="360"/>
        <w:rPr>
          <w:lang w:val="es-GT"/>
        </w:rPr>
      </w:pPr>
      <w:r w:rsidRPr="008F60A2">
        <w:rPr>
          <w:lang w:val="es-GT"/>
        </w:rPr>
        <w:t>Fuentes de datos: SESAL, UGI, Dirección de Redes.</w:t>
      </w:r>
    </w:p>
    <w:p w14:paraId="0D9D092D" w14:textId="6F8553EB" w:rsidR="000F36E8" w:rsidRPr="000A050E" w:rsidRDefault="00004167" w:rsidP="000A050E">
      <w:pPr>
        <w:pStyle w:val="ListParagraph"/>
        <w:numPr>
          <w:ilvl w:val="0"/>
          <w:numId w:val="1"/>
        </w:numPr>
        <w:tabs>
          <w:tab w:val="left" w:pos="1080"/>
        </w:tabs>
        <w:ind w:firstLine="0"/>
        <w:rPr>
          <w:lang w:val="es-GT"/>
        </w:rPr>
      </w:pPr>
      <w:r w:rsidRPr="008F60A2">
        <w:rPr>
          <w:i/>
          <w:lang w:val="es-GT"/>
        </w:rPr>
        <w:t xml:space="preserve">Contratación </w:t>
      </w:r>
      <w:r w:rsidR="00815F88">
        <w:rPr>
          <w:i/>
          <w:lang w:val="es-GT"/>
        </w:rPr>
        <w:t xml:space="preserve">pública de </w:t>
      </w:r>
      <w:proofErr w:type="spellStart"/>
      <w:r w:rsidR="00815F88">
        <w:rPr>
          <w:i/>
          <w:lang w:val="es-GT"/>
        </w:rPr>
        <w:t>OSCs</w:t>
      </w:r>
      <w:proofErr w:type="spellEnd"/>
      <w:r w:rsidR="00815F88">
        <w:rPr>
          <w:i/>
          <w:lang w:val="es-GT"/>
        </w:rPr>
        <w:t xml:space="preserve"> para la provisión de servicios de salud</w:t>
      </w:r>
      <w:r w:rsidRPr="008F60A2">
        <w:rPr>
          <w:lang w:val="es-GT"/>
        </w:rPr>
        <w:t>. Aumento en la contratación de OSC en la respuesta al VIH</w:t>
      </w:r>
      <w:r w:rsidR="00744DCE">
        <w:rPr>
          <w:lang w:val="es-GT"/>
        </w:rPr>
        <w:t xml:space="preserve"> y a la TB.</w:t>
      </w:r>
    </w:p>
    <w:p w14:paraId="51F3D18B" w14:textId="7515E4BE" w:rsidR="000F36E8" w:rsidRPr="008F60A2" w:rsidRDefault="000F36E8" w:rsidP="006D54BD">
      <w:pPr>
        <w:pStyle w:val="ListParagraph"/>
        <w:numPr>
          <w:ilvl w:val="1"/>
          <w:numId w:val="9"/>
        </w:numPr>
        <w:tabs>
          <w:tab w:val="left" w:pos="1800"/>
        </w:tabs>
        <w:ind w:firstLine="0"/>
        <w:rPr>
          <w:lang w:val="es-GT"/>
        </w:rPr>
      </w:pPr>
      <w:r w:rsidRPr="008F60A2">
        <w:rPr>
          <w:lang w:val="es-GT"/>
        </w:rPr>
        <w:t>Aumento en el número de OSC certificadas como proveedoras/administradoras de servicios de VIH</w:t>
      </w:r>
      <w:r w:rsidR="003816BE">
        <w:rPr>
          <w:lang w:val="es-GT"/>
        </w:rPr>
        <w:t xml:space="preserve"> y </w:t>
      </w:r>
      <w:r w:rsidRPr="008F60A2">
        <w:rPr>
          <w:lang w:val="es-GT"/>
        </w:rPr>
        <w:t>TB a 10 o más en 4 años</w:t>
      </w:r>
    </w:p>
    <w:p w14:paraId="36B65502" w14:textId="63F5491A" w:rsidR="000F36E8" w:rsidRPr="008F60A2" w:rsidRDefault="000F36E8" w:rsidP="006D54BD">
      <w:pPr>
        <w:pStyle w:val="ListParagraph"/>
        <w:numPr>
          <w:ilvl w:val="1"/>
          <w:numId w:val="9"/>
        </w:numPr>
        <w:tabs>
          <w:tab w:val="left" w:pos="1800"/>
        </w:tabs>
        <w:ind w:firstLine="0"/>
        <w:rPr>
          <w:lang w:val="es-GT"/>
        </w:rPr>
      </w:pPr>
      <w:r w:rsidRPr="008F60A2">
        <w:rPr>
          <w:lang w:val="es-GT"/>
        </w:rPr>
        <w:t>Triplicar el número y monto de contratos a las OSC para proveer/administrar servicios de VIH</w:t>
      </w:r>
      <w:r w:rsidR="003816BE">
        <w:rPr>
          <w:lang w:val="es-GT"/>
        </w:rPr>
        <w:t xml:space="preserve"> y </w:t>
      </w:r>
      <w:r w:rsidRPr="008F60A2">
        <w:rPr>
          <w:lang w:val="es-GT"/>
        </w:rPr>
        <w:t>TB en 4 años</w:t>
      </w:r>
    </w:p>
    <w:p w14:paraId="67D084D6" w14:textId="4D151C94" w:rsidR="000F36E8" w:rsidRDefault="000F36E8" w:rsidP="006D54BD">
      <w:pPr>
        <w:pStyle w:val="ListParagraph"/>
        <w:numPr>
          <w:ilvl w:val="1"/>
          <w:numId w:val="9"/>
        </w:numPr>
        <w:tabs>
          <w:tab w:val="left" w:pos="1800"/>
        </w:tabs>
        <w:ind w:firstLine="0"/>
        <w:rPr>
          <w:lang w:val="es-GT"/>
        </w:rPr>
      </w:pPr>
      <w:r w:rsidRPr="008F60A2">
        <w:rPr>
          <w:lang w:val="es-GT"/>
        </w:rPr>
        <w:t xml:space="preserve">Generación de contratos entre OSC y otras dependencias públicas (prisiones, </w:t>
      </w:r>
      <w:r w:rsidR="0054172F">
        <w:rPr>
          <w:lang w:val="es-GT"/>
        </w:rPr>
        <w:t>Secretar</w:t>
      </w:r>
      <w:proofErr w:type="spellStart"/>
      <w:r w:rsidR="0054172F">
        <w:rPr>
          <w:lang w:val="es-MX"/>
        </w:rPr>
        <w:t>ía</w:t>
      </w:r>
      <w:proofErr w:type="spellEnd"/>
      <w:r w:rsidRPr="008F60A2">
        <w:rPr>
          <w:lang w:val="es-GT"/>
        </w:rPr>
        <w:t xml:space="preserve"> del Trabajo) para el cumplimiento de la Ley Especial de VIH-Sida.</w:t>
      </w:r>
    </w:p>
    <w:p w14:paraId="6347374C" w14:textId="1B460524" w:rsidR="005E58EB" w:rsidRDefault="005E58EB" w:rsidP="006D54BD">
      <w:pPr>
        <w:pStyle w:val="ListParagraph"/>
        <w:numPr>
          <w:ilvl w:val="1"/>
          <w:numId w:val="9"/>
        </w:numPr>
        <w:tabs>
          <w:tab w:val="left" w:pos="1800"/>
        </w:tabs>
        <w:ind w:firstLine="0"/>
        <w:rPr>
          <w:lang w:val="es-GT"/>
        </w:rPr>
      </w:pPr>
      <w:r w:rsidRPr="008F60A2">
        <w:rPr>
          <w:lang w:val="es-GT"/>
        </w:rPr>
        <w:t xml:space="preserve">Incremento en el porcentaje del presupuesto </w:t>
      </w:r>
      <w:r>
        <w:rPr>
          <w:lang w:val="es-GT"/>
        </w:rPr>
        <w:t xml:space="preserve">público </w:t>
      </w:r>
      <w:r w:rsidRPr="008F60A2">
        <w:rPr>
          <w:lang w:val="es-GT"/>
        </w:rPr>
        <w:t>e</w:t>
      </w:r>
      <w:r>
        <w:rPr>
          <w:lang w:val="es-GT"/>
        </w:rPr>
        <w:t>n prevención para poblaciones claves.</w:t>
      </w:r>
    </w:p>
    <w:p w14:paraId="34079BE1" w14:textId="540262DB" w:rsidR="00EE6097" w:rsidRDefault="00EE6097" w:rsidP="00383D0B">
      <w:pPr>
        <w:ind w:left="720" w:firstLine="720"/>
        <w:rPr>
          <w:lang w:val="es-GT"/>
        </w:rPr>
      </w:pPr>
      <w:r w:rsidRPr="00EE6097">
        <w:rPr>
          <w:lang w:val="es-GT"/>
        </w:rPr>
        <w:t xml:space="preserve">Fuentes de datos: </w:t>
      </w:r>
      <w:r w:rsidR="00D61D1B">
        <w:rPr>
          <w:lang w:val="es-GT"/>
        </w:rPr>
        <w:t>Coaliciones de VIH</w:t>
      </w:r>
      <w:r w:rsidR="003816BE">
        <w:rPr>
          <w:lang w:val="es-GT"/>
        </w:rPr>
        <w:t xml:space="preserve"> y </w:t>
      </w:r>
      <w:r w:rsidR="00D61D1B">
        <w:rPr>
          <w:lang w:val="es-GT"/>
        </w:rPr>
        <w:t xml:space="preserve">TB, </w:t>
      </w:r>
      <w:r w:rsidR="001130A4">
        <w:rPr>
          <w:lang w:val="es-GT"/>
        </w:rPr>
        <w:t>CONASIDA.</w:t>
      </w:r>
    </w:p>
    <w:p w14:paraId="62D11BE8" w14:textId="7A97416C" w:rsidR="00815F88" w:rsidRPr="00815F88" w:rsidRDefault="00EE202E" w:rsidP="00815F88">
      <w:pPr>
        <w:pStyle w:val="ListParagraph"/>
        <w:numPr>
          <w:ilvl w:val="0"/>
          <w:numId w:val="1"/>
        </w:numPr>
        <w:tabs>
          <w:tab w:val="left" w:pos="1080"/>
        </w:tabs>
        <w:ind w:firstLine="0"/>
        <w:rPr>
          <w:lang w:val="es-GT"/>
        </w:rPr>
      </w:pPr>
      <w:r>
        <w:rPr>
          <w:i/>
          <w:lang w:val="es-GT"/>
        </w:rPr>
        <w:t>Derechos Humanos</w:t>
      </w:r>
      <w:r w:rsidR="00815F88" w:rsidRPr="008F60A2">
        <w:rPr>
          <w:lang w:val="es-GT"/>
        </w:rPr>
        <w:t xml:space="preserve">. </w:t>
      </w:r>
      <w:r>
        <w:rPr>
          <w:lang w:val="es-GT"/>
        </w:rPr>
        <w:t>Garantizar el</w:t>
      </w:r>
      <w:r w:rsidR="00B055BB">
        <w:rPr>
          <w:lang w:val="es-GT"/>
        </w:rPr>
        <w:t xml:space="preserve"> cumplimiento de la responsabilidad pública en la vigilancia y el respeto a los </w:t>
      </w:r>
      <w:r>
        <w:rPr>
          <w:lang w:val="es-GT"/>
        </w:rPr>
        <w:t>DDHH</w:t>
      </w:r>
      <w:r w:rsidR="00FA15A1">
        <w:rPr>
          <w:lang w:val="es-GT"/>
        </w:rPr>
        <w:t xml:space="preserve"> en relación con las respuestas nacionales al VIH</w:t>
      </w:r>
      <w:r w:rsidR="003816BE">
        <w:rPr>
          <w:lang w:val="es-GT"/>
        </w:rPr>
        <w:t xml:space="preserve"> y </w:t>
      </w:r>
      <w:r w:rsidR="00FA15A1">
        <w:rPr>
          <w:lang w:val="es-GT"/>
        </w:rPr>
        <w:t>TB</w:t>
      </w:r>
      <w:r w:rsidR="00EE6097">
        <w:rPr>
          <w:lang w:val="es-GT"/>
        </w:rPr>
        <w:t>.</w:t>
      </w:r>
    </w:p>
    <w:p w14:paraId="2CB6DA06" w14:textId="17B5D295" w:rsidR="000F36E8" w:rsidRDefault="00AF723F" w:rsidP="006D54BD">
      <w:pPr>
        <w:pStyle w:val="ListParagraph"/>
        <w:numPr>
          <w:ilvl w:val="1"/>
          <w:numId w:val="9"/>
        </w:numPr>
        <w:tabs>
          <w:tab w:val="left" w:pos="1800"/>
        </w:tabs>
        <w:ind w:firstLine="0"/>
        <w:rPr>
          <w:lang w:val="es-GT"/>
        </w:rPr>
      </w:pPr>
      <w:r w:rsidRPr="008F60A2">
        <w:rPr>
          <w:lang w:val="es-GT"/>
        </w:rPr>
        <w:t>Disminución de la percepción de estigma y discriminación por VIH</w:t>
      </w:r>
      <w:r w:rsidR="003816BE">
        <w:rPr>
          <w:lang w:val="es-GT"/>
        </w:rPr>
        <w:t xml:space="preserve"> y </w:t>
      </w:r>
      <w:r w:rsidRPr="008F60A2">
        <w:rPr>
          <w:lang w:val="es-GT"/>
        </w:rPr>
        <w:t>TB en los servicios de salud (medida a través de una nueva encuesta a pacientes y proveedores de salud)</w:t>
      </w:r>
    </w:p>
    <w:p w14:paraId="0CEEDE9B" w14:textId="647B6E39" w:rsidR="008B2080" w:rsidRPr="008F60A2" w:rsidRDefault="008B2080" w:rsidP="006D54BD">
      <w:pPr>
        <w:pStyle w:val="ListParagraph"/>
        <w:numPr>
          <w:ilvl w:val="1"/>
          <w:numId w:val="9"/>
        </w:numPr>
        <w:tabs>
          <w:tab w:val="left" w:pos="1800"/>
        </w:tabs>
        <w:ind w:firstLine="0"/>
        <w:rPr>
          <w:lang w:val="es-GT"/>
        </w:rPr>
      </w:pPr>
      <w:r>
        <w:rPr>
          <w:lang w:val="es-GT"/>
        </w:rPr>
        <w:t>Dar seguimiento a las recomendaciones principales del Plan de Derechos Humanos</w:t>
      </w:r>
      <w:r w:rsidR="00F251A3">
        <w:rPr>
          <w:lang w:val="es-GT"/>
        </w:rPr>
        <w:t xml:space="preserve"> actualmente en elaboración.</w:t>
      </w:r>
    </w:p>
    <w:p w14:paraId="05F0EA6F" w14:textId="1DB06D91" w:rsidR="000A1346" w:rsidRDefault="00004167" w:rsidP="00291F91">
      <w:pPr>
        <w:ind w:left="720" w:firstLine="720"/>
        <w:rPr>
          <w:lang w:val="es-GT"/>
        </w:rPr>
      </w:pPr>
      <w:r w:rsidRPr="008F60A2">
        <w:rPr>
          <w:lang w:val="es-GT"/>
        </w:rPr>
        <w:t xml:space="preserve">Fuentes de datos: </w:t>
      </w:r>
      <w:r w:rsidR="00EE202E">
        <w:rPr>
          <w:lang w:val="es-GT"/>
        </w:rPr>
        <w:t>SEDH, CONADEH, indicadores principales del Plan de DDHH</w:t>
      </w:r>
      <w:r w:rsidR="008F60A2" w:rsidRPr="008F60A2">
        <w:rPr>
          <w:lang w:val="es-GT"/>
        </w:rPr>
        <w:t>.</w:t>
      </w:r>
    </w:p>
    <w:p w14:paraId="065E6A89" w14:textId="77777777" w:rsidR="000A1346" w:rsidRDefault="005C7E91" w:rsidP="00F948D1">
      <w:pPr>
        <w:pStyle w:val="Heading1"/>
        <w:ind w:firstLine="0"/>
        <w:rPr>
          <w:lang w:val="es-GT"/>
        </w:rPr>
      </w:pPr>
      <w:bookmarkStart w:id="50" w:name="_Toc8381169"/>
      <w:r>
        <w:rPr>
          <w:lang w:val="es-GT"/>
        </w:rPr>
        <w:lastRenderedPageBreak/>
        <w:t>Bibliografía</w:t>
      </w:r>
      <w:bookmarkEnd w:id="50"/>
    </w:p>
    <w:p w14:paraId="5A5E4DD3" w14:textId="77777777" w:rsidR="004945B4" w:rsidRPr="002F4753" w:rsidRDefault="004945B4" w:rsidP="004945B4">
      <w:pPr>
        <w:spacing w:before="0" w:after="0"/>
        <w:ind w:firstLine="0"/>
        <w:jc w:val="left"/>
        <w:rPr>
          <w:sz w:val="14"/>
          <w:szCs w:val="16"/>
          <w:lang w:val="es-DO"/>
        </w:rPr>
      </w:pPr>
    </w:p>
    <w:p w14:paraId="7F03E359" w14:textId="521034E0" w:rsidR="004945B4" w:rsidRPr="00BA7623" w:rsidRDefault="004945B4" w:rsidP="00C46261">
      <w:pPr>
        <w:spacing w:before="0" w:after="0" w:line="192" w:lineRule="auto"/>
        <w:ind w:firstLine="0"/>
        <w:jc w:val="left"/>
        <w:rPr>
          <w:i/>
          <w:lang w:val="es-419"/>
        </w:rPr>
      </w:pPr>
      <w:r w:rsidRPr="004945B4">
        <w:rPr>
          <w:lang w:val="es-419"/>
        </w:rPr>
        <w:t xml:space="preserve">Comisión Interamericana de Derechos Humanos. (2015). </w:t>
      </w:r>
      <w:r w:rsidRPr="004945B4">
        <w:rPr>
          <w:i/>
          <w:lang w:val="es-419"/>
        </w:rPr>
        <w:t xml:space="preserve">Situación de derechos humanos en Honduras. </w:t>
      </w:r>
      <w:hyperlink r:id="rId15" w:history="1">
        <w:r w:rsidRPr="004945B4">
          <w:rPr>
            <w:rStyle w:val="Hyperlink"/>
            <w:rFonts w:ascii="Times New Roman" w:hAnsi="Times New Roman"/>
            <w:i/>
            <w:sz w:val="22"/>
            <w:lang w:val="es-419"/>
          </w:rPr>
          <w:t>http://www.oas.org/es/cidh/informes/pdfs/honduras-es-2015.pdf</w:t>
        </w:r>
      </w:hyperlink>
    </w:p>
    <w:p w14:paraId="601F7A6F" w14:textId="77777777" w:rsidR="004945B4" w:rsidRPr="004945B4" w:rsidRDefault="004945B4" w:rsidP="00C46261">
      <w:pPr>
        <w:spacing w:before="0" w:after="0" w:line="192" w:lineRule="auto"/>
        <w:ind w:firstLine="0"/>
        <w:jc w:val="left"/>
        <w:rPr>
          <w:i/>
          <w:lang w:val="es-419"/>
        </w:rPr>
      </w:pPr>
    </w:p>
    <w:p w14:paraId="5335DA45" w14:textId="77777777" w:rsidR="004945B4" w:rsidRPr="004945B4" w:rsidRDefault="004945B4" w:rsidP="00C46261">
      <w:pPr>
        <w:spacing w:before="0" w:after="0" w:line="192" w:lineRule="auto"/>
        <w:ind w:firstLine="0"/>
        <w:jc w:val="left"/>
        <w:rPr>
          <w:bCs/>
          <w:lang w:val="es-419"/>
        </w:rPr>
      </w:pPr>
      <w:r w:rsidRPr="004945B4">
        <w:rPr>
          <w:bCs/>
          <w:lang w:val="es-419"/>
        </w:rPr>
        <w:t xml:space="preserve">Comisión Nacional de SIDA. (2014). </w:t>
      </w:r>
      <w:r w:rsidRPr="004945B4">
        <w:rPr>
          <w:bCs/>
          <w:i/>
          <w:lang w:val="es-419"/>
        </w:rPr>
        <w:t>Plan Estratégico Nacional de Respuesta al VIH Y SIDA en Honduras (PENSIDA IV) 2015-2019</w:t>
      </w:r>
      <w:r w:rsidRPr="004945B4">
        <w:rPr>
          <w:bCs/>
          <w:lang w:val="es-419"/>
        </w:rPr>
        <w:t>.</w:t>
      </w:r>
    </w:p>
    <w:p w14:paraId="2643B259" w14:textId="77777777" w:rsidR="004945B4" w:rsidRPr="004945B4" w:rsidRDefault="004945B4" w:rsidP="00C46261">
      <w:pPr>
        <w:spacing w:before="0" w:after="0" w:line="192" w:lineRule="auto"/>
        <w:ind w:firstLine="0"/>
        <w:jc w:val="left"/>
        <w:rPr>
          <w:lang w:val="es-419"/>
        </w:rPr>
      </w:pPr>
    </w:p>
    <w:p w14:paraId="5236ACB7" w14:textId="05DA302E" w:rsidR="004945B4" w:rsidRDefault="004945B4" w:rsidP="00C46261">
      <w:pPr>
        <w:spacing w:before="0" w:after="0" w:line="192" w:lineRule="auto"/>
        <w:ind w:firstLine="0"/>
        <w:jc w:val="left"/>
        <w:rPr>
          <w:i/>
          <w:lang w:val="es-419"/>
        </w:rPr>
      </w:pPr>
      <w:r w:rsidRPr="004945B4">
        <w:rPr>
          <w:lang w:val="es-419"/>
        </w:rPr>
        <w:t xml:space="preserve">Fondo Mundial. (2018). </w:t>
      </w:r>
      <w:r w:rsidRPr="004945B4">
        <w:rPr>
          <w:i/>
          <w:lang w:val="es-419"/>
        </w:rPr>
        <w:t xml:space="preserve">Evaluación de línea base Honduras: Ampliación de programas para reducir los obstáculos relacionados con los derechos humanos a los servicios de VIH. </w:t>
      </w:r>
    </w:p>
    <w:p w14:paraId="1E771779" w14:textId="59CC50BA" w:rsidR="00A23BE8" w:rsidRDefault="00A23BE8" w:rsidP="00C46261">
      <w:pPr>
        <w:spacing w:before="0" w:after="0" w:line="192" w:lineRule="auto"/>
        <w:ind w:firstLine="0"/>
        <w:jc w:val="left"/>
        <w:rPr>
          <w:i/>
          <w:lang w:val="es-419"/>
        </w:rPr>
      </w:pPr>
    </w:p>
    <w:p w14:paraId="0E41CC43" w14:textId="7E13C8DA" w:rsidR="00A23BE8" w:rsidRPr="00A23BE8" w:rsidRDefault="0014268B" w:rsidP="00C46261">
      <w:pPr>
        <w:spacing w:before="0" w:after="0" w:line="192" w:lineRule="auto"/>
        <w:ind w:firstLine="0"/>
        <w:jc w:val="left"/>
        <w:rPr>
          <w:lang w:val="es-419"/>
        </w:rPr>
      </w:pPr>
      <w:r>
        <w:rPr>
          <w:lang w:val="es-419"/>
        </w:rPr>
        <w:t xml:space="preserve">MCP-Honduras (2019). </w:t>
      </w:r>
      <w:r w:rsidR="00A23BE8" w:rsidRPr="0014268B">
        <w:rPr>
          <w:i/>
          <w:lang w:val="es-419"/>
        </w:rPr>
        <w:t>Nota de Continuidad del Programa de VIH 2020-2022.</w:t>
      </w:r>
    </w:p>
    <w:p w14:paraId="74488C41" w14:textId="77777777" w:rsidR="004945B4" w:rsidRPr="00182762" w:rsidRDefault="004945B4" w:rsidP="00C46261">
      <w:pPr>
        <w:spacing w:before="0" w:after="0" w:line="192" w:lineRule="auto"/>
        <w:ind w:firstLine="0"/>
        <w:jc w:val="left"/>
        <w:rPr>
          <w:lang w:val="es-MX"/>
        </w:rPr>
      </w:pPr>
    </w:p>
    <w:p w14:paraId="1E399446" w14:textId="3C11300B" w:rsidR="004945B4" w:rsidRPr="0094614E" w:rsidRDefault="004945B4" w:rsidP="00C46261">
      <w:pPr>
        <w:spacing w:before="0" w:after="0" w:line="192" w:lineRule="auto"/>
        <w:ind w:firstLine="0"/>
        <w:jc w:val="left"/>
        <w:rPr>
          <w:lang w:val="fr-FR"/>
        </w:rPr>
      </w:pPr>
      <w:r w:rsidRPr="004945B4">
        <w:rPr>
          <w:lang w:val="es-DO"/>
        </w:rPr>
        <w:t xml:space="preserve">Oficina de Alto Comisionado de las Naciones Unidas para los Derechos Humanos. </w:t>
      </w:r>
      <w:r w:rsidRPr="004945B4">
        <w:rPr>
          <w:lang w:val="fr-FR"/>
        </w:rPr>
        <w:t xml:space="preserve">(2014). </w:t>
      </w:r>
      <w:r w:rsidRPr="004945B4">
        <w:rPr>
          <w:i/>
          <w:lang w:val="fr-FR"/>
        </w:rPr>
        <w:t>VIH/SIDA</w:t>
      </w:r>
      <w:r w:rsidRPr="004945B4">
        <w:rPr>
          <w:lang w:val="fr-FR"/>
        </w:rPr>
        <w:t xml:space="preserve">. </w:t>
      </w:r>
      <w:hyperlink r:id="rId16" w:history="1">
        <w:r w:rsidRPr="0094614E">
          <w:rPr>
            <w:rStyle w:val="Hyperlink"/>
            <w:rFonts w:ascii="Times New Roman" w:hAnsi="Times New Roman"/>
            <w:sz w:val="22"/>
            <w:lang w:val="fr-FR"/>
          </w:rPr>
          <w:t>https://www.ohchr.org/Documents/Issues/Women/WRGS/SexualHealth/INFO_HIV_WEB_SP.pdf</w:t>
        </w:r>
      </w:hyperlink>
    </w:p>
    <w:p w14:paraId="1A573D92" w14:textId="77777777" w:rsidR="004945B4" w:rsidRPr="0094614E" w:rsidRDefault="004945B4" w:rsidP="00C46261">
      <w:pPr>
        <w:spacing w:before="0" w:after="0" w:line="192" w:lineRule="auto"/>
        <w:ind w:firstLine="0"/>
        <w:jc w:val="left"/>
        <w:rPr>
          <w:lang w:val="fr-FR"/>
        </w:rPr>
      </w:pPr>
    </w:p>
    <w:p w14:paraId="21FA023F" w14:textId="77777777" w:rsidR="004945B4" w:rsidRPr="004945B4" w:rsidRDefault="004945B4" w:rsidP="00C46261">
      <w:pPr>
        <w:spacing w:before="0" w:after="0" w:line="192" w:lineRule="auto"/>
        <w:ind w:firstLine="0"/>
        <w:jc w:val="left"/>
        <w:rPr>
          <w:lang w:val="es-419"/>
        </w:rPr>
      </w:pPr>
      <w:r w:rsidRPr="004945B4">
        <w:rPr>
          <w:lang w:val="es-DO"/>
        </w:rPr>
        <w:t xml:space="preserve">Oficina de Alto Comisionado de las Naciones Unidas para los Derechos Humanos. (2017). </w:t>
      </w:r>
      <w:r w:rsidRPr="004945B4">
        <w:rPr>
          <w:i/>
          <w:lang w:val="es-419"/>
        </w:rPr>
        <w:t>Informe anual del Alto Comisionado de las Naciones Unidas para los Derechos Humanos sobre la situación de los derechos humanos en Honduras.</w:t>
      </w:r>
      <w:r w:rsidRPr="004945B4">
        <w:rPr>
          <w:lang w:val="es-419"/>
        </w:rPr>
        <w:t xml:space="preserve"> </w:t>
      </w:r>
      <w:hyperlink r:id="rId17" w:history="1">
        <w:r w:rsidRPr="004945B4">
          <w:rPr>
            <w:rStyle w:val="Hyperlink"/>
            <w:rFonts w:ascii="Times New Roman" w:hAnsi="Times New Roman"/>
            <w:sz w:val="22"/>
            <w:lang w:val="es-419"/>
          </w:rPr>
          <w:t>https://www.refworld.org.es/pdfid/5afca8974.pdf</w:t>
        </w:r>
      </w:hyperlink>
    </w:p>
    <w:p w14:paraId="3E4B4CA9" w14:textId="77777777" w:rsidR="004945B4" w:rsidRPr="00182762" w:rsidRDefault="004945B4" w:rsidP="00C46261">
      <w:pPr>
        <w:spacing w:before="0" w:after="0" w:line="192" w:lineRule="auto"/>
        <w:ind w:firstLine="0"/>
        <w:jc w:val="left"/>
        <w:rPr>
          <w:lang w:val="es-MX"/>
        </w:rPr>
      </w:pPr>
    </w:p>
    <w:p w14:paraId="39DC0989" w14:textId="7EB42723" w:rsidR="007917A3" w:rsidRDefault="004945B4" w:rsidP="00C46261">
      <w:pPr>
        <w:spacing w:before="0" w:after="0" w:line="192" w:lineRule="auto"/>
        <w:ind w:firstLine="0"/>
        <w:jc w:val="left"/>
        <w:rPr>
          <w:lang w:val="es-MX"/>
        </w:rPr>
      </w:pPr>
      <w:r w:rsidRPr="004945B4">
        <w:rPr>
          <w:lang w:val="es-MX"/>
        </w:rPr>
        <w:t xml:space="preserve">ONUSIDA. (2013). </w:t>
      </w:r>
      <w:r w:rsidRPr="004945B4">
        <w:rPr>
          <w:i/>
          <w:lang w:val="es-MX"/>
        </w:rPr>
        <w:t>Caso de Inversión, Honduras</w:t>
      </w:r>
      <w:r w:rsidRPr="004945B4">
        <w:rPr>
          <w:lang w:val="es-MX"/>
        </w:rPr>
        <w:t xml:space="preserve">. </w:t>
      </w:r>
    </w:p>
    <w:p w14:paraId="604E7228" w14:textId="3C7E5FE4" w:rsidR="007917A3" w:rsidRDefault="007917A3" w:rsidP="00C46261">
      <w:pPr>
        <w:spacing w:before="0" w:after="0" w:line="192" w:lineRule="auto"/>
        <w:ind w:firstLine="0"/>
        <w:jc w:val="left"/>
        <w:rPr>
          <w:lang w:val="es-MX"/>
        </w:rPr>
      </w:pPr>
    </w:p>
    <w:p w14:paraId="5731953A" w14:textId="2436C563" w:rsidR="007917A3" w:rsidRPr="000615F3" w:rsidRDefault="007917A3" w:rsidP="00C46261">
      <w:pPr>
        <w:spacing w:before="0" w:after="0" w:line="192" w:lineRule="auto"/>
        <w:ind w:firstLine="0"/>
        <w:jc w:val="left"/>
        <w:rPr>
          <w:i/>
          <w:lang w:val="en-US"/>
        </w:rPr>
      </w:pPr>
      <w:r>
        <w:rPr>
          <w:lang w:val="en-US"/>
        </w:rPr>
        <w:t xml:space="preserve">PEPFAR, OPTIMIZE. </w:t>
      </w:r>
      <w:r w:rsidRPr="000615F3">
        <w:rPr>
          <w:i/>
          <w:lang w:val="en-US"/>
        </w:rPr>
        <w:t>Checklist to Guide Optimal ARV Introduction.</w:t>
      </w:r>
    </w:p>
    <w:p w14:paraId="622FFF8D" w14:textId="77777777" w:rsidR="004945B4" w:rsidRPr="007917A3" w:rsidRDefault="004945B4" w:rsidP="00C46261">
      <w:pPr>
        <w:spacing w:before="0" w:after="0" w:line="192" w:lineRule="auto"/>
        <w:ind w:firstLine="0"/>
        <w:jc w:val="left"/>
        <w:rPr>
          <w:lang w:val="en-US"/>
        </w:rPr>
      </w:pPr>
    </w:p>
    <w:p w14:paraId="666BB656" w14:textId="71011280" w:rsidR="004945B4" w:rsidRPr="00BA7623" w:rsidRDefault="004945B4" w:rsidP="00C46261">
      <w:pPr>
        <w:spacing w:before="0" w:after="0" w:line="192" w:lineRule="auto"/>
        <w:ind w:firstLine="0"/>
        <w:jc w:val="left"/>
        <w:rPr>
          <w:lang w:val="es-GT"/>
        </w:rPr>
      </w:pPr>
      <w:r w:rsidRPr="004945B4">
        <w:rPr>
          <w:lang w:val="es-ES"/>
        </w:rPr>
        <w:t xml:space="preserve">Red de Trabajadoras Sexuales de América Latina y el Caribe (REDTRASEX), </w:t>
      </w:r>
      <w:proofErr w:type="spellStart"/>
      <w:r w:rsidRPr="004945B4">
        <w:rPr>
          <w:lang w:val="es-ES"/>
        </w:rPr>
        <w:t>Akahatá</w:t>
      </w:r>
      <w:proofErr w:type="spellEnd"/>
      <w:r w:rsidRPr="004945B4">
        <w:rPr>
          <w:lang w:val="es-ES"/>
        </w:rPr>
        <w:t xml:space="preserve"> - Equipo de trabajo en sexualidades y géneros, </w:t>
      </w:r>
      <w:proofErr w:type="spellStart"/>
      <w:r w:rsidRPr="004945B4">
        <w:rPr>
          <w:lang w:val="es-ES"/>
        </w:rPr>
        <w:t>Heartland</w:t>
      </w:r>
      <w:proofErr w:type="spellEnd"/>
      <w:r w:rsidRPr="004945B4">
        <w:rPr>
          <w:lang w:val="es-ES"/>
        </w:rPr>
        <w:t xml:space="preserve"> Alliance </w:t>
      </w:r>
      <w:proofErr w:type="spellStart"/>
      <w:r w:rsidRPr="004945B4">
        <w:rPr>
          <w:lang w:val="es-ES"/>
        </w:rPr>
        <w:t>for</w:t>
      </w:r>
      <w:proofErr w:type="spellEnd"/>
      <w:r w:rsidRPr="004945B4">
        <w:rPr>
          <w:lang w:val="es-ES"/>
        </w:rPr>
        <w:t xml:space="preserve"> Human </w:t>
      </w:r>
      <w:proofErr w:type="spellStart"/>
      <w:r w:rsidRPr="004945B4">
        <w:rPr>
          <w:lang w:val="es-ES"/>
        </w:rPr>
        <w:t>Needs</w:t>
      </w:r>
      <w:proofErr w:type="spellEnd"/>
      <w:r w:rsidRPr="004945B4">
        <w:rPr>
          <w:lang w:val="es-ES"/>
        </w:rPr>
        <w:t xml:space="preserve"> &amp; Human </w:t>
      </w:r>
      <w:proofErr w:type="spellStart"/>
      <w:r w:rsidRPr="004945B4">
        <w:rPr>
          <w:lang w:val="es-ES"/>
        </w:rPr>
        <w:t>Rights</w:t>
      </w:r>
      <w:proofErr w:type="spellEnd"/>
      <w:r w:rsidRPr="004945B4">
        <w:rPr>
          <w:lang w:val="es-ES"/>
        </w:rPr>
        <w:t xml:space="preserve">. (2017). </w:t>
      </w:r>
      <w:r w:rsidRPr="004945B4">
        <w:rPr>
          <w:i/>
          <w:lang w:val="es-ES"/>
        </w:rPr>
        <w:t>Situación de los Derechos Humanos de las Trabajadoras Sexuales en Honduras,</w:t>
      </w:r>
      <w:r w:rsidRPr="004945B4">
        <w:rPr>
          <w:lang w:val="es-ES"/>
        </w:rPr>
        <w:t xml:space="preserve"> </w:t>
      </w:r>
      <w:r w:rsidRPr="004945B4">
        <w:rPr>
          <w:i/>
          <w:lang w:val="es-ES"/>
        </w:rPr>
        <w:t xml:space="preserve">Información adicional presentada al Grupo de Trabajo Comité de Derechos Humanos. </w:t>
      </w:r>
      <w:hyperlink r:id="rId18" w:history="1">
        <w:r w:rsidRPr="004945B4">
          <w:rPr>
            <w:rStyle w:val="Hyperlink"/>
            <w:rFonts w:ascii="Times New Roman" w:hAnsi="Times New Roman"/>
            <w:sz w:val="22"/>
            <w:lang w:val="es-DO"/>
          </w:rPr>
          <w:t>https://tbinternet.ohchr.org/Treaties/CCPR/Shared%20Documents/HND/INT_CCPR_CSS_HND_27561_S.pdf</w:t>
        </w:r>
      </w:hyperlink>
    </w:p>
    <w:p w14:paraId="2F9C2B36" w14:textId="77777777" w:rsidR="008F6417" w:rsidRPr="00BA7623" w:rsidRDefault="008F6417" w:rsidP="00C46261">
      <w:pPr>
        <w:spacing w:before="0" w:after="0" w:line="192" w:lineRule="auto"/>
        <w:ind w:firstLine="0"/>
        <w:jc w:val="left"/>
        <w:rPr>
          <w:lang w:val="es-DO"/>
        </w:rPr>
      </w:pPr>
    </w:p>
    <w:p w14:paraId="19C1C054" w14:textId="3AC4482B" w:rsidR="00AF586C" w:rsidRPr="00AF586C" w:rsidRDefault="00AF586C" w:rsidP="00C46261">
      <w:pPr>
        <w:spacing w:before="0" w:after="0" w:line="192" w:lineRule="auto"/>
        <w:ind w:firstLine="0"/>
        <w:jc w:val="left"/>
        <w:rPr>
          <w:szCs w:val="22"/>
        </w:rPr>
      </w:pPr>
      <w:r w:rsidRPr="00AF586C">
        <w:rPr>
          <w:szCs w:val="22"/>
        </w:rPr>
        <w:t>Secretaria de Coordinación de Gobierno. Plan Estratégico del Gobierno (PEG) 2018-2022: Avanzando con paso firme.</w:t>
      </w:r>
    </w:p>
    <w:p w14:paraId="17115D49" w14:textId="77777777" w:rsidR="00AF586C" w:rsidRDefault="00AF586C" w:rsidP="00C46261">
      <w:pPr>
        <w:spacing w:before="0" w:after="0" w:line="192" w:lineRule="auto"/>
        <w:ind w:firstLine="0"/>
        <w:jc w:val="left"/>
        <w:rPr>
          <w:lang w:val="es-DO"/>
        </w:rPr>
      </w:pPr>
    </w:p>
    <w:p w14:paraId="4CD2EC3D" w14:textId="23FCEBAE" w:rsidR="004945B4" w:rsidRDefault="004945B4" w:rsidP="00C46261">
      <w:pPr>
        <w:spacing w:before="0" w:after="0" w:line="192" w:lineRule="auto"/>
        <w:ind w:firstLine="0"/>
        <w:jc w:val="left"/>
        <w:rPr>
          <w:lang w:val="es-DO"/>
        </w:rPr>
      </w:pPr>
      <w:r w:rsidRPr="004945B4">
        <w:rPr>
          <w:lang w:val="es-DO"/>
        </w:rPr>
        <w:t xml:space="preserve">Secretaría de Salud de Honduras. (2018). </w:t>
      </w:r>
      <w:r w:rsidRPr="004945B4">
        <w:rPr>
          <w:i/>
          <w:lang w:val="es-DO"/>
        </w:rPr>
        <w:t>Informe Situación Epidemiológica y Programática de la Tuberculosis en Honduras 2017.</w:t>
      </w:r>
      <w:r w:rsidRPr="004945B4">
        <w:rPr>
          <w:lang w:val="es-DO"/>
        </w:rPr>
        <w:t xml:space="preserve"> </w:t>
      </w:r>
    </w:p>
    <w:p w14:paraId="38EA471B" w14:textId="77777777" w:rsidR="00DB558A" w:rsidRDefault="00DB558A" w:rsidP="00C46261">
      <w:pPr>
        <w:spacing w:before="0" w:after="0" w:line="192" w:lineRule="auto"/>
        <w:ind w:firstLine="0"/>
        <w:jc w:val="left"/>
        <w:rPr>
          <w:lang w:val="es-DO"/>
        </w:rPr>
      </w:pPr>
    </w:p>
    <w:p w14:paraId="7C6A2057" w14:textId="182A25E8" w:rsidR="00DB558A" w:rsidRPr="00DB558A" w:rsidRDefault="00DB558A" w:rsidP="00C46261">
      <w:pPr>
        <w:spacing w:before="0" w:after="0" w:line="192" w:lineRule="auto"/>
        <w:ind w:firstLine="0"/>
        <w:jc w:val="left"/>
        <w:rPr>
          <w:i/>
          <w:lang w:val="es-DO"/>
        </w:rPr>
      </w:pPr>
      <w:r w:rsidRPr="00DB558A">
        <w:rPr>
          <w:lang w:val="es-DO"/>
        </w:rPr>
        <w:t xml:space="preserve">Secretaría de Salud de Honduras. (2018). </w:t>
      </w:r>
      <w:r w:rsidRPr="00DB558A">
        <w:rPr>
          <w:i/>
          <w:lang w:val="es-DO"/>
        </w:rPr>
        <w:t>Informe final: encuesta de resistencia del VIH a los medicamentos</w:t>
      </w:r>
    </w:p>
    <w:p w14:paraId="52BDB13B" w14:textId="77777777" w:rsidR="004945B4" w:rsidRPr="00DB558A" w:rsidRDefault="004945B4" w:rsidP="00C46261">
      <w:pPr>
        <w:spacing w:before="0" w:after="0" w:line="192" w:lineRule="auto"/>
        <w:ind w:firstLine="0"/>
        <w:jc w:val="left"/>
        <w:rPr>
          <w:i/>
          <w:lang w:val="es-DO"/>
        </w:rPr>
      </w:pPr>
    </w:p>
    <w:p w14:paraId="524512CD" w14:textId="77777777" w:rsidR="004945B4" w:rsidRPr="004945B4" w:rsidRDefault="004945B4" w:rsidP="00C46261">
      <w:pPr>
        <w:spacing w:before="0" w:after="0" w:line="192" w:lineRule="auto"/>
        <w:ind w:firstLine="0"/>
        <w:jc w:val="left"/>
        <w:rPr>
          <w:i/>
          <w:lang w:val="es-DO"/>
        </w:rPr>
      </w:pPr>
      <w:r w:rsidRPr="004945B4">
        <w:rPr>
          <w:lang w:val="es-DO"/>
        </w:rPr>
        <w:t xml:space="preserve">Secretaría de Salud de Honduras. La Unidad de Logística de Medicamentos, Insumos y Equipamiento (ULMIE) 2017-2018. (2018). </w:t>
      </w:r>
      <w:r w:rsidRPr="004945B4">
        <w:rPr>
          <w:i/>
          <w:lang w:val="es-DO"/>
        </w:rPr>
        <w:t xml:space="preserve">Análisis de existencia y disponibilidad de ARV. </w:t>
      </w:r>
    </w:p>
    <w:p w14:paraId="027368DE" w14:textId="77777777" w:rsidR="004945B4" w:rsidRPr="00BA7623" w:rsidRDefault="004945B4" w:rsidP="00C46261">
      <w:pPr>
        <w:spacing w:before="0" w:after="0" w:line="192" w:lineRule="auto"/>
        <w:ind w:firstLine="0"/>
        <w:jc w:val="left"/>
        <w:rPr>
          <w:lang w:val="es-DO"/>
        </w:rPr>
      </w:pPr>
    </w:p>
    <w:p w14:paraId="3EEF31AB" w14:textId="05B4C197" w:rsidR="004945B4" w:rsidRPr="004945B4" w:rsidRDefault="004945B4" w:rsidP="00C46261">
      <w:pPr>
        <w:spacing w:before="0" w:after="0" w:line="192" w:lineRule="auto"/>
        <w:ind w:firstLine="0"/>
        <w:jc w:val="left"/>
        <w:rPr>
          <w:lang w:val="es-DO"/>
        </w:rPr>
      </w:pPr>
      <w:r w:rsidRPr="004945B4">
        <w:rPr>
          <w:lang w:val="es-DO"/>
        </w:rPr>
        <w:t xml:space="preserve">Secretaría de Salud de Honduras, PEPFAR. (2016). </w:t>
      </w:r>
      <w:r w:rsidRPr="004945B4">
        <w:rPr>
          <w:i/>
          <w:lang w:val="es-DO"/>
        </w:rPr>
        <w:t xml:space="preserve">Estudio de Medición del Gasto en SIDA (MEGAS), Honduras. </w:t>
      </w:r>
      <w:hyperlink r:id="rId19" w:history="1">
        <w:r w:rsidRPr="004945B4">
          <w:rPr>
            <w:rStyle w:val="Hyperlink"/>
            <w:rFonts w:ascii="Times New Roman" w:hAnsi="Times New Roman"/>
            <w:sz w:val="22"/>
            <w:lang w:val="es-DO"/>
          </w:rPr>
          <w:t>http://www.unaids.org/sites/default/files/media/documents/NASA_Honduras_2016_es.pdf</w:t>
        </w:r>
      </w:hyperlink>
    </w:p>
    <w:p w14:paraId="077A8BF9" w14:textId="77777777" w:rsidR="004945B4" w:rsidRPr="00BA7623" w:rsidRDefault="004945B4" w:rsidP="00C46261">
      <w:pPr>
        <w:spacing w:before="0" w:after="0" w:line="192" w:lineRule="auto"/>
        <w:ind w:firstLine="0"/>
        <w:jc w:val="left"/>
        <w:rPr>
          <w:lang w:val="es-DO"/>
        </w:rPr>
      </w:pPr>
    </w:p>
    <w:p w14:paraId="795135E0" w14:textId="208ACA2B" w:rsidR="004945B4" w:rsidRPr="004945B4" w:rsidRDefault="004945B4" w:rsidP="00C46261">
      <w:pPr>
        <w:spacing w:before="0" w:after="0" w:line="192" w:lineRule="auto"/>
        <w:ind w:firstLine="0"/>
        <w:jc w:val="left"/>
        <w:rPr>
          <w:lang w:val="es-DO"/>
        </w:rPr>
      </w:pPr>
      <w:r w:rsidRPr="004945B4">
        <w:rPr>
          <w:lang w:val="es-DO"/>
        </w:rPr>
        <w:t xml:space="preserve">Secretaría de Salud de Honduras. (2016). </w:t>
      </w:r>
      <w:r w:rsidRPr="004945B4">
        <w:rPr>
          <w:i/>
          <w:lang w:val="es-DO"/>
        </w:rPr>
        <w:t>Plan Estratégico de Respuesta Nacional para la Prevención y Control de la Tuberculosis (PENTB) en Honduras 2016-2020.</w:t>
      </w:r>
    </w:p>
    <w:p w14:paraId="3B8CBA87" w14:textId="77777777" w:rsidR="004945B4" w:rsidRPr="004945B4" w:rsidRDefault="004945B4" w:rsidP="00C46261">
      <w:pPr>
        <w:spacing w:before="0" w:after="0" w:line="192" w:lineRule="auto"/>
        <w:ind w:firstLine="0"/>
        <w:jc w:val="left"/>
        <w:rPr>
          <w:lang w:val="es-DO"/>
        </w:rPr>
      </w:pPr>
    </w:p>
    <w:p w14:paraId="17807261" w14:textId="2DE92AFD" w:rsidR="00D56771" w:rsidRDefault="004945B4" w:rsidP="00C46261">
      <w:pPr>
        <w:spacing w:before="0" w:after="0" w:line="192" w:lineRule="auto"/>
        <w:ind w:firstLine="0"/>
        <w:jc w:val="left"/>
        <w:rPr>
          <w:lang w:val="es-DO"/>
        </w:rPr>
      </w:pPr>
      <w:r w:rsidRPr="004945B4">
        <w:rPr>
          <w:lang w:val="es-DO"/>
        </w:rPr>
        <w:t xml:space="preserve">Secretaría de Salud de Honduras. (2015). </w:t>
      </w:r>
      <w:r w:rsidRPr="004945B4">
        <w:rPr>
          <w:i/>
          <w:lang w:val="es-DO"/>
        </w:rPr>
        <w:t>Resultados del Informe Nacional de Progreso de la Respuesta contra el VIH y el Sida</w:t>
      </w:r>
      <w:r w:rsidRPr="004945B4">
        <w:rPr>
          <w:lang w:val="es-DO"/>
        </w:rPr>
        <w:t xml:space="preserve">. </w:t>
      </w:r>
    </w:p>
    <w:p w14:paraId="2B80D73F" w14:textId="41A8917A" w:rsidR="00D56771" w:rsidRPr="00A22CB6" w:rsidRDefault="00D56771" w:rsidP="00EA1BF3">
      <w:pPr>
        <w:pStyle w:val="Heading1"/>
        <w:ind w:firstLine="0"/>
        <w:rPr>
          <w:rFonts w:ascii="Times New Roman" w:hAnsi="Times New Roman" w:cs="Times New Roman"/>
          <w:lang w:val="es-GT"/>
        </w:rPr>
      </w:pPr>
      <w:bookmarkStart w:id="51" w:name="_Toc8381170"/>
      <w:r w:rsidRPr="00A22CB6">
        <w:rPr>
          <w:rFonts w:ascii="Times New Roman" w:hAnsi="Times New Roman" w:cs="Times New Roman"/>
          <w:lang w:val="es-GT"/>
        </w:rPr>
        <w:lastRenderedPageBreak/>
        <w:t>Anexos</w:t>
      </w:r>
      <w:bookmarkEnd w:id="51"/>
    </w:p>
    <w:p w14:paraId="7AE1C4F7" w14:textId="313E8CF6" w:rsidR="00EA1BF3" w:rsidRPr="003F7346" w:rsidRDefault="00EA1BF3" w:rsidP="00EA1BF3">
      <w:pPr>
        <w:ind w:firstLine="0"/>
        <w:jc w:val="left"/>
        <w:rPr>
          <w:b/>
          <w:lang w:val="es-GT" w:eastAsia="en-US"/>
        </w:rPr>
      </w:pPr>
      <w:r w:rsidRPr="003F7346">
        <w:rPr>
          <w:b/>
          <w:lang w:val="es-GT" w:eastAsia="en-US"/>
        </w:rPr>
        <w:t>ANEXO 1</w:t>
      </w:r>
    </w:p>
    <w:tbl>
      <w:tblPr>
        <w:tblStyle w:val="TableGrid"/>
        <w:tblW w:w="4473" w:type="pct"/>
        <w:tblLook w:val="04A0" w:firstRow="1" w:lastRow="0" w:firstColumn="1" w:lastColumn="0" w:noHBand="0" w:noVBand="1"/>
      </w:tblPr>
      <w:tblGrid>
        <w:gridCol w:w="8365"/>
      </w:tblGrid>
      <w:tr w:rsidR="00A62C2C" w:rsidRPr="003F7346" w14:paraId="557D1AC5" w14:textId="77777777" w:rsidTr="00A62C2C">
        <w:tc>
          <w:tcPr>
            <w:tcW w:w="5000" w:type="pct"/>
            <w:shd w:val="clear" w:color="auto" w:fill="1F3864" w:themeFill="accent5" w:themeFillShade="80"/>
          </w:tcPr>
          <w:p w14:paraId="3AE099E8" w14:textId="7C3361AE" w:rsidR="00A62C2C" w:rsidRPr="00A22CB6" w:rsidRDefault="00A62C2C" w:rsidP="00EA1BF3">
            <w:pPr>
              <w:pStyle w:val="TextoTablaIzquierda"/>
              <w:rPr>
                <w:rFonts w:ascii="Times New Roman" w:hAnsi="Times New Roman" w:cs="Times New Roman"/>
                <w:b/>
                <w:sz w:val="20"/>
                <w:szCs w:val="20"/>
              </w:rPr>
            </w:pPr>
            <w:proofErr w:type="gramStart"/>
            <w:r w:rsidRPr="00A22CB6">
              <w:rPr>
                <w:rFonts w:ascii="Times New Roman" w:hAnsi="Times New Roman" w:cs="Times New Roman"/>
                <w:b/>
                <w:color w:val="FFFFFF" w:themeColor="background1"/>
                <w:sz w:val="20"/>
                <w:szCs w:val="20"/>
              </w:rPr>
              <w:t>Instituciones entrevistada</w:t>
            </w:r>
            <w:proofErr w:type="gramEnd"/>
          </w:p>
        </w:tc>
      </w:tr>
      <w:tr w:rsidR="00A62C2C" w:rsidRPr="003F7346" w14:paraId="764851C4" w14:textId="77777777" w:rsidTr="00A62C2C">
        <w:tc>
          <w:tcPr>
            <w:tcW w:w="5000" w:type="pct"/>
          </w:tcPr>
          <w:p w14:paraId="25524D1C" w14:textId="77777777" w:rsidR="00A62C2C" w:rsidRPr="00A22CB6" w:rsidRDefault="00A62C2C" w:rsidP="00EA1BF3">
            <w:pPr>
              <w:pStyle w:val="TextoTablaIzquierda"/>
              <w:rPr>
                <w:rFonts w:ascii="Times New Roman" w:hAnsi="Times New Roman" w:cs="Times New Roman"/>
                <w:sz w:val="20"/>
                <w:szCs w:val="20"/>
              </w:rPr>
            </w:pPr>
            <w:r w:rsidRPr="00A22CB6">
              <w:rPr>
                <w:rFonts w:ascii="Times New Roman" w:hAnsi="Times New Roman" w:cs="Times New Roman"/>
                <w:sz w:val="20"/>
                <w:szCs w:val="20"/>
              </w:rPr>
              <w:t>Secretaría de Derechos Humanos</w:t>
            </w:r>
          </w:p>
        </w:tc>
      </w:tr>
      <w:tr w:rsidR="00A62C2C" w:rsidRPr="003F7346" w14:paraId="2F2E1FCE" w14:textId="77777777" w:rsidTr="00A62C2C">
        <w:tc>
          <w:tcPr>
            <w:tcW w:w="5000" w:type="pct"/>
          </w:tcPr>
          <w:p w14:paraId="4F75C5F6" w14:textId="77777777" w:rsidR="00A62C2C" w:rsidRPr="00A22CB6" w:rsidRDefault="00A62C2C" w:rsidP="00EA1BF3">
            <w:pPr>
              <w:pStyle w:val="TextoTablaIzquierda"/>
              <w:rPr>
                <w:rFonts w:ascii="Times New Roman" w:hAnsi="Times New Roman" w:cs="Times New Roman"/>
                <w:sz w:val="20"/>
                <w:szCs w:val="20"/>
              </w:rPr>
            </w:pPr>
            <w:r w:rsidRPr="00A22CB6">
              <w:rPr>
                <w:rFonts w:ascii="Times New Roman" w:hAnsi="Times New Roman" w:cs="Times New Roman"/>
                <w:sz w:val="20"/>
                <w:szCs w:val="20"/>
              </w:rPr>
              <w:t>CONADEH</w:t>
            </w:r>
          </w:p>
        </w:tc>
      </w:tr>
      <w:tr w:rsidR="00A62C2C" w:rsidRPr="003F7346" w14:paraId="7A7CEEB3" w14:textId="77777777" w:rsidTr="00A62C2C">
        <w:tc>
          <w:tcPr>
            <w:tcW w:w="5000" w:type="pct"/>
          </w:tcPr>
          <w:p w14:paraId="1786F216" w14:textId="77777777" w:rsidR="00A62C2C" w:rsidRPr="00A22CB6" w:rsidRDefault="00A62C2C" w:rsidP="00EA1BF3">
            <w:pPr>
              <w:pStyle w:val="TextoTablaIzquierda"/>
              <w:rPr>
                <w:rFonts w:ascii="Times New Roman" w:hAnsi="Times New Roman" w:cs="Times New Roman"/>
                <w:sz w:val="20"/>
                <w:szCs w:val="20"/>
              </w:rPr>
            </w:pPr>
            <w:r w:rsidRPr="00A22CB6">
              <w:rPr>
                <w:rFonts w:ascii="Times New Roman" w:hAnsi="Times New Roman" w:cs="Times New Roman"/>
                <w:sz w:val="20"/>
                <w:szCs w:val="20"/>
              </w:rPr>
              <w:t>Punto focal de TB</w:t>
            </w:r>
          </w:p>
        </w:tc>
      </w:tr>
      <w:tr w:rsidR="00A62C2C" w:rsidRPr="003F7346" w14:paraId="0F9A8C25" w14:textId="77777777" w:rsidTr="00A62C2C">
        <w:tc>
          <w:tcPr>
            <w:tcW w:w="5000" w:type="pct"/>
          </w:tcPr>
          <w:p w14:paraId="25DE3407" w14:textId="77777777" w:rsidR="00A62C2C" w:rsidRPr="00A22CB6" w:rsidRDefault="00A62C2C" w:rsidP="00EA1BF3">
            <w:pPr>
              <w:pStyle w:val="TextoTablaIzquierda"/>
              <w:rPr>
                <w:rFonts w:ascii="Times New Roman" w:hAnsi="Times New Roman" w:cs="Times New Roman"/>
                <w:sz w:val="20"/>
                <w:szCs w:val="20"/>
              </w:rPr>
            </w:pPr>
            <w:r w:rsidRPr="00A22CB6">
              <w:rPr>
                <w:rFonts w:ascii="Times New Roman" w:hAnsi="Times New Roman" w:cs="Times New Roman"/>
                <w:sz w:val="20"/>
                <w:szCs w:val="20"/>
              </w:rPr>
              <w:t>Viceministerio de Protección e Inclusión Social</w:t>
            </w:r>
          </w:p>
        </w:tc>
      </w:tr>
      <w:tr w:rsidR="00A62C2C" w:rsidRPr="003F7346" w14:paraId="61FB1E1A" w14:textId="77777777" w:rsidTr="00A62C2C">
        <w:tc>
          <w:tcPr>
            <w:tcW w:w="5000" w:type="pct"/>
          </w:tcPr>
          <w:p w14:paraId="36FF185F" w14:textId="77777777" w:rsidR="00A62C2C" w:rsidRPr="00A22CB6" w:rsidRDefault="00A62C2C" w:rsidP="00EA1BF3">
            <w:pPr>
              <w:pStyle w:val="TextoTablaIzquierda"/>
              <w:rPr>
                <w:rFonts w:ascii="Times New Roman" w:hAnsi="Times New Roman" w:cs="Times New Roman"/>
                <w:sz w:val="20"/>
                <w:szCs w:val="20"/>
              </w:rPr>
            </w:pPr>
            <w:r w:rsidRPr="00A22CB6">
              <w:rPr>
                <w:rFonts w:ascii="Times New Roman" w:hAnsi="Times New Roman" w:cs="Times New Roman"/>
                <w:sz w:val="20"/>
                <w:szCs w:val="20"/>
              </w:rPr>
              <w:t>IHSS</w:t>
            </w:r>
          </w:p>
        </w:tc>
      </w:tr>
      <w:tr w:rsidR="00A62C2C" w:rsidRPr="003F7346" w14:paraId="23F41AE1" w14:textId="77777777" w:rsidTr="00A62C2C">
        <w:tc>
          <w:tcPr>
            <w:tcW w:w="5000" w:type="pct"/>
          </w:tcPr>
          <w:p w14:paraId="79BEB35E" w14:textId="77777777" w:rsidR="00A62C2C" w:rsidRPr="00A22CB6" w:rsidRDefault="00A62C2C" w:rsidP="00EA1BF3">
            <w:pPr>
              <w:pStyle w:val="TextoTablaIzquierda"/>
              <w:rPr>
                <w:rFonts w:ascii="Times New Roman" w:hAnsi="Times New Roman" w:cs="Times New Roman"/>
                <w:sz w:val="22"/>
                <w:szCs w:val="22"/>
                <w:lang w:val="en-US"/>
              </w:rPr>
            </w:pPr>
            <w:r w:rsidRPr="00A22CB6">
              <w:rPr>
                <w:rFonts w:ascii="Times New Roman" w:hAnsi="Times New Roman" w:cs="Times New Roman"/>
                <w:b/>
                <w:i/>
                <w:sz w:val="22"/>
                <w:szCs w:val="22"/>
                <w:lang w:val="en-US"/>
              </w:rPr>
              <w:t>Receptor Principal VIH</w:t>
            </w:r>
            <w:r w:rsidRPr="00A22CB6">
              <w:rPr>
                <w:rFonts w:ascii="Times New Roman" w:hAnsi="Times New Roman" w:cs="Times New Roman"/>
                <w:sz w:val="22"/>
                <w:szCs w:val="22"/>
                <w:lang w:val="en-US"/>
              </w:rPr>
              <w:t xml:space="preserve"> </w:t>
            </w:r>
          </w:p>
        </w:tc>
      </w:tr>
      <w:tr w:rsidR="00A62C2C" w:rsidRPr="0094614E" w14:paraId="19C49B73" w14:textId="77777777" w:rsidTr="00A62C2C">
        <w:tc>
          <w:tcPr>
            <w:tcW w:w="5000" w:type="pct"/>
          </w:tcPr>
          <w:p w14:paraId="66B7FBC8" w14:textId="77777777" w:rsidR="00A62C2C" w:rsidRPr="00A22CB6" w:rsidRDefault="00A62C2C" w:rsidP="00EA1BF3">
            <w:pPr>
              <w:pStyle w:val="TextoTablaIzquierda"/>
              <w:rPr>
                <w:rFonts w:ascii="Times New Roman" w:hAnsi="Times New Roman" w:cs="Times New Roman"/>
                <w:b/>
                <w:i/>
                <w:sz w:val="22"/>
                <w:szCs w:val="22"/>
                <w:lang w:val="en-US"/>
              </w:rPr>
            </w:pPr>
            <w:r w:rsidRPr="00A22CB6">
              <w:rPr>
                <w:rFonts w:ascii="Times New Roman" w:hAnsi="Times New Roman" w:cs="Times New Roman"/>
                <w:sz w:val="20"/>
                <w:szCs w:val="20"/>
                <w:lang w:val="en-US"/>
              </w:rPr>
              <w:t>Cooperative Housing Foundation (Global Communities)</w:t>
            </w:r>
          </w:p>
        </w:tc>
      </w:tr>
      <w:tr w:rsidR="00A62C2C" w:rsidRPr="003F7346" w14:paraId="71284826" w14:textId="77777777" w:rsidTr="00A62C2C">
        <w:tc>
          <w:tcPr>
            <w:tcW w:w="5000" w:type="pct"/>
          </w:tcPr>
          <w:p w14:paraId="268C5868" w14:textId="77777777" w:rsidR="00A62C2C" w:rsidRPr="00A22CB6" w:rsidRDefault="00A62C2C" w:rsidP="00EA1BF3">
            <w:pPr>
              <w:pStyle w:val="TextoTablaIzquierda"/>
              <w:rPr>
                <w:rFonts w:ascii="Times New Roman" w:hAnsi="Times New Roman" w:cs="Times New Roman"/>
                <w:sz w:val="22"/>
                <w:szCs w:val="22"/>
                <w:lang w:val="es-419"/>
              </w:rPr>
            </w:pPr>
            <w:r w:rsidRPr="00A22CB6">
              <w:rPr>
                <w:rFonts w:ascii="Times New Roman" w:hAnsi="Times New Roman" w:cs="Times New Roman"/>
                <w:b/>
                <w:i/>
                <w:sz w:val="22"/>
                <w:szCs w:val="22"/>
                <w:lang w:val="es-419"/>
              </w:rPr>
              <w:t>Receptor Principal TB</w:t>
            </w:r>
          </w:p>
        </w:tc>
      </w:tr>
      <w:tr w:rsidR="00A62C2C" w:rsidRPr="003F7346" w14:paraId="0FCAA44A" w14:textId="77777777" w:rsidTr="00A62C2C">
        <w:tc>
          <w:tcPr>
            <w:tcW w:w="5000" w:type="pct"/>
          </w:tcPr>
          <w:p w14:paraId="3164C6C0" w14:textId="77777777" w:rsidR="00A62C2C" w:rsidRPr="00A22CB6" w:rsidRDefault="00A62C2C" w:rsidP="00EA1BF3">
            <w:pPr>
              <w:pStyle w:val="TextoTablaIzquierda"/>
              <w:rPr>
                <w:rFonts w:ascii="Times New Roman" w:hAnsi="Times New Roman" w:cs="Times New Roman"/>
                <w:b/>
                <w:i/>
                <w:sz w:val="22"/>
                <w:szCs w:val="22"/>
                <w:lang w:val="es-419"/>
              </w:rPr>
            </w:pPr>
            <w:r w:rsidRPr="00A22CB6">
              <w:rPr>
                <w:rFonts w:ascii="Times New Roman" w:hAnsi="Times New Roman" w:cs="Times New Roman"/>
                <w:sz w:val="20"/>
                <w:szCs w:val="20"/>
                <w:lang w:val="es-419"/>
              </w:rPr>
              <w:t>UAFCE, SESAL</w:t>
            </w:r>
          </w:p>
        </w:tc>
      </w:tr>
      <w:tr w:rsidR="00A62C2C" w:rsidRPr="003F7346" w14:paraId="57C199E8" w14:textId="77777777" w:rsidTr="00A62C2C">
        <w:tc>
          <w:tcPr>
            <w:tcW w:w="5000" w:type="pct"/>
          </w:tcPr>
          <w:p w14:paraId="6C0D5D4F" w14:textId="77777777" w:rsidR="00A62C2C" w:rsidRPr="00A22CB6" w:rsidRDefault="00A62C2C" w:rsidP="00EA1BF3">
            <w:pPr>
              <w:pStyle w:val="TextoTablaIzquierda"/>
              <w:rPr>
                <w:rFonts w:ascii="Times New Roman" w:hAnsi="Times New Roman" w:cs="Times New Roman"/>
                <w:sz w:val="22"/>
                <w:szCs w:val="22"/>
                <w:lang w:val="es-419"/>
              </w:rPr>
            </w:pPr>
            <w:r w:rsidRPr="00A22CB6">
              <w:rPr>
                <w:rFonts w:ascii="Times New Roman" w:hAnsi="Times New Roman" w:cs="Times New Roman"/>
                <w:b/>
                <w:i/>
                <w:sz w:val="22"/>
                <w:szCs w:val="22"/>
                <w:lang w:val="es-419"/>
              </w:rPr>
              <w:t>Cooperación Internacional</w:t>
            </w:r>
          </w:p>
        </w:tc>
      </w:tr>
      <w:tr w:rsidR="00A62C2C" w:rsidRPr="003F7346" w14:paraId="57B42CC8" w14:textId="77777777" w:rsidTr="00A62C2C">
        <w:tc>
          <w:tcPr>
            <w:tcW w:w="5000" w:type="pct"/>
          </w:tcPr>
          <w:p w14:paraId="393A3D03"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 xml:space="preserve">Fondo Mundial </w:t>
            </w:r>
          </w:p>
        </w:tc>
      </w:tr>
      <w:tr w:rsidR="00A62C2C" w:rsidRPr="003F7346" w14:paraId="08948C5C" w14:textId="77777777" w:rsidTr="00A62C2C">
        <w:tc>
          <w:tcPr>
            <w:tcW w:w="5000" w:type="pct"/>
          </w:tcPr>
          <w:p w14:paraId="3626CDF9"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 xml:space="preserve"> CDC/PEPFAR y USAID</w:t>
            </w:r>
          </w:p>
        </w:tc>
      </w:tr>
      <w:tr w:rsidR="00A62C2C" w:rsidRPr="003F7346" w14:paraId="1D74903C" w14:textId="77777777" w:rsidTr="00A62C2C">
        <w:tc>
          <w:tcPr>
            <w:tcW w:w="5000" w:type="pct"/>
          </w:tcPr>
          <w:p w14:paraId="45D94AA9"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 xml:space="preserve"> OPS</w:t>
            </w:r>
          </w:p>
        </w:tc>
      </w:tr>
      <w:tr w:rsidR="00A62C2C" w:rsidRPr="003F7346" w14:paraId="3B4A81B6" w14:textId="77777777" w:rsidTr="00A62C2C">
        <w:tc>
          <w:tcPr>
            <w:tcW w:w="5000" w:type="pct"/>
          </w:tcPr>
          <w:p w14:paraId="1BCE2192"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UNFPA</w:t>
            </w:r>
          </w:p>
        </w:tc>
      </w:tr>
      <w:tr w:rsidR="00A62C2C" w:rsidRPr="003F7346" w14:paraId="6BC12F7C" w14:textId="77777777" w:rsidTr="00A62C2C">
        <w:tc>
          <w:tcPr>
            <w:tcW w:w="5000" w:type="pct"/>
          </w:tcPr>
          <w:p w14:paraId="345EF95C"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ONUSIDA</w:t>
            </w:r>
          </w:p>
        </w:tc>
      </w:tr>
      <w:tr w:rsidR="00A62C2C" w:rsidRPr="003F7346" w14:paraId="2B698463" w14:textId="77777777" w:rsidTr="00A62C2C">
        <w:trPr>
          <w:trHeight w:val="56"/>
        </w:trPr>
        <w:tc>
          <w:tcPr>
            <w:tcW w:w="5000" w:type="pct"/>
          </w:tcPr>
          <w:p w14:paraId="6D478AA6"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PNUD</w:t>
            </w:r>
          </w:p>
        </w:tc>
      </w:tr>
      <w:tr w:rsidR="00A62C2C" w:rsidRPr="003F7346" w14:paraId="7F8B364D" w14:textId="77777777" w:rsidTr="00A62C2C">
        <w:tc>
          <w:tcPr>
            <w:tcW w:w="5000" w:type="pct"/>
          </w:tcPr>
          <w:p w14:paraId="0A08A4B5"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 xml:space="preserve">Plan Internacional </w:t>
            </w:r>
          </w:p>
        </w:tc>
      </w:tr>
      <w:tr w:rsidR="00A62C2C" w:rsidRPr="003F7346" w14:paraId="4B94044E" w14:textId="77777777" w:rsidTr="00A62C2C">
        <w:tc>
          <w:tcPr>
            <w:tcW w:w="5000" w:type="pct"/>
          </w:tcPr>
          <w:p w14:paraId="1AAF210F" w14:textId="77777777" w:rsidR="00A62C2C" w:rsidRPr="00A22CB6" w:rsidRDefault="00A62C2C" w:rsidP="00EA1BF3">
            <w:pPr>
              <w:pStyle w:val="TextoTablaIzquierda"/>
              <w:rPr>
                <w:rFonts w:ascii="Times New Roman" w:hAnsi="Times New Roman" w:cs="Times New Roman"/>
                <w:b/>
                <w:i/>
                <w:sz w:val="22"/>
                <w:szCs w:val="22"/>
                <w:lang w:val="es-419"/>
              </w:rPr>
            </w:pPr>
            <w:r w:rsidRPr="00A22CB6">
              <w:rPr>
                <w:rFonts w:ascii="Times New Roman" w:hAnsi="Times New Roman" w:cs="Times New Roman"/>
                <w:b/>
                <w:i/>
                <w:sz w:val="22"/>
                <w:szCs w:val="22"/>
                <w:lang w:val="es-419"/>
              </w:rPr>
              <w:t xml:space="preserve">Sociedad civil </w:t>
            </w:r>
          </w:p>
        </w:tc>
      </w:tr>
      <w:tr w:rsidR="00A62C2C" w:rsidRPr="003F7346" w14:paraId="40EE4A62" w14:textId="77777777" w:rsidTr="00A62C2C">
        <w:tc>
          <w:tcPr>
            <w:tcW w:w="5000" w:type="pct"/>
          </w:tcPr>
          <w:p w14:paraId="08760599"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ASONAPVSIDAH</w:t>
            </w:r>
          </w:p>
        </w:tc>
      </w:tr>
      <w:tr w:rsidR="00A62C2C" w:rsidRPr="003F7346" w14:paraId="08633068" w14:textId="77777777" w:rsidTr="00A62C2C">
        <w:tc>
          <w:tcPr>
            <w:tcW w:w="5000" w:type="pct"/>
          </w:tcPr>
          <w:p w14:paraId="10A85E8E"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 xml:space="preserve">Asociación KUKULCAN </w:t>
            </w:r>
          </w:p>
        </w:tc>
      </w:tr>
      <w:tr w:rsidR="00A62C2C" w:rsidRPr="003F7346" w14:paraId="0B4774B7" w14:textId="77777777" w:rsidTr="00A62C2C">
        <w:tc>
          <w:tcPr>
            <w:tcW w:w="5000" w:type="pct"/>
          </w:tcPr>
          <w:p w14:paraId="6044B9EE"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Asociación Colectivo Violeta</w:t>
            </w:r>
          </w:p>
        </w:tc>
      </w:tr>
      <w:tr w:rsidR="00A62C2C" w:rsidRPr="003F7346" w14:paraId="2D7C4944" w14:textId="77777777" w:rsidTr="00A62C2C">
        <w:tc>
          <w:tcPr>
            <w:tcW w:w="5000" w:type="pct"/>
          </w:tcPr>
          <w:p w14:paraId="4F553BB7"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Colectivo Unidad Color Rosa</w:t>
            </w:r>
          </w:p>
        </w:tc>
      </w:tr>
      <w:tr w:rsidR="00A62C2C" w:rsidRPr="003F7346" w14:paraId="36C90B1D" w14:textId="77777777" w:rsidTr="00A62C2C">
        <w:tc>
          <w:tcPr>
            <w:tcW w:w="5000" w:type="pct"/>
          </w:tcPr>
          <w:p w14:paraId="14138116"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Fundación Llaves </w:t>
            </w:r>
          </w:p>
        </w:tc>
      </w:tr>
      <w:tr w:rsidR="00A62C2C" w:rsidRPr="003F7346" w14:paraId="17437BBF" w14:textId="77777777" w:rsidTr="00A62C2C">
        <w:tc>
          <w:tcPr>
            <w:tcW w:w="5000" w:type="pct"/>
          </w:tcPr>
          <w:p w14:paraId="59BC2A2E"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Coalición Sociedad civil TB</w:t>
            </w:r>
          </w:p>
        </w:tc>
      </w:tr>
      <w:tr w:rsidR="00A62C2C" w:rsidRPr="003F7346" w14:paraId="6DBF13DC" w14:textId="77777777" w:rsidTr="00A62C2C">
        <w:tc>
          <w:tcPr>
            <w:tcW w:w="5000" w:type="pct"/>
          </w:tcPr>
          <w:p w14:paraId="12EF1F03"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Red Trans de Tegucigalpa</w:t>
            </w:r>
          </w:p>
        </w:tc>
      </w:tr>
      <w:tr w:rsidR="00A62C2C" w:rsidRPr="003F7346" w14:paraId="2B2858DD" w14:textId="77777777" w:rsidTr="00A62C2C">
        <w:tc>
          <w:tcPr>
            <w:tcW w:w="5000" w:type="pct"/>
          </w:tcPr>
          <w:p w14:paraId="5669CBF1"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Centro de Prevención y Educación en Sexualidad (CEPRES) – desapareció</w:t>
            </w:r>
          </w:p>
        </w:tc>
      </w:tr>
      <w:tr w:rsidR="00A62C2C" w:rsidRPr="003F7346" w14:paraId="0558F4F4" w14:textId="77777777" w:rsidTr="00A62C2C">
        <w:tc>
          <w:tcPr>
            <w:tcW w:w="5000" w:type="pct"/>
          </w:tcPr>
          <w:p w14:paraId="45E5CD35"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Centro de Derechos de Mujeres</w:t>
            </w:r>
          </w:p>
        </w:tc>
      </w:tr>
      <w:tr w:rsidR="00A62C2C" w:rsidRPr="003F7346" w14:paraId="7B2CF83A" w14:textId="77777777" w:rsidTr="00A62C2C">
        <w:tc>
          <w:tcPr>
            <w:tcW w:w="5000" w:type="pct"/>
          </w:tcPr>
          <w:p w14:paraId="40B9EDBC"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FOROSIDA</w:t>
            </w:r>
          </w:p>
        </w:tc>
      </w:tr>
      <w:tr w:rsidR="00A62C2C" w:rsidRPr="003F7346" w14:paraId="185DF9F1" w14:textId="77777777" w:rsidTr="00A62C2C">
        <w:tc>
          <w:tcPr>
            <w:tcW w:w="5000" w:type="pct"/>
          </w:tcPr>
          <w:p w14:paraId="073BB366" w14:textId="77777777" w:rsidR="00A62C2C" w:rsidRPr="00A22CB6" w:rsidRDefault="00A62C2C" w:rsidP="00EA1BF3">
            <w:pPr>
              <w:pStyle w:val="TextoTablaIzquierda"/>
              <w:rPr>
                <w:rFonts w:ascii="Times New Roman" w:hAnsi="Times New Roman" w:cs="Times New Roman"/>
                <w:sz w:val="22"/>
                <w:szCs w:val="22"/>
                <w:lang w:val="es-419"/>
              </w:rPr>
            </w:pPr>
            <w:r w:rsidRPr="00A22CB6">
              <w:rPr>
                <w:rFonts w:ascii="Times New Roman" w:hAnsi="Times New Roman" w:cs="Times New Roman"/>
                <w:b/>
                <w:i/>
                <w:sz w:val="22"/>
                <w:szCs w:val="22"/>
                <w:lang w:val="es-419"/>
              </w:rPr>
              <w:t>Entidades de coordinación</w:t>
            </w:r>
          </w:p>
        </w:tc>
      </w:tr>
      <w:tr w:rsidR="00A62C2C" w:rsidRPr="003F7346" w14:paraId="65B5734D" w14:textId="77777777" w:rsidTr="00A62C2C">
        <w:tc>
          <w:tcPr>
            <w:tcW w:w="5000" w:type="pct"/>
          </w:tcPr>
          <w:p w14:paraId="684A5AA1"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CONASIDA</w:t>
            </w:r>
          </w:p>
        </w:tc>
      </w:tr>
      <w:tr w:rsidR="00A62C2C" w:rsidRPr="003F7346" w14:paraId="1B27CCE9" w14:textId="77777777" w:rsidTr="00A62C2C">
        <w:tc>
          <w:tcPr>
            <w:tcW w:w="5000" w:type="pct"/>
          </w:tcPr>
          <w:p w14:paraId="7D15397F"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Comisión de Sostenibilidad del MCP-SESAL</w:t>
            </w:r>
          </w:p>
        </w:tc>
      </w:tr>
      <w:tr w:rsidR="00A62C2C" w:rsidRPr="003F7346" w14:paraId="13A931A3" w14:textId="77777777" w:rsidTr="00A62C2C">
        <w:tc>
          <w:tcPr>
            <w:tcW w:w="5000" w:type="pct"/>
          </w:tcPr>
          <w:p w14:paraId="60ECB925"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 xml:space="preserve">Asamblea del MCP </w:t>
            </w:r>
          </w:p>
        </w:tc>
      </w:tr>
      <w:tr w:rsidR="00A62C2C" w:rsidRPr="003F7346" w14:paraId="65AFCB35" w14:textId="77777777" w:rsidTr="00A62C2C">
        <w:tc>
          <w:tcPr>
            <w:tcW w:w="5000" w:type="pct"/>
          </w:tcPr>
          <w:p w14:paraId="5CE20391" w14:textId="77777777" w:rsidR="00A62C2C" w:rsidRPr="00A22CB6" w:rsidRDefault="00A62C2C" w:rsidP="00EA1BF3">
            <w:pPr>
              <w:pStyle w:val="TextoTablaIzquierda"/>
              <w:rPr>
                <w:rFonts w:ascii="Times New Roman" w:hAnsi="Times New Roman" w:cs="Times New Roman"/>
                <w:b/>
                <w:i/>
                <w:sz w:val="22"/>
                <w:szCs w:val="22"/>
                <w:lang w:val="es-419"/>
              </w:rPr>
            </w:pPr>
            <w:r w:rsidRPr="00A22CB6">
              <w:rPr>
                <w:rFonts w:ascii="Times New Roman" w:hAnsi="Times New Roman" w:cs="Times New Roman"/>
                <w:b/>
                <w:i/>
                <w:sz w:val="22"/>
                <w:szCs w:val="22"/>
                <w:lang w:val="es-419"/>
              </w:rPr>
              <w:t>Visitas del campo</w:t>
            </w:r>
          </w:p>
        </w:tc>
      </w:tr>
      <w:tr w:rsidR="00A62C2C" w:rsidRPr="003F7346" w14:paraId="117F3AF4" w14:textId="77777777" w:rsidTr="00A62C2C">
        <w:tc>
          <w:tcPr>
            <w:tcW w:w="5000" w:type="pct"/>
          </w:tcPr>
          <w:p w14:paraId="2413A1EC" w14:textId="77777777" w:rsidR="00A62C2C" w:rsidRPr="00A22CB6" w:rsidRDefault="00A62C2C" w:rsidP="00EA1BF3">
            <w:pPr>
              <w:pStyle w:val="TextoTablaIzquierda"/>
              <w:rPr>
                <w:rFonts w:ascii="Times New Roman" w:hAnsi="Times New Roman" w:cs="Times New Roman"/>
                <w:sz w:val="20"/>
                <w:szCs w:val="20"/>
                <w:lang w:val="es-419"/>
              </w:rPr>
            </w:pPr>
            <w:r w:rsidRPr="00A22CB6">
              <w:rPr>
                <w:rFonts w:ascii="Times New Roman" w:hAnsi="Times New Roman" w:cs="Times New Roman"/>
                <w:sz w:val="20"/>
                <w:szCs w:val="20"/>
                <w:lang w:val="es-419"/>
              </w:rPr>
              <w:t xml:space="preserve">Centro de Salud Alonso Suazo </w:t>
            </w:r>
          </w:p>
        </w:tc>
      </w:tr>
    </w:tbl>
    <w:p w14:paraId="56DE564C" w14:textId="1C2D1DE6" w:rsidR="00590D9A" w:rsidRDefault="00590D9A" w:rsidP="00F948D1">
      <w:pPr>
        <w:ind w:firstLine="0"/>
        <w:rPr>
          <w:lang w:val="es-419"/>
        </w:rPr>
      </w:pPr>
    </w:p>
    <w:p w14:paraId="09E0CABD" w14:textId="77777777" w:rsidR="00590D9A" w:rsidRDefault="00590D9A">
      <w:pPr>
        <w:autoSpaceDN/>
        <w:spacing w:before="0" w:after="160" w:line="259" w:lineRule="auto"/>
        <w:ind w:firstLine="0"/>
        <w:jc w:val="left"/>
        <w:textAlignment w:val="auto"/>
        <w:rPr>
          <w:lang w:val="es-419"/>
        </w:rPr>
      </w:pPr>
      <w:r>
        <w:rPr>
          <w:lang w:val="es-419"/>
        </w:rPr>
        <w:br w:type="page"/>
      </w:r>
    </w:p>
    <w:tbl>
      <w:tblPr>
        <w:tblStyle w:val="TableGrid"/>
        <w:tblW w:w="5000" w:type="pct"/>
        <w:tblLook w:val="04A0" w:firstRow="1" w:lastRow="0" w:firstColumn="1" w:lastColumn="0" w:noHBand="0" w:noVBand="1"/>
      </w:tblPr>
      <w:tblGrid>
        <w:gridCol w:w="4675"/>
        <w:gridCol w:w="4675"/>
      </w:tblGrid>
      <w:tr w:rsidR="00283DBA" w:rsidRPr="00B75190" w14:paraId="7B7B2406" w14:textId="45225BA5" w:rsidTr="00283DBA">
        <w:tc>
          <w:tcPr>
            <w:tcW w:w="2500" w:type="pct"/>
            <w:shd w:val="clear" w:color="auto" w:fill="1F3864" w:themeFill="accent5" w:themeFillShade="80"/>
          </w:tcPr>
          <w:p w14:paraId="0FCE6165" w14:textId="1E1BB43B" w:rsidR="00283DBA" w:rsidRPr="00590D9A" w:rsidRDefault="00283DBA" w:rsidP="00EA1BF3">
            <w:pPr>
              <w:pStyle w:val="TextoTablaIzquierda"/>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lastRenderedPageBreak/>
              <w:t xml:space="preserve">Participantes del Taller </w:t>
            </w:r>
            <w:proofErr w:type="spellStart"/>
            <w:r>
              <w:rPr>
                <w:rFonts w:asciiTheme="minorHAnsi" w:hAnsiTheme="minorHAnsi" w:cstheme="minorHAnsi"/>
                <w:b/>
                <w:color w:val="FFFFFF" w:themeColor="background1"/>
                <w:sz w:val="20"/>
                <w:szCs w:val="20"/>
              </w:rPr>
              <w:t>Instersectorial</w:t>
            </w:r>
            <w:proofErr w:type="spellEnd"/>
            <w:r>
              <w:rPr>
                <w:rFonts w:asciiTheme="minorHAnsi" w:hAnsiTheme="minorHAnsi" w:cstheme="minorHAnsi"/>
                <w:b/>
                <w:color w:val="FFFFFF" w:themeColor="background1"/>
                <w:sz w:val="20"/>
                <w:szCs w:val="20"/>
              </w:rPr>
              <w:t xml:space="preserve"> (</w:t>
            </w:r>
            <w:proofErr w:type="gramStart"/>
            <w:r>
              <w:rPr>
                <w:rFonts w:asciiTheme="minorHAnsi" w:hAnsiTheme="minorHAnsi" w:cstheme="minorHAnsi"/>
                <w:b/>
                <w:color w:val="FFFFFF" w:themeColor="background1"/>
                <w:sz w:val="20"/>
                <w:szCs w:val="20"/>
              </w:rPr>
              <w:t>Enero</w:t>
            </w:r>
            <w:proofErr w:type="gramEnd"/>
            <w:r>
              <w:rPr>
                <w:rFonts w:asciiTheme="minorHAnsi" w:hAnsiTheme="minorHAnsi" w:cstheme="minorHAnsi"/>
                <w:b/>
                <w:color w:val="FFFFFF" w:themeColor="background1"/>
                <w:sz w:val="20"/>
                <w:szCs w:val="20"/>
              </w:rPr>
              <w:t xml:space="preserve"> 2018)</w:t>
            </w:r>
          </w:p>
        </w:tc>
        <w:tc>
          <w:tcPr>
            <w:tcW w:w="2500" w:type="pct"/>
            <w:shd w:val="clear" w:color="auto" w:fill="1F3864" w:themeFill="accent5" w:themeFillShade="80"/>
          </w:tcPr>
          <w:p w14:paraId="5222B0DE" w14:textId="32E9156C" w:rsidR="00283DBA" w:rsidRDefault="00283DBA" w:rsidP="00EA1BF3">
            <w:pPr>
              <w:pStyle w:val="TextoTablaIzquierda"/>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Participante</w:t>
            </w:r>
          </w:p>
        </w:tc>
      </w:tr>
      <w:tr w:rsidR="00283DBA" w:rsidRPr="00B75190" w14:paraId="36956A1C" w14:textId="17E80C05" w:rsidTr="00283DBA">
        <w:tc>
          <w:tcPr>
            <w:tcW w:w="2500" w:type="pct"/>
          </w:tcPr>
          <w:p w14:paraId="3E21ED32" w14:textId="4A41A2F7" w:rsidR="00283DBA" w:rsidRPr="00283DBA" w:rsidRDefault="00283DBA" w:rsidP="00EA1BF3">
            <w:pPr>
              <w:pStyle w:val="TextoTablaIzquierda"/>
              <w:rPr>
                <w:rFonts w:ascii="Times New Roman" w:hAnsi="Times New Roman" w:cs="Times New Roman"/>
                <w:sz w:val="20"/>
                <w:szCs w:val="20"/>
              </w:rPr>
            </w:pPr>
            <w:r w:rsidRPr="00283DBA">
              <w:rPr>
                <w:rFonts w:ascii="Times New Roman" w:hAnsi="Times New Roman" w:cs="Times New Roman"/>
                <w:sz w:val="20"/>
                <w:szCs w:val="20"/>
              </w:rPr>
              <w:t>UAFCE/ SESAL</w:t>
            </w:r>
          </w:p>
        </w:tc>
        <w:tc>
          <w:tcPr>
            <w:tcW w:w="2500" w:type="pct"/>
          </w:tcPr>
          <w:p w14:paraId="3C21C75A" w14:textId="1264DB18" w:rsidR="00283DBA" w:rsidRPr="00283DBA" w:rsidRDefault="00283DBA" w:rsidP="00EA1BF3">
            <w:pPr>
              <w:pStyle w:val="TextoTablaIzquierda"/>
              <w:rPr>
                <w:rFonts w:ascii="Times New Roman" w:hAnsi="Times New Roman" w:cs="Times New Roman"/>
                <w:sz w:val="20"/>
                <w:szCs w:val="20"/>
              </w:rPr>
            </w:pPr>
            <w:r w:rsidRPr="00283DBA">
              <w:rPr>
                <w:rFonts w:ascii="Times New Roman" w:hAnsi="Times New Roman" w:cs="Times New Roman"/>
                <w:sz w:val="20"/>
                <w:szCs w:val="20"/>
              </w:rPr>
              <w:t>Sandra Núñez</w:t>
            </w:r>
          </w:p>
        </w:tc>
      </w:tr>
      <w:tr w:rsidR="00283DBA" w:rsidRPr="00B75190" w14:paraId="3908F5B8" w14:textId="76E98FA0" w:rsidTr="00283DBA">
        <w:tc>
          <w:tcPr>
            <w:tcW w:w="2500" w:type="pct"/>
          </w:tcPr>
          <w:p w14:paraId="1D1490F0" w14:textId="641AF883" w:rsidR="00283DBA" w:rsidRPr="00283DBA" w:rsidRDefault="00283DBA" w:rsidP="00EA1BF3">
            <w:pPr>
              <w:pStyle w:val="TextoTablaIzquierda"/>
              <w:rPr>
                <w:rFonts w:ascii="Times New Roman" w:hAnsi="Times New Roman" w:cs="Times New Roman"/>
                <w:sz w:val="20"/>
                <w:szCs w:val="20"/>
              </w:rPr>
            </w:pPr>
            <w:r w:rsidRPr="00283DBA">
              <w:rPr>
                <w:rFonts w:ascii="Times New Roman" w:hAnsi="Times New Roman" w:cs="Times New Roman"/>
                <w:sz w:val="20"/>
                <w:szCs w:val="20"/>
              </w:rPr>
              <w:t>Comunicación SESAL</w:t>
            </w:r>
          </w:p>
        </w:tc>
        <w:tc>
          <w:tcPr>
            <w:tcW w:w="2500" w:type="pct"/>
          </w:tcPr>
          <w:p w14:paraId="7937D559" w14:textId="1113C066" w:rsidR="00283DBA" w:rsidRPr="00283DBA" w:rsidRDefault="00283DBA" w:rsidP="00EA1BF3">
            <w:pPr>
              <w:pStyle w:val="TextoTablaIzquierda"/>
              <w:rPr>
                <w:rFonts w:ascii="Times New Roman" w:hAnsi="Times New Roman" w:cs="Times New Roman"/>
                <w:sz w:val="20"/>
                <w:szCs w:val="20"/>
              </w:rPr>
            </w:pPr>
            <w:r w:rsidRPr="00283DBA">
              <w:rPr>
                <w:rFonts w:ascii="Times New Roman" w:hAnsi="Times New Roman" w:cs="Times New Roman"/>
                <w:sz w:val="20"/>
                <w:szCs w:val="20"/>
              </w:rPr>
              <w:t>Wendy Martínez</w:t>
            </w:r>
          </w:p>
        </w:tc>
      </w:tr>
      <w:tr w:rsidR="00283DBA" w:rsidRPr="00B75190" w14:paraId="279F9192" w14:textId="6E00AAA5" w:rsidTr="00283DBA">
        <w:tc>
          <w:tcPr>
            <w:tcW w:w="2500" w:type="pct"/>
          </w:tcPr>
          <w:p w14:paraId="27C765F8" w14:textId="28D5F636" w:rsidR="00283DBA" w:rsidRPr="00283DBA" w:rsidRDefault="00283DBA" w:rsidP="00EA1BF3">
            <w:pPr>
              <w:pStyle w:val="TextoTablaIzquierda"/>
              <w:rPr>
                <w:rFonts w:ascii="Times New Roman" w:hAnsi="Times New Roman" w:cs="Times New Roman"/>
                <w:sz w:val="20"/>
                <w:szCs w:val="20"/>
              </w:rPr>
            </w:pPr>
            <w:r w:rsidRPr="00283DBA">
              <w:rPr>
                <w:rFonts w:ascii="Times New Roman" w:hAnsi="Times New Roman" w:cs="Times New Roman"/>
                <w:sz w:val="20"/>
                <w:szCs w:val="20"/>
              </w:rPr>
              <w:t>MCP – Honduras</w:t>
            </w:r>
          </w:p>
        </w:tc>
        <w:tc>
          <w:tcPr>
            <w:tcW w:w="2500" w:type="pct"/>
          </w:tcPr>
          <w:p w14:paraId="2A9F6AC3" w14:textId="480EDF51" w:rsidR="00283DBA" w:rsidRPr="00283DBA" w:rsidRDefault="00283DBA" w:rsidP="00EA1BF3">
            <w:pPr>
              <w:pStyle w:val="TextoTablaIzquierda"/>
              <w:rPr>
                <w:rFonts w:ascii="Times New Roman" w:hAnsi="Times New Roman" w:cs="Times New Roman"/>
                <w:sz w:val="20"/>
                <w:szCs w:val="20"/>
              </w:rPr>
            </w:pPr>
            <w:r w:rsidRPr="00283DBA">
              <w:rPr>
                <w:rFonts w:ascii="Times New Roman" w:hAnsi="Times New Roman" w:cs="Times New Roman"/>
                <w:sz w:val="20"/>
                <w:szCs w:val="20"/>
              </w:rPr>
              <w:t>Ana Dalila Sevilla</w:t>
            </w:r>
            <w:r w:rsidR="005C2D67">
              <w:rPr>
                <w:rFonts w:ascii="Times New Roman" w:hAnsi="Times New Roman" w:cs="Times New Roman"/>
                <w:sz w:val="20"/>
                <w:szCs w:val="20"/>
              </w:rPr>
              <w:t>, Cinthya Valladares</w:t>
            </w:r>
          </w:p>
        </w:tc>
      </w:tr>
      <w:tr w:rsidR="00283DBA" w:rsidRPr="00B75190" w14:paraId="324BD322" w14:textId="40CF8731" w:rsidTr="00283DBA">
        <w:tc>
          <w:tcPr>
            <w:tcW w:w="2500" w:type="pct"/>
          </w:tcPr>
          <w:p w14:paraId="2FA0438A" w14:textId="16DB0C97" w:rsidR="00283DBA" w:rsidRPr="00283DBA" w:rsidRDefault="00283DBA" w:rsidP="00EA1BF3">
            <w:pPr>
              <w:pStyle w:val="TextoTablaIzquierda"/>
              <w:rPr>
                <w:rFonts w:ascii="Times New Roman" w:hAnsi="Times New Roman" w:cs="Times New Roman"/>
                <w:sz w:val="20"/>
                <w:szCs w:val="20"/>
              </w:rPr>
            </w:pPr>
            <w:r w:rsidRPr="00283DBA">
              <w:rPr>
                <w:rFonts w:ascii="Times New Roman" w:hAnsi="Times New Roman" w:cs="Times New Roman"/>
                <w:sz w:val="20"/>
                <w:szCs w:val="20"/>
              </w:rPr>
              <w:t>MCP – Honduras – Coalición TB</w:t>
            </w:r>
          </w:p>
        </w:tc>
        <w:tc>
          <w:tcPr>
            <w:tcW w:w="2500" w:type="pct"/>
          </w:tcPr>
          <w:p w14:paraId="74824029" w14:textId="2757BCA4" w:rsidR="00283DBA" w:rsidRPr="00283DBA" w:rsidRDefault="00283DBA" w:rsidP="00EA1BF3">
            <w:pPr>
              <w:pStyle w:val="TextoTablaIzquierda"/>
              <w:rPr>
                <w:rFonts w:ascii="Times New Roman" w:hAnsi="Times New Roman" w:cs="Times New Roman"/>
                <w:sz w:val="20"/>
                <w:szCs w:val="20"/>
              </w:rPr>
            </w:pPr>
            <w:r w:rsidRPr="00283DBA">
              <w:rPr>
                <w:rFonts w:ascii="Times New Roman" w:hAnsi="Times New Roman" w:cs="Times New Roman"/>
                <w:sz w:val="20"/>
                <w:szCs w:val="20"/>
              </w:rPr>
              <w:t>Noe Iván Flores</w:t>
            </w:r>
          </w:p>
        </w:tc>
      </w:tr>
      <w:tr w:rsidR="00283DBA" w:rsidRPr="00B75190" w14:paraId="005618A8" w14:textId="43E44B2C" w:rsidTr="00283DBA">
        <w:tc>
          <w:tcPr>
            <w:tcW w:w="2500" w:type="pct"/>
          </w:tcPr>
          <w:p w14:paraId="21EF9C91" w14:textId="212791D8" w:rsidR="00283DBA" w:rsidRPr="00283DBA" w:rsidRDefault="00283DBA" w:rsidP="00EA1BF3">
            <w:pPr>
              <w:pStyle w:val="TextoTablaIzquierda"/>
              <w:rPr>
                <w:rFonts w:ascii="Times New Roman" w:hAnsi="Times New Roman" w:cs="Times New Roman"/>
                <w:sz w:val="20"/>
                <w:szCs w:val="20"/>
              </w:rPr>
            </w:pPr>
            <w:r w:rsidRPr="00283DBA">
              <w:rPr>
                <w:rFonts w:ascii="Times New Roman" w:hAnsi="Times New Roman" w:cs="Times New Roman"/>
                <w:sz w:val="20"/>
                <w:szCs w:val="20"/>
              </w:rPr>
              <w:t>MCP – Honduras – TB</w:t>
            </w:r>
          </w:p>
        </w:tc>
        <w:tc>
          <w:tcPr>
            <w:tcW w:w="2500" w:type="pct"/>
          </w:tcPr>
          <w:p w14:paraId="2824AE94" w14:textId="76295A55" w:rsidR="00283DBA" w:rsidRPr="00283DBA" w:rsidRDefault="00283DBA" w:rsidP="00EA1BF3">
            <w:pPr>
              <w:pStyle w:val="TextoTablaIzquierda"/>
              <w:rPr>
                <w:rFonts w:ascii="Times New Roman" w:hAnsi="Times New Roman" w:cs="Times New Roman"/>
                <w:sz w:val="20"/>
                <w:szCs w:val="20"/>
              </w:rPr>
            </w:pPr>
            <w:proofErr w:type="spellStart"/>
            <w:r w:rsidRPr="00283DBA">
              <w:rPr>
                <w:rFonts w:ascii="Times New Roman" w:hAnsi="Times New Roman" w:cs="Times New Roman"/>
                <w:sz w:val="20"/>
                <w:szCs w:val="20"/>
              </w:rPr>
              <w:t>Evin</w:t>
            </w:r>
            <w:proofErr w:type="spellEnd"/>
            <w:r w:rsidRPr="00283DBA">
              <w:rPr>
                <w:rFonts w:ascii="Times New Roman" w:hAnsi="Times New Roman" w:cs="Times New Roman"/>
                <w:sz w:val="20"/>
                <w:szCs w:val="20"/>
              </w:rPr>
              <w:t xml:space="preserve"> </w:t>
            </w:r>
            <w:proofErr w:type="spellStart"/>
            <w:r w:rsidRPr="00283DBA">
              <w:rPr>
                <w:rFonts w:ascii="Times New Roman" w:hAnsi="Times New Roman" w:cs="Times New Roman"/>
                <w:sz w:val="20"/>
                <w:szCs w:val="20"/>
              </w:rPr>
              <w:t>Onel</w:t>
            </w:r>
            <w:proofErr w:type="spellEnd"/>
            <w:r w:rsidRPr="00283DBA">
              <w:rPr>
                <w:rFonts w:ascii="Times New Roman" w:hAnsi="Times New Roman" w:cs="Times New Roman"/>
                <w:sz w:val="20"/>
                <w:szCs w:val="20"/>
              </w:rPr>
              <w:t xml:space="preserve"> Fernández</w:t>
            </w:r>
          </w:p>
        </w:tc>
      </w:tr>
      <w:tr w:rsidR="00283DBA" w:rsidRPr="00283DBA" w14:paraId="53569AAF" w14:textId="224A2435" w:rsidTr="00283DBA">
        <w:tc>
          <w:tcPr>
            <w:tcW w:w="2500" w:type="pct"/>
          </w:tcPr>
          <w:p w14:paraId="01FC9E6E" w14:textId="47D6DEE8" w:rsidR="00283DBA" w:rsidRPr="00283DBA" w:rsidRDefault="00283DBA" w:rsidP="00EA1BF3">
            <w:pPr>
              <w:pStyle w:val="TextoTablaIzquierda"/>
              <w:rPr>
                <w:rFonts w:ascii="Times New Roman" w:hAnsi="Times New Roman" w:cs="Times New Roman"/>
                <w:sz w:val="20"/>
                <w:szCs w:val="20"/>
                <w:lang w:val="es-MX"/>
              </w:rPr>
            </w:pPr>
            <w:r w:rsidRPr="00283DBA">
              <w:rPr>
                <w:rFonts w:ascii="Times New Roman" w:hAnsi="Times New Roman" w:cs="Times New Roman"/>
                <w:sz w:val="20"/>
                <w:szCs w:val="20"/>
                <w:lang w:val="es-MX"/>
              </w:rPr>
              <w:t>SEDH</w:t>
            </w:r>
          </w:p>
        </w:tc>
        <w:tc>
          <w:tcPr>
            <w:tcW w:w="2500" w:type="pct"/>
          </w:tcPr>
          <w:p w14:paraId="115BC0D3" w14:textId="5870ECF1" w:rsidR="00283DBA" w:rsidRPr="00283DBA" w:rsidRDefault="00283DBA" w:rsidP="00EA1BF3">
            <w:pPr>
              <w:pStyle w:val="TextoTablaIzquierda"/>
              <w:rPr>
                <w:rFonts w:ascii="Times New Roman" w:hAnsi="Times New Roman" w:cs="Times New Roman"/>
                <w:sz w:val="20"/>
                <w:szCs w:val="20"/>
                <w:lang w:val="es-MX"/>
              </w:rPr>
            </w:pPr>
            <w:r w:rsidRPr="00283DBA">
              <w:rPr>
                <w:rFonts w:ascii="Times New Roman" w:hAnsi="Times New Roman" w:cs="Times New Roman"/>
                <w:sz w:val="20"/>
                <w:szCs w:val="20"/>
                <w:lang w:val="es-MX"/>
              </w:rPr>
              <w:t>Mercedes Gómez</w:t>
            </w:r>
          </w:p>
        </w:tc>
      </w:tr>
      <w:tr w:rsidR="00283DBA" w:rsidRPr="00283DBA" w14:paraId="091BFA51" w14:textId="080121A4" w:rsidTr="00283DBA">
        <w:tc>
          <w:tcPr>
            <w:tcW w:w="2500" w:type="pct"/>
          </w:tcPr>
          <w:p w14:paraId="3C7900AE" w14:textId="0571C3DD" w:rsidR="00283DBA" w:rsidRPr="00283DBA" w:rsidRDefault="00283DBA" w:rsidP="00EA1BF3">
            <w:pPr>
              <w:pStyle w:val="TextoTablaIzquierda"/>
              <w:rPr>
                <w:rFonts w:ascii="Times New Roman" w:hAnsi="Times New Roman" w:cs="Times New Roman"/>
                <w:sz w:val="20"/>
                <w:szCs w:val="20"/>
                <w:lang w:val="es-MX"/>
              </w:rPr>
            </w:pPr>
            <w:r w:rsidRPr="00283DBA">
              <w:rPr>
                <w:rFonts w:ascii="Times New Roman" w:hAnsi="Times New Roman" w:cs="Times New Roman"/>
                <w:sz w:val="20"/>
                <w:szCs w:val="20"/>
                <w:lang w:val="es-MX"/>
              </w:rPr>
              <w:t>Fondo Mundial</w:t>
            </w:r>
          </w:p>
        </w:tc>
        <w:tc>
          <w:tcPr>
            <w:tcW w:w="2500" w:type="pct"/>
          </w:tcPr>
          <w:p w14:paraId="2E7452E4" w14:textId="7C8381D3" w:rsidR="00283DBA" w:rsidRPr="00283DBA" w:rsidRDefault="00283DBA" w:rsidP="00EA1BF3">
            <w:pPr>
              <w:pStyle w:val="TextoTablaIzquierda"/>
              <w:rPr>
                <w:rFonts w:ascii="Times New Roman" w:hAnsi="Times New Roman" w:cs="Times New Roman"/>
                <w:sz w:val="20"/>
                <w:szCs w:val="20"/>
                <w:lang w:val="es-MX"/>
              </w:rPr>
            </w:pPr>
            <w:r>
              <w:rPr>
                <w:rFonts w:ascii="Times New Roman" w:hAnsi="Times New Roman" w:cs="Times New Roman"/>
                <w:sz w:val="20"/>
                <w:szCs w:val="20"/>
                <w:lang w:val="es-MX"/>
              </w:rPr>
              <w:t xml:space="preserve">Paul Bonilla, </w:t>
            </w:r>
            <w:proofErr w:type="spellStart"/>
            <w:r>
              <w:rPr>
                <w:rFonts w:ascii="Times New Roman" w:hAnsi="Times New Roman" w:cs="Times New Roman"/>
                <w:sz w:val="20"/>
                <w:szCs w:val="20"/>
                <w:lang w:val="es-419"/>
              </w:rPr>
              <w:t>Delphine</w:t>
            </w:r>
            <w:proofErr w:type="spellEnd"/>
            <w:r>
              <w:rPr>
                <w:rFonts w:ascii="Times New Roman" w:hAnsi="Times New Roman" w:cs="Times New Roman"/>
                <w:sz w:val="20"/>
                <w:szCs w:val="20"/>
                <w:lang w:val="es-419"/>
              </w:rPr>
              <w:t xml:space="preserve"> De Quina</w:t>
            </w:r>
          </w:p>
        </w:tc>
      </w:tr>
      <w:tr w:rsidR="00283DBA" w:rsidRPr="009840B8" w14:paraId="77267BBA" w14:textId="3F9CC527" w:rsidTr="00283DBA">
        <w:tc>
          <w:tcPr>
            <w:tcW w:w="2500" w:type="pct"/>
          </w:tcPr>
          <w:p w14:paraId="115EA682" w14:textId="1BD22E83" w:rsidR="00283DBA" w:rsidRPr="00283DBA" w:rsidRDefault="00283DBA"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ALF/PWC</w:t>
            </w:r>
          </w:p>
        </w:tc>
        <w:tc>
          <w:tcPr>
            <w:tcW w:w="2500" w:type="pct"/>
          </w:tcPr>
          <w:p w14:paraId="7C443837" w14:textId="694F20F1" w:rsidR="00283DBA" w:rsidRPr="00283DBA" w:rsidRDefault="00283DBA"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Laura Osorio</w:t>
            </w:r>
          </w:p>
        </w:tc>
      </w:tr>
      <w:tr w:rsidR="00283DBA" w:rsidRPr="000013AF" w14:paraId="41D5F9B3" w14:textId="602D8805" w:rsidTr="00283DBA">
        <w:tc>
          <w:tcPr>
            <w:tcW w:w="2500" w:type="pct"/>
          </w:tcPr>
          <w:p w14:paraId="1A6578BF" w14:textId="3F0F924C" w:rsidR="00283DBA" w:rsidRPr="00283DBA" w:rsidRDefault="00283DBA"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PNUD</w:t>
            </w:r>
          </w:p>
        </w:tc>
        <w:tc>
          <w:tcPr>
            <w:tcW w:w="2500" w:type="pct"/>
          </w:tcPr>
          <w:p w14:paraId="4DC81357" w14:textId="7965D652" w:rsidR="00283DBA" w:rsidRPr="00283DBA" w:rsidRDefault="00283DBA"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 xml:space="preserve">Irati </w:t>
            </w:r>
            <w:proofErr w:type="spellStart"/>
            <w:r>
              <w:rPr>
                <w:rFonts w:ascii="Times New Roman" w:hAnsi="Times New Roman" w:cs="Times New Roman"/>
                <w:sz w:val="20"/>
                <w:szCs w:val="20"/>
                <w:lang w:val="es-419"/>
              </w:rPr>
              <w:t>Barreña</w:t>
            </w:r>
            <w:proofErr w:type="spellEnd"/>
          </w:p>
        </w:tc>
      </w:tr>
      <w:tr w:rsidR="00283DBA" w:rsidRPr="009840B8" w14:paraId="4B8803BF" w14:textId="0F9ABD2F" w:rsidTr="00283DBA">
        <w:tc>
          <w:tcPr>
            <w:tcW w:w="2500" w:type="pct"/>
          </w:tcPr>
          <w:p w14:paraId="48D9185A" w14:textId="5D091A28" w:rsidR="00283DBA" w:rsidRPr="00283DBA" w:rsidRDefault="00283DBA"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PASMO</w:t>
            </w:r>
          </w:p>
        </w:tc>
        <w:tc>
          <w:tcPr>
            <w:tcW w:w="2500" w:type="pct"/>
          </w:tcPr>
          <w:p w14:paraId="3E587FFA" w14:textId="113AB7A4" w:rsidR="00283DBA" w:rsidRPr="00283DBA" w:rsidRDefault="00283DBA"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Carolina Bustillo</w:t>
            </w:r>
            <w:r w:rsidR="002E218D">
              <w:rPr>
                <w:rFonts w:ascii="Times New Roman" w:hAnsi="Times New Roman" w:cs="Times New Roman"/>
                <w:sz w:val="20"/>
                <w:szCs w:val="20"/>
                <w:lang w:val="es-419"/>
              </w:rPr>
              <w:t xml:space="preserve">, Julio </w:t>
            </w:r>
            <w:proofErr w:type="spellStart"/>
            <w:r w:rsidR="002E218D">
              <w:rPr>
                <w:rFonts w:ascii="Times New Roman" w:hAnsi="Times New Roman" w:cs="Times New Roman"/>
                <w:sz w:val="20"/>
                <w:szCs w:val="20"/>
                <w:lang w:val="es-419"/>
              </w:rPr>
              <w:t>Zuniga</w:t>
            </w:r>
            <w:proofErr w:type="spellEnd"/>
          </w:p>
        </w:tc>
      </w:tr>
      <w:tr w:rsidR="00283DBA" w:rsidRPr="00B75190" w14:paraId="13FE8B30" w14:textId="643273BB" w:rsidTr="00283DBA">
        <w:tc>
          <w:tcPr>
            <w:tcW w:w="2500" w:type="pct"/>
          </w:tcPr>
          <w:p w14:paraId="3C048211" w14:textId="5A8EB1F2" w:rsidR="00283DBA" w:rsidRPr="00283DBA"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 xml:space="preserve">Secretaría de </w:t>
            </w:r>
            <w:r w:rsidR="002E218D">
              <w:rPr>
                <w:rFonts w:ascii="Times New Roman" w:hAnsi="Times New Roman" w:cs="Times New Roman"/>
                <w:sz w:val="20"/>
                <w:szCs w:val="20"/>
                <w:lang w:val="es-419"/>
              </w:rPr>
              <w:t>Coordinación General de Gobierno</w:t>
            </w:r>
          </w:p>
        </w:tc>
        <w:tc>
          <w:tcPr>
            <w:tcW w:w="2500" w:type="pct"/>
          </w:tcPr>
          <w:p w14:paraId="7E8ECBEF" w14:textId="17B1FC81"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Gabriel Armando Brito</w:t>
            </w:r>
            <w:r w:rsidR="005C2D67">
              <w:rPr>
                <w:rFonts w:ascii="Times New Roman" w:hAnsi="Times New Roman" w:cs="Times New Roman"/>
                <w:sz w:val="20"/>
                <w:szCs w:val="20"/>
                <w:lang w:val="es-419"/>
              </w:rPr>
              <w:t>, Tania Castellanos</w:t>
            </w:r>
          </w:p>
        </w:tc>
      </w:tr>
      <w:tr w:rsidR="00283DBA" w:rsidRPr="00B75190" w14:paraId="3B682669" w14:textId="47328B75" w:rsidTr="00283DBA">
        <w:tc>
          <w:tcPr>
            <w:tcW w:w="2500" w:type="pct"/>
          </w:tcPr>
          <w:p w14:paraId="272E6F14" w14:textId="02CF3B95"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ASONAPVSIDAH</w:t>
            </w:r>
          </w:p>
        </w:tc>
        <w:tc>
          <w:tcPr>
            <w:tcW w:w="2500" w:type="pct"/>
          </w:tcPr>
          <w:p w14:paraId="791CD640" w14:textId="30622CD4"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 xml:space="preserve">Gretel </w:t>
            </w:r>
            <w:proofErr w:type="spellStart"/>
            <w:r>
              <w:rPr>
                <w:rFonts w:ascii="Times New Roman" w:hAnsi="Times New Roman" w:cs="Times New Roman"/>
                <w:sz w:val="20"/>
                <w:szCs w:val="20"/>
                <w:lang w:val="es-419"/>
              </w:rPr>
              <w:t>Joahnna</w:t>
            </w:r>
            <w:proofErr w:type="spellEnd"/>
            <w:r>
              <w:rPr>
                <w:rFonts w:ascii="Times New Roman" w:hAnsi="Times New Roman" w:cs="Times New Roman"/>
                <w:sz w:val="20"/>
                <w:szCs w:val="20"/>
                <w:lang w:val="es-419"/>
              </w:rPr>
              <w:t xml:space="preserve"> Cerna</w:t>
            </w:r>
          </w:p>
        </w:tc>
      </w:tr>
      <w:tr w:rsidR="00283DBA" w:rsidRPr="00B75190" w14:paraId="156CAD63" w14:textId="625451C7" w:rsidTr="00283DBA">
        <w:tc>
          <w:tcPr>
            <w:tcW w:w="2500" w:type="pct"/>
          </w:tcPr>
          <w:p w14:paraId="25966350" w14:textId="7F40B2B9"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UVG – Honduras</w:t>
            </w:r>
          </w:p>
        </w:tc>
        <w:tc>
          <w:tcPr>
            <w:tcW w:w="2500" w:type="pct"/>
          </w:tcPr>
          <w:p w14:paraId="57D23B4C" w14:textId="57049762"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Mayte Paredes</w:t>
            </w:r>
          </w:p>
        </w:tc>
      </w:tr>
      <w:tr w:rsidR="00283DBA" w:rsidRPr="00B75190" w14:paraId="2B3F3DB3" w14:textId="3739C40D" w:rsidTr="00283DBA">
        <w:tc>
          <w:tcPr>
            <w:tcW w:w="2500" w:type="pct"/>
          </w:tcPr>
          <w:p w14:paraId="054460B9" w14:textId="127D8532"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Plan Internacional</w:t>
            </w:r>
          </w:p>
        </w:tc>
        <w:tc>
          <w:tcPr>
            <w:tcW w:w="2500" w:type="pct"/>
          </w:tcPr>
          <w:p w14:paraId="3E2300B6" w14:textId="14725405"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Eduardo Humberto Retes</w:t>
            </w:r>
          </w:p>
        </w:tc>
      </w:tr>
      <w:tr w:rsidR="00283DBA" w:rsidRPr="00B75190" w14:paraId="00B33B26" w14:textId="5FDF25B9" w:rsidTr="00283DBA">
        <w:tc>
          <w:tcPr>
            <w:tcW w:w="2500" w:type="pct"/>
          </w:tcPr>
          <w:p w14:paraId="342EC11D" w14:textId="75B5AB44"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UPEG/SESAL</w:t>
            </w:r>
          </w:p>
        </w:tc>
        <w:tc>
          <w:tcPr>
            <w:tcW w:w="2500" w:type="pct"/>
          </w:tcPr>
          <w:p w14:paraId="0EB721B9" w14:textId="3C5C8930" w:rsidR="00283DBA" w:rsidRPr="00283DBA" w:rsidRDefault="002E218D" w:rsidP="00283DBA">
            <w:pPr>
              <w:pStyle w:val="TextoTablaIzquierda"/>
              <w:rPr>
                <w:rFonts w:ascii="Times New Roman" w:hAnsi="Times New Roman" w:cs="Times New Roman"/>
                <w:sz w:val="20"/>
                <w:szCs w:val="20"/>
                <w:lang w:val="es-419"/>
              </w:rPr>
            </w:pPr>
            <w:proofErr w:type="spellStart"/>
            <w:r>
              <w:rPr>
                <w:rFonts w:ascii="Times New Roman" w:hAnsi="Times New Roman" w:cs="Times New Roman"/>
                <w:sz w:val="20"/>
                <w:szCs w:val="20"/>
                <w:lang w:val="es-419"/>
              </w:rPr>
              <w:t>Nidea</w:t>
            </w:r>
            <w:proofErr w:type="spellEnd"/>
            <w:r>
              <w:rPr>
                <w:rFonts w:ascii="Times New Roman" w:hAnsi="Times New Roman" w:cs="Times New Roman"/>
                <w:sz w:val="20"/>
                <w:szCs w:val="20"/>
                <w:lang w:val="es-419"/>
              </w:rPr>
              <w:t xml:space="preserve"> Gómez, Alexander E Morales</w:t>
            </w:r>
          </w:p>
        </w:tc>
      </w:tr>
      <w:tr w:rsidR="00283DBA" w:rsidRPr="00B75190" w14:paraId="0E9410C6" w14:textId="22955ED2" w:rsidTr="00283DBA">
        <w:trPr>
          <w:trHeight w:val="56"/>
        </w:trPr>
        <w:tc>
          <w:tcPr>
            <w:tcW w:w="2500" w:type="pct"/>
          </w:tcPr>
          <w:p w14:paraId="76F0CA76" w14:textId="35C748D2"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UPEG/AEEFS/SESAL</w:t>
            </w:r>
          </w:p>
        </w:tc>
        <w:tc>
          <w:tcPr>
            <w:tcW w:w="2500" w:type="pct"/>
          </w:tcPr>
          <w:p w14:paraId="576362FF" w14:textId="79A0A6B4" w:rsidR="00283DBA" w:rsidRPr="00283DBA" w:rsidRDefault="002E218D" w:rsidP="00283DBA">
            <w:pPr>
              <w:pStyle w:val="TextoTablaIzquierda"/>
              <w:rPr>
                <w:rFonts w:ascii="Times New Roman" w:hAnsi="Times New Roman" w:cs="Times New Roman"/>
                <w:sz w:val="20"/>
                <w:szCs w:val="20"/>
                <w:lang w:val="es-419"/>
              </w:rPr>
            </w:pPr>
            <w:proofErr w:type="spellStart"/>
            <w:r>
              <w:rPr>
                <w:rFonts w:ascii="Times New Roman" w:hAnsi="Times New Roman" w:cs="Times New Roman"/>
                <w:sz w:val="20"/>
                <w:szCs w:val="20"/>
                <w:lang w:val="es-419"/>
              </w:rPr>
              <w:t>Breisy</w:t>
            </w:r>
            <w:proofErr w:type="spellEnd"/>
            <w:r>
              <w:rPr>
                <w:rFonts w:ascii="Times New Roman" w:hAnsi="Times New Roman" w:cs="Times New Roman"/>
                <w:sz w:val="20"/>
                <w:szCs w:val="20"/>
                <w:lang w:val="es-419"/>
              </w:rPr>
              <w:t xml:space="preserve"> Reyes Hernández</w:t>
            </w:r>
          </w:p>
        </w:tc>
      </w:tr>
      <w:tr w:rsidR="00283DBA" w:rsidRPr="00B75190" w14:paraId="77C22265" w14:textId="1AD9C022" w:rsidTr="00283DBA">
        <w:tc>
          <w:tcPr>
            <w:tcW w:w="2500" w:type="pct"/>
          </w:tcPr>
          <w:p w14:paraId="61543D57" w14:textId="2E064A15"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OPS/OMS</w:t>
            </w:r>
          </w:p>
        </w:tc>
        <w:tc>
          <w:tcPr>
            <w:tcW w:w="2500" w:type="pct"/>
          </w:tcPr>
          <w:p w14:paraId="2EAC969E" w14:textId="230D1DD7"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Piedad Huerta</w:t>
            </w:r>
          </w:p>
        </w:tc>
      </w:tr>
      <w:tr w:rsidR="00283DBA" w:rsidRPr="00DD320B" w14:paraId="5A05AE6B" w14:textId="2E1B0311" w:rsidTr="00283DBA">
        <w:tc>
          <w:tcPr>
            <w:tcW w:w="2500" w:type="pct"/>
          </w:tcPr>
          <w:p w14:paraId="6DAE7D31" w14:textId="3D57866E" w:rsidR="00283DBA" w:rsidRPr="00283DBA" w:rsidRDefault="002E218D" w:rsidP="00283DBA">
            <w:pPr>
              <w:pStyle w:val="TextoTablaIzquierda"/>
              <w:rPr>
                <w:rFonts w:ascii="Times New Roman" w:hAnsi="Times New Roman" w:cs="Times New Roman"/>
                <w:sz w:val="20"/>
                <w:szCs w:val="20"/>
                <w:lang w:val="es-419"/>
              </w:rPr>
            </w:pPr>
            <w:proofErr w:type="spellStart"/>
            <w:r>
              <w:rPr>
                <w:rFonts w:ascii="Times New Roman" w:hAnsi="Times New Roman" w:cs="Times New Roman"/>
                <w:sz w:val="20"/>
                <w:szCs w:val="20"/>
                <w:lang w:val="es-419"/>
              </w:rPr>
              <w:t>Ecosalud</w:t>
            </w:r>
            <w:proofErr w:type="spellEnd"/>
          </w:p>
        </w:tc>
        <w:tc>
          <w:tcPr>
            <w:tcW w:w="2500" w:type="pct"/>
          </w:tcPr>
          <w:p w14:paraId="5D516A95" w14:textId="3D77534C" w:rsidR="00283DBA" w:rsidRPr="00283DBA" w:rsidRDefault="002E218D" w:rsidP="00283DBA">
            <w:pPr>
              <w:pStyle w:val="TextoTablaIzquierda"/>
              <w:rPr>
                <w:rFonts w:ascii="Times New Roman" w:hAnsi="Times New Roman" w:cs="Times New Roman"/>
                <w:sz w:val="20"/>
                <w:szCs w:val="20"/>
                <w:lang w:val="es-419"/>
              </w:rPr>
            </w:pPr>
            <w:proofErr w:type="spellStart"/>
            <w:r>
              <w:rPr>
                <w:rFonts w:ascii="Times New Roman" w:hAnsi="Times New Roman" w:cs="Times New Roman"/>
                <w:sz w:val="20"/>
                <w:szCs w:val="20"/>
                <w:lang w:val="es-419"/>
              </w:rPr>
              <w:t>Nelida</w:t>
            </w:r>
            <w:proofErr w:type="spellEnd"/>
            <w:r>
              <w:rPr>
                <w:rFonts w:ascii="Times New Roman" w:hAnsi="Times New Roman" w:cs="Times New Roman"/>
                <w:sz w:val="20"/>
                <w:szCs w:val="20"/>
                <w:lang w:val="es-419"/>
              </w:rPr>
              <w:t xml:space="preserve"> Quevedo</w:t>
            </w:r>
          </w:p>
        </w:tc>
      </w:tr>
      <w:tr w:rsidR="00283DBA" w:rsidRPr="00D46356" w14:paraId="74621EA4" w14:textId="1772B3F1" w:rsidTr="00283DBA">
        <w:tc>
          <w:tcPr>
            <w:tcW w:w="2500" w:type="pct"/>
          </w:tcPr>
          <w:p w14:paraId="2701352F" w14:textId="2BA62D87"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CONADEH</w:t>
            </w:r>
          </w:p>
        </w:tc>
        <w:tc>
          <w:tcPr>
            <w:tcW w:w="2500" w:type="pct"/>
          </w:tcPr>
          <w:p w14:paraId="266DE7EA" w14:textId="2D4BFF74" w:rsidR="00283DBA" w:rsidRPr="00FF335F" w:rsidRDefault="002E218D" w:rsidP="00283DBA">
            <w:pPr>
              <w:pStyle w:val="TextoTablaIzquierda"/>
              <w:rPr>
                <w:rFonts w:ascii="Times New Roman" w:hAnsi="Times New Roman" w:cs="Times New Roman"/>
                <w:sz w:val="20"/>
                <w:szCs w:val="20"/>
                <w:lang w:val="pt-BR"/>
              </w:rPr>
            </w:pPr>
            <w:r w:rsidRPr="00FF335F">
              <w:rPr>
                <w:rFonts w:ascii="Times New Roman" w:hAnsi="Times New Roman" w:cs="Times New Roman"/>
                <w:sz w:val="20"/>
                <w:szCs w:val="20"/>
                <w:lang w:val="pt-BR"/>
              </w:rPr>
              <w:t>Reina M. Zolaya</w:t>
            </w:r>
            <w:r w:rsidR="005C2D67" w:rsidRPr="00FF335F">
              <w:rPr>
                <w:rFonts w:ascii="Times New Roman" w:hAnsi="Times New Roman" w:cs="Times New Roman"/>
                <w:sz w:val="20"/>
                <w:szCs w:val="20"/>
                <w:lang w:val="pt-BR"/>
              </w:rPr>
              <w:t>, Francia Maradiaga</w:t>
            </w:r>
          </w:p>
        </w:tc>
      </w:tr>
      <w:tr w:rsidR="00283DBA" w:rsidRPr="00B75190" w14:paraId="3FC9F448" w14:textId="6166BACC" w:rsidTr="00283DBA">
        <w:tc>
          <w:tcPr>
            <w:tcW w:w="2500" w:type="pct"/>
          </w:tcPr>
          <w:p w14:paraId="733E8039" w14:textId="017EE001"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DGN/SESAL</w:t>
            </w:r>
          </w:p>
        </w:tc>
        <w:tc>
          <w:tcPr>
            <w:tcW w:w="2500" w:type="pct"/>
          </w:tcPr>
          <w:p w14:paraId="3D190631" w14:textId="0903A229"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Elvia Ardón</w:t>
            </w:r>
          </w:p>
        </w:tc>
      </w:tr>
      <w:tr w:rsidR="00283DBA" w:rsidRPr="00B75190" w14:paraId="2F4E17B5" w14:textId="040F56BA" w:rsidTr="00283DBA">
        <w:tc>
          <w:tcPr>
            <w:tcW w:w="2500" w:type="pct"/>
          </w:tcPr>
          <w:p w14:paraId="41AD4573" w14:textId="6D09B02B"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UTGP/SESAL</w:t>
            </w:r>
          </w:p>
        </w:tc>
        <w:tc>
          <w:tcPr>
            <w:tcW w:w="2500" w:type="pct"/>
          </w:tcPr>
          <w:p w14:paraId="5B7ED7A3" w14:textId="136452D3" w:rsidR="00283DBA" w:rsidRPr="00283DBA" w:rsidRDefault="002E218D"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Luis Gálvez</w:t>
            </w:r>
          </w:p>
        </w:tc>
      </w:tr>
      <w:tr w:rsidR="002E218D" w:rsidRPr="00B75190" w14:paraId="31C2EF57" w14:textId="77777777" w:rsidTr="00283DBA">
        <w:tc>
          <w:tcPr>
            <w:tcW w:w="2500" w:type="pct"/>
          </w:tcPr>
          <w:p w14:paraId="616C16FB" w14:textId="10CE3009" w:rsidR="002E218D"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Fundación Llaves</w:t>
            </w:r>
          </w:p>
        </w:tc>
        <w:tc>
          <w:tcPr>
            <w:tcW w:w="2500" w:type="pct"/>
          </w:tcPr>
          <w:p w14:paraId="0ABA8D14" w14:textId="2427E954" w:rsidR="002E218D"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Rosa Gonzalez</w:t>
            </w:r>
          </w:p>
        </w:tc>
      </w:tr>
      <w:tr w:rsidR="002E218D" w:rsidRPr="00B75190" w14:paraId="383248F8" w14:textId="77777777" w:rsidTr="00283DBA">
        <w:tc>
          <w:tcPr>
            <w:tcW w:w="2500" w:type="pct"/>
          </w:tcPr>
          <w:p w14:paraId="3C4EBD6A" w14:textId="12828A8F" w:rsidR="002E218D"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Kukulcán</w:t>
            </w:r>
          </w:p>
        </w:tc>
        <w:tc>
          <w:tcPr>
            <w:tcW w:w="2500" w:type="pct"/>
          </w:tcPr>
          <w:p w14:paraId="33C56EA4" w14:textId="2EFE8631" w:rsidR="002E218D"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Dany Montecinos</w:t>
            </w:r>
          </w:p>
        </w:tc>
      </w:tr>
      <w:tr w:rsidR="002E218D" w:rsidRPr="00B75190" w14:paraId="4DBC5117" w14:textId="77777777" w:rsidTr="00283DBA">
        <w:tc>
          <w:tcPr>
            <w:tcW w:w="2500" w:type="pct"/>
          </w:tcPr>
          <w:p w14:paraId="35CB2D1D" w14:textId="4A8F7E75" w:rsidR="002E218D"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 xml:space="preserve">Laboratorio TB </w:t>
            </w:r>
          </w:p>
        </w:tc>
        <w:tc>
          <w:tcPr>
            <w:tcW w:w="2500" w:type="pct"/>
          </w:tcPr>
          <w:p w14:paraId="4E8E8CCC" w14:textId="6AF3C75F" w:rsidR="002E218D"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 xml:space="preserve">Nery </w:t>
            </w:r>
            <w:proofErr w:type="spellStart"/>
            <w:r>
              <w:rPr>
                <w:rFonts w:ascii="Times New Roman" w:hAnsi="Times New Roman" w:cs="Times New Roman"/>
                <w:sz w:val="20"/>
                <w:szCs w:val="20"/>
                <w:lang w:val="es-419"/>
              </w:rPr>
              <w:t>Almendaz</w:t>
            </w:r>
            <w:proofErr w:type="spellEnd"/>
          </w:p>
        </w:tc>
      </w:tr>
      <w:tr w:rsidR="002E218D" w:rsidRPr="00B75190" w14:paraId="3466E78E" w14:textId="77777777" w:rsidTr="00283DBA">
        <w:tc>
          <w:tcPr>
            <w:tcW w:w="2500" w:type="pct"/>
          </w:tcPr>
          <w:p w14:paraId="36B7B416" w14:textId="44839B98" w:rsidR="002E218D"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DGRISS/SESAL</w:t>
            </w:r>
          </w:p>
        </w:tc>
        <w:tc>
          <w:tcPr>
            <w:tcW w:w="2500" w:type="pct"/>
          </w:tcPr>
          <w:p w14:paraId="4084741A" w14:textId="797266B1" w:rsidR="002E218D"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Norma Leticia Artiles</w:t>
            </w:r>
          </w:p>
        </w:tc>
      </w:tr>
      <w:tr w:rsidR="002E218D" w:rsidRPr="00B75190" w14:paraId="6F7894E7" w14:textId="77777777" w:rsidTr="00283DBA">
        <w:tc>
          <w:tcPr>
            <w:tcW w:w="2500" w:type="pct"/>
          </w:tcPr>
          <w:p w14:paraId="3AE98FBC" w14:textId="1E38C2B6" w:rsidR="002E218D"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APUVIMEH</w:t>
            </w:r>
          </w:p>
        </w:tc>
        <w:tc>
          <w:tcPr>
            <w:tcW w:w="2500" w:type="pct"/>
          </w:tcPr>
          <w:p w14:paraId="2D3BF025" w14:textId="14C59A32" w:rsidR="002E218D"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 xml:space="preserve">José A. </w:t>
            </w:r>
            <w:proofErr w:type="spellStart"/>
            <w:r>
              <w:rPr>
                <w:rFonts w:ascii="Times New Roman" w:hAnsi="Times New Roman" w:cs="Times New Roman"/>
                <w:sz w:val="20"/>
                <w:szCs w:val="20"/>
                <w:lang w:val="es-419"/>
              </w:rPr>
              <w:t>Zarr</w:t>
            </w:r>
            <w:proofErr w:type="spellEnd"/>
          </w:p>
        </w:tc>
      </w:tr>
      <w:tr w:rsidR="002E218D" w:rsidRPr="00B75190" w14:paraId="64228B39" w14:textId="77777777" w:rsidTr="00283DBA">
        <w:tc>
          <w:tcPr>
            <w:tcW w:w="2500" w:type="pct"/>
          </w:tcPr>
          <w:p w14:paraId="1205B4F1" w14:textId="5F053D65" w:rsidR="002E218D"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DGRISS/SESAL</w:t>
            </w:r>
          </w:p>
        </w:tc>
        <w:tc>
          <w:tcPr>
            <w:tcW w:w="2500" w:type="pct"/>
          </w:tcPr>
          <w:p w14:paraId="7FFB3B65" w14:textId="5EC4D884" w:rsidR="002E218D"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Sandra C. Lorenzana</w:t>
            </w:r>
          </w:p>
        </w:tc>
      </w:tr>
      <w:tr w:rsidR="002E218D" w:rsidRPr="00B75190" w14:paraId="24DE7E05" w14:textId="77777777" w:rsidTr="00283DBA">
        <w:tc>
          <w:tcPr>
            <w:tcW w:w="2500" w:type="pct"/>
          </w:tcPr>
          <w:p w14:paraId="7F98EECE" w14:textId="2BF70ACE" w:rsidR="002E218D"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FOROSIDA</w:t>
            </w:r>
          </w:p>
        </w:tc>
        <w:tc>
          <w:tcPr>
            <w:tcW w:w="2500" w:type="pct"/>
          </w:tcPr>
          <w:p w14:paraId="290E4E4C" w14:textId="32C44682" w:rsidR="002E218D" w:rsidRDefault="005C2D67" w:rsidP="00283DBA">
            <w:pPr>
              <w:pStyle w:val="TextoTablaIzquierda"/>
              <w:rPr>
                <w:rFonts w:ascii="Times New Roman" w:hAnsi="Times New Roman" w:cs="Times New Roman"/>
                <w:sz w:val="20"/>
                <w:szCs w:val="20"/>
                <w:lang w:val="es-419"/>
              </w:rPr>
            </w:pPr>
            <w:proofErr w:type="spellStart"/>
            <w:r>
              <w:rPr>
                <w:rFonts w:ascii="Times New Roman" w:hAnsi="Times New Roman" w:cs="Times New Roman"/>
                <w:sz w:val="20"/>
                <w:szCs w:val="20"/>
                <w:lang w:val="es-419"/>
              </w:rPr>
              <w:t>Grosbin</w:t>
            </w:r>
            <w:proofErr w:type="spellEnd"/>
            <w:r>
              <w:rPr>
                <w:rFonts w:ascii="Times New Roman" w:hAnsi="Times New Roman" w:cs="Times New Roman"/>
                <w:sz w:val="20"/>
                <w:szCs w:val="20"/>
                <w:lang w:val="es-419"/>
              </w:rPr>
              <w:t xml:space="preserve"> J. Gómez</w:t>
            </w:r>
          </w:p>
        </w:tc>
      </w:tr>
      <w:tr w:rsidR="005C2D67" w:rsidRPr="00B75190" w14:paraId="52EE2846" w14:textId="77777777" w:rsidTr="00283DBA">
        <w:tc>
          <w:tcPr>
            <w:tcW w:w="2500" w:type="pct"/>
          </w:tcPr>
          <w:p w14:paraId="37548DF2" w14:textId="2A7DDFA7" w:rsidR="005C2D67"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Relacionadora</w:t>
            </w:r>
          </w:p>
        </w:tc>
        <w:tc>
          <w:tcPr>
            <w:tcW w:w="2500" w:type="pct"/>
          </w:tcPr>
          <w:p w14:paraId="41D63CFA" w14:textId="55538D53" w:rsidR="005C2D67"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Yesenia Herculano</w:t>
            </w:r>
          </w:p>
        </w:tc>
      </w:tr>
      <w:tr w:rsidR="005C2D67" w:rsidRPr="00B75190" w14:paraId="3AA11BF6" w14:textId="77777777" w:rsidTr="00283DBA">
        <w:tc>
          <w:tcPr>
            <w:tcW w:w="2500" w:type="pct"/>
          </w:tcPr>
          <w:p w14:paraId="05B76255" w14:textId="4C9FD184" w:rsidR="005C2D67"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CONASIDA</w:t>
            </w:r>
          </w:p>
        </w:tc>
        <w:tc>
          <w:tcPr>
            <w:tcW w:w="2500" w:type="pct"/>
          </w:tcPr>
          <w:p w14:paraId="674419DD" w14:textId="133A0FEF" w:rsidR="005C2D67" w:rsidRDefault="005C2D67"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 xml:space="preserve">Jorge </w:t>
            </w:r>
            <w:proofErr w:type="spellStart"/>
            <w:r w:rsidR="00131544">
              <w:rPr>
                <w:rFonts w:ascii="Times New Roman" w:hAnsi="Times New Roman" w:cs="Times New Roman"/>
                <w:sz w:val="20"/>
                <w:szCs w:val="20"/>
                <w:lang w:val="es-419"/>
              </w:rPr>
              <w:t>Fernandez</w:t>
            </w:r>
            <w:proofErr w:type="spellEnd"/>
            <w:r w:rsidR="00131544">
              <w:rPr>
                <w:rFonts w:ascii="Times New Roman" w:hAnsi="Times New Roman" w:cs="Times New Roman"/>
                <w:sz w:val="20"/>
                <w:szCs w:val="20"/>
                <w:lang w:val="es-419"/>
              </w:rPr>
              <w:t xml:space="preserve"> </w:t>
            </w:r>
          </w:p>
        </w:tc>
      </w:tr>
      <w:tr w:rsidR="005C2D67" w:rsidRPr="00B75190" w14:paraId="74F61AD8" w14:textId="77777777" w:rsidTr="00283DBA">
        <w:tc>
          <w:tcPr>
            <w:tcW w:w="2500" w:type="pct"/>
          </w:tcPr>
          <w:p w14:paraId="2BF98560" w14:textId="6F4E8A28" w:rsidR="005C2D67" w:rsidRDefault="00131544"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Cozumel Trans</w:t>
            </w:r>
          </w:p>
        </w:tc>
        <w:tc>
          <w:tcPr>
            <w:tcW w:w="2500" w:type="pct"/>
          </w:tcPr>
          <w:p w14:paraId="1E7E7909" w14:textId="32A70DD4" w:rsidR="005C2D67" w:rsidRDefault="00131544"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 xml:space="preserve">Abraham </w:t>
            </w:r>
            <w:proofErr w:type="spellStart"/>
            <w:r>
              <w:rPr>
                <w:rFonts w:ascii="Times New Roman" w:hAnsi="Times New Roman" w:cs="Times New Roman"/>
                <w:sz w:val="20"/>
                <w:szCs w:val="20"/>
                <w:lang w:val="es-419"/>
              </w:rPr>
              <w:t>Baneyas</w:t>
            </w:r>
            <w:proofErr w:type="spellEnd"/>
          </w:p>
        </w:tc>
      </w:tr>
      <w:tr w:rsidR="005C2D67" w:rsidRPr="00B75190" w14:paraId="3E53B4B1" w14:textId="77777777" w:rsidTr="00283DBA">
        <w:tc>
          <w:tcPr>
            <w:tcW w:w="2500" w:type="pct"/>
          </w:tcPr>
          <w:p w14:paraId="05A55022" w14:textId="167A9AE8" w:rsidR="005C2D67" w:rsidRDefault="00131544"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GCXCHF</w:t>
            </w:r>
          </w:p>
        </w:tc>
        <w:tc>
          <w:tcPr>
            <w:tcW w:w="2500" w:type="pct"/>
          </w:tcPr>
          <w:p w14:paraId="31FFD323" w14:textId="144E08DA" w:rsidR="005C2D67" w:rsidRDefault="00131544"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Mario L. Cooper</w:t>
            </w:r>
          </w:p>
        </w:tc>
      </w:tr>
      <w:tr w:rsidR="00131544" w:rsidRPr="00B75190" w14:paraId="73974212" w14:textId="77777777" w:rsidTr="00283DBA">
        <w:tc>
          <w:tcPr>
            <w:tcW w:w="2500" w:type="pct"/>
          </w:tcPr>
          <w:p w14:paraId="1D15AE9A" w14:textId="45F0DC59" w:rsidR="00131544" w:rsidRDefault="00131544"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Colecto Violeta</w:t>
            </w:r>
          </w:p>
        </w:tc>
        <w:tc>
          <w:tcPr>
            <w:tcW w:w="2500" w:type="pct"/>
          </w:tcPr>
          <w:p w14:paraId="63D8147F" w14:textId="350A175A" w:rsidR="00131544" w:rsidRDefault="00131544"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 xml:space="preserve">José </w:t>
            </w:r>
            <w:proofErr w:type="spellStart"/>
            <w:r>
              <w:rPr>
                <w:rFonts w:ascii="Times New Roman" w:hAnsi="Times New Roman" w:cs="Times New Roman"/>
                <w:sz w:val="20"/>
                <w:szCs w:val="20"/>
                <w:lang w:val="es-419"/>
              </w:rPr>
              <w:t>Ofilio</w:t>
            </w:r>
            <w:proofErr w:type="spellEnd"/>
            <w:r>
              <w:rPr>
                <w:rFonts w:ascii="Times New Roman" w:hAnsi="Times New Roman" w:cs="Times New Roman"/>
                <w:sz w:val="20"/>
                <w:szCs w:val="20"/>
                <w:lang w:val="es-419"/>
              </w:rPr>
              <w:t xml:space="preserve"> Torres</w:t>
            </w:r>
          </w:p>
        </w:tc>
      </w:tr>
      <w:tr w:rsidR="00131544" w:rsidRPr="00B75190" w14:paraId="3B320792" w14:textId="77777777" w:rsidTr="00283DBA">
        <w:tc>
          <w:tcPr>
            <w:tcW w:w="2500" w:type="pct"/>
          </w:tcPr>
          <w:p w14:paraId="07A6A565" w14:textId="2B258486" w:rsidR="00131544" w:rsidRDefault="00131544"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Asociación DDHH Cozumel</w:t>
            </w:r>
          </w:p>
        </w:tc>
        <w:tc>
          <w:tcPr>
            <w:tcW w:w="2500" w:type="pct"/>
          </w:tcPr>
          <w:p w14:paraId="1F23CB11" w14:textId="0E0903F3" w:rsidR="00131544" w:rsidRDefault="00131544"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Rihanna Ferrera</w:t>
            </w:r>
          </w:p>
        </w:tc>
      </w:tr>
      <w:tr w:rsidR="00131544" w:rsidRPr="00B75190" w14:paraId="05B2737B" w14:textId="77777777" w:rsidTr="00283DBA">
        <w:tc>
          <w:tcPr>
            <w:tcW w:w="2500" w:type="pct"/>
          </w:tcPr>
          <w:p w14:paraId="4D37F4FE" w14:textId="4FB56C8C" w:rsidR="00131544" w:rsidRDefault="00131544"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CUCR</w:t>
            </w:r>
          </w:p>
        </w:tc>
        <w:tc>
          <w:tcPr>
            <w:tcW w:w="2500" w:type="pct"/>
          </w:tcPr>
          <w:p w14:paraId="76BE82F2" w14:textId="1198EED2" w:rsidR="00131544" w:rsidRDefault="00131544"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Gabriela Redondo</w:t>
            </w:r>
          </w:p>
        </w:tc>
      </w:tr>
      <w:tr w:rsidR="00131544" w:rsidRPr="00B75190" w14:paraId="37C11015" w14:textId="77777777" w:rsidTr="00283DBA">
        <w:tc>
          <w:tcPr>
            <w:tcW w:w="2500" w:type="pct"/>
          </w:tcPr>
          <w:p w14:paraId="69CBC606" w14:textId="57D82106" w:rsidR="00131544" w:rsidRDefault="00131544"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Red Matos</w:t>
            </w:r>
          </w:p>
        </w:tc>
        <w:tc>
          <w:tcPr>
            <w:tcW w:w="2500" w:type="pct"/>
          </w:tcPr>
          <w:p w14:paraId="4978BB95" w14:textId="2ADAFA3B" w:rsidR="00131544" w:rsidRDefault="00131544"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Regina Barbona</w:t>
            </w:r>
          </w:p>
        </w:tc>
      </w:tr>
      <w:tr w:rsidR="00131544" w:rsidRPr="00B75190" w14:paraId="5044F2B1" w14:textId="77777777" w:rsidTr="00283DBA">
        <w:tc>
          <w:tcPr>
            <w:tcW w:w="2500" w:type="pct"/>
          </w:tcPr>
          <w:p w14:paraId="14B6A992" w14:textId="049D45C6" w:rsidR="00131544" w:rsidRDefault="00131544"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SESAL</w:t>
            </w:r>
          </w:p>
        </w:tc>
        <w:tc>
          <w:tcPr>
            <w:tcW w:w="2500" w:type="pct"/>
          </w:tcPr>
          <w:p w14:paraId="3E9409B3" w14:textId="7E0BB576" w:rsidR="00131544" w:rsidRDefault="00131544" w:rsidP="00283DBA">
            <w:pPr>
              <w:pStyle w:val="TextoTablaIzquierda"/>
              <w:rPr>
                <w:rFonts w:ascii="Times New Roman" w:hAnsi="Times New Roman" w:cs="Times New Roman"/>
                <w:sz w:val="20"/>
                <w:szCs w:val="20"/>
                <w:lang w:val="es-419"/>
              </w:rPr>
            </w:pPr>
            <w:r>
              <w:rPr>
                <w:rFonts w:ascii="Times New Roman" w:hAnsi="Times New Roman" w:cs="Times New Roman"/>
                <w:sz w:val="20"/>
                <w:szCs w:val="20"/>
                <w:lang w:val="es-419"/>
              </w:rPr>
              <w:t>Jairo Flores</w:t>
            </w:r>
          </w:p>
        </w:tc>
      </w:tr>
    </w:tbl>
    <w:p w14:paraId="606EF801" w14:textId="2D19D666" w:rsidR="00EA1BF3" w:rsidRDefault="00EA1BF3" w:rsidP="00F948D1">
      <w:pPr>
        <w:ind w:firstLine="0"/>
        <w:rPr>
          <w:lang w:val="es-419"/>
        </w:rPr>
      </w:pPr>
    </w:p>
    <w:p w14:paraId="6A1BA81D" w14:textId="4B5224D3" w:rsidR="00DA2F40" w:rsidRPr="00DA2F40" w:rsidRDefault="00EA1BF3" w:rsidP="00DA2F40">
      <w:pPr>
        <w:autoSpaceDN/>
        <w:spacing w:before="0"/>
        <w:ind w:firstLine="0"/>
        <w:textAlignment w:val="auto"/>
        <w:rPr>
          <w:rFonts w:ascii="Arial" w:eastAsia="Calibri" w:hAnsi="Arial" w:cs="Arial"/>
          <w:szCs w:val="22"/>
          <w:lang w:val="es-ES" w:eastAsia="en-US"/>
        </w:rPr>
      </w:pPr>
      <w:r>
        <w:rPr>
          <w:lang w:val="es-419"/>
        </w:rPr>
        <w:br w:type="page"/>
      </w:r>
    </w:p>
    <w:tbl>
      <w:tblPr>
        <w:tblStyle w:val="TableGrid1"/>
        <w:tblW w:w="0" w:type="auto"/>
        <w:tblLook w:val="04A0" w:firstRow="1" w:lastRow="0" w:firstColumn="1" w:lastColumn="0" w:noHBand="0" w:noVBand="1"/>
      </w:tblPr>
      <w:tblGrid>
        <w:gridCol w:w="3505"/>
        <w:gridCol w:w="5323"/>
      </w:tblGrid>
      <w:tr w:rsidR="00DA2F40" w:rsidRPr="00DA2F40" w14:paraId="142E5C64" w14:textId="77777777" w:rsidTr="00DA2F40">
        <w:tc>
          <w:tcPr>
            <w:tcW w:w="8828" w:type="dxa"/>
            <w:gridSpan w:val="2"/>
            <w:shd w:val="clear" w:color="auto" w:fill="0F243E"/>
          </w:tcPr>
          <w:p w14:paraId="420D52CD" w14:textId="37584DD9" w:rsidR="00DA2F40" w:rsidRPr="00DA2F40" w:rsidRDefault="00DA2F40" w:rsidP="00DA2F40">
            <w:pPr>
              <w:autoSpaceDN/>
              <w:spacing w:before="0"/>
              <w:ind w:firstLine="0"/>
              <w:textAlignment w:val="auto"/>
              <w:rPr>
                <w:rFonts w:eastAsia="Calibri"/>
                <w:b/>
                <w:szCs w:val="22"/>
                <w:lang w:val="es-ES" w:eastAsia="en-US"/>
              </w:rPr>
            </w:pPr>
            <w:r>
              <w:rPr>
                <w:rFonts w:eastAsia="Calibri"/>
                <w:b/>
                <w:szCs w:val="22"/>
                <w:lang w:val="es-ES" w:eastAsia="en-US"/>
              </w:rPr>
              <w:lastRenderedPageBreak/>
              <w:t>Participantes del t</w:t>
            </w:r>
            <w:r w:rsidRPr="00DA2F40">
              <w:rPr>
                <w:rFonts w:eastAsia="Calibri"/>
                <w:b/>
                <w:szCs w:val="22"/>
                <w:lang w:val="es-ES" w:eastAsia="en-US"/>
              </w:rPr>
              <w:t>aller</w:t>
            </w:r>
            <w:r>
              <w:rPr>
                <w:rFonts w:eastAsia="Calibri"/>
                <w:b/>
                <w:szCs w:val="22"/>
                <w:lang w:val="es-ES" w:eastAsia="en-US"/>
              </w:rPr>
              <w:t xml:space="preserve"> de</w:t>
            </w:r>
            <w:r w:rsidRPr="00DA2F40">
              <w:rPr>
                <w:rFonts w:eastAsia="Calibri"/>
                <w:b/>
                <w:szCs w:val="22"/>
                <w:lang w:val="es-ES" w:eastAsia="en-US"/>
              </w:rPr>
              <w:t xml:space="preserve"> OSC </w:t>
            </w:r>
            <w:r>
              <w:rPr>
                <w:rFonts w:eastAsia="Calibri"/>
                <w:b/>
                <w:szCs w:val="22"/>
                <w:lang w:val="es-ES" w:eastAsia="en-US"/>
              </w:rPr>
              <w:t xml:space="preserve">en </w:t>
            </w:r>
            <w:r w:rsidRPr="00DA2F40">
              <w:rPr>
                <w:rFonts w:eastAsia="Calibri"/>
                <w:b/>
                <w:szCs w:val="22"/>
                <w:lang w:val="es-ES" w:eastAsia="en-US"/>
              </w:rPr>
              <w:t>La Ceiba. 21 enero 2019</w:t>
            </w:r>
          </w:p>
        </w:tc>
      </w:tr>
      <w:tr w:rsidR="00DA2F40" w:rsidRPr="00DA2F40" w14:paraId="4C6FD95D" w14:textId="77777777" w:rsidTr="00DA2F40">
        <w:tc>
          <w:tcPr>
            <w:tcW w:w="3505" w:type="dxa"/>
            <w:shd w:val="clear" w:color="auto" w:fill="D9D9D9"/>
          </w:tcPr>
          <w:p w14:paraId="519B1A9B" w14:textId="77777777" w:rsidR="00DA2F40" w:rsidRPr="00DA2F40" w:rsidRDefault="00DA2F40" w:rsidP="00DA2F40">
            <w:pPr>
              <w:autoSpaceDN/>
              <w:spacing w:before="0"/>
              <w:ind w:firstLine="0"/>
              <w:textAlignment w:val="auto"/>
              <w:rPr>
                <w:rFonts w:eastAsia="Calibri"/>
                <w:b/>
                <w:szCs w:val="22"/>
                <w:lang w:val="es-ES" w:eastAsia="en-US"/>
              </w:rPr>
            </w:pPr>
            <w:r w:rsidRPr="00DA2F40">
              <w:rPr>
                <w:rFonts w:eastAsia="Calibri"/>
                <w:b/>
                <w:szCs w:val="22"/>
                <w:lang w:val="es-ES" w:eastAsia="en-US"/>
              </w:rPr>
              <w:t>Organización</w:t>
            </w:r>
          </w:p>
        </w:tc>
        <w:tc>
          <w:tcPr>
            <w:tcW w:w="5323" w:type="dxa"/>
            <w:shd w:val="clear" w:color="auto" w:fill="D9D9D9"/>
          </w:tcPr>
          <w:p w14:paraId="46588194" w14:textId="77777777" w:rsidR="00DA2F40" w:rsidRPr="00DA2F40" w:rsidRDefault="00DA2F40" w:rsidP="00DA2F40">
            <w:pPr>
              <w:autoSpaceDN/>
              <w:spacing w:before="0"/>
              <w:ind w:firstLine="0"/>
              <w:textAlignment w:val="auto"/>
              <w:rPr>
                <w:rFonts w:eastAsia="Calibri"/>
                <w:b/>
                <w:szCs w:val="22"/>
                <w:lang w:val="es-ES" w:eastAsia="en-US"/>
              </w:rPr>
            </w:pPr>
            <w:r w:rsidRPr="00DA2F40">
              <w:rPr>
                <w:rFonts w:eastAsia="Calibri"/>
                <w:b/>
                <w:szCs w:val="22"/>
                <w:lang w:val="es-ES" w:eastAsia="en-US"/>
              </w:rPr>
              <w:t>Población</w:t>
            </w:r>
          </w:p>
        </w:tc>
      </w:tr>
      <w:tr w:rsidR="00DA2F40" w:rsidRPr="00DA2F40" w14:paraId="7FFFCC49" w14:textId="77777777" w:rsidTr="00581747">
        <w:tc>
          <w:tcPr>
            <w:tcW w:w="3505" w:type="dxa"/>
          </w:tcPr>
          <w:p w14:paraId="79F2B360"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Asociación Nacional de Personas Viviendo con VIH/SIDA en Honduras (ASONAPVSIDAH)</w:t>
            </w:r>
          </w:p>
        </w:tc>
        <w:tc>
          <w:tcPr>
            <w:tcW w:w="5323" w:type="dxa"/>
          </w:tcPr>
          <w:p w14:paraId="6ED86DF9"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Personas viviendo con VIH</w:t>
            </w:r>
          </w:p>
        </w:tc>
      </w:tr>
      <w:tr w:rsidR="00DA2F40" w:rsidRPr="00DA2F40" w14:paraId="28724E2E" w14:textId="77777777" w:rsidTr="00581747">
        <w:tc>
          <w:tcPr>
            <w:tcW w:w="3505" w:type="dxa"/>
          </w:tcPr>
          <w:p w14:paraId="134CFCD7" w14:textId="77777777" w:rsidR="00DA2F40" w:rsidRPr="00DA2F40" w:rsidRDefault="00DA2F40" w:rsidP="00DA2F40">
            <w:pPr>
              <w:autoSpaceDN/>
              <w:spacing w:before="0"/>
              <w:ind w:firstLine="0"/>
              <w:textAlignment w:val="auto"/>
              <w:rPr>
                <w:rFonts w:eastAsia="Calibri"/>
                <w:szCs w:val="22"/>
                <w:shd w:val="clear" w:color="auto" w:fill="FFFFFF"/>
                <w:lang w:val="es-ES" w:eastAsia="en-US"/>
              </w:rPr>
            </w:pPr>
            <w:r w:rsidRPr="00DA2F40">
              <w:rPr>
                <w:rFonts w:eastAsia="Calibri"/>
                <w:szCs w:val="22"/>
                <w:shd w:val="clear" w:color="auto" w:fill="FFFFFF"/>
                <w:lang w:val="es-ES" w:eastAsia="en-US"/>
              </w:rPr>
              <w:t>La Organización de Desarrollo Étnico Comunitario (ODECO)</w:t>
            </w:r>
          </w:p>
        </w:tc>
        <w:tc>
          <w:tcPr>
            <w:tcW w:w="5323" w:type="dxa"/>
          </w:tcPr>
          <w:p w14:paraId="0B8C8260" w14:textId="77777777" w:rsidR="00DA2F40" w:rsidRPr="00DA2F40" w:rsidRDefault="00DA2F40" w:rsidP="00DA2F40">
            <w:pPr>
              <w:autoSpaceDN/>
              <w:spacing w:before="0"/>
              <w:ind w:firstLine="0"/>
              <w:textAlignment w:val="auto"/>
              <w:rPr>
                <w:rFonts w:eastAsia="Calibri"/>
                <w:szCs w:val="22"/>
                <w:shd w:val="clear" w:color="auto" w:fill="FFFFFF"/>
                <w:lang w:val="es-ES" w:eastAsia="en-US"/>
              </w:rPr>
            </w:pPr>
            <w:r w:rsidRPr="00DA2F40">
              <w:rPr>
                <w:rFonts w:eastAsia="Calibri"/>
                <w:szCs w:val="22"/>
                <w:shd w:val="clear" w:color="auto" w:fill="FFFFFF"/>
                <w:lang w:val="es-ES" w:eastAsia="en-US"/>
              </w:rPr>
              <w:t>Población garífuna</w:t>
            </w:r>
          </w:p>
        </w:tc>
      </w:tr>
      <w:tr w:rsidR="00DA2F40" w:rsidRPr="00DA2F40" w14:paraId="01B8077B" w14:textId="77777777" w:rsidTr="00581747">
        <w:tc>
          <w:tcPr>
            <w:tcW w:w="3505" w:type="dxa"/>
          </w:tcPr>
          <w:p w14:paraId="442E021E"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Proyecto Paz y Justicia</w:t>
            </w:r>
          </w:p>
        </w:tc>
        <w:tc>
          <w:tcPr>
            <w:tcW w:w="5323" w:type="dxa"/>
          </w:tcPr>
          <w:p w14:paraId="341416B6"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Huérfanos y vulnerable por VIH</w:t>
            </w:r>
          </w:p>
        </w:tc>
      </w:tr>
      <w:tr w:rsidR="00DA2F40" w:rsidRPr="00DA2F40" w14:paraId="05AE538E" w14:textId="77777777" w:rsidTr="00581747">
        <w:tc>
          <w:tcPr>
            <w:tcW w:w="3505" w:type="dxa"/>
          </w:tcPr>
          <w:p w14:paraId="0C03B87A" w14:textId="77777777" w:rsidR="00DA2F40" w:rsidRPr="00DA2F40" w:rsidRDefault="00DA2F40" w:rsidP="00DA2F40">
            <w:pPr>
              <w:autoSpaceDN/>
              <w:spacing w:before="0"/>
              <w:ind w:firstLine="0"/>
              <w:textAlignment w:val="auto"/>
              <w:rPr>
                <w:rFonts w:eastAsia="Calibri"/>
                <w:szCs w:val="22"/>
                <w:shd w:val="clear" w:color="auto" w:fill="FFFFFF"/>
                <w:lang w:val="es-ES" w:eastAsia="en-US"/>
              </w:rPr>
            </w:pPr>
            <w:r w:rsidRPr="00DA2F40">
              <w:rPr>
                <w:rFonts w:eastAsia="Calibri"/>
                <w:szCs w:val="22"/>
                <w:shd w:val="clear" w:color="auto" w:fill="FFFFFF"/>
                <w:lang w:val="es-ES" w:eastAsia="en-US"/>
              </w:rPr>
              <w:t>Red de Trabajadoras Sexuales de Latinoamérica y el Caribe (</w:t>
            </w:r>
            <w:proofErr w:type="spellStart"/>
            <w:r w:rsidRPr="00DA2F40">
              <w:rPr>
                <w:rFonts w:eastAsia="Calibri"/>
                <w:szCs w:val="22"/>
                <w:shd w:val="clear" w:color="auto" w:fill="FFFFFF"/>
                <w:lang w:val="es-ES" w:eastAsia="en-US"/>
              </w:rPr>
              <w:t>Redtrasex</w:t>
            </w:r>
            <w:proofErr w:type="spellEnd"/>
            <w:r w:rsidRPr="00DA2F40">
              <w:rPr>
                <w:rFonts w:eastAsia="Calibri"/>
                <w:szCs w:val="22"/>
                <w:shd w:val="clear" w:color="auto" w:fill="FFFFFF"/>
                <w:lang w:val="es-ES" w:eastAsia="en-US"/>
              </w:rPr>
              <w:t>)</w:t>
            </w:r>
          </w:p>
        </w:tc>
        <w:tc>
          <w:tcPr>
            <w:tcW w:w="5323" w:type="dxa"/>
          </w:tcPr>
          <w:p w14:paraId="05C8DC0B" w14:textId="77777777" w:rsidR="00DA2F40" w:rsidRPr="00DA2F40" w:rsidRDefault="00DA2F40" w:rsidP="00DA2F40">
            <w:pPr>
              <w:autoSpaceDN/>
              <w:spacing w:before="0"/>
              <w:ind w:firstLine="0"/>
              <w:textAlignment w:val="auto"/>
              <w:rPr>
                <w:rFonts w:eastAsia="Calibri"/>
                <w:szCs w:val="22"/>
                <w:shd w:val="clear" w:color="auto" w:fill="FFFFFF"/>
                <w:lang w:val="es-ES" w:eastAsia="en-US"/>
              </w:rPr>
            </w:pPr>
            <w:r w:rsidRPr="00DA2F40">
              <w:rPr>
                <w:rFonts w:eastAsia="Calibri"/>
                <w:szCs w:val="22"/>
                <w:shd w:val="clear" w:color="auto" w:fill="FFFFFF"/>
                <w:lang w:val="es-ES" w:eastAsia="en-US"/>
              </w:rPr>
              <w:t>Trabajadoras sexuales</w:t>
            </w:r>
          </w:p>
        </w:tc>
      </w:tr>
      <w:tr w:rsidR="00DA2F40" w:rsidRPr="00DA2F40" w14:paraId="23377B0F" w14:textId="77777777" w:rsidTr="00581747">
        <w:tc>
          <w:tcPr>
            <w:tcW w:w="3505" w:type="dxa"/>
          </w:tcPr>
          <w:p w14:paraId="0BC81056"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Mujeres en acción</w:t>
            </w:r>
          </w:p>
        </w:tc>
        <w:tc>
          <w:tcPr>
            <w:tcW w:w="5323" w:type="dxa"/>
          </w:tcPr>
          <w:p w14:paraId="15276417"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Mujeres en vulnerabilidad</w:t>
            </w:r>
          </w:p>
        </w:tc>
      </w:tr>
      <w:tr w:rsidR="00DA2F40" w:rsidRPr="00DA2F40" w14:paraId="77CA7350" w14:textId="77777777" w:rsidTr="00581747">
        <w:tc>
          <w:tcPr>
            <w:tcW w:w="3505" w:type="dxa"/>
          </w:tcPr>
          <w:p w14:paraId="2278C3F2"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Unidad de Desarrollo Integral de la Mujer y la Familia (UDIMUF)</w:t>
            </w:r>
          </w:p>
        </w:tc>
        <w:tc>
          <w:tcPr>
            <w:tcW w:w="5323" w:type="dxa"/>
          </w:tcPr>
          <w:p w14:paraId="0E01D80F"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Niñas y adolescentes</w:t>
            </w:r>
          </w:p>
        </w:tc>
      </w:tr>
      <w:tr w:rsidR="00DA2F40" w:rsidRPr="00DA2F40" w14:paraId="7F6A50AD" w14:textId="77777777" w:rsidTr="00581747">
        <w:tc>
          <w:tcPr>
            <w:tcW w:w="3505" w:type="dxa"/>
          </w:tcPr>
          <w:p w14:paraId="2CB6C949"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Rompiendo cadenas</w:t>
            </w:r>
          </w:p>
        </w:tc>
        <w:tc>
          <w:tcPr>
            <w:tcW w:w="5323" w:type="dxa"/>
          </w:tcPr>
          <w:p w14:paraId="7B54CDDB"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Personas viviendo con VIH</w:t>
            </w:r>
          </w:p>
        </w:tc>
      </w:tr>
      <w:tr w:rsidR="00DA2F40" w:rsidRPr="00DA2F40" w14:paraId="017E7D15" w14:textId="77777777" w:rsidTr="00581747">
        <w:tc>
          <w:tcPr>
            <w:tcW w:w="3505" w:type="dxa"/>
          </w:tcPr>
          <w:p w14:paraId="2CA60272" w14:textId="77777777" w:rsidR="00DA2F40" w:rsidRPr="00DA2F40" w:rsidRDefault="00DA2F40" w:rsidP="00DA2F40">
            <w:pPr>
              <w:autoSpaceDN/>
              <w:spacing w:before="0"/>
              <w:ind w:firstLine="0"/>
              <w:textAlignment w:val="auto"/>
              <w:rPr>
                <w:rFonts w:eastAsia="Calibri"/>
                <w:szCs w:val="22"/>
                <w:shd w:val="clear" w:color="auto" w:fill="FFFFFF"/>
                <w:lang w:val="es-ES" w:eastAsia="en-US"/>
              </w:rPr>
            </w:pPr>
            <w:r w:rsidRPr="00DA2F40">
              <w:rPr>
                <w:rFonts w:eastAsia="Calibri"/>
                <w:szCs w:val="22"/>
                <w:shd w:val="clear" w:color="auto" w:fill="FFFFFF"/>
                <w:lang w:val="es-ES" w:eastAsia="en-US"/>
              </w:rPr>
              <w:t>Centro de Promoción en Salud y Asistencia Familiar (CEPROSAF)</w:t>
            </w:r>
          </w:p>
        </w:tc>
        <w:tc>
          <w:tcPr>
            <w:tcW w:w="5323" w:type="dxa"/>
          </w:tcPr>
          <w:p w14:paraId="77B8A428" w14:textId="77777777" w:rsidR="00DA2F40" w:rsidRPr="00DA2F40" w:rsidRDefault="00DA2F40" w:rsidP="00DA2F40">
            <w:pPr>
              <w:autoSpaceDN/>
              <w:spacing w:before="0"/>
              <w:ind w:firstLine="0"/>
              <w:textAlignment w:val="auto"/>
              <w:rPr>
                <w:rFonts w:eastAsia="Calibri"/>
                <w:szCs w:val="22"/>
                <w:shd w:val="clear" w:color="auto" w:fill="FFFFFF"/>
                <w:lang w:val="es-ES" w:eastAsia="en-US"/>
              </w:rPr>
            </w:pPr>
            <w:r w:rsidRPr="00DA2F40">
              <w:rPr>
                <w:rFonts w:eastAsia="Calibri"/>
                <w:szCs w:val="22"/>
                <w:shd w:val="clear" w:color="auto" w:fill="FFFFFF"/>
                <w:lang w:val="es-ES" w:eastAsia="en-US"/>
              </w:rPr>
              <w:t>Trabajadores sexuales, HSH, Trans, población garífuna</w:t>
            </w:r>
          </w:p>
        </w:tc>
      </w:tr>
      <w:tr w:rsidR="00DA2F40" w:rsidRPr="00DA2F40" w14:paraId="24A34DFF" w14:textId="77777777" w:rsidTr="00581747">
        <w:tc>
          <w:tcPr>
            <w:tcW w:w="3505" w:type="dxa"/>
          </w:tcPr>
          <w:p w14:paraId="6C914D7E"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Humanos en acción (HUMAC)</w:t>
            </w:r>
          </w:p>
        </w:tc>
        <w:tc>
          <w:tcPr>
            <w:tcW w:w="5323" w:type="dxa"/>
          </w:tcPr>
          <w:p w14:paraId="1D56C3D4"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Población LGBT, mujeres trabajadoras sexuales, etnias, población privada de libertad y jóvenes </w:t>
            </w:r>
          </w:p>
        </w:tc>
      </w:tr>
      <w:tr w:rsidR="00DA2F40" w:rsidRPr="00DA2F40" w14:paraId="4E5BF501" w14:textId="77777777" w:rsidTr="00581747">
        <w:tc>
          <w:tcPr>
            <w:tcW w:w="3505" w:type="dxa"/>
          </w:tcPr>
          <w:p w14:paraId="27F3E909" w14:textId="77777777" w:rsidR="00DA2F40" w:rsidRPr="00DA2F40" w:rsidRDefault="00DA2F40" w:rsidP="00DA2F40">
            <w:pPr>
              <w:autoSpaceDN/>
              <w:spacing w:before="0"/>
              <w:ind w:firstLine="0"/>
              <w:textAlignment w:val="auto"/>
              <w:rPr>
                <w:rFonts w:eastAsia="Calibri"/>
                <w:szCs w:val="22"/>
                <w:shd w:val="clear" w:color="auto" w:fill="FFFFFF"/>
                <w:lang w:val="pt-BR" w:eastAsia="en-US"/>
              </w:rPr>
            </w:pPr>
            <w:r w:rsidRPr="00DA2F40">
              <w:rPr>
                <w:rFonts w:eastAsia="Calibri"/>
                <w:szCs w:val="22"/>
                <w:shd w:val="clear" w:color="auto" w:fill="FFFFFF"/>
                <w:lang w:val="pt-BR" w:eastAsia="en-US"/>
              </w:rPr>
              <w:t>Foro Nacional de Sida (FOROSIDA)</w:t>
            </w:r>
          </w:p>
        </w:tc>
        <w:tc>
          <w:tcPr>
            <w:tcW w:w="5323" w:type="dxa"/>
          </w:tcPr>
          <w:p w14:paraId="533FB6FD" w14:textId="77777777" w:rsidR="00DA2F40" w:rsidRPr="00DA2F40" w:rsidRDefault="00DA2F40" w:rsidP="00DA2F40">
            <w:pPr>
              <w:autoSpaceDN/>
              <w:spacing w:before="0"/>
              <w:ind w:firstLine="0"/>
              <w:textAlignment w:val="auto"/>
              <w:rPr>
                <w:rFonts w:eastAsia="Calibri"/>
                <w:szCs w:val="22"/>
                <w:shd w:val="clear" w:color="auto" w:fill="FFFFFF"/>
                <w:lang w:val="pt-BR" w:eastAsia="en-US"/>
              </w:rPr>
            </w:pPr>
            <w:r w:rsidRPr="00DA2F40">
              <w:rPr>
                <w:rFonts w:eastAsia="Calibri"/>
                <w:szCs w:val="22"/>
                <w:shd w:val="clear" w:color="auto" w:fill="FFFFFF"/>
                <w:lang w:val="pt-BR" w:eastAsia="en-US"/>
              </w:rPr>
              <w:t>PVVIH y población vulnerable</w:t>
            </w:r>
          </w:p>
        </w:tc>
      </w:tr>
      <w:tr w:rsidR="00DA2F40" w:rsidRPr="00DA2F40" w14:paraId="07332877" w14:textId="77777777" w:rsidTr="00581747">
        <w:tc>
          <w:tcPr>
            <w:tcW w:w="3505" w:type="dxa"/>
          </w:tcPr>
          <w:p w14:paraId="38D31330" w14:textId="77777777" w:rsidR="00DA2F40" w:rsidRPr="00DA2F40" w:rsidRDefault="00DA2F40" w:rsidP="00DA2F40">
            <w:pPr>
              <w:autoSpaceDN/>
              <w:spacing w:before="0"/>
              <w:ind w:firstLine="0"/>
              <w:textAlignment w:val="auto"/>
              <w:rPr>
                <w:rFonts w:eastAsia="Calibri"/>
                <w:szCs w:val="22"/>
                <w:lang w:val="es-ES" w:eastAsia="en-US"/>
              </w:rPr>
            </w:pPr>
            <w:proofErr w:type="spellStart"/>
            <w:r w:rsidRPr="00DA2F40">
              <w:rPr>
                <w:rFonts w:eastAsia="Calibri"/>
                <w:szCs w:val="22"/>
                <w:lang w:val="es-ES" w:eastAsia="en-US"/>
              </w:rPr>
              <w:t>EcoSalud</w:t>
            </w:r>
            <w:proofErr w:type="spellEnd"/>
          </w:p>
        </w:tc>
        <w:tc>
          <w:tcPr>
            <w:tcW w:w="5323" w:type="dxa"/>
          </w:tcPr>
          <w:p w14:paraId="1493DA87"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Población garífuna</w:t>
            </w:r>
          </w:p>
        </w:tc>
      </w:tr>
    </w:tbl>
    <w:p w14:paraId="50A41247" w14:textId="1993365E" w:rsidR="00DA2F40" w:rsidRDefault="00DA2F40" w:rsidP="00DA2F40">
      <w:pPr>
        <w:autoSpaceDN/>
        <w:spacing w:before="0"/>
        <w:ind w:firstLine="0"/>
        <w:textAlignment w:val="auto"/>
        <w:rPr>
          <w:rFonts w:eastAsia="Calibri"/>
          <w:szCs w:val="22"/>
          <w:lang w:val="es-ES" w:eastAsia="en-US"/>
        </w:rPr>
      </w:pPr>
    </w:p>
    <w:p w14:paraId="3F9975F0" w14:textId="77777777" w:rsidR="00DA2F40" w:rsidRPr="00DA2F40" w:rsidRDefault="00DA2F40" w:rsidP="00DA2F40">
      <w:pPr>
        <w:autoSpaceDN/>
        <w:spacing w:before="0"/>
        <w:ind w:firstLine="0"/>
        <w:textAlignment w:val="auto"/>
        <w:rPr>
          <w:rFonts w:eastAsia="Calibri"/>
          <w:szCs w:val="22"/>
          <w:lang w:val="es-ES" w:eastAsia="en-US"/>
        </w:rPr>
      </w:pPr>
    </w:p>
    <w:tbl>
      <w:tblPr>
        <w:tblStyle w:val="TableGrid1"/>
        <w:tblW w:w="0" w:type="auto"/>
        <w:tblLook w:val="04A0" w:firstRow="1" w:lastRow="0" w:firstColumn="1" w:lastColumn="0" w:noHBand="0" w:noVBand="1"/>
      </w:tblPr>
      <w:tblGrid>
        <w:gridCol w:w="3505"/>
        <w:gridCol w:w="5323"/>
      </w:tblGrid>
      <w:tr w:rsidR="00DA2F40" w:rsidRPr="00DA2F40" w14:paraId="52CCFBB1" w14:textId="77777777" w:rsidTr="00DA2F40">
        <w:tc>
          <w:tcPr>
            <w:tcW w:w="8828" w:type="dxa"/>
            <w:gridSpan w:val="2"/>
            <w:shd w:val="clear" w:color="auto" w:fill="0F243E"/>
          </w:tcPr>
          <w:p w14:paraId="415E1EB6" w14:textId="148A6D3C" w:rsidR="00DA2F40" w:rsidRPr="00DA2F40" w:rsidRDefault="00DA2F40" w:rsidP="00DA2F40">
            <w:pPr>
              <w:autoSpaceDN/>
              <w:spacing w:before="0"/>
              <w:ind w:firstLine="0"/>
              <w:textAlignment w:val="auto"/>
              <w:rPr>
                <w:rFonts w:eastAsia="Calibri"/>
                <w:b/>
                <w:szCs w:val="22"/>
                <w:lang w:val="es-ES" w:eastAsia="en-US"/>
              </w:rPr>
            </w:pPr>
            <w:r>
              <w:rPr>
                <w:rFonts w:eastAsia="Calibri"/>
                <w:b/>
                <w:szCs w:val="22"/>
                <w:lang w:val="es-ES" w:eastAsia="en-US"/>
              </w:rPr>
              <w:t>Participantes del t</w:t>
            </w:r>
            <w:r w:rsidRPr="00DA2F40">
              <w:rPr>
                <w:rFonts w:eastAsia="Calibri"/>
                <w:b/>
                <w:szCs w:val="22"/>
                <w:lang w:val="es-ES" w:eastAsia="en-US"/>
              </w:rPr>
              <w:t xml:space="preserve">aller </w:t>
            </w:r>
            <w:r>
              <w:rPr>
                <w:rFonts w:eastAsia="Calibri"/>
                <w:b/>
                <w:szCs w:val="22"/>
                <w:lang w:val="es-ES" w:eastAsia="en-US"/>
              </w:rPr>
              <w:t xml:space="preserve">de </w:t>
            </w:r>
            <w:r w:rsidRPr="00DA2F40">
              <w:rPr>
                <w:rFonts w:eastAsia="Calibri"/>
                <w:b/>
                <w:szCs w:val="22"/>
                <w:lang w:val="es-ES" w:eastAsia="en-US"/>
              </w:rPr>
              <w:t xml:space="preserve">OSC </w:t>
            </w:r>
            <w:r>
              <w:rPr>
                <w:rFonts w:eastAsia="Calibri"/>
                <w:b/>
                <w:szCs w:val="22"/>
                <w:lang w:val="es-ES" w:eastAsia="en-US"/>
              </w:rPr>
              <w:t xml:space="preserve">en </w:t>
            </w:r>
            <w:r w:rsidRPr="00DA2F40">
              <w:rPr>
                <w:rFonts w:eastAsia="Calibri"/>
                <w:b/>
                <w:szCs w:val="22"/>
                <w:lang w:val="es-ES" w:eastAsia="en-US"/>
              </w:rPr>
              <w:t>San Pedro Sula. 22 enero 2019</w:t>
            </w:r>
          </w:p>
        </w:tc>
      </w:tr>
      <w:tr w:rsidR="00DA2F40" w:rsidRPr="00DA2F40" w14:paraId="41EDD59B" w14:textId="77777777" w:rsidTr="00DA2F40">
        <w:tc>
          <w:tcPr>
            <w:tcW w:w="3505" w:type="dxa"/>
            <w:shd w:val="clear" w:color="auto" w:fill="D9D9D9"/>
          </w:tcPr>
          <w:p w14:paraId="1CE08B65" w14:textId="77777777" w:rsidR="00DA2F40" w:rsidRPr="00DA2F40" w:rsidRDefault="00DA2F40" w:rsidP="00DA2F40">
            <w:pPr>
              <w:autoSpaceDN/>
              <w:spacing w:before="0"/>
              <w:ind w:firstLine="0"/>
              <w:textAlignment w:val="auto"/>
              <w:rPr>
                <w:rFonts w:eastAsia="Calibri"/>
                <w:b/>
                <w:szCs w:val="22"/>
                <w:lang w:val="es-ES" w:eastAsia="en-US"/>
              </w:rPr>
            </w:pPr>
            <w:r w:rsidRPr="00DA2F40">
              <w:rPr>
                <w:rFonts w:eastAsia="Calibri"/>
                <w:b/>
                <w:szCs w:val="22"/>
                <w:lang w:val="es-ES" w:eastAsia="en-US"/>
              </w:rPr>
              <w:t>Organización</w:t>
            </w:r>
          </w:p>
        </w:tc>
        <w:tc>
          <w:tcPr>
            <w:tcW w:w="5323" w:type="dxa"/>
            <w:shd w:val="clear" w:color="auto" w:fill="D9D9D9"/>
          </w:tcPr>
          <w:p w14:paraId="6D507037" w14:textId="77777777" w:rsidR="00DA2F40" w:rsidRPr="00DA2F40" w:rsidRDefault="00DA2F40" w:rsidP="00DA2F40">
            <w:pPr>
              <w:autoSpaceDN/>
              <w:spacing w:before="0"/>
              <w:ind w:firstLine="0"/>
              <w:textAlignment w:val="auto"/>
              <w:rPr>
                <w:rFonts w:eastAsia="Calibri"/>
                <w:b/>
                <w:szCs w:val="22"/>
                <w:lang w:val="es-ES" w:eastAsia="en-US"/>
              </w:rPr>
            </w:pPr>
            <w:r w:rsidRPr="00DA2F40">
              <w:rPr>
                <w:rFonts w:eastAsia="Calibri"/>
                <w:b/>
                <w:szCs w:val="22"/>
                <w:lang w:val="es-ES" w:eastAsia="en-US"/>
              </w:rPr>
              <w:t>Población</w:t>
            </w:r>
          </w:p>
        </w:tc>
      </w:tr>
      <w:tr w:rsidR="00DA2F40" w:rsidRPr="00DA2F40" w14:paraId="3B2441E7" w14:textId="77777777" w:rsidTr="00581747">
        <w:tc>
          <w:tcPr>
            <w:tcW w:w="3505" w:type="dxa"/>
          </w:tcPr>
          <w:p w14:paraId="5C287D3D" w14:textId="77777777" w:rsidR="00DA2F40" w:rsidRPr="00DA2F40" w:rsidRDefault="00DA2F40" w:rsidP="00DA2F40">
            <w:pPr>
              <w:autoSpaceDN/>
              <w:spacing w:before="0"/>
              <w:ind w:firstLine="0"/>
              <w:jc w:val="left"/>
              <w:textAlignment w:val="auto"/>
              <w:rPr>
                <w:rFonts w:eastAsia="Calibri"/>
                <w:szCs w:val="22"/>
                <w:lang w:val="es-ES" w:eastAsia="en-US"/>
              </w:rPr>
            </w:pPr>
            <w:r w:rsidRPr="00DA2F40">
              <w:rPr>
                <w:rFonts w:eastAsia="Calibri"/>
                <w:szCs w:val="22"/>
                <w:lang w:val="es-ES" w:eastAsia="en-US"/>
              </w:rPr>
              <w:t>Programa puerta abierta</w:t>
            </w:r>
          </w:p>
        </w:tc>
        <w:tc>
          <w:tcPr>
            <w:tcW w:w="5323" w:type="dxa"/>
          </w:tcPr>
          <w:p w14:paraId="18597683" w14:textId="77777777" w:rsidR="00DA2F40" w:rsidRPr="00DA2F40" w:rsidRDefault="00DA2F40" w:rsidP="00DA2F40">
            <w:pPr>
              <w:autoSpaceDN/>
              <w:spacing w:before="0"/>
              <w:ind w:firstLine="0"/>
              <w:jc w:val="left"/>
              <w:textAlignment w:val="auto"/>
              <w:rPr>
                <w:rFonts w:eastAsia="Calibri"/>
                <w:szCs w:val="22"/>
                <w:lang w:val="es-ES" w:eastAsia="en-US"/>
              </w:rPr>
            </w:pPr>
            <w:r w:rsidRPr="00DA2F40">
              <w:rPr>
                <w:rFonts w:eastAsia="Calibri"/>
                <w:szCs w:val="22"/>
                <w:lang w:val="es-ES" w:eastAsia="en-US"/>
              </w:rPr>
              <w:t>Personas viviendo con VIH</w:t>
            </w:r>
          </w:p>
        </w:tc>
      </w:tr>
      <w:tr w:rsidR="00DA2F40" w:rsidRPr="00DA2F40" w14:paraId="35D08B28" w14:textId="77777777" w:rsidTr="00581747">
        <w:tc>
          <w:tcPr>
            <w:tcW w:w="3505" w:type="dxa"/>
          </w:tcPr>
          <w:p w14:paraId="79010B3D" w14:textId="77777777" w:rsidR="00DA2F40" w:rsidRPr="00DA2F40" w:rsidRDefault="00DA2F40" w:rsidP="00DA2F40">
            <w:pPr>
              <w:autoSpaceDN/>
              <w:spacing w:before="0"/>
              <w:ind w:firstLine="0"/>
              <w:jc w:val="left"/>
              <w:textAlignment w:val="auto"/>
              <w:rPr>
                <w:rFonts w:eastAsia="Calibri"/>
                <w:szCs w:val="22"/>
                <w:lang w:val="es-ES" w:eastAsia="en-US"/>
              </w:rPr>
            </w:pPr>
            <w:r w:rsidRPr="00DA2F40">
              <w:rPr>
                <w:rFonts w:eastAsia="Calibri"/>
                <w:szCs w:val="22"/>
                <w:lang w:val="es-ES" w:eastAsia="en-US"/>
              </w:rPr>
              <w:t>Liga de la Lactancia Materna</w:t>
            </w:r>
          </w:p>
        </w:tc>
        <w:tc>
          <w:tcPr>
            <w:tcW w:w="5323" w:type="dxa"/>
          </w:tcPr>
          <w:p w14:paraId="38191893" w14:textId="7D4E3E18" w:rsidR="00DA2F40" w:rsidRPr="00DA2F40" w:rsidRDefault="00DA2F40" w:rsidP="00DA2F40">
            <w:pPr>
              <w:autoSpaceDN/>
              <w:spacing w:before="0"/>
              <w:ind w:firstLine="0"/>
              <w:jc w:val="left"/>
              <w:textAlignment w:val="auto"/>
              <w:rPr>
                <w:rFonts w:eastAsia="Calibri"/>
                <w:szCs w:val="22"/>
                <w:lang w:val="es-ES" w:eastAsia="en-US"/>
              </w:rPr>
            </w:pPr>
            <w:r w:rsidRPr="00DA2F40">
              <w:rPr>
                <w:rFonts w:eastAsia="Calibri"/>
                <w:szCs w:val="22"/>
                <w:lang w:val="es-ES" w:eastAsia="en-US"/>
              </w:rPr>
              <w:t>HSH, personas privada</w:t>
            </w:r>
            <w:r>
              <w:rPr>
                <w:rFonts w:eastAsia="Calibri"/>
                <w:szCs w:val="22"/>
                <w:lang w:val="es-ES" w:eastAsia="en-US"/>
              </w:rPr>
              <w:t>s</w:t>
            </w:r>
            <w:r w:rsidRPr="00DA2F40">
              <w:rPr>
                <w:rFonts w:eastAsia="Calibri"/>
                <w:szCs w:val="22"/>
                <w:lang w:val="es-ES" w:eastAsia="en-US"/>
              </w:rPr>
              <w:t xml:space="preserve"> de libertad</w:t>
            </w:r>
          </w:p>
        </w:tc>
      </w:tr>
      <w:tr w:rsidR="00DA2F40" w:rsidRPr="00DA2F40" w14:paraId="2507C3B1" w14:textId="77777777" w:rsidTr="00581747">
        <w:tc>
          <w:tcPr>
            <w:tcW w:w="3505" w:type="dxa"/>
          </w:tcPr>
          <w:p w14:paraId="1C774983" w14:textId="77777777" w:rsidR="00DA2F40" w:rsidRPr="00DA2F40" w:rsidRDefault="00DA2F40" w:rsidP="00DA2F40">
            <w:pPr>
              <w:autoSpaceDN/>
              <w:spacing w:before="0"/>
              <w:ind w:firstLine="0"/>
              <w:jc w:val="left"/>
              <w:textAlignment w:val="auto"/>
              <w:rPr>
                <w:rFonts w:eastAsia="Calibri"/>
                <w:szCs w:val="22"/>
                <w:lang w:val="es-ES" w:eastAsia="en-US"/>
              </w:rPr>
            </w:pPr>
            <w:r w:rsidRPr="00DA2F40">
              <w:rPr>
                <w:rFonts w:eastAsia="Calibri"/>
                <w:szCs w:val="22"/>
                <w:lang w:val="es-ES" w:eastAsia="en-US"/>
              </w:rPr>
              <w:t>Colectivo Unidad Color Rosa</w:t>
            </w:r>
          </w:p>
        </w:tc>
        <w:tc>
          <w:tcPr>
            <w:tcW w:w="5323" w:type="dxa"/>
          </w:tcPr>
          <w:p w14:paraId="274BE11C" w14:textId="77777777" w:rsidR="00DA2F40" w:rsidRPr="00DA2F40" w:rsidRDefault="00DA2F40" w:rsidP="00DA2F40">
            <w:pPr>
              <w:autoSpaceDN/>
              <w:spacing w:before="0"/>
              <w:ind w:firstLine="0"/>
              <w:jc w:val="left"/>
              <w:textAlignment w:val="auto"/>
              <w:rPr>
                <w:rFonts w:eastAsia="Calibri"/>
                <w:szCs w:val="22"/>
                <w:lang w:val="es-ES" w:eastAsia="en-US"/>
              </w:rPr>
            </w:pPr>
            <w:r w:rsidRPr="00DA2F40">
              <w:rPr>
                <w:rFonts w:eastAsia="Calibri"/>
                <w:szCs w:val="22"/>
                <w:lang w:val="es-ES" w:eastAsia="en-US"/>
              </w:rPr>
              <w:t>Población LGBT</w:t>
            </w:r>
          </w:p>
        </w:tc>
      </w:tr>
      <w:tr w:rsidR="00DA2F40" w:rsidRPr="00DA2F40" w14:paraId="0BAD4244" w14:textId="77777777" w:rsidTr="00581747">
        <w:tc>
          <w:tcPr>
            <w:tcW w:w="3505" w:type="dxa"/>
          </w:tcPr>
          <w:p w14:paraId="35EB32F2" w14:textId="77777777" w:rsidR="00DA2F40" w:rsidRPr="00DA2F40" w:rsidRDefault="00DA2F40" w:rsidP="00DA2F40">
            <w:pPr>
              <w:autoSpaceDN/>
              <w:spacing w:before="0"/>
              <w:ind w:firstLine="0"/>
              <w:jc w:val="left"/>
              <w:textAlignment w:val="auto"/>
              <w:rPr>
                <w:rFonts w:eastAsia="Calibri"/>
                <w:szCs w:val="22"/>
                <w:lang w:val="es-ES" w:eastAsia="en-US"/>
              </w:rPr>
            </w:pPr>
            <w:r w:rsidRPr="00DA2F40">
              <w:rPr>
                <w:rFonts w:eastAsia="Calibri"/>
                <w:szCs w:val="22"/>
                <w:lang w:val="es-ES" w:eastAsia="en-US"/>
              </w:rPr>
              <w:t>GAAT</w:t>
            </w:r>
          </w:p>
        </w:tc>
        <w:tc>
          <w:tcPr>
            <w:tcW w:w="5323" w:type="dxa"/>
          </w:tcPr>
          <w:p w14:paraId="1B0E38FF" w14:textId="77777777" w:rsidR="00DA2F40" w:rsidRPr="00DA2F40" w:rsidRDefault="00DA2F40" w:rsidP="00DA2F40">
            <w:pPr>
              <w:autoSpaceDN/>
              <w:spacing w:before="0"/>
              <w:ind w:firstLine="0"/>
              <w:jc w:val="left"/>
              <w:textAlignment w:val="auto"/>
              <w:rPr>
                <w:rFonts w:eastAsia="Calibri"/>
                <w:szCs w:val="22"/>
                <w:lang w:val="es-ES" w:eastAsia="en-US"/>
              </w:rPr>
            </w:pPr>
            <w:r w:rsidRPr="00DA2F40">
              <w:rPr>
                <w:rFonts w:eastAsia="Calibri"/>
                <w:szCs w:val="22"/>
                <w:lang w:val="es-ES" w:eastAsia="en-US"/>
              </w:rPr>
              <w:t>HSH, Trans</w:t>
            </w:r>
          </w:p>
        </w:tc>
      </w:tr>
      <w:tr w:rsidR="00DA2F40" w:rsidRPr="00DA2F40" w14:paraId="4CB5CE92" w14:textId="77777777" w:rsidTr="00581747">
        <w:tc>
          <w:tcPr>
            <w:tcW w:w="3505" w:type="dxa"/>
          </w:tcPr>
          <w:p w14:paraId="10D3E3F4" w14:textId="77777777" w:rsidR="00DA2F40" w:rsidRPr="00DA2F40" w:rsidRDefault="00DA2F40" w:rsidP="00DA2F40">
            <w:pPr>
              <w:autoSpaceDN/>
              <w:spacing w:before="0"/>
              <w:ind w:firstLine="0"/>
              <w:jc w:val="left"/>
              <w:textAlignment w:val="auto"/>
              <w:rPr>
                <w:rFonts w:eastAsia="Calibri"/>
                <w:szCs w:val="22"/>
                <w:lang w:val="es-ES" w:eastAsia="en-US"/>
              </w:rPr>
            </w:pPr>
            <w:r w:rsidRPr="00DA2F40">
              <w:rPr>
                <w:rFonts w:eastAsia="Calibri"/>
                <w:szCs w:val="22"/>
                <w:lang w:val="es-ES" w:eastAsia="en-US"/>
              </w:rPr>
              <w:t>ASONAPVSIDAH</w:t>
            </w:r>
          </w:p>
        </w:tc>
        <w:tc>
          <w:tcPr>
            <w:tcW w:w="5323" w:type="dxa"/>
          </w:tcPr>
          <w:p w14:paraId="2BDCB26D" w14:textId="77777777" w:rsidR="00DA2F40" w:rsidRPr="00DA2F40" w:rsidRDefault="00DA2F40" w:rsidP="00DA2F40">
            <w:pPr>
              <w:autoSpaceDN/>
              <w:spacing w:before="0"/>
              <w:ind w:firstLine="0"/>
              <w:jc w:val="left"/>
              <w:textAlignment w:val="auto"/>
              <w:rPr>
                <w:rFonts w:eastAsia="Calibri"/>
                <w:szCs w:val="22"/>
                <w:lang w:val="es-ES" w:eastAsia="en-US"/>
              </w:rPr>
            </w:pPr>
            <w:r w:rsidRPr="00DA2F40">
              <w:rPr>
                <w:rFonts w:eastAsia="Calibri"/>
                <w:szCs w:val="22"/>
                <w:lang w:val="es-ES" w:eastAsia="en-US"/>
              </w:rPr>
              <w:t>Personas viviendo con VIH</w:t>
            </w:r>
          </w:p>
        </w:tc>
      </w:tr>
      <w:tr w:rsidR="00DA2F40" w:rsidRPr="00DA2F40" w14:paraId="00B08D64" w14:textId="77777777" w:rsidTr="00581747">
        <w:tc>
          <w:tcPr>
            <w:tcW w:w="3505" w:type="dxa"/>
          </w:tcPr>
          <w:p w14:paraId="75C2A21C" w14:textId="77777777" w:rsidR="00DA2F40" w:rsidRPr="00DA2F40" w:rsidRDefault="00DA2F40" w:rsidP="00DA2F40">
            <w:pPr>
              <w:autoSpaceDN/>
              <w:spacing w:before="0"/>
              <w:ind w:firstLine="0"/>
              <w:jc w:val="left"/>
              <w:textAlignment w:val="auto"/>
              <w:rPr>
                <w:rFonts w:eastAsia="Calibri"/>
                <w:szCs w:val="22"/>
                <w:lang w:val="es-ES" w:eastAsia="en-US"/>
              </w:rPr>
            </w:pPr>
            <w:r w:rsidRPr="00DA2F40">
              <w:rPr>
                <w:rFonts w:eastAsia="Calibri"/>
                <w:szCs w:val="22"/>
                <w:lang w:val="es-ES" w:eastAsia="en-US"/>
              </w:rPr>
              <w:t>REDCA+</w:t>
            </w:r>
          </w:p>
        </w:tc>
        <w:tc>
          <w:tcPr>
            <w:tcW w:w="5323" w:type="dxa"/>
          </w:tcPr>
          <w:p w14:paraId="46D1FBAA" w14:textId="77777777" w:rsidR="00DA2F40" w:rsidRPr="00DA2F40" w:rsidRDefault="00DA2F40" w:rsidP="00DA2F40">
            <w:pPr>
              <w:autoSpaceDN/>
              <w:spacing w:before="0"/>
              <w:ind w:firstLine="0"/>
              <w:jc w:val="left"/>
              <w:textAlignment w:val="auto"/>
              <w:rPr>
                <w:rFonts w:eastAsia="Calibri"/>
                <w:szCs w:val="22"/>
                <w:lang w:val="es-ES" w:eastAsia="en-US"/>
              </w:rPr>
            </w:pPr>
            <w:r w:rsidRPr="00DA2F40">
              <w:rPr>
                <w:rFonts w:eastAsia="Calibri"/>
                <w:szCs w:val="22"/>
                <w:lang w:val="es-ES" w:eastAsia="en-US"/>
              </w:rPr>
              <w:t>Personas viviendo con VIH</w:t>
            </w:r>
          </w:p>
        </w:tc>
      </w:tr>
      <w:tr w:rsidR="00DA2F40" w:rsidRPr="00DA2F40" w14:paraId="6AAF7949" w14:textId="77777777" w:rsidTr="00581747">
        <w:tc>
          <w:tcPr>
            <w:tcW w:w="3505" w:type="dxa"/>
          </w:tcPr>
          <w:p w14:paraId="102CE6A2" w14:textId="77777777" w:rsidR="00DA2F40" w:rsidRPr="00DA2F40" w:rsidRDefault="00DA2F40" w:rsidP="00DA2F40">
            <w:pPr>
              <w:autoSpaceDN/>
              <w:spacing w:before="0"/>
              <w:ind w:firstLine="0"/>
              <w:jc w:val="left"/>
              <w:textAlignment w:val="auto"/>
              <w:rPr>
                <w:rFonts w:eastAsia="Calibri"/>
                <w:szCs w:val="22"/>
                <w:lang w:val="es-ES" w:eastAsia="en-US"/>
              </w:rPr>
            </w:pPr>
            <w:r w:rsidRPr="00DA2F40">
              <w:rPr>
                <w:rFonts w:eastAsia="Calibri"/>
                <w:szCs w:val="22"/>
                <w:lang w:val="es-ES" w:eastAsia="en-US"/>
              </w:rPr>
              <w:t>FOROSIDA</w:t>
            </w:r>
          </w:p>
        </w:tc>
        <w:tc>
          <w:tcPr>
            <w:tcW w:w="5323" w:type="dxa"/>
          </w:tcPr>
          <w:p w14:paraId="25989C43" w14:textId="77777777" w:rsidR="00DA2F40" w:rsidRPr="00DA2F40" w:rsidRDefault="00DA2F40" w:rsidP="00DA2F40">
            <w:pPr>
              <w:autoSpaceDN/>
              <w:spacing w:before="0"/>
              <w:ind w:firstLine="0"/>
              <w:jc w:val="left"/>
              <w:textAlignment w:val="auto"/>
              <w:rPr>
                <w:rFonts w:eastAsia="Calibri"/>
                <w:szCs w:val="22"/>
                <w:lang w:val="es-ES" w:eastAsia="en-US"/>
              </w:rPr>
            </w:pPr>
            <w:r w:rsidRPr="00DA2F40">
              <w:rPr>
                <w:rFonts w:eastAsia="Calibri"/>
                <w:szCs w:val="22"/>
                <w:lang w:val="es-ES" w:eastAsia="en-US"/>
              </w:rPr>
              <w:t>Personas viviendo con VIH</w:t>
            </w:r>
          </w:p>
        </w:tc>
      </w:tr>
    </w:tbl>
    <w:p w14:paraId="68CCDDE4" w14:textId="7E7298F3" w:rsidR="00DA2F40" w:rsidRDefault="00DA2F40" w:rsidP="00DA2F40">
      <w:pPr>
        <w:autoSpaceDN/>
        <w:spacing w:before="0"/>
        <w:ind w:firstLine="0"/>
        <w:textAlignment w:val="auto"/>
        <w:rPr>
          <w:rFonts w:eastAsia="Calibri"/>
          <w:szCs w:val="22"/>
          <w:lang w:val="es-ES" w:eastAsia="en-US"/>
        </w:rPr>
      </w:pPr>
    </w:p>
    <w:p w14:paraId="0D62924C" w14:textId="68563526" w:rsidR="00DA2F40" w:rsidRDefault="00DA2F40" w:rsidP="00DA2F40">
      <w:pPr>
        <w:autoSpaceDN/>
        <w:spacing w:before="0"/>
        <w:ind w:firstLine="0"/>
        <w:textAlignment w:val="auto"/>
        <w:rPr>
          <w:rFonts w:eastAsia="Calibri"/>
          <w:szCs w:val="22"/>
          <w:lang w:val="es-ES" w:eastAsia="en-US"/>
        </w:rPr>
      </w:pPr>
    </w:p>
    <w:p w14:paraId="4E41EB97" w14:textId="77777777" w:rsidR="00665BFB" w:rsidRPr="00DA2F40" w:rsidRDefault="00665BFB" w:rsidP="00DA2F40">
      <w:pPr>
        <w:autoSpaceDN/>
        <w:spacing w:before="0"/>
        <w:ind w:firstLine="0"/>
        <w:textAlignment w:val="auto"/>
        <w:rPr>
          <w:rFonts w:eastAsia="Calibri"/>
          <w:szCs w:val="22"/>
          <w:lang w:val="es-ES" w:eastAsia="en-US"/>
        </w:rPr>
      </w:pPr>
    </w:p>
    <w:p w14:paraId="1669596F" w14:textId="77777777" w:rsidR="00DA2F40" w:rsidRPr="00DA2F40" w:rsidRDefault="00DA2F40" w:rsidP="00DA2F40">
      <w:pPr>
        <w:autoSpaceDN/>
        <w:spacing w:before="0"/>
        <w:ind w:firstLine="0"/>
        <w:textAlignment w:val="auto"/>
        <w:rPr>
          <w:rFonts w:eastAsia="Calibri"/>
          <w:szCs w:val="22"/>
          <w:lang w:val="es-ES" w:eastAsia="en-US"/>
        </w:rPr>
      </w:pPr>
    </w:p>
    <w:tbl>
      <w:tblPr>
        <w:tblStyle w:val="TableGrid1"/>
        <w:tblW w:w="0" w:type="auto"/>
        <w:tblLook w:val="04A0" w:firstRow="1" w:lastRow="0" w:firstColumn="1" w:lastColumn="0" w:noHBand="0" w:noVBand="1"/>
      </w:tblPr>
      <w:tblGrid>
        <w:gridCol w:w="2515"/>
        <w:gridCol w:w="6313"/>
      </w:tblGrid>
      <w:tr w:rsidR="00DA2F40" w:rsidRPr="00DA2F40" w14:paraId="179DB7F9" w14:textId="77777777" w:rsidTr="00DA2F40">
        <w:tc>
          <w:tcPr>
            <w:tcW w:w="8828" w:type="dxa"/>
            <w:gridSpan w:val="2"/>
            <w:shd w:val="clear" w:color="auto" w:fill="0F243E"/>
          </w:tcPr>
          <w:p w14:paraId="6298B67D" w14:textId="60320A69" w:rsidR="00DA2F40" w:rsidRPr="00DA2F40" w:rsidRDefault="00DA2F40" w:rsidP="00DA2F40">
            <w:pPr>
              <w:autoSpaceDN/>
              <w:spacing w:before="0"/>
              <w:ind w:firstLine="0"/>
              <w:textAlignment w:val="auto"/>
              <w:rPr>
                <w:rFonts w:eastAsia="Calibri"/>
                <w:b/>
                <w:szCs w:val="22"/>
                <w:lang w:val="es-ES" w:eastAsia="en-US"/>
              </w:rPr>
            </w:pPr>
            <w:r>
              <w:rPr>
                <w:rFonts w:eastAsia="Calibri"/>
                <w:b/>
                <w:szCs w:val="22"/>
                <w:lang w:val="es-ES" w:eastAsia="en-US"/>
              </w:rPr>
              <w:lastRenderedPageBreak/>
              <w:t>Participantes del t</w:t>
            </w:r>
            <w:r w:rsidRPr="00DA2F40">
              <w:rPr>
                <w:rFonts w:eastAsia="Calibri"/>
                <w:b/>
                <w:szCs w:val="22"/>
                <w:lang w:val="es-ES" w:eastAsia="en-US"/>
              </w:rPr>
              <w:t xml:space="preserve">aller </w:t>
            </w:r>
            <w:r>
              <w:rPr>
                <w:rFonts w:eastAsia="Calibri"/>
                <w:b/>
                <w:szCs w:val="22"/>
                <w:lang w:val="es-ES" w:eastAsia="en-US"/>
              </w:rPr>
              <w:t xml:space="preserve">de </w:t>
            </w:r>
            <w:r w:rsidRPr="00DA2F40">
              <w:rPr>
                <w:rFonts w:eastAsia="Calibri"/>
                <w:b/>
                <w:szCs w:val="22"/>
                <w:lang w:val="es-ES" w:eastAsia="en-US"/>
              </w:rPr>
              <w:t>OSC Tegucigalpa. 23 enero 2019</w:t>
            </w:r>
          </w:p>
        </w:tc>
      </w:tr>
      <w:tr w:rsidR="00DA2F40" w:rsidRPr="00DA2F40" w14:paraId="0DD378A1" w14:textId="77777777" w:rsidTr="00DA2F40">
        <w:tc>
          <w:tcPr>
            <w:tcW w:w="2515" w:type="dxa"/>
            <w:shd w:val="clear" w:color="auto" w:fill="D9D9D9"/>
          </w:tcPr>
          <w:p w14:paraId="18A787C7" w14:textId="77777777" w:rsidR="00DA2F40" w:rsidRPr="00DA2F40" w:rsidRDefault="00DA2F40" w:rsidP="00DA2F40">
            <w:pPr>
              <w:autoSpaceDN/>
              <w:spacing w:before="0"/>
              <w:ind w:firstLine="0"/>
              <w:textAlignment w:val="auto"/>
              <w:rPr>
                <w:rFonts w:eastAsia="Calibri"/>
                <w:b/>
                <w:szCs w:val="22"/>
                <w:lang w:val="es-ES" w:eastAsia="en-US"/>
              </w:rPr>
            </w:pPr>
            <w:r w:rsidRPr="00DA2F40">
              <w:rPr>
                <w:rFonts w:eastAsia="Calibri"/>
                <w:b/>
                <w:szCs w:val="22"/>
                <w:lang w:val="es-ES" w:eastAsia="en-US"/>
              </w:rPr>
              <w:t>Organización</w:t>
            </w:r>
          </w:p>
        </w:tc>
        <w:tc>
          <w:tcPr>
            <w:tcW w:w="6313" w:type="dxa"/>
            <w:shd w:val="clear" w:color="auto" w:fill="D9D9D9"/>
          </w:tcPr>
          <w:p w14:paraId="6E10993C" w14:textId="77777777" w:rsidR="00DA2F40" w:rsidRPr="00DA2F40" w:rsidRDefault="00DA2F40" w:rsidP="00DA2F40">
            <w:pPr>
              <w:autoSpaceDN/>
              <w:spacing w:before="0"/>
              <w:ind w:firstLine="0"/>
              <w:textAlignment w:val="auto"/>
              <w:rPr>
                <w:rFonts w:eastAsia="Calibri"/>
                <w:b/>
                <w:szCs w:val="22"/>
                <w:lang w:val="es-ES" w:eastAsia="en-US"/>
              </w:rPr>
            </w:pPr>
            <w:r w:rsidRPr="00DA2F40">
              <w:rPr>
                <w:rFonts w:eastAsia="Calibri"/>
                <w:b/>
                <w:szCs w:val="22"/>
                <w:lang w:val="es-ES" w:eastAsia="en-US"/>
              </w:rPr>
              <w:t>Población</w:t>
            </w:r>
          </w:p>
        </w:tc>
      </w:tr>
      <w:tr w:rsidR="00DA2F40" w:rsidRPr="00DA2F40" w14:paraId="747F3D1D" w14:textId="77777777" w:rsidTr="00581747">
        <w:tc>
          <w:tcPr>
            <w:tcW w:w="2515" w:type="dxa"/>
          </w:tcPr>
          <w:p w14:paraId="04C76646"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Colectivo Violeta</w:t>
            </w:r>
          </w:p>
        </w:tc>
        <w:tc>
          <w:tcPr>
            <w:tcW w:w="6313" w:type="dxa"/>
          </w:tcPr>
          <w:p w14:paraId="70AB3E3A"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Trans</w:t>
            </w:r>
          </w:p>
        </w:tc>
      </w:tr>
      <w:tr w:rsidR="00DA2F40" w:rsidRPr="00DA2F40" w14:paraId="4613B98B" w14:textId="77777777" w:rsidTr="00581747">
        <w:tc>
          <w:tcPr>
            <w:tcW w:w="2515" w:type="dxa"/>
          </w:tcPr>
          <w:p w14:paraId="50588017"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Red Metas</w:t>
            </w:r>
          </w:p>
        </w:tc>
        <w:tc>
          <w:tcPr>
            <w:tcW w:w="6313" w:type="dxa"/>
          </w:tcPr>
          <w:p w14:paraId="6E36C440"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PVVIH</w:t>
            </w:r>
          </w:p>
        </w:tc>
      </w:tr>
      <w:tr w:rsidR="00DA2F40" w:rsidRPr="00DA2F40" w14:paraId="37DFF48E" w14:textId="77777777" w:rsidTr="00581747">
        <w:tc>
          <w:tcPr>
            <w:tcW w:w="2515" w:type="dxa"/>
          </w:tcPr>
          <w:p w14:paraId="7DC1F1B8"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Asociación para una vida mejor (APUVIMEH)</w:t>
            </w:r>
          </w:p>
        </w:tc>
        <w:tc>
          <w:tcPr>
            <w:tcW w:w="6313" w:type="dxa"/>
          </w:tcPr>
          <w:p w14:paraId="14631316"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Mujeres PVVIH</w:t>
            </w:r>
          </w:p>
        </w:tc>
      </w:tr>
      <w:tr w:rsidR="00DA2F40" w:rsidRPr="00DA2F40" w14:paraId="5A8D6210" w14:textId="77777777" w:rsidTr="00581747">
        <w:tc>
          <w:tcPr>
            <w:tcW w:w="2515" w:type="dxa"/>
          </w:tcPr>
          <w:p w14:paraId="25B5C2F4" w14:textId="77777777" w:rsidR="00DA2F40" w:rsidRPr="00DA2F40" w:rsidRDefault="00DA2F40" w:rsidP="00DA2F40">
            <w:pPr>
              <w:autoSpaceDN/>
              <w:spacing w:before="0"/>
              <w:ind w:firstLine="0"/>
              <w:textAlignment w:val="auto"/>
              <w:rPr>
                <w:rFonts w:eastAsia="Calibri"/>
                <w:szCs w:val="22"/>
                <w:lang w:val="pt-BR" w:eastAsia="en-US"/>
              </w:rPr>
            </w:pPr>
            <w:r w:rsidRPr="00DA2F40">
              <w:rPr>
                <w:rFonts w:eastAsia="Calibri"/>
                <w:szCs w:val="22"/>
                <w:lang w:val="pt-BR" w:eastAsia="en-US"/>
              </w:rPr>
              <w:t>Foro Nacional de Sida (FOROSIDA)</w:t>
            </w:r>
          </w:p>
        </w:tc>
        <w:tc>
          <w:tcPr>
            <w:tcW w:w="6313" w:type="dxa"/>
          </w:tcPr>
          <w:p w14:paraId="4904DC89" w14:textId="77777777" w:rsidR="00DA2F40" w:rsidRPr="00DA2F40" w:rsidRDefault="00DA2F40" w:rsidP="00DA2F40">
            <w:pPr>
              <w:autoSpaceDN/>
              <w:spacing w:before="0"/>
              <w:ind w:firstLine="0"/>
              <w:textAlignment w:val="auto"/>
              <w:rPr>
                <w:rFonts w:eastAsia="Calibri"/>
                <w:szCs w:val="22"/>
                <w:lang w:val="pt-BR" w:eastAsia="en-US"/>
              </w:rPr>
            </w:pPr>
            <w:r w:rsidRPr="00DA2F40">
              <w:rPr>
                <w:rFonts w:eastAsia="Calibri"/>
                <w:szCs w:val="22"/>
                <w:lang w:val="pt-BR" w:eastAsia="en-US"/>
              </w:rPr>
              <w:t>PVVIH y poblaciones vulnerables</w:t>
            </w:r>
          </w:p>
        </w:tc>
      </w:tr>
      <w:tr w:rsidR="00DA2F40" w:rsidRPr="00DA2F40" w14:paraId="4B872727" w14:textId="77777777" w:rsidTr="00581747">
        <w:tc>
          <w:tcPr>
            <w:tcW w:w="2515" w:type="dxa"/>
          </w:tcPr>
          <w:p w14:paraId="7CF7E809"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Asociación Cozumel Trans</w:t>
            </w:r>
          </w:p>
        </w:tc>
        <w:tc>
          <w:tcPr>
            <w:tcW w:w="6313" w:type="dxa"/>
          </w:tcPr>
          <w:p w14:paraId="4D8D9482"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Población Trans</w:t>
            </w:r>
          </w:p>
        </w:tc>
      </w:tr>
      <w:tr w:rsidR="00DA2F40" w:rsidRPr="00DA2F40" w14:paraId="3C73E70E" w14:textId="77777777" w:rsidTr="00581747">
        <w:tc>
          <w:tcPr>
            <w:tcW w:w="2515" w:type="dxa"/>
          </w:tcPr>
          <w:p w14:paraId="1AF5DA89" w14:textId="4FE8868A"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Asociación Nacional de Personas Viviendo con VIH/SIDA en Honduras (ASONAPVSIDAH)</w:t>
            </w:r>
          </w:p>
        </w:tc>
        <w:tc>
          <w:tcPr>
            <w:tcW w:w="6313" w:type="dxa"/>
          </w:tcPr>
          <w:p w14:paraId="64CD8BAA"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PVVIH</w:t>
            </w:r>
          </w:p>
        </w:tc>
      </w:tr>
      <w:tr w:rsidR="00DA2F40" w:rsidRPr="00DA2F40" w14:paraId="457467F2" w14:textId="77777777" w:rsidTr="00581747">
        <w:tc>
          <w:tcPr>
            <w:tcW w:w="2515" w:type="dxa"/>
          </w:tcPr>
          <w:p w14:paraId="4573C5F3"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Centro de Prevención, Tratamiento y Rehabilitación de Víctimas de la Tortura y sus familiares (CPTRT)</w:t>
            </w:r>
          </w:p>
        </w:tc>
        <w:tc>
          <w:tcPr>
            <w:tcW w:w="6313" w:type="dxa"/>
          </w:tcPr>
          <w:p w14:paraId="057DC828"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Derechos Humanos – privados de libertad, sociedad civil y población vulnerable</w:t>
            </w:r>
          </w:p>
        </w:tc>
      </w:tr>
      <w:tr w:rsidR="00DA2F40" w:rsidRPr="00DA2F40" w14:paraId="44DCD35B" w14:textId="77777777" w:rsidTr="00581747">
        <w:tc>
          <w:tcPr>
            <w:tcW w:w="2515" w:type="dxa"/>
          </w:tcPr>
          <w:p w14:paraId="1DC47859"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Grupo de auto apoyo sol naciente</w:t>
            </w:r>
          </w:p>
        </w:tc>
        <w:tc>
          <w:tcPr>
            <w:tcW w:w="6313" w:type="dxa"/>
          </w:tcPr>
          <w:p w14:paraId="1549A21C"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PVVIH</w:t>
            </w:r>
          </w:p>
        </w:tc>
      </w:tr>
      <w:tr w:rsidR="00DA2F40" w:rsidRPr="00DA2F40" w14:paraId="456F0F2B" w14:textId="77777777" w:rsidTr="00581747">
        <w:tc>
          <w:tcPr>
            <w:tcW w:w="2515" w:type="dxa"/>
          </w:tcPr>
          <w:p w14:paraId="66A512F6" w14:textId="4384922C"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Programas para el Desarrollo de la Infancia y la Mujer (PRODIM)</w:t>
            </w:r>
          </w:p>
        </w:tc>
        <w:tc>
          <w:tcPr>
            <w:tcW w:w="6313" w:type="dxa"/>
          </w:tcPr>
          <w:p w14:paraId="65D55D74"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Mujeres e infantes</w:t>
            </w:r>
          </w:p>
        </w:tc>
      </w:tr>
      <w:tr w:rsidR="00DA2F40" w:rsidRPr="00DA2F40" w14:paraId="0CA80815" w14:textId="77777777" w:rsidTr="00581747">
        <w:tc>
          <w:tcPr>
            <w:tcW w:w="2515" w:type="dxa"/>
          </w:tcPr>
          <w:p w14:paraId="50A5D144"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Buen Samaritano</w:t>
            </w:r>
          </w:p>
        </w:tc>
        <w:tc>
          <w:tcPr>
            <w:tcW w:w="6313" w:type="dxa"/>
          </w:tcPr>
          <w:p w14:paraId="045A0615"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Niños y adolescentes</w:t>
            </w:r>
          </w:p>
        </w:tc>
      </w:tr>
      <w:tr w:rsidR="00DA2F40" w:rsidRPr="00DA2F40" w14:paraId="252389C4" w14:textId="77777777" w:rsidTr="00581747">
        <w:tc>
          <w:tcPr>
            <w:tcW w:w="2515" w:type="dxa"/>
          </w:tcPr>
          <w:p w14:paraId="254AC6CD"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MCP- Sector VIH</w:t>
            </w:r>
          </w:p>
        </w:tc>
        <w:tc>
          <w:tcPr>
            <w:tcW w:w="6313" w:type="dxa"/>
          </w:tcPr>
          <w:p w14:paraId="40B970A7" w14:textId="77777777" w:rsidR="00DA2F40" w:rsidRPr="00DA2F40" w:rsidRDefault="00DA2F40" w:rsidP="00DA2F40">
            <w:pPr>
              <w:autoSpaceDN/>
              <w:spacing w:before="0"/>
              <w:ind w:firstLine="0"/>
              <w:textAlignment w:val="auto"/>
              <w:rPr>
                <w:rFonts w:eastAsia="Calibri"/>
                <w:szCs w:val="22"/>
                <w:lang w:val="es-ES" w:eastAsia="en-US"/>
              </w:rPr>
            </w:pPr>
            <w:r w:rsidRPr="00DA2F40">
              <w:rPr>
                <w:rFonts w:eastAsia="Calibri"/>
                <w:szCs w:val="22"/>
                <w:lang w:val="es-ES" w:eastAsia="en-US"/>
              </w:rPr>
              <w:t>Personas viviendo con VIH</w:t>
            </w:r>
          </w:p>
        </w:tc>
      </w:tr>
    </w:tbl>
    <w:p w14:paraId="5F68E889" w14:textId="77777777" w:rsidR="00DA2F40" w:rsidRPr="00DA2F40" w:rsidRDefault="00DA2F40" w:rsidP="00DA2F40">
      <w:pPr>
        <w:autoSpaceDN/>
        <w:spacing w:before="0"/>
        <w:ind w:firstLine="0"/>
        <w:textAlignment w:val="auto"/>
        <w:rPr>
          <w:rFonts w:ascii="Arial" w:eastAsia="Calibri" w:hAnsi="Arial" w:cs="Arial"/>
          <w:szCs w:val="22"/>
          <w:lang w:val="es-ES" w:eastAsia="en-US"/>
        </w:rPr>
      </w:pPr>
    </w:p>
    <w:p w14:paraId="56ADC2C9" w14:textId="77777777" w:rsidR="00DA2F40" w:rsidRPr="00DA2F40" w:rsidRDefault="00DA2F40" w:rsidP="00DA2F40">
      <w:pPr>
        <w:autoSpaceDN/>
        <w:spacing w:before="0" w:after="200" w:line="276" w:lineRule="auto"/>
        <w:ind w:firstLine="0"/>
        <w:jc w:val="left"/>
        <w:textAlignment w:val="auto"/>
        <w:rPr>
          <w:rFonts w:ascii="Arial" w:eastAsia="Calibri" w:hAnsi="Arial" w:cs="Arial"/>
          <w:szCs w:val="22"/>
          <w:lang w:val="es-ES" w:eastAsia="en-US"/>
        </w:rPr>
      </w:pPr>
    </w:p>
    <w:p w14:paraId="63166BE3" w14:textId="77777777" w:rsidR="00DA2F40" w:rsidRPr="00DA2F40" w:rsidRDefault="00DA2F40" w:rsidP="00DA2F40">
      <w:pPr>
        <w:autoSpaceDN/>
        <w:spacing w:before="0" w:after="200" w:line="276" w:lineRule="auto"/>
        <w:ind w:firstLine="0"/>
        <w:jc w:val="left"/>
        <w:textAlignment w:val="auto"/>
        <w:rPr>
          <w:rFonts w:ascii="Arial" w:eastAsia="Calibri" w:hAnsi="Arial" w:cs="Arial"/>
          <w:szCs w:val="22"/>
          <w:lang w:val="es-ES" w:eastAsia="en-US"/>
        </w:rPr>
      </w:pPr>
    </w:p>
    <w:p w14:paraId="17F4370B" w14:textId="0EF05AFE" w:rsidR="00DA2F40" w:rsidRPr="00DA2F40" w:rsidRDefault="00DA2F40" w:rsidP="00A22CB6">
      <w:pPr>
        <w:autoSpaceDN/>
        <w:spacing w:before="0" w:after="160" w:line="259" w:lineRule="auto"/>
        <w:ind w:firstLine="0"/>
        <w:jc w:val="left"/>
        <w:textAlignment w:val="auto"/>
        <w:rPr>
          <w:rFonts w:ascii="Arial" w:eastAsia="Calibri" w:hAnsi="Arial" w:cs="Arial"/>
          <w:szCs w:val="22"/>
          <w:lang w:val="es-ES" w:eastAsia="en-US"/>
        </w:rPr>
      </w:pPr>
      <w:r>
        <w:rPr>
          <w:rFonts w:ascii="Arial" w:eastAsia="Calibri" w:hAnsi="Arial" w:cs="Arial"/>
          <w:szCs w:val="22"/>
          <w:lang w:val="es-ES" w:eastAsia="en-US"/>
        </w:rPr>
        <w:br w:type="page"/>
      </w:r>
    </w:p>
    <w:p w14:paraId="6B02188A" w14:textId="5B319898" w:rsidR="008F7AD3" w:rsidRPr="00640B3F" w:rsidRDefault="008F7AD3" w:rsidP="00DA2F40">
      <w:pPr>
        <w:ind w:firstLine="0"/>
        <w:rPr>
          <w:b/>
          <w:szCs w:val="22"/>
          <w:lang w:val="es-MX"/>
        </w:rPr>
      </w:pPr>
      <w:r w:rsidRPr="00782E5F">
        <w:rPr>
          <w:b/>
          <w:szCs w:val="22"/>
          <w:lang w:val="es-419"/>
        </w:rPr>
        <w:lastRenderedPageBreak/>
        <w:t xml:space="preserve">ANEXO 2. </w:t>
      </w:r>
      <w:r w:rsidR="00F97892" w:rsidRPr="00640B3F">
        <w:rPr>
          <w:b/>
          <w:szCs w:val="22"/>
          <w:lang w:val="es-419"/>
        </w:rPr>
        <w:t>Aspectos clave a considerar del Reporte de Sociedad Civil</w:t>
      </w:r>
    </w:p>
    <w:p w14:paraId="26048C35" w14:textId="1783853A" w:rsidR="008F7AD3" w:rsidRPr="00570BB8" w:rsidRDefault="008F7AD3" w:rsidP="00DA2F40">
      <w:pPr>
        <w:ind w:firstLine="0"/>
        <w:rPr>
          <w:b/>
          <w:szCs w:val="22"/>
          <w:lang w:val="es-419"/>
        </w:rPr>
      </w:pPr>
    </w:p>
    <w:p w14:paraId="1FE743F2" w14:textId="12E3F214" w:rsidR="005A04F3" w:rsidRPr="00A22CB6" w:rsidRDefault="005A04F3" w:rsidP="00F97892">
      <w:pPr>
        <w:spacing w:after="240"/>
        <w:ind w:firstLine="0"/>
        <w:rPr>
          <w:b/>
          <w:lang w:val="es-ES"/>
        </w:rPr>
      </w:pPr>
      <w:r w:rsidRPr="00A22CB6">
        <w:rPr>
          <w:b/>
          <w:lang w:val="es-ES"/>
        </w:rPr>
        <w:t>Discusión sobre los riesgos asociados a la sociedad civil</w:t>
      </w:r>
    </w:p>
    <w:p w14:paraId="06264F38" w14:textId="3293527B" w:rsidR="005A04F3" w:rsidRPr="00A22CB6" w:rsidRDefault="005A04F3" w:rsidP="00F97892">
      <w:pPr>
        <w:spacing w:after="240"/>
        <w:ind w:firstLine="0"/>
        <w:rPr>
          <w:i/>
          <w:lang w:val="es-ES"/>
        </w:rPr>
      </w:pPr>
      <w:r w:rsidRPr="00A22CB6">
        <w:rPr>
          <w:lang w:val="es-ES"/>
        </w:rPr>
        <w:t xml:space="preserve">Durante la fase diagnóstica y con la participación multisectorial de funcionarios del gobierno (SESAL, CONADEH, CONASIDA, SEDH y la Secretaría </w:t>
      </w:r>
      <w:r w:rsidR="0009383D">
        <w:rPr>
          <w:lang w:val="es-ES"/>
        </w:rPr>
        <w:t>de</w:t>
      </w:r>
      <w:r w:rsidRPr="00A22CB6">
        <w:rPr>
          <w:lang w:val="es-ES"/>
        </w:rPr>
        <w:t xml:space="preserve"> Coordinación</w:t>
      </w:r>
      <w:r w:rsidR="0009383D">
        <w:rPr>
          <w:lang w:val="es-ES"/>
        </w:rPr>
        <w:t xml:space="preserve"> General</w:t>
      </w:r>
      <w:r w:rsidRPr="00A22CB6">
        <w:rPr>
          <w:lang w:val="es-ES"/>
        </w:rPr>
        <w:t xml:space="preserve"> de Gobierno), sociedad civil y agencias internacionales surgieron dos riesgos clave </w:t>
      </w:r>
      <w:r w:rsidRPr="00A22CB6">
        <w:rPr>
          <w:b/>
          <w:lang w:val="es-ES"/>
        </w:rPr>
        <w:t>(Riesgo 6 de la ES)</w:t>
      </w:r>
      <w:r w:rsidRPr="00A22CB6">
        <w:rPr>
          <w:lang w:val="es-ES"/>
        </w:rPr>
        <w:t xml:space="preserve"> para la sostenibilidad de la prestación de servicios de VIH y TB por parte de la sociedad civil: </w:t>
      </w:r>
      <w:r w:rsidRPr="00A22CB6">
        <w:rPr>
          <w:i/>
          <w:lang w:val="es-ES"/>
        </w:rPr>
        <w:t>el financiamiento de las OSC y la pérdida de enfoque de su rol.</w:t>
      </w:r>
    </w:p>
    <w:p w14:paraId="06B9C295" w14:textId="77777777" w:rsidR="005A04F3" w:rsidRPr="00A22CB6" w:rsidRDefault="005A04F3" w:rsidP="00F97892">
      <w:pPr>
        <w:ind w:firstLine="0"/>
        <w:rPr>
          <w:b/>
          <w:i/>
          <w:lang w:val="es-ES"/>
        </w:rPr>
      </w:pPr>
      <w:r w:rsidRPr="00A22CB6">
        <w:rPr>
          <w:b/>
          <w:i/>
          <w:lang w:val="es-ES"/>
        </w:rPr>
        <w:t>Financiamiento de las OSC</w:t>
      </w:r>
    </w:p>
    <w:p w14:paraId="1F6A7A30" w14:textId="77777777" w:rsidR="005A04F3" w:rsidRPr="00A22CB6" w:rsidRDefault="005A04F3" w:rsidP="00F97892">
      <w:pPr>
        <w:ind w:firstLine="0"/>
        <w:rPr>
          <w:lang w:val="es-ES"/>
        </w:rPr>
      </w:pPr>
      <w:r w:rsidRPr="00A22CB6">
        <w:rPr>
          <w:lang w:val="es-ES"/>
        </w:rPr>
        <w:t>Existe una falta de financiamiento público para sostener a las actividades de las OSC.  La falta proviene de varios motivos: bajo presupuesto, o presupuestos variables por todos los niveles gubernamentales (de municipal a nacional); dificultades en acceder a los fondos por procedimientos de Certificación de Proveedores / Administradores de servicios de salud o procesos de legalización organizaciones no transparentes; necesidad de un organismo gubernamental central que asuma el papel de gestor/financiador de las OSC; y/o procesos de pago complejos y con retrasos.  De igual manera, las OSC expresaron la necesidad de lograr exoneración de pago de impuestos para poder sostener a sus actividades.</w:t>
      </w:r>
    </w:p>
    <w:p w14:paraId="52DE55C8" w14:textId="77777777" w:rsidR="005A04F3" w:rsidRPr="00A22CB6" w:rsidRDefault="005A04F3" w:rsidP="00F97892">
      <w:pPr>
        <w:ind w:firstLine="0"/>
        <w:rPr>
          <w:lang w:val="es-ES"/>
        </w:rPr>
      </w:pPr>
      <w:r w:rsidRPr="00A22CB6">
        <w:rPr>
          <w:lang w:val="es-ES"/>
        </w:rPr>
        <w:t xml:space="preserve">Entre las recomendaciones particulares se sugirió revisar los cuellos de botella que generan retrasos en los pagos a través de la Ley para la Promoción de la Alianza </w:t>
      </w:r>
      <w:proofErr w:type="gramStart"/>
      <w:r w:rsidRPr="00A22CB6">
        <w:rPr>
          <w:lang w:val="es-ES"/>
        </w:rPr>
        <w:t>Público Privada</w:t>
      </w:r>
      <w:proofErr w:type="gramEnd"/>
      <w:r w:rsidRPr="00A22CB6">
        <w:rPr>
          <w:lang w:val="es-ES"/>
        </w:rPr>
        <w:t>, así como simplificar y transparentar el registro de las OSC en la Oficina Nacional de Contrataciones y Adquisiciones del Estado (ONCAE), ya que actualmente el proceso es subjetivo/politizado y muchas veces se niega injustificadamente la certificación. También se sugirió fortalecer los lazos con Universidades, y considerarlas como posible fuente de financiamiento público.</w:t>
      </w:r>
    </w:p>
    <w:p w14:paraId="368DCB66" w14:textId="77777777" w:rsidR="005A04F3" w:rsidRPr="00A22CB6" w:rsidRDefault="005A04F3" w:rsidP="00F97892">
      <w:pPr>
        <w:ind w:firstLine="0"/>
        <w:rPr>
          <w:lang w:val="es-ES"/>
        </w:rPr>
      </w:pPr>
      <w:r w:rsidRPr="00A22CB6">
        <w:rPr>
          <w:lang w:val="es-ES"/>
        </w:rPr>
        <w:t xml:space="preserve">Sobresalen algunos casos de éxito que deberían ser documentados y difundidos entre las </w:t>
      </w:r>
      <w:proofErr w:type="spellStart"/>
      <w:r w:rsidRPr="00A22CB6">
        <w:rPr>
          <w:lang w:val="es-ES"/>
        </w:rPr>
        <w:t>OSCs</w:t>
      </w:r>
      <w:proofErr w:type="spellEnd"/>
      <w:r w:rsidRPr="00A22CB6">
        <w:rPr>
          <w:lang w:val="es-ES"/>
        </w:rPr>
        <w:t xml:space="preserve"> trabajando en VIH/TB. El primero es el de la Liga de la Lactancia Materna, organización que hace 15 años fundó una escuela bilingüe para sostener sus gastos operativos. El segundo caso es la realización de pruebas de VIH a trabajadores de Aguazul, una empresa embotelladora de agua, a través del proyecto de PASMO (implementador de USAID). A pesar de que este servicio fue financiado por el cooperante, se podría comenzar a ofrecer el servicio con un el cobro de un porcentaje por parte de los empleadores. El tercero consistió en la experiencia de FOROSIDA en San Pedro Sula para bajar una política nacional (la Recomendación 200 OIT) a nivel municipal. Una vez que se implemente y defina su presupuesto, se debería de compartir con otros municipios. Esta estrategia se logró con el apoyo multidisciplinario de la Cámara de Comercio, SESAL, la Secretaría de Trabajo y la Fiscalía de Derechos Humanos.</w:t>
      </w:r>
    </w:p>
    <w:p w14:paraId="78C0D78D" w14:textId="77777777" w:rsidR="005A04F3" w:rsidRPr="00A22CB6" w:rsidRDefault="005A04F3" w:rsidP="00F97892">
      <w:pPr>
        <w:ind w:firstLine="0"/>
        <w:rPr>
          <w:lang w:val="es-ES"/>
        </w:rPr>
      </w:pPr>
      <w:r w:rsidRPr="00A22CB6">
        <w:rPr>
          <w:lang w:val="es-ES"/>
        </w:rPr>
        <w:t>Las OSC participantes compartieron sus experiencias en la obtención de fondos públicos en el ámbito local. Existen convenios con gobiernos locales (especialmente en municipios con cabildo abierto y en municipios pequeños), apoyos municipales para el alquiler de oficinas, predios, almuerzos para reuniones/bolsa de alimentos, unidades móviles, pago de promotores y mobiliario. En Tegucigalpa, la organización APUVIME en algún momento intercambiaba el servicio de charlas a cambio de apoyo para una casa refugio. Por último, se expresó una experiencia agridulce con los préstamos solidarios a nuevas empresas, ya que muchas de ellas acabaron cerrando y con problemas financieros.</w:t>
      </w:r>
    </w:p>
    <w:p w14:paraId="67A59596" w14:textId="77777777" w:rsidR="003F7346" w:rsidRDefault="003F7346" w:rsidP="00F97892">
      <w:pPr>
        <w:ind w:firstLine="0"/>
        <w:rPr>
          <w:b/>
          <w:i/>
          <w:lang w:val="es-ES"/>
        </w:rPr>
      </w:pPr>
    </w:p>
    <w:p w14:paraId="191A31B7" w14:textId="4A48D87A" w:rsidR="005A04F3" w:rsidRPr="00A22CB6" w:rsidRDefault="005A04F3" w:rsidP="00F97892">
      <w:pPr>
        <w:ind w:firstLine="0"/>
        <w:rPr>
          <w:b/>
          <w:i/>
          <w:lang w:val="es-ES"/>
        </w:rPr>
      </w:pPr>
      <w:r w:rsidRPr="00A22CB6">
        <w:rPr>
          <w:b/>
          <w:i/>
          <w:lang w:val="es-ES"/>
        </w:rPr>
        <w:t>Pérdida de enfoque del rol de la sociedad civil - desarrollo de capacidades para su adaptación a un entorno de financiamiento mixto</w:t>
      </w:r>
    </w:p>
    <w:p w14:paraId="1CF1E5C4" w14:textId="77777777" w:rsidR="005A04F3" w:rsidRPr="00A22CB6" w:rsidRDefault="005A04F3" w:rsidP="00F97892">
      <w:pPr>
        <w:ind w:firstLine="0"/>
        <w:rPr>
          <w:lang w:val="es-ES"/>
        </w:rPr>
      </w:pPr>
      <w:r w:rsidRPr="00A22CB6">
        <w:rPr>
          <w:lang w:val="es-ES"/>
        </w:rPr>
        <w:t>En el taller de Tegucigalpa se discutió que las OSC han perdido el enfoque para el que fueron creados, que es trabajar en incidencia, abogacía y defensoría de DDHH. Sin embargo, se reconoció que las OSC realizan y deberán seguir realizando prestación de servicios para lograr su sostenibilidad financiera.</w:t>
      </w:r>
    </w:p>
    <w:p w14:paraId="07085118" w14:textId="77777777" w:rsidR="005A04F3" w:rsidRPr="00A22CB6" w:rsidRDefault="005A04F3" w:rsidP="00F97892">
      <w:pPr>
        <w:ind w:firstLine="0"/>
        <w:rPr>
          <w:lang w:val="es-ES"/>
        </w:rPr>
      </w:pPr>
      <w:r w:rsidRPr="00A22CB6">
        <w:rPr>
          <w:lang w:val="es-ES"/>
        </w:rPr>
        <w:lastRenderedPageBreak/>
        <w:t>A pesar de la falta de financiamiento, las OSC requieren desarrollo de sus capacidades para poder acceder al financiamiento actual, y poder aumentar sus presupuestos con fondos de otras fuentes.  La necesidad de fortalecimiento operativo se centró en actividades generales, como capacitación en manejo de proyectos, financiero, administrativo y gerencial; actividades específicas como preparación de propuestas y planes de negocio; desarrollo de habilidades en comunicación y las redes sociales; talleres de asistencia legal; y formación de redes y alianzas de OSC para promover la incidencia política y activar las leyes y normativas existentes.</w:t>
      </w:r>
    </w:p>
    <w:p w14:paraId="651BC4BB" w14:textId="77777777" w:rsidR="005A04F3" w:rsidRPr="00A22CB6" w:rsidRDefault="005A04F3" w:rsidP="005A04F3">
      <w:pPr>
        <w:rPr>
          <w:lang w:val="es-ES"/>
        </w:rPr>
      </w:pPr>
    </w:p>
    <w:tbl>
      <w:tblPr>
        <w:tblStyle w:val="TableGrid"/>
        <w:tblW w:w="0" w:type="auto"/>
        <w:tblLayout w:type="fixed"/>
        <w:tblLook w:val="04A0" w:firstRow="1" w:lastRow="0" w:firstColumn="1" w:lastColumn="0" w:noHBand="0" w:noVBand="1"/>
      </w:tblPr>
      <w:tblGrid>
        <w:gridCol w:w="8005"/>
        <w:gridCol w:w="1345"/>
      </w:tblGrid>
      <w:tr w:rsidR="005A04F3" w:rsidRPr="003F7346" w14:paraId="708528E0" w14:textId="77777777" w:rsidTr="00EE36B4">
        <w:tc>
          <w:tcPr>
            <w:tcW w:w="8005" w:type="dxa"/>
            <w:shd w:val="clear" w:color="auto" w:fill="1F4E79" w:themeFill="accent1" w:themeFillShade="80"/>
          </w:tcPr>
          <w:p w14:paraId="755730EB" w14:textId="77777777" w:rsidR="005A04F3" w:rsidRPr="00A22CB6" w:rsidRDefault="005A04F3" w:rsidP="00A70600">
            <w:pPr>
              <w:ind w:firstLine="0"/>
              <w:rPr>
                <w:b/>
                <w:color w:val="FFFFFF" w:themeColor="background1"/>
                <w:sz w:val="20"/>
                <w:szCs w:val="20"/>
                <w:lang w:val="es-ES"/>
              </w:rPr>
            </w:pPr>
            <w:r w:rsidRPr="00A22CB6">
              <w:rPr>
                <w:b/>
                <w:color w:val="FFFFFF" w:themeColor="background1"/>
                <w:sz w:val="20"/>
                <w:szCs w:val="20"/>
                <w:lang w:val="es-ES"/>
              </w:rPr>
              <w:t>Necesidad de capacitación</w:t>
            </w:r>
          </w:p>
        </w:tc>
        <w:tc>
          <w:tcPr>
            <w:tcW w:w="1345" w:type="dxa"/>
            <w:shd w:val="clear" w:color="auto" w:fill="1F4E79" w:themeFill="accent1" w:themeFillShade="80"/>
          </w:tcPr>
          <w:p w14:paraId="2CFC924C" w14:textId="77777777" w:rsidR="005A04F3" w:rsidRPr="00A22CB6" w:rsidRDefault="005A04F3" w:rsidP="00EE36B4">
            <w:pPr>
              <w:ind w:firstLine="0"/>
              <w:rPr>
                <w:b/>
                <w:color w:val="FFFFFF" w:themeColor="background1"/>
                <w:sz w:val="20"/>
                <w:szCs w:val="20"/>
                <w:lang w:val="es-ES"/>
              </w:rPr>
            </w:pPr>
            <w:r w:rsidRPr="00A22CB6">
              <w:rPr>
                <w:b/>
                <w:color w:val="FFFFFF" w:themeColor="background1"/>
                <w:sz w:val="20"/>
                <w:szCs w:val="20"/>
                <w:lang w:val="es-ES"/>
              </w:rPr>
              <w:t>Región</w:t>
            </w:r>
          </w:p>
        </w:tc>
      </w:tr>
      <w:tr w:rsidR="005A04F3" w:rsidRPr="003F7346" w14:paraId="19227F8E" w14:textId="77777777" w:rsidTr="00EE36B4">
        <w:tc>
          <w:tcPr>
            <w:tcW w:w="8005" w:type="dxa"/>
          </w:tcPr>
          <w:p w14:paraId="3F7E0D37" w14:textId="77777777" w:rsidR="005A04F3" w:rsidRPr="00A22CB6" w:rsidRDefault="005A04F3" w:rsidP="00EE36B4">
            <w:pPr>
              <w:pStyle w:val="ListParagraph"/>
              <w:numPr>
                <w:ilvl w:val="0"/>
                <w:numId w:val="13"/>
              </w:numPr>
              <w:autoSpaceDN/>
              <w:spacing w:before="0" w:after="0"/>
              <w:ind w:left="433"/>
              <w:contextualSpacing w:val="0"/>
              <w:textAlignment w:val="auto"/>
              <w:rPr>
                <w:sz w:val="20"/>
                <w:szCs w:val="20"/>
                <w:lang w:val="es-ES"/>
              </w:rPr>
            </w:pPr>
            <w:r w:rsidRPr="00A22CB6">
              <w:rPr>
                <w:sz w:val="20"/>
                <w:szCs w:val="20"/>
                <w:lang w:val="es-ES"/>
              </w:rPr>
              <w:t>Desarrollo de planes de negocio para la autosostenibilidad institucional (desarrollo de visión empresarial)</w:t>
            </w:r>
          </w:p>
          <w:p w14:paraId="61CDC9ED" w14:textId="77777777" w:rsidR="005A04F3" w:rsidRPr="00A22CB6" w:rsidRDefault="005A04F3" w:rsidP="00EE36B4">
            <w:pPr>
              <w:pStyle w:val="ListParagraph"/>
              <w:numPr>
                <w:ilvl w:val="0"/>
                <w:numId w:val="13"/>
              </w:numPr>
              <w:autoSpaceDN/>
              <w:spacing w:before="0" w:after="0"/>
              <w:ind w:left="433"/>
              <w:contextualSpacing w:val="0"/>
              <w:textAlignment w:val="auto"/>
              <w:rPr>
                <w:sz w:val="20"/>
                <w:szCs w:val="20"/>
                <w:lang w:val="es-ES"/>
              </w:rPr>
            </w:pPr>
            <w:r w:rsidRPr="00A22CB6">
              <w:rPr>
                <w:sz w:val="20"/>
                <w:szCs w:val="20"/>
                <w:lang w:val="es-ES"/>
              </w:rPr>
              <w:t>Taller sobre el proceso para obtener personería jurídica</w:t>
            </w:r>
          </w:p>
          <w:p w14:paraId="2EC865DC" w14:textId="77777777" w:rsidR="005A04F3" w:rsidRPr="00A22CB6" w:rsidRDefault="005A04F3" w:rsidP="00EE36B4">
            <w:pPr>
              <w:pStyle w:val="ListParagraph"/>
              <w:numPr>
                <w:ilvl w:val="0"/>
                <w:numId w:val="13"/>
              </w:numPr>
              <w:autoSpaceDN/>
              <w:spacing w:before="0" w:after="0"/>
              <w:ind w:left="433"/>
              <w:contextualSpacing w:val="0"/>
              <w:textAlignment w:val="auto"/>
              <w:rPr>
                <w:sz w:val="20"/>
                <w:szCs w:val="20"/>
                <w:lang w:val="es-ES"/>
              </w:rPr>
            </w:pPr>
            <w:r w:rsidRPr="00A22CB6">
              <w:rPr>
                <w:sz w:val="20"/>
                <w:szCs w:val="20"/>
                <w:lang w:val="es-ES"/>
              </w:rPr>
              <w:t>Taller sobre el proceso para obtener exoneración de impuestos</w:t>
            </w:r>
          </w:p>
          <w:p w14:paraId="58F87DD0" w14:textId="77777777" w:rsidR="005A04F3" w:rsidRPr="00A22CB6" w:rsidRDefault="005A04F3" w:rsidP="00EE36B4">
            <w:pPr>
              <w:pStyle w:val="ListParagraph"/>
              <w:numPr>
                <w:ilvl w:val="0"/>
                <w:numId w:val="13"/>
              </w:numPr>
              <w:autoSpaceDN/>
              <w:spacing w:before="0" w:after="0"/>
              <w:ind w:left="433"/>
              <w:contextualSpacing w:val="0"/>
              <w:textAlignment w:val="auto"/>
              <w:rPr>
                <w:sz w:val="20"/>
                <w:szCs w:val="20"/>
                <w:lang w:val="es-ES"/>
              </w:rPr>
            </w:pPr>
            <w:r w:rsidRPr="00A22CB6">
              <w:rPr>
                <w:sz w:val="20"/>
                <w:szCs w:val="20"/>
                <w:lang w:val="es-ES"/>
              </w:rPr>
              <w:t>Diseño y gestión de proyectos</w:t>
            </w:r>
          </w:p>
          <w:p w14:paraId="4FFF8D0C" w14:textId="77777777" w:rsidR="005A04F3" w:rsidRPr="00A22CB6" w:rsidRDefault="005A04F3" w:rsidP="00EE36B4">
            <w:pPr>
              <w:pStyle w:val="ListParagraph"/>
              <w:numPr>
                <w:ilvl w:val="0"/>
                <w:numId w:val="13"/>
              </w:numPr>
              <w:autoSpaceDN/>
              <w:spacing w:before="0" w:after="0"/>
              <w:ind w:left="433"/>
              <w:contextualSpacing w:val="0"/>
              <w:textAlignment w:val="auto"/>
              <w:rPr>
                <w:sz w:val="20"/>
                <w:szCs w:val="20"/>
                <w:lang w:val="es-ES"/>
              </w:rPr>
            </w:pPr>
            <w:r w:rsidRPr="00A22CB6">
              <w:rPr>
                <w:sz w:val="20"/>
                <w:szCs w:val="20"/>
                <w:lang w:val="es-ES"/>
              </w:rPr>
              <w:t>Diseño de herramientas educativas adaptadas al lenguaje de la región o poblaciones</w:t>
            </w:r>
          </w:p>
          <w:p w14:paraId="19D2E233" w14:textId="77777777" w:rsidR="005A04F3" w:rsidRPr="00A22CB6" w:rsidRDefault="005A04F3" w:rsidP="00EE36B4">
            <w:pPr>
              <w:pStyle w:val="ListParagraph"/>
              <w:numPr>
                <w:ilvl w:val="0"/>
                <w:numId w:val="13"/>
              </w:numPr>
              <w:autoSpaceDN/>
              <w:spacing w:before="0" w:after="0"/>
              <w:ind w:left="433"/>
              <w:contextualSpacing w:val="0"/>
              <w:textAlignment w:val="auto"/>
              <w:rPr>
                <w:sz w:val="20"/>
                <w:szCs w:val="20"/>
                <w:lang w:val="es-ES"/>
              </w:rPr>
            </w:pPr>
            <w:r w:rsidRPr="00A22CB6">
              <w:rPr>
                <w:sz w:val="20"/>
                <w:szCs w:val="20"/>
                <w:lang w:val="es-ES"/>
              </w:rPr>
              <w:t>Formación en incidencia política para acceder a fondos municipales y activar la ley de responsabilidad social empresarial/corporativa</w:t>
            </w:r>
          </w:p>
          <w:p w14:paraId="4A3C7407" w14:textId="77777777" w:rsidR="005A04F3" w:rsidRPr="00A22CB6" w:rsidRDefault="005A04F3" w:rsidP="00EE36B4">
            <w:pPr>
              <w:pStyle w:val="ListParagraph"/>
              <w:numPr>
                <w:ilvl w:val="0"/>
                <w:numId w:val="13"/>
              </w:numPr>
              <w:autoSpaceDN/>
              <w:spacing w:before="0" w:after="0"/>
              <w:ind w:left="433"/>
              <w:contextualSpacing w:val="0"/>
              <w:textAlignment w:val="auto"/>
              <w:rPr>
                <w:sz w:val="20"/>
                <w:szCs w:val="20"/>
                <w:lang w:val="es-ES"/>
              </w:rPr>
            </w:pPr>
            <w:r w:rsidRPr="00A22CB6">
              <w:rPr>
                <w:sz w:val="20"/>
                <w:szCs w:val="20"/>
                <w:lang w:val="es-ES"/>
              </w:rPr>
              <w:t>Capacitación en programas contables (</w:t>
            </w:r>
            <w:proofErr w:type="spellStart"/>
            <w:r w:rsidRPr="00A22CB6">
              <w:rPr>
                <w:sz w:val="20"/>
                <w:szCs w:val="20"/>
                <w:lang w:val="es-ES"/>
              </w:rPr>
              <w:t>e.g</w:t>
            </w:r>
            <w:proofErr w:type="spellEnd"/>
            <w:r w:rsidRPr="00A22CB6">
              <w:rPr>
                <w:sz w:val="20"/>
                <w:szCs w:val="20"/>
                <w:lang w:val="es-ES"/>
              </w:rPr>
              <w:t>. Quiz)</w:t>
            </w:r>
          </w:p>
          <w:p w14:paraId="0C3BFE8C" w14:textId="77777777" w:rsidR="005A04F3" w:rsidRPr="00A22CB6" w:rsidRDefault="005A04F3" w:rsidP="00EE36B4">
            <w:pPr>
              <w:pStyle w:val="ListParagraph"/>
              <w:numPr>
                <w:ilvl w:val="0"/>
                <w:numId w:val="13"/>
              </w:numPr>
              <w:autoSpaceDN/>
              <w:spacing w:before="0" w:after="0"/>
              <w:ind w:left="433"/>
              <w:contextualSpacing w:val="0"/>
              <w:textAlignment w:val="auto"/>
              <w:rPr>
                <w:sz w:val="20"/>
                <w:szCs w:val="20"/>
                <w:lang w:val="es-ES"/>
              </w:rPr>
            </w:pPr>
            <w:r w:rsidRPr="00A22CB6">
              <w:rPr>
                <w:sz w:val="20"/>
                <w:szCs w:val="20"/>
                <w:lang w:val="es-ES"/>
              </w:rPr>
              <w:t>Desarrollo de estrategias de promoción y comunicación</w:t>
            </w:r>
          </w:p>
          <w:p w14:paraId="74A0F7B4" w14:textId="77777777" w:rsidR="005A04F3" w:rsidRPr="00A22CB6" w:rsidRDefault="005A04F3" w:rsidP="00EE36B4">
            <w:pPr>
              <w:pStyle w:val="ListParagraph"/>
              <w:numPr>
                <w:ilvl w:val="0"/>
                <w:numId w:val="13"/>
              </w:numPr>
              <w:autoSpaceDN/>
              <w:spacing w:before="0" w:after="0"/>
              <w:ind w:left="433"/>
              <w:contextualSpacing w:val="0"/>
              <w:jc w:val="left"/>
              <w:textAlignment w:val="auto"/>
              <w:rPr>
                <w:sz w:val="20"/>
                <w:szCs w:val="20"/>
                <w:lang w:val="es-ES"/>
              </w:rPr>
            </w:pPr>
            <w:r w:rsidRPr="00A22CB6">
              <w:rPr>
                <w:sz w:val="20"/>
                <w:szCs w:val="20"/>
                <w:lang w:val="es-ES"/>
              </w:rPr>
              <w:t>Fortalecimiento de los lazos con REDCA+ - la Red Centroamericana de Personas con VIH</w:t>
            </w:r>
          </w:p>
        </w:tc>
        <w:tc>
          <w:tcPr>
            <w:tcW w:w="1345" w:type="dxa"/>
          </w:tcPr>
          <w:p w14:paraId="5E4BB318" w14:textId="77777777" w:rsidR="005A04F3" w:rsidRPr="00A22CB6" w:rsidRDefault="005A04F3" w:rsidP="00EE36B4">
            <w:pPr>
              <w:ind w:firstLine="0"/>
              <w:rPr>
                <w:sz w:val="20"/>
                <w:szCs w:val="20"/>
                <w:lang w:val="es-ES"/>
              </w:rPr>
            </w:pPr>
            <w:r w:rsidRPr="00A22CB6">
              <w:rPr>
                <w:sz w:val="20"/>
                <w:szCs w:val="20"/>
                <w:lang w:val="es-ES"/>
              </w:rPr>
              <w:t>La Ceiba</w:t>
            </w:r>
          </w:p>
        </w:tc>
      </w:tr>
      <w:tr w:rsidR="005A04F3" w:rsidRPr="003F7346" w14:paraId="34BC23B8" w14:textId="77777777" w:rsidTr="00EE36B4">
        <w:tc>
          <w:tcPr>
            <w:tcW w:w="8005" w:type="dxa"/>
          </w:tcPr>
          <w:p w14:paraId="5B842A46" w14:textId="77777777" w:rsidR="005A04F3" w:rsidRPr="00A22CB6" w:rsidRDefault="005A04F3" w:rsidP="00EE36B4">
            <w:pPr>
              <w:pStyle w:val="ListParagraph"/>
              <w:numPr>
                <w:ilvl w:val="0"/>
                <w:numId w:val="13"/>
              </w:numPr>
              <w:autoSpaceDN/>
              <w:spacing w:before="0" w:after="0"/>
              <w:ind w:left="433"/>
              <w:contextualSpacing w:val="0"/>
              <w:textAlignment w:val="auto"/>
              <w:rPr>
                <w:sz w:val="20"/>
                <w:szCs w:val="20"/>
                <w:lang w:val="es-ES"/>
              </w:rPr>
            </w:pPr>
            <w:r w:rsidRPr="00A22CB6">
              <w:rPr>
                <w:sz w:val="20"/>
                <w:szCs w:val="20"/>
                <w:lang w:val="es-ES"/>
              </w:rPr>
              <w:t>Taller sobre el proceso de exoneración de impuestos</w:t>
            </w:r>
          </w:p>
          <w:p w14:paraId="7856A867" w14:textId="77777777" w:rsidR="005A04F3" w:rsidRPr="00A22CB6" w:rsidRDefault="005A04F3" w:rsidP="00EE36B4">
            <w:pPr>
              <w:pStyle w:val="ListParagraph"/>
              <w:numPr>
                <w:ilvl w:val="0"/>
                <w:numId w:val="13"/>
              </w:numPr>
              <w:autoSpaceDN/>
              <w:spacing w:before="0" w:after="0"/>
              <w:ind w:left="433"/>
              <w:contextualSpacing w:val="0"/>
              <w:textAlignment w:val="auto"/>
              <w:rPr>
                <w:sz w:val="20"/>
                <w:szCs w:val="20"/>
                <w:lang w:val="es-ES"/>
              </w:rPr>
            </w:pPr>
            <w:r w:rsidRPr="00A22CB6">
              <w:rPr>
                <w:sz w:val="20"/>
                <w:szCs w:val="20"/>
                <w:lang w:val="es-ES"/>
              </w:rPr>
              <w:t>Capacitación en VIH y TB para el personal trabajando en proyectos de cooperación, esto con el objetivo de fortalecer el manejo de la coinfección</w:t>
            </w:r>
          </w:p>
          <w:p w14:paraId="2F87639E" w14:textId="77777777" w:rsidR="005A04F3" w:rsidRPr="00A22CB6" w:rsidRDefault="005A04F3" w:rsidP="00EE36B4">
            <w:pPr>
              <w:pStyle w:val="ListParagraph"/>
              <w:numPr>
                <w:ilvl w:val="0"/>
                <w:numId w:val="13"/>
              </w:numPr>
              <w:autoSpaceDN/>
              <w:spacing w:before="0" w:after="0"/>
              <w:ind w:left="433"/>
              <w:contextualSpacing w:val="0"/>
              <w:textAlignment w:val="auto"/>
              <w:rPr>
                <w:sz w:val="20"/>
                <w:szCs w:val="20"/>
                <w:lang w:val="es-ES"/>
              </w:rPr>
            </w:pPr>
            <w:r w:rsidRPr="00A22CB6">
              <w:rPr>
                <w:sz w:val="20"/>
                <w:szCs w:val="20"/>
                <w:lang w:val="es-ES"/>
              </w:rPr>
              <w:t>Fortalecer la coordinación colectiva de sociedad civil. Por ejemplo, ya hay experiencias de comunicación y asociación informal en proyectos entre Colectivo Rosa y Liga de Lactancia Materna, y entre Kukulcán y ASONAPVSIDAH</w:t>
            </w:r>
          </w:p>
          <w:p w14:paraId="780562F6" w14:textId="77777777" w:rsidR="005A04F3" w:rsidRPr="00A22CB6" w:rsidRDefault="005A04F3" w:rsidP="00EE36B4">
            <w:pPr>
              <w:pStyle w:val="ListParagraph"/>
              <w:numPr>
                <w:ilvl w:val="0"/>
                <w:numId w:val="13"/>
              </w:numPr>
              <w:autoSpaceDN/>
              <w:spacing w:before="0" w:after="0"/>
              <w:ind w:left="433"/>
              <w:contextualSpacing w:val="0"/>
              <w:textAlignment w:val="auto"/>
              <w:rPr>
                <w:sz w:val="20"/>
                <w:szCs w:val="20"/>
                <w:lang w:val="es-MX"/>
              </w:rPr>
            </w:pPr>
            <w:r w:rsidRPr="00A22CB6">
              <w:rPr>
                <w:sz w:val="20"/>
                <w:szCs w:val="20"/>
                <w:lang w:val="es-ES"/>
              </w:rPr>
              <w:t>Revisar la gobernanza institucional de los grupos de autoapoyo a nivel nacional ya que hay cambio de gobierno de la asociación cada 2 años.</w:t>
            </w:r>
          </w:p>
        </w:tc>
        <w:tc>
          <w:tcPr>
            <w:tcW w:w="1345" w:type="dxa"/>
          </w:tcPr>
          <w:p w14:paraId="01B26AE9" w14:textId="77777777" w:rsidR="005A04F3" w:rsidRPr="00A22CB6" w:rsidRDefault="005A04F3" w:rsidP="00EE36B4">
            <w:pPr>
              <w:ind w:firstLine="0"/>
              <w:rPr>
                <w:sz w:val="20"/>
                <w:szCs w:val="20"/>
                <w:lang w:val="es-ES"/>
              </w:rPr>
            </w:pPr>
            <w:r w:rsidRPr="00A22CB6">
              <w:rPr>
                <w:sz w:val="20"/>
                <w:szCs w:val="20"/>
                <w:lang w:val="es-ES"/>
              </w:rPr>
              <w:t>San Pedro Sula</w:t>
            </w:r>
          </w:p>
        </w:tc>
      </w:tr>
      <w:tr w:rsidR="005A04F3" w:rsidRPr="003F7346" w14:paraId="3DA42207" w14:textId="77777777" w:rsidTr="00EE36B4">
        <w:tc>
          <w:tcPr>
            <w:tcW w:w="8005" w:type="dxa"/>
          </w:tcPr>
          <w:p w14:paraId="30B310BB" w14:textId="77777777" w:rsidR="005A04F3" w:rsidRPr="00A22CB6" w:rsidRDefault="005A04F3" w:rsidP="00EE36B4">
            <w:pPr>
              <w:pStyle w:val="ListParagraph"/>
              <w:numPr>
                <w:ilvl w:val="0"/>
                <w:numId w:val="14"/>
              </w:numPr>
              <w:autoSpaceDN/>
              <w:spacing w:before="0" w:after="200" w:line="276" w:lineRule="auto"/>
              <w:ind w:left="433"/>
              <w:textAlignment w:val="auto"/>
              <w:rPr>
                <w:sz w:val="20"/>
                <w:szCs w:val="20"/>
                <w:lang w:val="es-ES"/>
              </w:rPr>
            </w:pPr>
            <w:r w:rsidRPr="00A22CB6">
              <w:rPr>
                <w:sz w:val="20"/>
                <w:szCs w:val="20"/>
                <w:lang w:val="es-ES"/>
              </w:rPr>
              <w:t>Talleres para desarrollar capacidad de formulación</w:t>
            </w:r>
            <w:r w:rsidRPr="00A22CB6">
              <w:rPr>
                <w:sz w:val="20"/>
                <w:szCs w:val="20"/>
                <w:lang w:val="es-MX"/>
              </w:rPr>
              <w:t xml:space="preserve">/conceptualización de proyectos para su financiamiento </w:t>
            </w:r>
            <w:r w:rsidRPr="00A22CB6">
              <w:rPr>
                <w:sz w:val="20"/>
                <w:szCs w:val="20"/>
                <w:lang w:val="es-ES"/>
              </w:rPr>
              <w:t>(externo, nacional-gobierno y nacional-privado)</w:t>
            </w:r>
          </w:p>
          <w:p w14:paraId="609599F8" w14:textId="77777777" w:rsidR="005A04F3" w:rsidRPr="00A22CB6" w:rsidRDefault="005A04F3" w:rsidP="00EE36B4">
            <w:pPr>
              <w:pStyle w:val="ListParagraph"/>
              <w:numPr>
                <w:ilvl w:val="0"/>
                <w:numId w:val="14"/>
              </w:numPr>
              <w:autoSpaceDN/>
              <w:spacing w:before="0" w:after="200" w:line="276" w:lineRule="auto"/>
              <w:ind w:left="433"/>
              <w:textAlignment w:val="auto"/>
              <w:rPr>
                <w:sz w:val="20"/>
                <w:szCs w:val="20"/>
                <w:lang w:val="es-ES"/>
              </w:rPr>
            </w:pPr>
            <w:r w:rsidRPr="00A22CB6">
              <w:rPr>
                <w:sz w:val="20"/>
                <w:szCs w:val="20"/>
                <w:lang w:val="es-ES"/>
              </w:rPr>
              <w:t>Asistencia legal para expeditar la obtención de personalidad/ personería jurídica especialmente de OSC nuevas o pequeñas.</w:t>
            </w:r>
          </w:p>
          <w:p w14:paraId="6640963C" w14:textId="77777777" w:rsidR="005A04F3" w:rsidRPr="00A22CB6" w:rsidRDefault="005A04F3" w:rsidP="00EE36B4">
            <w:pPr>
              <w:pStyle w:val="ListParagraph"/>
              <w:numPr>
                <w:ilvl w:val="0"/>
                <w:numId w:val="14"/>
              </w:numPr>
              <w:autoSpaceDN/>
              <w:spacing w:before="0" w:after="0"/>
              <w:ind w:left="433"/>
              <w:textAlignment w:val="auto"/>
              <w:rPr>
                <w:sz w:val="20"/>
                <w:szCs w:val="20"/>
                <w:lang w:val="es-ES"/>
              </w:rPr>
            </w:pPr>
            <w:r w:rsidRPr="00A22CB6">
              <w:rPr>
                <w:sz w:val="20"/>
                <w:szCs w:val="20"/>
                <w:lang w:val="es-ES"/>
              </w:rPr>
              <w:t>Apoyo en capacitación y desarrollo plataformas juveniles de veeduría social, por ej. para exigir rendición de cuentas en compra y distribución de medicamentos, ejecución presupuestal, etc.</w:t>
            </w:r>
          </w:p>
          <w:p w14:paraId="56D05F27" w14:textId="77777777" w:rsidR="005A04F3" w:rsidRPr="00A22CB6" w:rsidRDefault="005A04F3" w:rsidP="00EE36B4">
            <w:pPr>
              <w:pStyle w:val="ListParagraph"/>
              <w:numPr>
                <w:ilvl w:val="0"/>
                <w:numId w:val="14"/>
              </w:numPr>
              <w:autoSpaceDN/>
              <w:spacing w:before="0" w:after="0"/>
              <w:ind w:left="433"/>
              <w:textAlignment w:val="auto"/>
              <w:rPr>
                <w:sz w:val="20"/>
                <w:szCs w:val="20"/>
                <w:lang w:val="es-ES"/>
              </w:rPr>
            </w:pPr>
            <w:r w:rsidRPr="00A22CB6">
              <w:rPr>
                <w:sz w:val="20"/>
                <w:szCs w:val="20"/>
                <w:lang w:val="es-ES"/>
              </w:rPr>
              <w:t>Talleres sobre incidencia política para revisión del marco legal para proveer acceso a atención integral de VIH para jóvenes menores de 21 años – ciudadanía y mayoría de edad no concordantes, limitan entre otras cosas el acceso a preservativos.</w:t>
            </w:r>
          </w:p>
          <w:p w14:paraId="12DF2F77" w14:textId="77777777" w:rsidR="005A04F3" w:rsidRPr="00A22CB6" w:rsidRDefault="005A04F3" w:rsidP="00EE36B4">
            <w:pPr>
              <w:pStyle w:val="ListParagraph"/>
              <w:numPr>
                <w:ilvl w:val="0"/>
                <w:numId w:val="14"/>
              </w:numPr>
              <w:autoSpaceDN/>
              <w:spacing w:before="0" w:after="0"/>
              <w:ind w:left="433"/>
              <w:textAlignment w:val="auto"/>
              <w:rPr>
                <w:sz w:val="20"/>
                <w:szCs w:val="20"/>
                <w:lang w:val="es-ES"/>
              </w:rPr>
            </w:pPr>
            <w:r w:rsidRPr="00A22CB6">
              <w:rPr>
                <w:sz w:val="20"/>
                <w:szCs w:val="20"/>
                <w:lang w:val="es-ES"/>
              </w:rPr>
              <w:t>Talleres para la elaboración de guiones metodológicos para transmitir información y aumentar el impacto de acciones de prevención – especialmente para violencia de género y crímenes basados en odio.</w:t>
            </w:r>
          </w:p>
          <w:p w14:paraId="172CA8F9" w14:textId="77777777" w:rsidR="005A04F3" w:rsidRPr="00A22CB6" w:rsidRDefault="005A04F3" w:rsidP="00EE36B4">
            <w:pPr>
              <w:pStyle w:val="ListParagraph"/>
              <w:numPr>
                <w:ilvl w:val="0"/>
                <w:numId w:val="14"/>
              </w:numPr>
              <w:autoSpaceDN/>
              <w:spacing w:before="0" w:after="200" w:line="276" w:lineRule="auto"/>
              <w:ind w:left="433"/>
              <w:textAlignment w:val="auto"/>
              <w:rPr>
                <w:sz w:val="20"/>
                <w:szCs w:val="20"/>
                <w:lang w:val="es-ES"/>
              </w:rPr>
            </w:pPr>
            <w:r w:rsidRPr="00A22CB6">
              <w:rPr>
                <w:sz w:val="20"/>
                <w:szCs w:val="20"/>
                <w:lang w:val="es-ES"/>
              </w:rPr>
              <w:t>Talleres para desarrollo de una cultura de derecho y empoderamiento de las OSC – así como asistencia jurídica explícita para completar los procesos de denuncia.</w:t>
            </w:r>
          </w:p>
          <w:p w14:paraId="275B0989" w14:textId="77777777" w:rsidR="005A04F3" w:rsidRPr="00A22CB6" w:rsidRDefault="005A04F3" w:rsidP="00EE36B4">
            <w:pPr>
              <w:pStyle w:val="ListParagraph"/>
              <w:numPr>
                <w:ilvl w:val="0"/>
                <w:numId w:val="14"/>
              </w:numPr>
              <w:autoSpaceDN/>
              <w:spacing w:before="0" w:after="0"/>
              <w:ind w:left="433"/>
              <w:textAlignment w:val="auto"/>
              <w:rPr>
                <w:sz w:val="20"/>
                <w:szCs w:val="20"/>
                <w:lang w:val="es-ES"/>
              </w:rPr>
            </w:pPr>
            <w:r w:rsidRPr="00A22CB6">
              <w:rPr>
                <w:sz w:val="20"/>
                <w:szCs w:val="20"/>
                <w:lang w:val="es-ES"/>
              </w:rPr>
              <w:t>Asistencia jurídica, contable y de auditoría, todos aspectos esenciales para la capacidad gerencial y administrativa la las OSC.</w:t>
            </w:r>
          </w:p>
        </w:tc>
        <w:tc>
          <w:tcPr>
            <w:tcW w:w="1345" w:type="dxa"/>
          </w:tcPr>
          <w:p w14:paraId="6A89A5A2" w14:textId="77777777" w:rsidR="005A04F3" w:rsidRPr="00A22CB6" w:rsidRDefault="005A04F3" w:rsidP="00EE36B4">
            <w:pPr>
              <w:ind w:firstLine="0"/>
              <w:rPr>
                <w:sz w:val="20"/>
                <w:szCs w:val="20"/>
                <w:lang w:val="es-ES"/>
              </w:rPr>
            </w:pPr>
            <w:r w:rsidRPr="00A22CB6">
              <w:rPr>
                <w:sz w:val="20"/>
                <w:szCs w:val="20"/>
                <w:lang w:val="es-ES"/>
              </w:rPr>
              <w:t>Tegucigalpa</w:t>
            </w:r>
          </w:p>
        </w:tc>
      </w:tr>
    </w:tbl>
    <w:p w14:paraId="2B9ACFD9" w14:textId="6D248023" w:rsidR="008F7AD3" w:rsidRPr="00782E5F" w:rsidRDefault="008F7AD3" w:rsidP="00DA2F40">
      <w:pPr>
        <w:ind w:firstLine="0"/>
        <w:rPr>
          <w:b/>
          <w:szCs w:val="22"/>
          <w:lang w:val="es-419"/>
        </w:rPr>
      </w:pPr>
    </w:p>
    <w:p w14:paraId="2EA576CC" w14:textId="657790AB" w:rsidR="00E57BF7" w:rsidRPr="00640B3F" w:rsidRDefault="004C7756" w:rsidP="004C7756">
      <w:pPr>
        <w:ind w:firstLine="0"/>
        <w:rPr>
          <w:b/>
          <w:szCs w:val="22"/>
          <w:u w:val="single"/>
          <w:lang w:val="es-419"/>
        </w:rPr>
      </w:pPr>
      <w:r w:rsidRPr="00640B3F">
        <w:rPr>
          <w:b/>
          <w:szCs w:val="22"/>
          <w:u w:val="single"/>
          <w:lang w:val="es-419"/>
        </w:rPr>
        <w:t>Recomendaciones para la sostenibilidad y resiliencia de sociedad civil más allá de la transición</w:t>
      </w:r>
    </w:p>
    <w:p w14:paraId="2483F9FD" w14:textId="77777777" w:rsidR="004C7756" w:rsidRPr="009F0992" w:rsidRDefault="004C7756" w:rsidP="004C7756">
      <w:pPr>
        <w:ind w:firstLine="0"/>
        <w:rPr>
          <w:b/>
          <w:szCs w:val="22"/>
          <w:lang w:val="es-419"/>
        </w:rPr>
      </w:pPr>
      <w:r w:rsidRPr="00570BB8">
        <w:rPr>
          <w:b/>
          <w:szCs w:val="22"/>
          <w:lang w:val="es-419"/>
        </w:rPr>
        <w:t xml:space="preserve">Recomendación 1: </w:t>
      </w:r>
      <w:r w:rsidRPr="00FB337C">
        <w:rPr>
          <w:szCs w:val="22"/>
          <w:lang w:val="es-419"/>
        </w:rPr>
        <w:t xml:space="preserve">Diseñar y aprobar un Plan Nacional de Financiamiento y Fortalecimiento de las OSC con participación de OSC para revertir la situación precaria de las OSC en Honduras. Tomar en cuenta la </w:t>
      </w:r>
      <w:r w:rsidRPr="00FB337C">
        <w:rPr>
          <w:szCs w:val="22"/>
          <w:lang w:val="es-419"/>
        </w:rPr>
        <w:lastRenderedPageBreak/>
        <w:t xml:space="preserve">experiencia de OSC con trayectoria que han logrado un espacio de trabajo y reconocimiento (Kukulcán, FOROSIDA, Arcoíris y otras) y ejemplos de financiamiento público y privado en otros países (México, República Dominicana). El Plan debe incluir proyectos conjuntos entre el gobierno y las OSC </w:t>
      </w:r>
      <w:r w:rsidRPr="00A537F2">
        <w:rPr>
          <w:szCs w:val="22"/>
          <w:lang w:val="es-419"/>
        </w:rPr>
        <w:t>en prevención, i</w:t>
      </w:r>
      <w:r w:rsidRPr="00342410">
        <w:rPr>
          <w:szCs w:val="22"/>
          <w:lang w:val="es-419"/>
        </w:rPr>
        <w:t>nformación y servicios de salud y de asistencia social, especialmente para las comunidades del interior del país, la población indígena y la privada de libertad.</w:t>
      </w:r>
      <w:r w:rsidRPr="004B4ADA">
        <w:rPr>
          <w:b/>
          <w:szCs w:val="22"/>
          <w:lang w:val="es-419"/>
        </w:rPr>
        <w:t xml:space="preserve"> </w:t>
      </w:r>
    </w:p>
    <w:p w14:paraId="761A1BF9" w14:textId="77777777" w:rsidR="004C7756" w:rsidRPr="00E95AE0" w:rsidRDefault="004C7756" w:rsidP="004C7756">
      <w:pPr>
        <w:ind w:firstLine="0"/>
        <w:rPr>
          <w:b/>
          <w:szCs w:val="22"/>
          <w:lang w:val="es-419"/>
        </w:rPr>
      </w:pPr>
      <w:r w:rsidRPr="009F0992">
        <w:rPr>
          <w:b/>
          <w:szCs w:val="22"/>
          <w:lang w:val="es-419"/>
        </w:rPr>
        <w:t xml:space="preserve">Recomendación 2: </w:t>
      </w:r>
      <w:r w:rsidRPr="009F0992">
        <w:rPr>
          <w:szCs w:val="22"/>
          <w:lang w:val="es-419"/>
        </w:rPr>
        <w:t xml:space="preserve">Fortalecer el trabajo conjunto de los programas de TB y VIH, </w:t>
      </w:r>
      <w:r w:rsidRPr="00E95AE0">
        <w:rPr>
          <w:szCs w:val="22"/>
          <w:lang w:val="es-419"/>
        </w:rPr>
        <w:t>especialmente para la detección y tratamiento de la coinfección TB/VIH con participación de las OSC, y captar recursos financieros y logísticos públicos y privados.</w:t>
      </w:r>
    </w:p>
    <w:p w14:paraId="62B02115" w14:textId="77777777" w:rsidR="004C7756" w:rsidRPr="00E95AE0" w:rsidRDefault="004C7756" w:rsidP="004C7756">
      <w:pPr>
        <w:ind w:firstLine="0"/>
        <w:rPr>
          <w:b/>
          <w:szCs w:val="22"/>
          <w:lang w:val="es-419"/>
        </w:rPr>
      </w:pPr>
      <w:r w:rsidRPr="00E95AE0">
        <w:rPr>
          <w:b/>
          <w:szCs w:val="22"/>
          <w:lang w:val="es-419"/>
        </w:rPr>
        <w:t xml:space="preserve">Recomendación 3: </w:t>
      </w:r>
      <w:r w:rsidRPr="00E95AE0">
        <w:rPr>
          <w:szCs w:val="22"/>
          <w:lang w:val="es-419"/>
        </w:rPr>
        <w:t>Realizar incidencia para la aplicación extendida del Reglamento de Certificación Proveedores / Administradores de Salud para certificar a OSC en VIH y TB.</w:t>
      </w:r>
    </w:p>
    <w:p w14:paraId="19F205C3" w14:textId="77777777" w:rsidR="004C7756" w:rsidRPr="00E95AE0" w:rsidRDefault="004C7756" w:rsidP="004C7756">
      <w:pPr>
        <w:ind w:firstLine="0"/>
        <w:rPr>
          <w:b/>
          <w:szCs w:val="22"/>
          <w:lang w:val="es-419"/>
        </w:rPr>
      </w:pPr>
      <w:r w:rsidRPr="00E95AE0">
        <w:rPr>
          <w:b/>
          <w:szCs w:val="22"/>
          <w:lang w:val="es-419"/>
        </w:rPr>
        <w:t xml:space="preserve">Recomendación 4: </w:t>
      </w:r>
      <w:r w:rsidRPr="00E95AE0">
        <w:rPr>
          <w:szCs w:val="22"/>
          <w:lang w:val="es-419"/>
        </w:rPr>
        <w:t>Revisar la legislación de donaciones y tributaria para que las OSC puedan recibir donaciones corporativas e individuales deducibles de impuestos.</w:t>
      </w:r>
    </w:p>
    <w:p w14:paraId="74D3C93A" w14:textId="77777777" w:rsidR="004C7756" w:rsidRPr="00A22CB6" w:rsidRDefault="004C7756" w:rsidP="004C7756">
      <w:pPr>
        <w:ind w:firstLine="0"/>
        <w:rPr>
          <w:b/>
          <w:szCs w:val="22"/>
          <w:lang w:val="es-419"/>
        </w:rPr>
      </w:pPr>
      <w:r w:rsidRPr="00A22CB6">
        <w:rPr>
          <w:b/>
          <w:szCs w:val="22"/>
          <w:lang w:val="es-419"/>
        </w:rPr>
        <w:t xml:space="preserve">Recomendación 5: </w:t>
      </w:r>
      <w:r w:rsidRPr="00A22CB6">
        <w:rPr>
          <w:szCs w:val="22"/>
          <w:lang w:val="es-419"/>
        </w:rPr>
        <w:t>Otorgar a las OSC el estatus de inmunidad de impuesto por medio de la cual quedan totalmente exentas de todo pago de impuestos. Redactar y pasar legislación sobre OSC que incluya que las OSC pueden desarrollar empresas sociales para su financiamiento y expansión de sus ingresos, todos dentro del mecanismo de exención de impuestos a las OSC.</w:t>
      </w:r>
    </w:p>
    <w:p w14:paraId="7BDBA988" w14:textId="77777777" w:rsidR="004C7756" w:rsidRPr="00A22CB6" w:rsidRDefault="004C7756" w:rsidP="004C7756">
      <w:pPr>
        <w:ind w:firstLine="0"/>
        <w:rPr>
          <w:szCs w:val="22"/>
          <w:lang w:val="es-419"/>
        </w:rPr>
      </w:pPr>
      <w:r w:rsidRPr="00A22CB6">
        <w:rPr>
          <w:b/>
          <w:szCs w:val="22"/>
          <w:lang w:val="es-419"/>
        </w:rPr>
        <w:t xml:space="preserve">Recomendación 6: </w:t>
      </w:r>
      <w:r w:rsidRPr="00A22CB6">
        <w:rPr>
          <w:szCs w:val="22"/>
          <w:lang w:val="es-419"/>
        </w:rPr>
        <w:t>Establecer una nueva OSC dedicada a TB en lugares de trabajo en conjunto con empresas y sindicatos, con el foco inicial en las maquilas y / o fábricas. Esta OSC podrá abrir oportunidades de actividades con el sector laboral y empresarial, cuya experiencia puede ser usada por las OSC trabajando en VIH.  El líder de esta iniciativa deberá participar en el MCP y en las actividades de promoción y protección de derechos humanos con las OSC trabajando en VIH.</w:t>
      </w:r>
    </w:p>
    <w:p w14:paraId="3503C32A" w14:textId="77777777" w:rsidR="004C7756" w:rsidRPr="00A22CB6" w:rsidRDefault="004C7756" w:rsidP="004C7756">
      <w:pPr>
        <w:ind w:firstLine="0"/>
        <w:rPr>
          <w:b/>
          <w:szCs w:val="22"/>
          <w:lang w:val="es-419"/>
        </w:rPr>
      </w:pPr>
      <w:r w:rsidRPr="00A22CB6">
        <w:rPr>
          <w:b/>
          <w:szCs w:val="22"/>
          <w:lang w:val="es-419"/>
        </w:rPr>
        <w:t xml:space="preserve">Recomendación 7: </w:t>
      </w:r>
      <w:r w:rsidRPr="00A22CB6">
        <w:rPr>
          <w:szCs w:val="22"/>
          <w:lang w:val="es-419"/>
        </w:rPr>
        <w:t>Revisitar la propuesta de crear un Observatorio de DDHH para VIH o un centro de apoyo jurídico para el procesamiento de denuncias.</w:t>
      </w:r>
    </w:p>
    <w:p w14:paraId="6C62E65E" w14:textId="77777777" w:rsidR="004C7756" w:rsidRPr="00A22CB6" w:rsidRDefault="004C7756" w:rsidP="004C7756">
      <w:pPr>
        <w:ind w:firstLine="0"/>
        <w:rPr>
          <w:b/>
          <w:szCs w:val="22"/>
          <w:lang w:val="es-419"/>
        </w:rPr>
      </w:pPr>
      <w:r w:rsidRPr="00A22CB6">
        <w:rPr>
          <w:b/>
          <w:szCs w:val="22"/>
          <w:lang w:val="es-419"/>
        </w:rPr>
        <w:t xml:space="preserve">Recomendación 8: </w:t>
      </w:r>
      <w:r w:rsidRPr="00A22CB6">
        <w:rPr>
          <w:szCs w:val="22"/>
          <w:lang w:val="es-419"/>
        </w:rPr>
        <w:t>Fortalecer el dialogo entre las OSC y SESAL / CONASIDA para el desarrollo de proyectos a ser ejecutados por las OSC.</w:t>
      </w:r>
      <w:r w:rsidRPr="00A22CB6">
        <w:rPr>
          <w:b/>
          <w:szCs w:val="22"/>
          <w:lang w:val="es-419"/>
        </w:rPr>
        <w:t xml:space="preserve"> </w:t>
      </w:r>
    </w:p>
    <w:p w14:paraId="292C8243" w14:textId="77777777" w:rsidR="004C7756" w:rsidRPr="00A22CB6" w:rsidRDefault="004C7756" w:rsidP="004C7756">
      <w:pPr>
        <w:ind w:firstLine="0"/>
        <w:rPr>
          <w:b/>
          <w:szCs w:val="22"/>
          <w:lang w:val="es-419"/>
        </w:rPr>
      </w:pPr>
      <w:r w:rsidRPr="00A22CB6">
        <w:rPr>
          <w:b/>
          <w:szCs w:val="22"/>
          <w:lang w:val="es-419"/>
        </w:rPr>
        <w:t xml:space="preserve">Recomendación 9: </w:t>
      </w:r>
      <w:r w:rsidRPr="00A22CB6">
        <w:rPr>
          <w:szCs w:val="22"/>
          <w:lang w:val="es-419"/>
        </w:rPr>
        <w:t xml:space="preserve">Realizar una compilación de mejores prácticas de contratación de </w:t>
      </w:r>
      <w:proofErr w:type="spellStart"/>
      <w:r w:rsidRPr="00A22CB6">
        <w:rPr>
          <w:szCs w:val="22"/>
          <w:lang w:val="es-419"/>
        </w:rPr>
        <w:t>OSCs</w:t>
      </w:r>
      <w:proofErr w:type="spellEnd"/>
      <w:r w:rsidRPr="00A22CB6">
        <w:rPr>
          <w:szCs w:val="22"/>
          <w:lang w:val="es-419"/>
        </w:rPr>
        <w:t xml:space="preserve"> con fondos públicos o privados y difundirlo con las organizaciones miembro de las Coaliciones de VIH y TB.</w:t>
      </w:r>
    </w:p>
    <w:p w14:paraId="2B8DFD36" w14:textId="77777777" w:rsidR="004C7756" w:rsidRPr="00A22CB6" w:rsidRDefault="004C7756" w:rsidP="004C7756">
      <w:pPr>
        <w:ind w:firstLine="0"/>
        <w:rPr>
          <w:szCs w:val="22"/>
          <w:lang w:val="es-419"/>
        </w:rPr>
      </w:pPr>
      <w:r w:rsidRPr="00A22CB6">
        <w:rPr>
          <w:b/>
          <w:szCs w:val="22"/>
          <w:lang w:val="es-419"/>
        </w:rPr>
        <w:t xml:space="preserve">Recomendación 10: </w:t>
      </w:r>
      <w:r w:rsidRPr="00A22CB6">
        <w:rPr>
          <w:szCs w:val="22"/>
          <w:lang w:val="es-419"/>
        </w:rPr>
        <w:t>El país debería seguir discutiendo para profundizar y explorar más:</w:t>
      </w:r>
    </w:p>
    <w:p w14:paraId="6D307B9A" w14:textId="77777777" w:rsidR="00EE36B4" w:rsidRPr="00A22CB6" w:rsidRDefault="004C7756" w:rsidP="00EE36B4">
      <w:pPr>
        <w:pStyle w:val="ListParagraph"/>
        <w:numPr>
          <w:ilvl w:val="0"/>
          <w:numId w:val="15"/>
        </w:numPr>
        <w:rPr>
          <w:szCs w:val="22"/>
          <w:lang w:val="es-419"/>
        </w:rPr>
      </w:pPr>
      <w:r w:rsidRPr="00A22CB6">
        <w:rPr>
          <w:szCs w:val="22"/>
          <w:lang w:val="es-419"/>
        </w:rPr>
        <w:t>Fortalecimiento de alianzas;</w:t>
      </w:r>
    </w:p>
    <w:p w14:paraId="7AB8A14F" w14:textId="77777777" w:rsidR="00EE36B4" w:rsidRPr="00A22CB6" w:rsidRDefault="004C7756" w:rsidP="00EE36B4">
      <w:pPr>
        <w:pStyle w:val="ListParagraph"/>
        <w:numPr>
          <w:ilvl w:val="0"/>
          <w:numId w:val="15"/>
        </w:numPr>
        <w:rPr>
          <w:szCs w:val="22"/>
          <w:lang w:val="es-419"/>
        </w:rPr>
      </w:pPr>
      <w:r w:rsidRPr="00A22CB6">
        <w:rPr>
          <w:szCs w:val="22"/>
          <w:lang w:val="es-419"/>
        </w:rPr>
        <w:t>Fortalecimiento de la incidencia con representantes municipales para el financiamiento y apoyo a las actividades de las OSC;</w:t>
      </w:r>
    </w:p>
    <w:p w14:paraId="6DB28F49" w14:textId="77777777" w:rsidR="00EE36B4" w:rsidRPr="00A22CB6" w:rsidRDefault="004C7756" w:rsidP="00EE36B4">
      <w:pPr>
        <w:pStyle w:val="ListParagraph"/>
        <w:numPr>
          <w:ilvl w:val="0"/>
          <w:numId w:val="15"/>
        </w:numPr>
        <w:rPr>
          <w:szCs w:val="22"/>
          <w:lang w:val="es-419"/>
        </w:rPr>
      </w:pPr>
      <w:r w:rsidRPr="00A22CB6">
        <w:rPr>
          <w:szCs w:val="22"/>
          <w:lang w:val="es-419"/>
        </w:rPr>
        <w:t>Promoción y apoyo con recursos financieros y logísticos de la formación de redes y alianzas entre las OSC locales y con redes regionales; y</w:t>
      </w:r>
    </w:p>
    <w:p w14:paraId="5C3B8F55" w14:textId="68D0ED71" w:rsidR="008F7AD3" w:rsidRPr="00E57BF7" w:rsidRDefault="004C7756" w:rsidP="00E57BF7">
      <w:pPr>
        <w:pStyle w:val="ListParagraph"/>
        <w:numPr>
          <w:ilvl w:val="0"/>
          <w:numId w:val="15"/>
        </w:numPr>
        <w:rPr>
          <w:rFonts w:cstheme="minorHAnsi"/>
          <w:szCs w:val="22"/>
          <w:lang w:val="es-419"/>
        </w:rPr>
      </w:pPr>
      <w:r w:rsidRPr="00A22CB6">
        <w:rPr>
          <w:szCs w:val="22"/>
          <w:lang w:val="es-419"/>
        </w:rPr>
        <w:t>Creación y convocatoria a Foros Municipales anuales sobre OSC y VIH y TB para asegurar continuidad en el financiamiento y apoyo a las labores de las OSC, y para elevar los progresos en la respuesta a las epidemias en un contexto de descentralización.</w:t>
      </w:r>
      <w:r w:rsidR="008F7AD3" w:rsidRPr="00E57BF7">
        <w:rPr>
          <w:rFonts w:cstheme="minorHAnsi"/>
          <w:b/>
          <w:szCs w:val="22"/>
          <w:lang w:val="es-419"/>
        </w:rPr>
        <w:br w:type="page"/>
      </w:r>
    </w:p>
    <w:p w14:paraId="47BFD5C7" w14:textId="5C34ED00" w:rsidR="00EA1BF3" w:rsidRPr="00216BAC" w:rsidRDefault="00BC1612" w:rsidP="00DA2F40">
      <w:pPr>
        <w:ind w:firstLine="0"/>
        <w:rPr>
          <w:rFonts w:cstheme="minorHAnsi"/>
          <w:b/>
          <w:szCs w:val="22"/>
          <w:lang w:val="es-ES"/>
        </w:rPr>
      </w:pPr>
      <w:r>
        <w:rPr>
          <w:rFonts w:cstheme="minorHAnsi"/>
          <w:b/>
          <w:szCs w:val="22"/>
          <w:lang w:val="es-419"/>
        </w:rPr>
        <w:lastRenderedPageBreak/>
        <w:t xml:space="preserve">ANEXO </w:t>
      </w:r>
      <w:r w:rsidR="008F7AD3">
        <w:rPr>
          <w:rFonts w:cstheme="minorHAnsi"/>
          <w:b/>
          <w:szCs w:val="22"/>
          <w:lang w:val="es-419"/>
        </w:rPr>
        <w:t>3</w:t>
      </w:r>
      <w:r>
        <w:rPr>
          <w:rFonts w:cstheme="minorHAnsi"/>
          <w:b/>
          <w:szCs w:val="22"/>
          <w:lang w:val="es-419"/>
        </w:rPr>
        <w:t xml:space="preserve">. </w:t>
      </w:r>
      <w:r w:rsidR="00EA1BF3">
        <w:rPr>
          <w:rFonts w:cstheme="minorHAnsi"/>
          <w:b/>
          <w:szCs w:val="22"/>
          <w:lang w:val="es-ES"/>
        </w:rPr>
        <w:t xml:space="preserve">Financiamiento </w:t>
      </w:r>
      <w:r w:rsidR="00EA1BF3" w:rsidRPr="00216BAC">
        <w:rPr>
          <w:rFonts w:cstheme="minorHAnsi"/>
          <w:b/>
          <w:szCs w:val="22"/>
          <w:lang w:val="es-ES"/>
        </w:rPr>
        <w:t>P</w:t>
      </w:r>
      <w:r w:rsidR="00EA1BF3">
        <w:rPr>
          <w:rFonts w:cstheme="minorHAnsi"/>
          <w:b/>
          <w:szCs w:val="22"/>
          <w:lang w:val="es-ES"/>
        </w:rPr>
        <w:t>ú</w:t>
      </w:r>
      <w:r w:rsidR="00EA1BF3" w:rsidRPr="00216BAC">
        <w:rPr>
          <w:rFonts w:cstheme="minorHAnsi"/>
          <w:b/>
          <w:szCs w:val="22"/>
          <w:lang w:val="es-ES"/>
        </w:rPr>
        <w:t>blico de las Organizaciones de la Sociedad Civil en Honduras</w:t>
      </w:r>
    </w:p>
    <w:p w14:paraId="25791DEB" w14:textId="77777777" w:rsidR="00EA1BF3" w:rsidRPr="00216BAC" w:rsidRDefault="00EA1BF3" w:rsidP="00EA1BF3">
      <w:pPr>
        <w:rPr>
          <w:rFonts w:cstheme="minorHAnsi"/>
          <w:szCs w:val="22"/>
          <w:lang w:val="es-ES"/>
        </w:rPr>
      </w:pPr>
    </w:p>
    <w:p w14:paraId="148C9E15" w14:textId="798FC823" w:rsidR="00EA1BF3" w:rsidRPr="005E2BA8" w:rsidRDefault="00EA1BF3" w:rsidP="00BC1612">
      <w:pPr>
        <w:ind w:firstLine="0"/>
        <w:rPr>
          <w:rFonts w:cstheme="minorHAnsi"/>
          <w:b/>
          <w:szCs w:val="22"/>
          <w:lang w:val="es-ES"/>
        </w:rPr>
      </w:pPr>
      <w:r w:rsidRPr="00216BAC">
        <w:rPr>
          <w:rFonts w:cstheme="minorHAnsi"/>
          <w:b/>
          <w:szCs w:val="22"/>
          <w:lang w:val="es-ES"/>
        </w:rPr>
        <w:t>Problema:</w:t>
      </w:r>
    </w:p>
    <w:p w14:paraId="1E6D281D" w14:textId="4CA3DEF4" w:rsidR="00EA1BF3" w:rsidRPr="00216BAC" w:rsidRDefault="00EA1BF3" w:rsidP="00BC1612">
      <w:pPr>
        <w:ind w:firstLine="0"/>
        <w:rPr>
          <w:rFonts w:cstheme="minorHAnsi"/>
          <w:szCs w:val="22"/>
          <w:lang w:val="es-ES"/>
        </w:rPr>
      </w:pPr>
      <w:r w:rsidRPr="00216BAC">
        <w:rPr>
          <w:rFonts w:cstheme="minorHAnsi"/>
          <w:szCs w:val="22"/>
          <w:lang w:val="es-ES"/>
        </w:rPr>
        <w:t xml:space="preserve">Necesidad de un mecanismo formal de asignación de recursos financieros públicos para la contratación </w:t>
      </w:r>
      <w:r>
        <w:rPr>
          <w:rFonts w:cstheme="minorHAnsi"/>
          <w:szCs w:val="22"/>
          <w:lang w:val="es-ES"/>
        </w:rPr>
        <w:t xml:space="preserve">de Organizaciones de la Sociedad Civil (OSC) para </w:t>
      </w:r>
      <w:r w:rsidRPr="00216BAC">
        <w:rPr>
          <w:rFonts w:cstheme="minorHAnsi"/>
          <w:szCs w:val="22"/>
          <w:lang w:val="es-ES"/>
        </w:rPr>
        <w:t xml:space="preserve">de servicios de apoyo y complementarios en la respuesta a la epidemia del VIH/Sida. </w:t>
      </w:r>
    </w:p>
    <w:p w14:paraId="4C25F309" w14:textId="46FDA036" w:rsidR="00EA1BF3" w:rsidRPr="00216BAC" w:rsidRDefault="00EA1BF3" w:rsidP="00BC1612">
      <w:pPr>
        <w:ind w:firstLine="0"/>
        <w:rPr>
          <w:rFonts w:cstheme="minorHAnsi"/>
          <w:szCs w:val="22"/>
          <w:lang w:val="es-ES"/>
        </w:rPr>
      </w:pPr>
      <w:r w:rsidRPr="00216BAC">
        <w:rPr>
          <w:rFonts w:cstheme="minorHAnsi"/>
          <w:szCs w:val="22"/>
          <w:lang w:val="es-ES"/>
        </w:rPr>
        <w:t>Ejemplos: Censida en México</w:t>
      </w:r>
      <w:r>
        <w:rPr>
          <w:rFonts w:cstheme="minorHAnsi"/>
          <w:szCs w:val="22"/>
          <w:lang w:val="es-ES"/>
        </w:rPr>
        <w:t>, organismo descentralizado adscrito a la Secretaria de Salud para el manejo de recursos presupuestarios para la contratación de OSC en VIH.</w:t>
      </w:r>
      <w:r w:rsidRPr="00216BAC">
        <w:rPr>
          <w:rFonts w:cstheme="minorHAnsi"/>
          <w:szCs w:val="22"/>
          <w:lang w:val="es-ES"/>
        </w:rPr>
        <w:t xml:space="preserve"> </w:t>
      </w:r>
      <w:r w:rsidR="00BC1612" w:rsidRPr="00216BAC">
        <w:rPr>
          <w:rFonts w:cstheme="minorHAnsi"/>
          <w:szCs w:val="22"/>
          <w:lang w:val="es-ES"/>
        </w:rPr>
        <w:t>República</w:t>
      </w:r>
      <w:r w:rsidRPr="00216BAC">
        <w:rPr>
          <w:rFonts w:cstheme="minorHAnsi"/>
          <w:szCs w:val="22"/>
          <w:lang w:val="es-ES"/>
        </w:rPr>
        <w:t xml:space="preserve"> Dominicana: CONAVIHSIDA, </w:t>
      </w:r>
      <w:r>
        <w:rPr>
          <w:rFonts w:cstheme="minorHAnsi"/>
          <w:szCs w:val="22"/>
          <w:lang w:val="es-ES"/>
        </w:rPr>
        <w:t xml:space="preserve">organismo </w:t>
      </w:r>
      <w:r w:rsidRPr="00216BAC">
        <w:rPr>
          <w:rFonts w:cstheme="minorHAnsi"/>
          <w:szCs w:val="22"/>
          <w:lang w:val="es-ES"/>
        </w:rPr>
        <w:t>descentralizado adscrit</w:t>
      </w:r>
      <w:r>
        <w:rPr>
          <w:rFonts w:cstheme="minorHAnsi"/>
          <w:szCs w:val="22"/>
          <w:lang w:val="es-ES"/>
        </w:rPr>
        <w:t>o</w:t>
      </w:r>
      <w:r w:rsidRPr="00216BAC">
        <w:rPr>
          <w:rFonts w:cstheme="minorHAnsi"/>
          <w:szCs w:val="22"/>
          <w:lang w:val="es-ES"/>
        </w:rPr>
        <w:t xml:space="preserve"> al </w:t>
      </w:r>
      <w:r>
        <w:rPr>
          <w:rFonts w:cstheme="minorHAnsi"/>
          <w:szCs w:val="22"/>
          <w:lang w:val="es-ES"/>
        </w:rPr>
        <w:t>Ministerio de Salud</w:t>
      </w:r>
      <w:r w:rsidR="001E2F0B">
        <w:rPr>
          <w:rFonts w:cstheme="minorHAnsi"/>
          <w:szCs w:val="22"/>
          <w:lang w:val="es-ES"/>
        </w:rPr>
        <w:t xml:space="preserve"> Pública</w:t>
      </w:r>
      <w:r>
        <w:rPr>
          <w:rFonts w:cstheme="minorHAnsi"/>
          <w:szCs w:val="22"/>
          <w:lang w:val="es-ES"/>
        </w:rPr>
        <w:t xml:space="preserve"> con</w:t>
      </w:r>
      <w:r w:rsidRPr="00216BAC">
        <w:rPr>
          <w:rFonts w:cstheme="minorHAnsi"/>
          <w:szCs w:val="22"/>
          <w:lang w:val="es-ES"/>
        </w:rPr>
        <w:t xml:space="preserve"> fondos presupuestarios e internacionales (receptor del FM) </w:t>
      </w:r>
      <w:r>
        <w:rPr>
          <w:rFonts w:cstheme="minorHAnsi"/>
          <w:szCs w:val="22"/>
          <w:lang w:val="es-ES"/>
        </w:rPr>
        <w:t xml:space="preserve">para financiar </w:t>
      </w:r>
      <w:r w:rsidRPr="00216BAC">
        <w:rPr>
          <w:rFonts w:cstheme="minorHAnsi"/>
          <w:szCs w:val="22"/>
          <w:lang w:val="es-ES"/>
        </w:rPr>
        <w:t>a las OSC</w:t>
      </w:r>
      <w:r>
        <w:rPr>
          <w:rFonts w:cstheme="minorHAnsi"/>
          <w:szCs w:val="22"/>
          <w:lang w:val="es-ES"/>
        </w:rPr>
        <w:t xml:space="preserve"> en VIH</w:t>
      </w:r>
      <w:r w:rsidRPr="00216BAC">
        <w:rPr>
          <w:rFonts w:cstheme="minorHAnsi"/>
          <w:szCs w:val="22"/>
          <w:lang w:val="es-ES"/>
        </w:rPr>
        <w:t>.</w:t>
      </w:r>
    </w:p>
    <w:p w14:paraId="25A819BA" w14:textId="2D456444" w:rsidR="00EA1BF3" w:rsidRPr="00BC1612" w:rsidRDefault="00EA1BF3" w:rsidP="00BC1612">
      <w:pPr>
        <w:ind w:firstLine="0"/>
        <w:rPr>
          <w:rFonts w:cstheme="minorHAnsi"/>
          <w:b/>
          <w:szCs w:val="22"/>
          <w:lang w:val="es-ES"/>
        </w:rPr>
      </w:pPr>
      <w:r w:rsidRPr="00216BAC">
        <w:rPr>
          <w:rFonts w:cstheme="minorHAnsi"/>
          <w:b/>
          <w:szCs w:val="22"/>
          <w:lang w:val="es-ES"/>
        </w:rPr>
        <w:t xml:space="preserve">Interpretación de la Ley </w:t>
      </w:r>
      <w:r>
        <w:rPr>
          <w:rFonts w:cstheme="minorHAnsi"/>
          <w:b/>
          <w:szCs w:val="22"/>
          <w:lang w:val="es-ES"/>
        </w:rPr>
        <w:t>Especial VIH/SIDA</w:t>
      </w:r>
      <w:r w:rsidRPr="00216BAC">
        <w:rPr>
          <w:rFonts w:cstheme="minorHAnsi"/>
          <w:b/>
          <w:szCs w:val="22"/>
          <w:lang w:val="es-ES"/>
        </w:rPr>
        <w:t xml:space="preserve"> (2015) y CONASIDA </w:t>
      </w:r>
    </w:p>
    <w:p w14:paraId="383AB9BC" w14:textId="13CEBE9F" w:rsidR="00EA1BF3" w:rsidRPr="00BC1612" w:rsidRDefault="00EA1BF3" w:rsidP="006D54BD">
      <w:pPr>
        <w:pStyle w:val="ListParagraph"/>
        <w:numPr>
          <w:ilvl w:val="0"/>
          <w:numId w:val="10"/>
        </w:numPr>
        <w:autoSpaceDN/>
        <w:spacing w:before="0" w:after="0"/>
        <w:textAlignment w:val="auto"/>
        <w:rPr>
          <w:rFonts w:cstheme="minorHAnsi"/>
          <w:szCs w:val="22"/>
          <w:lang w:val="es-ES"/>
        </w:rPr>
      </w:pPr>
      <w:r w:rsidRPr="00216BAC">
        <w:rPr>
          <w:rFonts w:cstheme="minorHAnsi"/>
          <w:szCs w:val="22"/>
          <w:lang w:val="es-ES"/>
        </w:rPr>
        <w:t xml:space="preserve">En Honduras la Ley </w:t>
      </w:r>
      <w:r>
        <w:rPr>
          <w:rFonts w:cstheme="minorHAnsi"/>
          <w:szCs w:val="22"/>
          <w:lang w:val="es-ES"/>
        </w:rPr>
        <w:t>Especial de VIH/SIDA</w:t>
      </w:r>
      <w:r w:rsidRPr="00216BAC">
        <w:rPr>
          <w:rFonts w:cstheme="minorHAnsi"/>
          <w:szCs w:val="22"/>
          <w:lang w:val="es-ES"/>
        </w:rPr>
        <w:t xml:space="preserve"> del 2015 ofrece </w:t>
      </w:r>
      <w:r>
        <w:rPr>
          <w:rFonts w:cstheme="minorHAnsi"/>
          <w:szCs w:val="22"/>
          <w:lang w:val="es-ES"/>
        </w:rPr>
        <w:t xml:space="preserve">un potencial </w:t>
      </w:r>
      <w:r w:rsidRPr="00216BAC">
        <w:rPr>
          <w:rFonts w:cstheme="minorHAnsi"/>
          <w:szCs w:val="22"/>
          <w:lang w:val="es-ES"/>
        </w:rPr>
        <w:t>marco conceptual y legislativo para explorar mecanismos de financiamiento, proyectos y apoyo para la respuesta al VIH</w:t>
      </w:r>
      <w:r>
        <w:rPr>
          <w:rFonts w:cstheme="minorHAnsi"/>
          <w:szCs w:val="22"/>
          <w:lang w:val="es-ES"/>
        </w:rPr>
        <w:t xml:space="preserve"> por parte de OSC</w:t>
      </w:r>
      <w:r w:rsidRPr="00216BAC">
        <w:rPr>
          <w:rFonts w:cstheme="minorHAnsi"/>
          <w:szCs w:val="22"/>
          <w:lang w:val="es-ES"/>
        </w:rPr>
        <w:t>.</w:t>
      </w:r>
    </w:p>
    <w:p w14:paraId="15EF9203" w14:textId="25F2F82D" w:rsidR="00EA1BF3" w:rsidRPr="00BC1612" w:rsidRDefault="00EA1BF3" w:rsidP="006D54BD">
      <w:pPr>
        <w:pStyle w:val="ListParagraph"/>
        <w:numPr>
          <w:ilvl w:val="0"/>
          <w:numId w:val="10"/>
        </w:numPr>
        <w:autoSpaceDN/>
        <w:spacing w:before="0" w:after="0"/>
        <w:textAlignment w:val="auto"/>
        <w:rPr>
          <w:rFonts w:cstheme="minorHAnsi"/>
          <w:szCs w:val="22"/>
          <w:lang w:val="es-ES"/>
        </w:rPr>
      </w:pPr>
      <w:r w:rsidRPr="00216BAC">
        <w:rPr>
          <w:rFonts w:cstheme="minorHAnsi"/>
          <w:szCs w:val="22"/>
          <w:lang w:val="es-ES"/>
        </w:rPr>
        <w:t>Un análisis preliminar de la Ley ofrece oportunidades para interpretar diversos artículos y conformar un mecanismo financiador de las OSC en VIH</w:t>
      </w:r>
      <w:r>
        <w:rPr>
          <w:rFonts w:cstheme="minorHAnsi"/>
          <w:szCs w:val="22"/>
          <w:lang w:val="es-ES"/>
        </w:rPr>
        <w:t xml:space="preserve"> en la estructura del CONASIDA</w:t>
      </w:r>
      <w:r w:rsidRPr="00216BAC">
        <w:rPr>
          <w:rFonts w:cstheme="minorHAnsi"/>
          <w:szCs w:val="22"/>
          <w:lang w:val="es-ES"/>
        </w:rPr>
        <w:t>.</w:t>
      </w:r>
    </w:p>
    <w:p w14:paraId="6B119E15" w14:textId="5D637BD6" w:rsidR="00EA1BF3" w:rsidRPr="00216BAC" w:rsidRDefault="00EA1BF3" w:rsidP="00BC1612">
      <w:pPr>
        <w:ind w:firstLine="0"/>
        <w:rPr>
          <w:rFonts w:cstheme="minorHAnsi"/>
          <w:szCs w:val="22"/>
          <w:lang w:val="es-ES"/>
        </w:rPr>
      </w:pPr>
      <w:r w:rsidRPr="003D0C14">
        <w:rPr>
          <w:rFonts w:cstheme="minorHAnsi"/>
          <w:b/>
          <w:szCs w:val="22"/>
          <w:lang w:val="es-ES"/>
        </w:rPr>
        <w:t>Interpretación</w:t>
      </w:r>
      <w:r w:rsidRPr="00216BAC">
        <w:rPr>
          <w:rFonts w:cstheme="minorHAnsi"/>
          <w:szCs w:val="22"/>
          <w:lang w:val="es-ES"/>
        </w:rPr>
        <w:t xml:space="preserve">: </w:t>
      </w:r>
    </w:p>
    <w:p w14:paraId="4928C5F4" w14:textId="4C92B628" w:rsidR="00EA1BF3" w:rsidRPr="00BC1612" w:rsidRDefault="00EA1BF3" w:rsidP="00BC1612">
      <w:pPr>
        <w:ind w:firstLine="0"/>
        <w:rPr>
          <w:rFonts w:cstheme="minorHAnsi"/>
          <w:b/>
          <w:szCs w:val="22"/>
          <w:lang w:val="es-ES"/>
        </w:rPr>
      </w:pPr>
      <w:r w:rsidRPr="00216BAC">
        <w:rPr>
          <w:rFonts w:cstheme="minorHAnsi"/>
          <w:szCs w:val="22"/>
          <w:lang w:val="es-ES"/>
        </w:rPr>
        <w:t xml:space="preserve">1. En el marco general de la Ley (Considerando 4) el estado garantiza la </w:t>
      </w:r>
      <w:r w:rsidRPr="00216BAC">
        <w:rPr>
          <w:rFonts w:cstheme="minorHAnsi"/>
          <w:b/>
          <w:szCs w:val="22"/>
          <w:lang w:val="es-ES"/>
        </w:rPr>
        <w:t>asignación de recursos</w:t>
      </w:r>
      <w:r>
        <w:rPr>
          <w:rFonts w:cstheme="minorHAnsi"/>
          <w:b/>
          <w:szCs w:val="22"/>
          <w:lang w:val="es-ES"/>
        </w:rPr>
        <w:t>.</w:t>
      </w:r>
    </w:p>
    <w:p w14:paraId="592DF93D" w14:textId="3362E836" w:rsidR="00EA1BF3" w:rsidRPr="00216BAC" w:rsidRDefault="00EA1BF3" w:rsidP="00BC1612">
      <w:pPr>
        <w:ind w:left="360" w:firstLine="0"/>
        <w:rPr>
          <w:rFonts w:cstheme="minorHAnsi"/>
          <w:szCs w:val="22"/>
          <w:lang w:val="es-ES"/>
        </w:rPr>
      </w:pPr>
      <w:r>
        <w:rPr>
          <w:rFonts w:cstheme="minorHAnsi"/>
          <w:szCs w:val="22"/>
          <w:lang w:val="es-ES"/>
        </w:rPr>
        <w:t>1.2. Interpretar que el concepto de “asignación de recursos” debe incluir</w:t>
      </w:r>
      <w:r w:rsidRPr="00216BAC">
        <w:rPr>
          <w:rFonts w:cstheme="minorHAnsi"/>
          <w:szCs w:val="22"/>
          <w:lang w:val="es-ES"/>
        </w:rPr>
        <w:t xml:space="preserve"> recursos financieros</w:t>
      </w:r>
      <w:r>
        <w:rPr>
          <w:rFonts w:cstheme="minorHAnsi"/>
          <w:szCs w:val="22"/>
          <w:lang w:val="es-ES"/>
        </w:rPr>
        <w:t xml:space="preserve"> públicos</w:t>
      </w:r>
      <w:r w:rsidRPr="00216BAC">
        <w:rPr>
          <w:rFonts w:cstheme="minorHAnsi"/>
          <w:szCs w:val="22"/>
          <w:lang w:val="es-ES"/>
        </w:rPr>
        <w:t>.</w:t>
      </w:r>
    </w:p>
    <w:p w14:paraId="53BF8AC0" w14:textId="77777777" w:rsidR="00EA1BF3" w:rsidRPr="00216BAC" w:rsidRDefault="00EA1BF3" w:rsidP="00BC1612">
      <w:pPr>
        <w:ind w:firstLine="0"/>
        <w:rPr>
          <w:rFonts w:cstheme="minorHAnsi"/>
          <w:szCs w:val="22"/>
          <w:lang w:val="es-ES"/>
        </w:rPr>
      </w:pPr>
      <w:r w:rsidRPr="00216BAC">
        <w:rPr>
          <w:rFonts w:cstheme="minorHAnsi"/>
          <w:szCs w:val="22"/>
          <w:lang w:val="es-ES"/>
        </w:rPr>
        <w:t>2. Dentro de las atribuciones de la CONASIDA (Art. 10.A):</w:t>
      </w:r>
    </w:p>
    <w:p w14:paraId="763ACFAC" w14:textId="77777777" w:rsidR="00EA1BF3" w:rsidRPr="00216BAC" w:rsidRDefault="00EA1BF3" w:rsidP="006D54BD">
      <w:pPr>
        <w:pStyle w:val="ListParagraph"/>
        <w:numPr>
          <w:ilvl w:val="0"/>
          <w:numId w:val="11"/>
        </w:numPr>
        <w:autoSpaceDN/>
        <w:spacing w:before="0" w:after="0"/>
        <w:textAlignment w:val="auto"/>
        <w:rPr>
          <w:rFonts w:cstheme="minorHAnsi"/>
          <w:szCs w:val="22"/>
          <w:lang w:val="es-ES"/>
        </w:rPr>
      </w:pPr>
      <w:r>
        <w:rPr>
          <w:rFonts w:cstheme="minorHAnsi"/>
          <w:szCs w:val="22"/>
          <w:lang w:val="es-ES"/>
        </w:rPr>
        <w:t>“</w:t>
      </w:r>
      <w:r w:rsidRPr="00216BAC">
        <w:rPr>
          <w:rFonts w:cstheme="minorHAnsi"/>
          <w:szCs w:val="22"/>
          <w:lang w:val="es-ES"/>
        </w:rPr>
        <w:t xml:space="preserve">Incidir en el cumplimiento, armonización, alineamiento de políticas, estrategias y </w:t>
      </w:r>
      <w:r w:rsidRPr="00216BAC">
        <w:rPr>
          <w:rFonts w:cstheme="minorHAnsi"/>
          <w:b/>
          <w:szCs w:val="22"/>
          <w:lang w:val="es-ES"/>
        </w:rPr>
        <w:t>financiamiento</w:t>
      </w:r>
      <w:r w:rsidRPr="00216BAC">
        <w:rPr>
          <w:rFonts w:cstheme="minorHAnsi"/>
          <w:szCs w:val="22"/>
          <w:lang w:val="es-ES"/>
        </w:rPr>
        <w:t xml:space="preserve"> en el marco de acuerdos nacionales e internacionales</w:t>
      </w:r>
      <w:r>
        <w:rPr>
          <w:rFonts w:cstheme="minorHAnsi"/>
          <w:szCs w:val="22"/>
          <w:lang w:val="es-ES"/>
        </w:rPr>
        <w:t>”</w:t>
      </w:r>
      <w:r w:rsidRPr="00216BAC">
        <w:rPr>
          <w:rFonts w:cstheme="minorHAnsi"/>
          <w:szCs w:val="22"/>
          <w:lang w:val="es-ES"/>
        </w:rPr>
        <w:t xml:space="preserve"> Art. 10A.3).</w:t>
      </w:r>
    </w:p>
    <w:p w14:paraId="6941CB06" w14:textId="0D29E605" w:rsidR="00EA1BF3" w:rsidRPr="00BC1612" w:rsidRDefault="00EA1BF3" w:rsidP="006D54BD">
      <w:pPr>
        <w:pStyle w:val="ListParagraph"/>
        <w:numPr>
          <w:ilvl w:val="0"/>
          <w:numId w:val="11"/>
        </w:numPr>
        <w:autoSpaceDN/>
        <w:spacing w:before="0" w:after="0"/>
        <w:textAlignment w:val="auto"/>
        <w:rPr>
          <w:rFonts w:cstheme="minorHAnsi"/>
          <w:szCs w:val="22"/>
          <w:lang w:val="es-ES"/>
        </w:rPr>
      </w:pPr>
      <w:r>
        <w:rPr>
          <w:rFonts w:cstheme="minorHAnsi"/>
          <w:szCs w:val="22"/>
          <w:lang w:val="es-ES"/>
        </w:rPr>
        <w:t>“</w:t>
      </w:r>
      <w:r w:rsidRPr="00216BAC">
        <w:rPr>
          <w:rFonts w:cstheme="minorHAnsi"/>
          <w:szCs w:val="22"/>
          <w:lang w:val="es-ES"/>
        </w:rPr>
        <w:t>Impulsar el complimiento de los compromisos financieros derivados de compromisos internacionales relacionados con el V</w:t>
      </w:r>
      <w:r>
        <w:rPr>
          <w:rFonts w:cstheme="minorHAnsi"/>
          <w:szCs w:val="22"/>
          <w:lang w:val="es-ES"/>
        </w:rPr>
        <w:t>I</w:t>
      </w:r>
      <w:r w:rsidRPr="00216BAC">
        <w:rPr>
          <w:rFonts w:cstheme="minorHAnsi"/>
          <w:szCs w:val="22"/>
          <w:lang w:val="es-ES"/>
        </w:rPr>
        <w:t>H</w:t>
      </w:r>
      <w:r>
        <w:rPr>
          <w:rFonts w:cstheme="minorHAnsi"/>
          <w:szCs w:val="22"/>
          <w:lang w:val="es-ES"/>
        </w:rPr>
        <w:t>”</w:t>
      </w:r>
      <w:r w:rsidRPr="00216BAC">
        <w:rPr>
          <w:rFonts w:cstheme="minorHAnsi"/>
          <w:szCs w:val="22"/>
          <w:lang w:val="es-ES"/>
        </w:rPr>
        <w:t xml:space="preserve"> (</w:t>
      </w:r>
      <w:r>
        <w:rPr>
          <w:rFonts w:cstheme="minorHAnsi"/>
          <w:szCs w:val="22"/>
          <w:lang w:val="es-ES"/>
        </w:rPr>
        <w:t xml:space="preserve">Art. </w:t>
      </w:r>
      <w:r w:rsidRPr="00216BAC">
        <w:rPr>
          <w:rFonts w:cstheme="minorHAnsi"/>
          <w:szCs w:val="22"/>
          <w:lang w:val="es-ES"/>
        </w:rPr>
        <w:t xml:space="preserve">10A.5). </w:t>
      </w:r>
    </w:p>
    <w:p w14:paraId="2B3B1921" w14:textId="3FC25999" w:rsidR="00EA1BF3" w:rsidRPr="00216BAC" w:rsidRDefault="00EA1BF3" w:rsidP="00BC1612">
      <w:pPr>
        <w:ind w:left="720" w:hanging="360"/>
        <w:rPr>
          <w:rFonts w:cstheme="minorHAnsi"/>
          <w:szCs w:val="22"/>
          <w:lang w:val="es-ES"/>
        </w:rPr>
      </w:pPr>
      <w:r w:rsidRPr="00216BAC">
        <w:rPr>
          <w:rFonts w:cstheme="minorHAnsi"/>
          <w:szCs w:val="22"/>
          <w:lang w:val="es-ES"/>
        </w:rPr>
        <w:t xml:space="preserve">2.1. Interpretar que en el cumplimiento de estas atribuciones están los compromisos del gobierno con el FM de financiar el sostenimiento de las OSC en VIH durante y después el financiamiento externo y que es la responsabilidad del Estado de cumplir estos compromisos por medio de la </w:t>
      </w:r>
      <w:r>
        <w:rPr>
          <w:rFonts w:cstheme="minorHAnsi"/>
          <w:szCs w:val="22"/>
          <w:lang w:val="es-ES"/>
        </w:rPr>
        <w:t>CONASIDA en el financiamiento pú</w:t>
      </w:r>
      <w:r w:rsidRPr="00216BAC">
        <w:rPr>
          <w:rFonts w:cstheme="minorHAnsi"/>
          <w:szCs w:val="22"/>
          <w:lang w:val="es-ES"/>
        </w:rPr>
        <w:t xml:space="preserve">blico de las OSC en VH. </w:t>
      </w:r>
      <w:r>
        <w:rPr>
          <w:rFonts w:cstheme="minorHAnsi"/>
          <w:szCs w:val="22"/>
          <w:lang w:val="es-ES"/>
        </w:rPr>
        <w:t>La misma interpretación se aplica a otros compromisos del Estado con diversas fuentes de apoyo de la cooperación internacional.</w:t>
      </w:r>
    </w:p>
    <w:p w14:paraId="4CCC6BC4" w14:textId="03B3FDC4" w:rsidR="00EA1BF3" w:rsidRPr="00216BAC" w:rsidRDefault="00EA1BF3" w:rsidP="00BC1612">
      <w:pPr>
        <w:ind w:firstLine="0"/>
        <w:rPr>
          <w:rFonts w:cstheme="minorHAnsi"/>
          <w:szCs w:val="22"/>
          <w:lang w:val="es-ES"/>
        </w:rPr>
      </w:pPr>
      <w:r w:rsidRPr="00216BAC">
        <w:rPr>
          <w:rFonts w:cstheme="minorHAnsi"/>
          <w:szCs w:val="22"/>
          <w:lang w:val="es-ES"/>
        </w:rPr>
        <w:t xml:space="preserve">3. </w:t>
      </w:r>
      <w:r>
        <w:rPr>
          <w:rFonts w:cstheme="minorHAnsi"/>
          <w:szCs w:val="22"/>
          <w:lang w:val="es-ES"/>
        </w:rPr>
        <w:t>“</w:t>
      </w:r>
      <w:r w:rsidRPr="00216BAC">
        <w:rPr>
          <w:rFonts w:cstheme="minorHAnsi"/>
          <w:b/>
          <w:szCs w:val="22"/>
          <w:lang w:val="es-ES"/>
        </w:rPr>
        <w:t>Apoyar la gestión de recursos financieros,</w:t>
      </w:r>
      <w:r w:rsidRPr="00216BAC">
        <w:rPr>
          <w:rFonts w:cstheme="minorHAnsi"/>
          <w:szCs w:val="22"/>
          <w:lang w:val="es-ES"/>
        </w:rPr>
        <w:t xml:space="preserve"> </w:t>
      </w:r>
      <w:r w:rsidRPr="00A42639">
        <w:rPr>
          <w:rFonts w:cstheme="minorHAnsi"/>
          <w:b/>
          <w:szCs w:val="22"/>
          <w:lang w:val="es-ES"/>
        </w:rPr>
        <w:t>tecnológicos y de otra índole</w:t>
      </w:r>
      <w:r w:rsidRPr="00216BAC">
        <w:rPr>
          <w:rFonts w:cstheme="minorHAnsi"/>
          <w:szCs w:val="22"/>
          <w:lang w:val="es-ES"/>
        </w:rPr>
        <w:t xml:space="preserve"> nacional e internacional de </w:t>
      </w:r>
      <w:r w:rsidRPr="00216BAC">
        <w:rPr>
          <w:rFonts w:cstheme="minorHAnsi"/>
          <w:b/>
          <w:szCs w:val="22"/>
          <w:lang w:val="es-ES"/>
        </w:rPr>
        <w:t xml:space="preserve">iniciativa </w:t>
      </w:r>
      <w:r w:rsidRPr="00BC1612">
        <w:rPr>
          <w:rFonts w:cstheme="minorHAnsi"/>
          <w:szCs w:val="22"/>
          <w:lang w:val="es-ES"/>
        </w:rPr>
        <w:t>propia</w:t>
      </w:r>
      <w:r w:rsidRPr="00216BAC">
        <w:rPr>
          <w:rFonts w:cstheme="minorHAnsi"/>
          <w:szCs w:val="22"/>
          <w:lang w:val="es-ES"/>
        </w:rPr>
        <w:t xml:space="preserve"> o petición de otras instancias…</w:t>
      </w:r>
      <w:proofErr w:type="gramStart"/>
      <w:r>
        <w:rPr>
          <w:rFonts w:cstheme="minorHAnsi"/>
          <w:szCs w:val="22"/>
          <w:lang w:val="es-ES"/>
        </w:rPr>
        <w:t>”</w:t>
      </w:r>
      <w:r w:rsidRPr="00216BAC">
        <w:rPr>
          <w:rFonts w:cstheme="minorHAnsi"/>
          <w:szCs w:val="22"/>
          <w:lang w:val="es-ES"/>
        </w:rPr>
        <w:t>.(</w:t>
      </w:r>
      <w:proofErr w:type="gramEnd"/>
      <w:r w:rsidRPr="00216BAC">
        <w:rPr>
          <w:rFonts w:cstheme="minorHAnsi"/>
          <w:szCs w:val="22"/>
          <w:lang w:val="es-ES"/>
        </w:rPr>
        <w:t>Art. 10A.7).</w:t>
      </w:r>
    </w:p>
    <w:p w14:paraId="4D372EB0" w14:textId="2D123DEA" w:rsidR="00EA1BF3" w:rsidRPr="00216BAC" w:rsidRDefault="00EA1BF3" w:rsidP="00BC1612">
      <w:pPr>
        <w:ind w:left="720" w:hanging="360"/>
        <w:rPr>
          <w:rFonts w:cstheme="minorHAnsi"/>
          <w:szCs w:val="22"/>
          <w:lang w:val="es-ES"/>
        </w:rPr>
      </w:pPr>
      <w:r w:rsidRPr="00216BAC">
        <w:rPr>
          <w:rFonts w:cstheme="minorHAnsi"/>
          <w:szCs w:val="22"/>
          <w:lang w:val="es-ES"/>
        </w:rPr>
        <w:t xml:space="preserve">3.1. Interpretar que el mandato de CONASIDA de apoyar la gestión de recursos financieros </w:t>
      </w:r>
      <w:r w:rsidRPr="00216BAC">
        <w:rPr>
          <w:rFonts w:cstheme="minorHAnsi"/>
          <w:b/>
          <w:szCs w:val="22"/>
          <w:lang w:val="es-ES"/>
        </w:rPr>
        <w:t>incluye la gestión</w:t>
      </w:r>
      <w:r>
        <w:rPr>
          <w:rFonts w:cstheme="minorHAnsi"/>
          <w:b/>
          <w:szCs w:val="22"/>
          <w:lang w:val="es-ES"/>
        </w:rPr>
        <w:t xml:space="preserve"> y administración </w:t>
      </w:r>
      <w:r w:rsidRPr="00BC1612">
        <w:rPr>
          <w:rFonts w:cstheme="minorHAnsi"/>
          <w:szCs w:val="22"/>
          <w:lang w:val="es-ES"/>
        </w:rPr>
        <w:t>propiamente</w:t>
      </w:r>
      <w:r w:rsidRPr="00216BAC">
        <w:rPr>
          <w:rFonts w:cstheme="minorHAnsi"/>
          <w:b/>
          <w:szCs w:val="22"/>
          <w:lang w:val="es-ES"/>
        </w:rPr>
        <w:t xml:space="preserve"> tal de recursos financieros</w:t>
      </w:r>
      <w:r w:rsidRPr="00216BAC">
        <w:rPr>
          <w:rFonts w:cstheme="minorHAnsi"/>
          <w:szCs w:val="22"/>
          <w:lang w:val="es-ES"/>
        </w:rPr>
        <w:t xml:space="preserve"> para la contratación de las OSC en VIH</w:t>
      </w:r>
      <w:r>
        <w:rPr>
          <w:rFonts w:cstheme="minorHAnsi"/>
          <w:szCs w:val="22"/>
          <w:lang w:val="es-ES"/>
        </w:rPr>
        <w:t xml:space="preserve"> para la prestación de servicios e investigaciones (como en Argentina, México, </w:t>
      </w:r>
      <w:proofErr w:type="spellStart"/>
      <w:r>
        <w:rPr>
          <w:rFonts w:cstheme="minorHAnsi"/>
          <w:szCs w:val="22"/>
          <w:lang w:val="es-ES"/>
        </w:rPr>
        <w:t>Republica</w:t>
      </w:r>
      <w:proofErr w:type="spellEnd"/>
      <w:r>
        <w:rPr>
          <w:rFonts w:cstheme="minorHAnsi"/>
          <w:szCs w:val="22"/>
          <w:lang w:val="es-ES"/>
        </w:rPr>
        <w:t xml:space="preserve"> Dominicana y Malasia).</w:t>
      </w:r>
      <w:r w:rsidRPr="00216BAC">
        <w:rPr>
          <w:rFonts w:cstheme="minorHAnsi"/>
          <w:szCs w:val="22"/>
          <w:lang w:val="es-ES"/>
        </w:rPr>
        <w:t xml:space="preserve"> </w:t>
      </w:r>
    </w:p>
    <w:p w14:paraId="7D962F84" w14:textId="1BFDCE45" w:rsidR="00EA1BF3" w:rsidRPr="00216BAC" w:rsidRDefault="00EA1BF3" w:rsidP="005E2BA8">
      <w:pPr>
        <w:ind w:firstLine="0"/>
        <w:rPr>
          <w:rFonts w:cstheme="minorHAnsi"/>
          <w:szCs w:val="22"/>
          <w:lang w:val="es-ES"/>
        </w:rPr>
      </w:pPr>
      <w:r w:rsidRPr="00216BAC">
        <w:rPr>
          <w:rFonts w:cstheme="minorHAnsi"/>
          <w:szCs w:val="22"/>
          <w:lang w:val="es-ES"/>
        </w:rPr>
        <w:t xml:space="preserve">4. </w:t>
      </w:r>
      <w:r>
        <w:rPr>
          <w:rFonts w:cstheme="minorHAnsi"/>
          <w:szCs w:val="22"/>
          <w:lang w:val="es-ES"/>
        </w:rPr>
        <w:t>“</w:t>
      </w:r>
      <w:r w:rsidRPr="00216BAC">
        <w:rPr>
          <w:rFonts w:cstheme="minorHAnsi"/>
          <w:szCs w:val="22"/>
          <w:lang w:val="es-ES"/>
        </w:rPr>
        <w:t xml:space="preserve">Proponer </w:t>
      </w:r>
      <w:r w:rsidRPr="00344469">
        <w:rPr>
          <w:rFonts w:cstheme="minorHAnsi"/>
          <w:b/>
          <w:szCs w:val="22"/>
          <w:lang w:val="es-ES"/>
        </w:rPr>
        <w:t>proyectos</w:t>
      </w:r>
      <w:r>
        <w:rPr>
          <w:rFonts w:cstheme="minorHAnsi"/>
          <w:szCs w:val="22"/>
          <w:lang w:val="es-ES"/>
        </w:rPr>
        <w:t>”</w:t>
      </w:r>
      <w:r w:rsidRPr="00216BAC">
        <w:rPr>
          <w:rFonts w:cstheme="minorHAnsi"/>
          <w:szCs w:val="22"/>
          <w:lang w:val="es-ES"/>
        </w:rPr>
        <w:t xml:space="preserve"> Art. 10B.1)</w:t>
      </w:r>
    </w:p>
    <w:p w14:paraId="6193F07B" w14:textId="41D776A9" w:rsidR="00EA1BF3" w:rsidRPr="00216BAC" w:rsidRDefault="00EA1BF3" w:rsidP="00BC1612">
      <w:pPr>
        <w:ind w:left="720" w:hanging="360"/>
        <w:rPr>
          <w:rFonts w:cstheme="minorHAnsi"/>
          <w:szCs w:val="22"/>
          <w:lang w:val="es-ES"/>
        </w:rPr>
      </w:pPr>
      <w:r w:rsidRPr="00216BAC">
        <w:rPr>
          <w:rFonts w:cstheme="minorHAnsi"/>
          <w:szCs w:val="22"/>
          <w:lang w:val="es-ES"/>
        </w:rPr>
        <w:t xml:space="preserve">4.1. Interpretar que </w:t>
      </w:r>
      <w:r>
        <w:rPr>
          <w:rFonts w:cstheme="minorHAnsi"/>
          <w:szCs w:val="22"/>
          <w:lang w:val="es-ES"/>
        </w:rPr>
        <w:t>“</w:t>
      </w:r>
      <w:r w:rsidRPr="00216BAC">
        <w:rPr>
          <w:rFonts w:cstheme="minorHAnsi"/>
          <w:szCs w:val="22"/>
          <w:lang w:val="es-ES"/>
        </w:rPr>
        <w:t>proyectos</w:t>
      </w:r>
      <w:r>
        <w:rPr>
          <w:rFonts w:cstheme="minorHAnsi"/>
          <w:szCs w:val="22"/>
          <w:lang w:val="es-ES"/>
        </w:rPr>
        <w:t>”</w:t>
      </w:r>
      <w:r w:rsidRPr="00216BAC">
        <w:rPr>
          <w:rFonts w:cstheme="minorHAnsi"/>
          <w:szCs w:val="22"/>
          <w:lang w:val="es-ES"/>
        </w:rPr>
        <w:t xml:space="preserve"> que se propongan para </w:t>
      </w:r>
      <w:r>
        <w:rPr>
          <w:rFonts w:cstheme="minorHAnsi"/>
          <w:szCs w:val="22"/>
          <w:lang w:val="es-ES"/>
        </w:rPr>
        <w:t xml:space="preserve">la prestación de servicios de las </w:t>
      </w:r>
      <w:r w:rsidRPr="00216BAC">
        <w:rPr>
          <w:rFonts w:cstheme="minorHAnsi"/>
          <w:szCs w:val="22"/>
          <w:lang w:val="es-ES"/>
        </w:rPr>
        <w:t xml:space="preserve">OSC en VIH tengan presupuesto cuya gestión </w:t>
      </w:r>
      <w:r>
        <w:rPr>
          <w:rFonts w:cstheme="minorHAnsi"/>
          <w:szCs w:val="22"/>
          <w:lang w:val="es-ES"/>
        </w:rPr>
        <w:t xml:space="preserve">financiera en el manejo y adjudicación de recursos financieros </w:t>
      </w:r>
      <w:r w:rsidRPr="00216BAC">
        <w:rPr>
          <w:rFonts w:cstheme="minorHAnsi"/>
          <w:szCs w:val="22"/>
          <w:lang w:val="es-ES"/>
        </w:rPr>
        <w:t>se haga por CONASIDA.</w:t>
      </w:r>
    </w:p>
    <w:p w14:paraId="7F829E7A" w14:textId="4A216E26" w:rsidR="00EA1BF3" w:rsidRPr="00216BAC" w:rsidRDefault="00EA1BF3" w:rsidP="00BC1612">
      <w:pPr>
        <w:ind w:firstLine="0"/>
        <w:rPr>
          <w:rFonts w:cstheme="minorHAnsi"/>
          <w:szCs w:val="22"/>
          <w:lang w:val="es-ES"/>
        </w:rPr>
      </w:pPr>
      <w:r w:rsidRPr="00216BAC">
        <w:rPr>
          <w:rFonts w:cstheme="minorHAnsi"/>
          <w:szCs w:val="22"/>
          <w:lang w:val="es-ES"/>
        </w:rPr>
        <w:t xml:space="preserve">5. </w:t>
      </w:r>
      <w:r>
        <w:rPr>
          <w:rFonts w:cstheme="minorHAnsi"/>
          <w:szCs w:val="22"/>
          <w:lang w:val="es-ES"/>
        </w:rPr>
        <w:t>“</w:t>
      </w:r>
      <w:r w:rsidRPr="00216BAC">
        <w:rPr>
          <w:rFonts w:cstheme="minorHAnsi"/>
          <w:szCs w:val="22"/>
          <w:lang w:val="es-ES"/>
        </w:rPr>
        <w:t xml:space="preserve">Formular </w:t>
      </w:r>
      <w:r w:rsidRPr="00BC1612">
        <w:rPr>
          <w:rFonts w:cstheme="minorHAnsi"/>
          <w:szCs w:val="22"/>
          <w:lang w:val="es-ES"/>
        </w:rPr>
        <w:t>políticas</w:t>
      </w:r>
      <w:r w:rsidRPr="00344469">
        <w:rPr>
          <w:rFonts w:cstheme="minorHAnsi"/>
          <w:b/>
          <w:szCs w:val="22"/>
          <w:lang w:val="es-ES"/>
        </w:rPr>
        <w:t xml:space="preserve"> de apoyo</w:t>
      </w:r>
      <w:r>
        <w:rPr>
          <w:rFonts w:cstheme="minorHAnsi"/>
          <w:szCs w:val="22"/>
          <w:lang w:val="es-ES"/>
        </w:rPr>
        <w:t>”</w:t>
      </w:r>
      <w:r w:rsidRPr="00216BAC">
        <w:rPr>
          <w:rFonts w:cstheme="minorHAnsi"/>
          <w:szCs w:val="22"/>
          <w:lang w:val="es-ES"/>
        </w:rPr>
        <w:t xml:space="preserve"> (Art</w:t>
      </w:r>
      <w:proofErr w:type="gramStart"/>
      <w:r w:rsidRPr="00216BAC">
        <w:rPr>
          <w:rFonts w:cstheme="minorHAnsi"/>
          <w:szCs w:val="22"/>
          <w:lang w:val="es-ES"/>
        </w:rPr>
        <w:t>10.B.</w:t>
      </w:r>
      <w:proofErr w:type="gramEnd"/>
      <w:r w:rsidRPr="00216BAC">
        <w:rPr>
          <w:rFonts w:cstheme="minorHAnsi"/>
          <w:szCs w:val="22"/>
          <w:lang w:val="es-ES"/>
        </w:rPr>
        <w:t>2).</w:t>
      </w:r>
    </w:p>
    <w:p w14:paraId="08EEF605" w14:textId="7615D555" w:rsidR="00EA1BF3" w:rsidRPr="00216BAC" w:rsidRDefault="00EA1BF3" w:rsidP="00BC1612">
      <w:pPr>
        <w:ind w:left="810" w:hanging="450"/>
        <w:rPr>
          <w:rFonts w:cstheme="minorHAnsi"/>
          <w:szCs w:val="22"/>
          <w:lang w:val="es-ES"/>
        </w:rPr>
      </w:pPr>
      <w:r w:rsidRPr="00216BAC">
        <w:rPr>
          <w:rFonts w:cstheme="minorHAnsi"/>
          <w:szCs w:val="22"/>
          <w:lang w:val="es-ES"/>
        </w:rPr>
        <w:t>5.1. Interpretar que dentro de las políticas de apoyo est</w:t>
      </w:r>
      <w:r>
        <w:rPr>
          <w:rFonts w:cstheme="minorHAnsi"/>
          <w:szCs w:val="22"/>
          <w:lang w:val="es-ES"/>
        </w:rPr>
        <w:t>á</w:t>
      </w:r>
      <w:r w:rsidRPr="00216BAC">
        <w:rPr>
          <w:rFonts w:cstheme="minorHAnsi"/>
          <w:szCs w:val="22"/>
          <w:lang w:val="es-ES"/>
        </w:rPr>
        <w:t xml:space="preserve"> el apoyo financiero a las OSC en VIH</w:t>
      </w:r>
      <w:r>
        <w:rPr>
          <w:rFonts w:cstheme="minorHAnsi"/>
          <w:szCs w:val="22"/>
          <w:lang w:val="es-ES"/>
        </w:rPr>
        <w:t>, por medio de la CONASIDA.</w:t>
      </w:r>
    </w:p>
    <w:p w14:paraId="65B4AE27" w14:textId="4CAA5613" w:rsidR="00EA1BF3" w:rsidRPr="00216BAC" w:rsidRDefault="00EA1BF3" w:rsidP="00BC1612">
      <w:pPr>
        <w:ind w:firstLine="0"/>
        <w:rPr>
          <w:rFonts w:cstheme="minorHAnsi"/>
          <w:szCs w:val="22"/>
          <w:lang w:val="es-ES"/>
        </w:rPr>
      </w:pPr>
      <w:r w:rsidRPr="00216BAC">
        <w:rPr>
          <w:rFonts w:cstheme="minorHAnsi"/>
          <w:szCs w:val="22"/>
          <w:lang w:val="es-ES"/>
        </w:rPr>
        <w:lastRenderedPageBreak/>
        <w:t xml:space="preserve">6. </w:t>
      </w:r>
      <w:r>
        <w:rPr>
          <w:rFonts w:cstheme="minorHAnsi"/>
          <w:szCs w:val="22"/>
          <w:lang w:val="es-ES"/>
        </w:rPr>
        <w:t>“</w:t>
      </w:r>
      <w:r w:rsidRPr="00216BAC">
        <w:rPr>
          <w:rFonts w:cstheme="minorHAnsi"/>
          <w:szCs w:val="22"/>
          <w:lang w:val="es-ES"/>
        </w:rPr>
        <w:t xml:space="preserve">Sector Publico debe </w:t>
      </w:r>
      <w:r w:rsidRPr="00344469">
        <w:rPr>
          <w:rFonts w:cstheme="minorHAnsi"/>
          <w:b/>
          <w:szCs w:val="22"/>
          <w:lang w:val="es-ES"/>
        </w:rPr>
        <w:t>incluir en Planes Operativos Anuales las partidas necesarias</w:t>
      </w:r>
      <w:r w:rsidRPr="00216BAC">
        <w:rPr>
          <w:rFonts w:cstheme="minorHAnsi"/>
          <w:szCs w:val="22"/>
          <w:lang w:val="es-ES"/>
        </w:rPr>
        <w:t xml:space="preserve"> para llevarlas a cabo</w:t>
      </w:r>
      <w:r>
        <w:rPr>
          <w:rFonts w:cstheme="minorHAnsi"/>
          <w:szCs w:val="22"/>
          <w:lang w:val="es-ES"/>
        </w:rPr>
        <w:t>”</w:t>
      </w:r>
      <w:r w:rsidRPr="00216BAC">
        <w:rPr>
          <w:rFonts w:cstheme="minorHAnsi"/>
          <w:szCs w:val="22"/>
          <w:lang w:val="es-ES"/>
        </w:rPr>
        <w:t xml:space="preserve"> (Art. 13).</w:t>
      </w:r>
    </w:p>
    <w:p w14:paraId="495CBD7A" w14:textId="41E4BB69" w:rsidR="00EA1BF3" w:rsidRPr="00216BAC" w:rsidRDefault="00EA1BF3" w:rsidP="00BC1612">
      <w:pPr>
        <w:ind w:left="810" w:hanging="450"/>
        <w:rPr>
          <w:rFonts w:cstheme="minorHAnsi"/>
          <w:szCs w:val="22"/>
          <w:lang w:val="es-ES"/>
        </w:rPr>
      </w:pPr>
      <w:r w:rsidRPr="00216BAC">
        <w:rPr>
          <w:rFonts w:cstheme="minorHAnsi"/>
          <w:szCs w:val="22"/>
          <w:lang w:val="es-ES"/>
        </w:rPr>
        <w:t xml:space="preserve">6.1. Interpretar </w:t>
      </w:r>
      <w:r>
        <w:rPr>
          <w:rFonts w:cstheme="minorHAnsi"/>
          <w:szCs w:val="22"/>
          <w:lang w:val="es-ES"/>
        </w:rPr>
        <w:t xml:space="preserve">(a) </w:t>
      </w:r>
      <w:r w:rsidRPr="00216BAC">
        <w:rPr>
          <w:rFonts w:cstheme="minorHAnsi"/>
          <w:szCs w:val="22"/>
          <w:lang w:val="es-ES"/>
        </w:rPr>
        <w:t>que los programas y actividades del Sector Publico se coordine</w:t>
      </w:r>
      <w:r>
        <w:rPr>
          <w:rFonts w:cstheme="minorHAnsi"/>
          <w:szCs w:val="22"/>
          <w:lang w:val="es-ES"/>
        </w:rPr>
        <w:t>n</w:t>
      </w:r>
      <w:r w:rsidRPr="00216BAC">
        <w:rPr>
          <w:rFonts w:cstheme="minorHAnsi"/>
          <w:szCs w:val="22"/>
          <w:lang w:val="es-ES"/>
        </w:rPr>
        <w:t xml:space="preserve"> </w:t>
      </w:r>
      <w:r>
        <w:rPr>
          <w:rFonts w:cstheme="minorHAnsi"/>
          <w:szCs w:val="22"/>
          <w:lang w:val="es-ES"/>
        </w:rPr>
        <w:t>bajo</w:t>
      </w:r>
      <w:r w:rsidRPr="00216BAC">
        <w:rPr>
          <w:rFonts w:cstheme="minorHAnsi"/>
          <w:szCs w:val="22"/>
          <w:lang w:val="es-ES"/>
        </w:rPr>
        <w:t xml:space="preserve"> el papel de CONASIDA como ente </w:t>
      </w:r>
      <w:r>
        <w:rPr>
          <w:rFonts w:cstheme="minorHAnsi"/>
          <w:szCs w:val="22"/>
          <w:lang w:val="es-ES"/>
        </w:rPr>
        <w:t xml:space="preserve">administrador financiero </w:t>
      </w:r>
      <w:r w:rsidRPr="00216BAC">
        <w:rPr>
          <w:rFonts w:cstheme="minorHAnsi"/>
          <w:szCs w:val="22"/>
          <w:lang w:val="es-ES"/>
        </w:rPr>
        <w:t xml:space="preserve">de las OSC </w:t>
      </w:r>
      <w:r>
        <w:rPr>
          <w:rFonts w:cstheme="minorHAnsi"/>
          <w:szCs w:val="22"/>
          <w:lang w:val="es-ES"/>
        </w:rPr>
        <w:t>en VIH;</w:t>
      </w:r>
      <w:r w:rsidRPr="00216BAC">
        <w:rPr>
          <w:rFonts w:cstheme="minorHAnsi"/>
          <w:szCs w:val="22"/>
          <w:lang w:val="es-ES"/>
        </w:rPr>
        <w:t xml:space="preserve"> </w:t>
      </w:r>
      <w:r>
        <w:rPr>
          <w:rFonts w:cstheme="minorHAnsi"/>
          <w:szCs w:val="22"/>
          <w:lang w:val="es-ES"/>
        </w:rPr>
        <w:t xml:space="preserve">(b) consolidar </w:t>
      </w:r>
      <w:r w:rsidRPr="00216BAC">
        <w:rPr>
          <w:rFonts w:cstheme="minorHAnsi"/>
          <w:szCs w:val="22"/>
          <w:lang w:val="es-ES"/>
        </w:rPr>
        <w:t xml:space="preserve">un programa nacional de financiamiento </w:t>
      </w:r>
      <w:r>
        <w:rPr>
          <w:rFonts w:cstheme="minorHAnsi"/>
          <w:szCs w:val="22"/>
          <w:lang w:val="es-ES"/>
        </w:rPr>
        <w:t xml:space="preserve">del Sector Público </w:t>
      </w:r>
      <w:r w:rsidRPr="00216BAC">
        <w:rPr>
          <w:rFonts w:cstheme="minorHAnsi"/>
          <w:szCs w:val="22"/>
          <w:lang w:val="es-ES"/>
        </w:rPr>
        <w:t>de las OSC en VIH</w:t>
      </w:r>
      <w:r>
        <w:rPr>
          <w:rFonts w:cstheme="minorHAnsi"/>
          <w:szCs w:val="22"/>
          <w:lang w:val="es-ES"/>
        </w:rPr>
        <w:t xml:space="preserve"> y (c) coordinar en un Plan Operativo Anual el financiamiento para las OSC provenientes de fuentes externas como el FM y otras fuentes, con las actividades financiadas por Sector Publico para las OSC en VIH.</w:t>
      </w:r>
    </w:p>
    <w:p w14:paraId="2657F1A2" w14:textId="5CA0BC64" w:rsidR="00EA1BF3" w:rsidRPr="00216BAC" w:rsidRDefault="00EA1BF3" w:rsidP="00BC1612">
      <w:pPr>
        <w:ind w:firstLine="0"/>
        <w:rPr>
          <w:rFonts w:cstheme="minorHAnsi"/>
          <w:szCs w:val="22"/>
          <w:lang w:val="es-ES"/>
        </w:rPr>
      </w:pPr>
      <w:r w:rsidRPr="00216BAC">
        <w:rPr>
          <w:rFonts w:cstheme="minorHAnsi"/>
          <w:szCs w:val="22"/>
          <w:lang w:val="es-ES"/>
        </w:rPr>
        <w:t xml:space="preserve">7. </w:t>
      </w:r>
      <w:r>
        <w:rPr>
          <w:rFonts w:cstheme="minorHAnsi"/>
          <w:szCs w:val="22"/>
          <w:lang w:val="es-ES"/>
        </w:rPr>
        <w:t>“</w:t>
      </w:r>
      <w:r w:rsidRPr="00344469">
        <w:rPr>
          <w:rFonts w:cstheme="minorHAnsi"/>
          <w:b/>
          <w:szCs w:val="22"/>
          <w:lang w:val="es-ES"/>
        </w:rPr>
        <w:t xml:space="preserve">Papel </w:t>
      </w:r>
      <w:r w:rsidRPr="00BC1612">
        <w:rPr>
          <w:rFonts w:cstheme="minorHAnsi"/>
          <w:szCs w:val="22"/>
          <w:lang w:val="es-ES"/>
        </w:rPr>
        <w:t>coordinador</w:t>
      </w:r>
      <w:r w:rsidRPr="00344469">
        <w:rPr>
          <w:rFonts w:cstheme="minorHAnsi"/>
          <w:b/>
          <w:szCs w:val="22"/>
          <w:lang w:val="es-ES"/>
        </w:rPr>
        <w:t xml:space="preserve"> de la CONASIDA con SESAL y gobiernos municipales</w:t>
      </w:r>
      <w:r w:rsidRPr="00216BAC">
        <w:rPr>
          <w:rFonts w:cstheme="minorHAnsi"/>
          <w:szCs w:val="22"/>
          <w:lang w:val="es-ES"/>
        </w:rPr>
        <w:t xml:space="preserve"> en ofrecer programas y proyectos de prevención integral sobre VIH con enfoque de derechos</w:t>
      </w:r>
      <w:r>
        <w:rPr>
          <w:rFonts w:cstheme="minorHAnsi"/>
          <w:szCs w:val="22"/>
          <w:lang w:val="es-ES"/>
        </w:rPr>
        <w:t>”</w:t>
      </w:r>
      <w:r w:rsidRPr="00216BAC">
        <w:rPr>
          <w:rFonts w:cstheme="minorHAnsi"/>
          <w:szCs w:val="22"/>
          <w:lang w:val="es-ES"/>
        </w:rPr>
        <w:t xml:space="preserve"> (Art. 39).</w:t>
      </w:r>
    </w:p>
    <w:p w14:paraId="4D553F66" w14:textId="7EF67EFC" w:rsidR="00EA1BF3" w:rsidRPr="00216BAC" w:rsidRDefault="00EA1BF3" w:rsidP="00BC1612">
      <w:pPr>
        <w:ind w:left="810" w:hanging="450"/>
        <w:rPr>
          <w:rFonts w:cstheme="minorHAnsi"/>
          <w:szCs w:val="22"/>
          <w:lang w:val="es-ES"/>
        </w:rPr>
      </w:pPr>
      <w:r w:rsidRPr="00216BAC">
        <w:rPr>
          <w:rFonts w:cstheme="minorHAnsi"/>
          <w:szCs w:val="22"/>
          <w:lang w:val="es-ES"/>
        </w:rPr>
        <w:t xml:space="preserve">7.1. Interpretar que los proyectos municipales deben tener los recursos financieros y que se ejecutaran por medio de las OSC en VIH, contratos que pueden ser complementados financieramente por CONASIDA, especialmente en municipalidades de menores recursos. </w:t>
      </w:r>
    </w:p>
    <w:p w14:paraId="4D126F43" w14:textId="6389E642" w:rsidR="00EA1BF3" w:rsidRPr="00216BAC" w:rsidRDefault="00EA1BF3" w:rsidP="00BC1612">
      <w:pPr>
        <w:ind w:firstLine="0"/>
        <w:rPr>
          <w:rFonts w:cstheme="minorHAnsi"/>
          <w:szCs w:val="22"/>
          <w:lang w:val="es-ES"/>
        </w:rPr>
      </w:pPr>
      <w:r w:rsidRPr="00216BAC">
        <w:rPr>
          <w:rFonts w:cstheme="minorHAnsi"/>
          <w:szCs w:val="22"/>
          <w:lang w:val="es-ES"/>
        </w:rPr>
        <w:t xml:space="preserve">8. </w:t>
      </w:r>
      <w:r>
        <w:rPr>
          <w:rFonts w:cstheme="minorHAnsi"/>
          <w:szCs w:val="22"/>
          <w:lang w:val="es-ES"/>
        </w:rPr>
        <w:t>“</w:t>
      </w:r>
      <w:r w:rsidRPr="00216BAC">
        <w:rPr>
          <w:rFonts w:cstheme="minorHAnsi"/>
          <w:szCs w:val="22"/>
          <w:lang w:val="es-ES"/>
        </w:rPr>
        <w:t xml:space="preserve">Las </w:t>
      </w:r>
      <w:r w:rsidRPr="00344469">
        <w:rPr>
          <w:rFonts w:cstheme="minorHAnsi"/>
          <w:b/>
          <w:szCs w:val="22"/>
          <w:lang w:val="es-ES"/>
        </w:rPr>
        <w:t xml:space="preserve">personas privadas de libertad con VIH tienen el derecho a la atención </w:t>
      </w:r>
      <w:r w:rsidR="005E2BA8" w:rsidRPr="00344469">
        <w:rPr>
          <w:rFonts w:cstheme="minorHAnsi"/>
          <w:b/>
          <w:szCs w:val="22"/>
          <w:lang w:val="es-ES"/>
        </w:rPr>
        <w:t>médico</w:t>
      </w:r>
      <w:r w:rsidRPr="00344469">
        <w:rPr>
          <w:rFonts w:cstheme="minorHAnsi"/>
          <w:b/>
          <w:szCs w:val="22"/>
          <w:lang w:val="es-ES"/>
        </w:rPr>
        <w:t>-hospitalaria</w:t>
      </w:r>
      <w:r>
        <w:rPr>
          <w:rFonts w:cstheme="minorHAnsi"/>
          <w:szCs w:val="22"/>
          <w:lang w:val="es-ES"/>
        </w:rPr>
        <w:t>”</w:t>
      </w:r>
      <w:r w:rsidRPr="00216BAC">
        <w:rPr>
          <w:rFonts w:cstheme="minorHAnsi"/>
          <w:szCs w:val="22"/>
          <w:lang w:val="es-ES"/>
        </w:rPr>
        <w:t xml:space="preserve"> (Art. 64)</w:t>
      </w:r>
    </w:p>
    <w:p w14:paraId="6006B764" w14:textId="2D2BB3C2" w:rsidR="00BC1612" w:rsidRPr="005E2BA8" w:rsidRDefault="00EA1BF3" w:rsidP="005E2BA8">
      <w:pPr>
        <w:ind w:left="810" w:hanging="450"/>
        <w:rPr>
          <w:rFonts w:cstheme="minorHAnsi"/>
          <w:szCs w:val="22"/>
          <w:lang w:val="es-ES"/>
        </w:rPr>
      </w:pPr>
      <w:r w:rsidRPr="00216BAC">
        <w:rPr>
          <w:rFonts w:cstheme="minorHAnsi"/>
          <w:szCs w:val="22"/>
          <w:lang w:val="es-ES"/>
        </w:rPr>
        <w:t xml:space="preserve">8.1. Interpretar que parte de la atención </w:t>
      </w:r>
      <w:r>
        <w:rPr>
          <w:rFonts w:cstheme="minorHAnsi"/>
          <w:szCs w:val="22"/>
          <w:lang w:val="es-ES"/>
        </w:rPr>
        <w:t xml:space="preserve">a las personas privadas de libertad </w:t>
      </w:r>
      <w:r w:rsidRPr="00216BAC">
        <w:rPr>
          <w:rFonts w:cstheme="minorHAnsi"/>
          <w:szCs w:val="22"/>
          <w:lang w:val="es-ES"/>
        </w:rPr>
        <w:t xml:space="preserve">incluye los servicios que proporcionan las OSC </w:t>
      </w:r>
      <w:r>
        <w:rPr>
          <w:rFonts w:cstheme="minorHAnsi"/>
          <w:szCs w:val="22"/>
          <w:lang w:val="es-ES"/>
        </w:rPr>
        <w:t>en VIH y en coinfección VIH</w:t>
      </w:r>
      <w:r w:rsidR="005F681D">
        <w:rPr>
          <w:rFonts w:cstheme="minorHAnsi"/>
          <w:szCs w:val="22"/>
          <w:lang w:val="es-ES"/>
        </w:rPr>
        <w:t xml:space="preserve"> </w:t>
      </w:r>
      <w:proofErr w:type="spellStart"/>
      <w:r w:rsidR="005F681D">
        <w:rPr>
          <w:rFonts w:cstheme="minorHAnsi"/>
          <w:szCs w:val="22"/>
          <w:lang w:val="es-ES"/>
        </w:rPr>
        <w:t>y</w:t>
      </w:r>
      <w:r>
        <w:rPr>
          <w:rFonts w:cstheme="minorHAnsi"/>
          <w:szCs w:val="22"/>
          <w:lang w:val="es-ES"/>
        </w:rPr>
        <w:t>TB</w:t>
      </w:r>
      <w:proofErr w:type="spellEnd"/>
      <w:r>
        <w:rPr>
          <w:rFonts w:cstheme="minorHAnsi"/>
          <w:szCs w:val="22"/>
          <w:lang w:val="es-ES"/>
        </w:rPr>
        <w:t xml:space="preserve"> </w:t>
      </w:r>
      <w:r w:rsidRPr="00216BAC">
        <w:rPr>
          <w:rFonts w:cstheme="minorHAnsi"/>
          <w:szCs w:val="22"/>
          <w:lang w:val="es-ES"/>
        </w:rPr>
        <w:t>por medio de contratos con el Sistema Penitenciario o por medio de CONASIDA.</w:t>
      </w:r>
    </w:p>
    <w:p w14:paraId="113D8C89" w14:textId="7CB65788" w:rsidR="00EA1BF3" w:rsidRPr="00BC1612" w:rsidRDefault="00EA1BF3" w:rsidP="00BC1612">
      <w:pPr>
        <w:ind w:firstLine="0"/>
        <w:rPr>
          <w:rFonts w:cstheme="minorHAnsi"/>
          <w:b/>
          <w:szCs w:val="22"/>
          <w:lang w:val="es-ES"/>
        </w:rPr>
      </w:pPr>
      <w:r w:rsidRPr="00A76D65">
        <w:rPr>
          <w:rFonts w:cstheme="minorHAnsi"/>
          <w:b/>
          <w:szCs w:val="22"/>
          <w:lang w:val="es-ES"/>
        </w:rPr>
        <w:t>Soluciones</w:t>
      </w:r>
      <w:r>
        <w:rPr>
          <w:rFonts w:cstheme="minorHAnsi"/>
          <w:b/>
          <w:szCs w:val="22"/>
          <w:lang w:val="es-ES"/>
        </w:rPr>
        <w:t xml:space="preserve"> (a explorar)</w:t>
      </w:r>
    </w:p>
    <w:p w14:paraId="01451753" w14:textId="5E5D2F6A" w:rsidR="00EA1BF3" w:rsidRPr="00216BAC" w:rsidRDefault="00EA1BF3" w:rsidP="006D54BD">
      <w:pPr>
        <w:pStyle w:val="ListParagraph"/>
        <w:numPr>
          <w:ilvl w:val="0"/>
          <w:numId w:val="10"/>
        </w:numPr>
        <w:autoSpaceDN/>
        <w:spacing w:before="0" w:after="0"/>
        <w:textAlignment w:val="auto"/>
        <w:rPr>
          <w:rFonts w:cstheme="minorHAnsi"/>
          <w:szCs w:val="22"/>
          <w:lang w:val="es-ES"/>
        </w:rPr>
      </w:pPr>
      <w:r w:rsidRPr="00216BAC">
        <w:rPr>
          <w:rFonts w:cstheme="minorHAnsi"/>
          <w:szCs w:val="22"/>
          <w:lang w:val="es-ES"/>
        </w:rPr>
        <w:t xml:space="preserve">Usar el contexto conceptual de la Ley </w:t>
      </w:r>
      <w:r>
        <w:rPr>
          <w:rFonts w:cstheme="minorHAnsi"/>
          <w:szCs w:val="22"/>
          <w:lang w:val="es-ES"/>
        </w:rPr>
        <w:t>Especial de VIH/SIDA (2015)</w:t>
      </w:r>
      <w:r w:rsidRPr="00216BAC">
        <w:rPr>
          <w:rFonts w:cstheme="minorHAnsi"/>
          <w:szCs w:val="22"/>
          <w:lang w:val="es-ES"/>
        </w:rPr>
        <w:t xml:space="preserve"> y el marco institucional de la CONASIDA para definir para CONASIDA un papel de administración financiera de recursos presupuestarios públicos para el financiamiento de las OSC en VHI, tomando como modelos las experiencias de México y </w:t>
      </w:r>
      <w:r w:rsidR="00BC1612" w:rsidRPr="00216BAC">
        <w:rPr>
          <w:rFonts w:cstheme="minorHAnsi"/>
          <w:szCs w:val="22"/>
          <w:lang w:val="es-ES"/>
        </w:rPr>
        <w:t>República</w:t>
      </w:r>
      <w:r w:rsidRPr="00216BAC">
        <w:rPr>
          <w:rFonts w:cstheme="minorHAnsi"/>
          <w:szCs w:val="22"/>
          <w:lang w:val="es-ES"/>
        </w:rPr>
        <w:t xml:space="preserve"> Dominicana</w:t>
      </w:r>
      <w:r>
        <w:rPr>
          <w:rFonts w:cstheme="minorHAnsi"/>
          <w:szCs w:val="22"/>
          <w:lang w:val="es-ES"/>
        </w:rPr>
        <w:t>, entre otros</w:t>
      </w:r>
      <w:r w:rsidRPr="00216BAC">
        <w:rPr>
          <w:rFonts w:cstheme="minorHAnsi"/>
          <w:szCs w:val="22"/>
          <w:lang w:val="es-ES"/>
        </w:rPr>
        <w:t xml:space="preserve">. </w:t>
      </w:r>
    </w:p>
    <w:p w14:paraId="529C7D6E" w14:textId="77777777" w:rsidR="00EA1BF3" w:rsidRPr="00216BAC" w:rsidRDefault="00EA1BF3" w:rsidP="006D54BD">
      <w:pPr>
        <w:pStyle w:val="ListParagraph"/>
        <w:numPr>
          <w:ilvl w:val="0"/>
          <w:numId w:val="10"/>
        </w:numPr>
        <w:autoSpaceDN/>
        <w:spacing w:before="0" w:after="0"/>
        <w:textAlignment w:val="auto"/>
        <w:rPr>
          <w:rFonts w:cstheme="minorHAnsi"/>
          <w:szCs w:val="22"/>
          <w:lang w:val="es-ES"/>
        </w:rPr>
      </w:pPr>
      <w:r w:rsidRPr="00216BAC">
        <w:rPr>
          <w:rFonts w:cstheme="minorHAnsi"/>
          <w:szCs w:val="22"/>
          <w:lang w:val="es-ES"/>
        </w:rPr>
        <w:t xml:space="preserve">El propósito del financiamiento es la contratación de las OSC para la prestación de servicios en VIH. Servicios </w:t>
      </w:r>
      <w:r>
        <w:rPr>
          <w:rFonts w:cstheme="minorHAnsi"/>
          <w:szCs w:val="22"/>
          <w:lang w:val="es-ES"/>
        </w:rPr>
        <w:t xml:space="preserve">tales como </w:t>
      </w:r>
      <w:r w:rsidRPr="00216BAC">
        <w:rPr>
          <w:rFonts w:cstheme="minorHAnsi"/>
          <w:szCs w:val="22"/>
          <w:lang w:val="es-ES"/>
        </w:rPr>
        <w:t xml:space="preserve">promoción, prevención, alcance, testeo, acceso a los servicios de salud, seguimiento; servicios de apoyo social; </w:t>
      </w:r>
      <w:r>
        <w:rPr>
          <w:rFonts w:cstheme="minorHAnsi"/>
          <w:szCs w:val="22"/>
          <w:lang w:val="es-ES"/>
        </w:rPr>
        <w:t xml:space="preserve">y </w:t>
      </w:r>
      <w:r w:rsidRPr="00216BAC">
        <w:rPr>
          <w:rFonts w:cstheme="minorHAnsi"/>
          <w:szCs w:val="22"/>
          <w:lang w:val="es-ES"/>
        </w:rPr>
        <w:t>apoyo emocional.</w:t>
      </w:r>
    </w:p>
    <w:p w14:paraId="5884BA3B" w14:textId="37F0EA9F" w:rsidR="00EA1BF3" w:rsidRPr="00216BAC" w:rsidRDefault="00EA1BF3" w:rsidP="006D54BD">
      <w:pPr>
        <w:pStyle w:val="ListParagraph"/>
        <w:numPr>
          <w:ilvl w:val="0"/>
          <w:numId w:val="10"/>
        </w:numPr>
        <w:autoSpaceDN/>
        <w:spacing w:before="0" w:after="0"/>
        <w:textAlignment w:val="auto"/>
        <w:rPr>
          <w:rFonts w:cstheme="minorHAnsi"/>
          <w:szCs w:val="22"/>
          <w:lang w:val="es-ES"/>
        </w:rPr>
      </w:pPr>
      <w:r w:rsidRPr="00216BAC">
        <w:rPr>
          <w:rFonts w:cstheme="minorHAnsi"/>
          <w:szCs w:val="22"/>
          <w:lang w:val="es-ES"/>
        </w:rPr>
        <w:t>Usar la oportunidad de la Reglamentación de la Ley de Sida para</w:t>
      </w:r>
      <w:r>
        <w:rPr>
          <w:rFonts w:cstheme="minorHAnsi"/>
          <w:szCs w:val="22"/>
          <w:lang w:val="es-ES"/>
        </w:rPr>
        <w:t xml:space="preserve"> incluir, entre otros:</w:t>
      </w:r>
    </w:p>
    <w:p w14:paraId="76E9437F" w14:textId="47819EF4" w:rsidR="00EA1BF3" w:rsidRPr="00216BAC" w:rsidRDefault="00EA1BF3" w:rsidP="006D54BD">
      <w:pPr>
        <w:pStyle w:val="ListParagraph"/>
        <w:numPr>
          <w:ilvl w:val="1"/>
          <w:numId w:val="10"/>
        </w:numPr>
        <w:autoSpaceDN/>
        <w:spacing w:before="0" w:after="0"/>
        <w:textAlignment w:val="auto"/>
        <w:rPr>
          <w:rFonts w:cstheme="minorHAnsi"/>
          <w:szCs w:val="22"/>
          <w:lang w:val="es-ES"/>
        </w:rPr>
      </w:pPr>
      <w:r>
        <w:rPr>
          <w:rFonts w:cstheme="minorHAnsi"/>
          <w:szCs w:val="22"/>
          <w:lang w:val="es-ES"/>
        </w:rPr>
        <w:t>U</w:t>
      </w:r>
      <w:r w:rsidRPr="00216BAC">
        <w:rPr>
          <w:rFonts w:cstheme="minorHAnsi"/>
          <w:szCs w:val="22"/>
          <w:lang w:val="es-ES"/>
        </w:rPr>
        <w:t xml:space="preserve">n </w:t>
      </w:r>
      <w:r w:rsidR="00BC1612" w:rsidRPr="00216BAC">
        <w:rPr>
          <w:rFonts w:cstheme="minorHAnsi"/>
          <w:szCs w:val="22"/>
          <w:lang w:val="es-ES"/>
        </w:rPr>
        <w:t>Capítulo</w:t>
      </w:r>
      <w:r w:rsidRPr="00216BAC">
        <w:rPr>
          <w:rFonts w:cstheme="minorHAnsi"/>
          <w:szCs w:val="22"/>
          <w:lang w:val="es-ES"/>
        </w:rPr>
        <w:t xml:space="preserve"> que defina el papel financiador del CONASIDA</w:t>
      </w:r>
      <w:r>
        <w:rPr>
          <w:rFonts w:cstheme="minorHAnsi"/>
          <w:szCs w:val="22"/>
          <w:lang w:val="es-ES"/>
        </w:rPr>
        <w:t xml:space="preserve"> dentro del marco de la Ley Especial de VIH de Sida</w:t>
      </w:r>
    </w:p>
    <w:p w14:paraId="6DCF45B6" w14:textId="77777777" w:rsidR="00EA1BF3" w:rsidRPr="00216BAC" w:rsidRDefault="00EA1BF3" w:rsidP="006D54BD">
      <w:pPr>
        <w:pStyle w:val="ListParagraph"/>
        <w:numPr>
          <w:ilvl w:val="1"/>
          <w:numId w:val="10"/>
        </w:numPr>
        <w:autoSpaceDN/>
        <w:spacing w:before="0" w:after="0"/>
        <w:textAlignment w:val="auto"/>
        <w:rPr>
          <w:rFonts w:cstheme="minorHAnsi"/>
          <w:szCs w:val="22"/>
          <w:lang w:val="es-ES"/>
        </w:rPr>
      </w:pPr>
      <w:r>
        <w:rPr>
          <w:rFonts w:cstheme="minorHAnsi"/>
          <w:szCs w:val="22"/>
          <w:lang w:val="es-ES"/>
        </w:rPr>
        <w:t>Definir có</w:t>
      </w:r>
      <w:r w:rsidRPr="00216BAC">
        <w:rPr>
          <w:rFonts w:cstheme="minorHAnsi"/>
          <w:szCs w:val="22"/>
          <w:lang w:val="es-ES"/>
        </w:rPr>
        <w:t>mo se asignarán y administrarán los recursos presupuestarios</w:t>
      </w:r>
      <w:r>
        <w:rPr>
          <w:rFonts w:cstheme="minorHAnsi"/>
          <w:szCs w:val="22"/>
          <w:lang w:val="es-ES"/>
        </w:rPr>
        <w:t xml:space="preserve"> públicos por medio de la CONASIDA</w:t>
      </w:r>
    </w:p>
    <w:p w14:paraId="43B24A95" w14:textId="77777777" w:rsidR="00EA1BF3" w:rsidRDefault="00EA1BF3" w:rsidP="006D54BD">
      <w:pPr>
        <w:pStyle w:val="ListParagraph"/>
        <w:numPr>
          <w:ilvl w:val="1"/>
          <w:numId w:val="10"/>
        </w:numPr>
        <w:autoSpaceDN/>
        <w:spacing w:before="0" w:after="0"/>
        <w:textAlignment w:val="auto"/>
        <w:rPr>
          <w:rFonts w:cstheme="minorHAnsi"/>
          <w:szCs w:val="22"/>
          <w:lang w:val="es-ES"/>
        </w:rPr>
      </w:pPr>
      <w:r w:rsidRPr="00216BAC">
        <w:rPr>
          <w:rFonts w:cstheme="minorHAnsi"/>
          <w:szCs w:val="22"/>
          <w:lang w:val="es-ES"/>
        </w:rPr>
        <w:t xml:space="preserve"> </w:t>
      </w:r>
      <w:r>
        <w:rPr>
          <w:rFonts w:cstheme="minorHAnsi"/>
          <w:szCs w:val="22"/>
          <w:lang w:val="es-ES"/>
        </w:rPr>
        <w:t xml:space="preserve">Los recursos presupuestarios para la contratación de OSC en VIH será </w:t>
      </w:r>
      <w:r w:rsidRPr="00216BAC">
        <w:rPr>
          <w:rFonts w:cstheme="minorHAnsi"/>
          <w:szCs w:val="22"/>
          <w:lang w:val="es-ES"/>
        </w:rPr>
        <w:t>exclusivamente para la contratación de OSC</w:t>
      </w:r>
      <w:r>
        <w:rPr>
          <w:rFonts w:cstheme="minorHAnsi"/>
          <w:szCs w:val="22"/>
          <w:lang w:val="es-ES"/>
        </w:rPr>
        <w:t>,</w:t>
      </w:r>
      <w:r w:rsidRPr="00216BAC">
        <w:rPr>
          <w:rFonts w:cstheme="minorHAnsi"/>
          <w:szCs w:val="22"/>
          <w:lang w:val="es-ES"/>
        </w:rPr>
        <w:t xml:space="preserve"> </w:t>
      </w:r>
      <w:r w:rsidRPr="00FF32B0">
        <w:rPr>
          <w:rFonts w:cstheme="minorHAnsi"/>
          <w:i/>
          <w:szCs w:val="22"/>
          <w:lang w:val="es-ES"/>
        </w:rPr>
        <w:t>separados</w:t>
      </w:r>
      <w:r w:rsidRPr="00216BAC">
        <w:rPr>
          <w:rFonts w:cstheme="minorHAnsi"/>
          <w:szCs w:val="22"/>
          <w:lang w:val="es-ES"/>
        </w:rPr>
        <w:t xml:space="preserve"> de los recur</w:t>
      </w:r>
      <w:r>
        <w:rPr>
          <w:rFonts w:cstheme="minorHAnsi"/>
          <w:szCs w:val="22"/>
          <w:lang w:val="es-ES"/>
        </w:rPr>
        <w:t>s</w:t>
      </w:r>
      <w:r w:rsidRPr="00216BAC">
        <w:rPr>
          <w:rFonts w:cstheme="minorHAnsi"/>
          <w:szCs w:val="22"/>
          <w:lang w:val="es-ES"/>
        </w:rPr>
        <w:t xml:space="preserve">os para el financiamiento de la </w:t>
      </w:r>
      <w:r>
        <w:rPr>
          <w:rFonts w:cstheme="minorHAnsi"/>
          <w:szCs w:val="22"/>
          <w:lang w:val="es-ES"/>
        </w:rPr>
        <w:t>administración d</w:t>
      </w:r>
      <w:r w:rsidRPr="00216BAC">
        <w:rPr>
          <w:rFonts w:cstheme="minorHAnsi"/>
          <w:szCs w:val="22"/>
          <w:lang w:val="es-ES"/>
        </w:rPr>
        <w:t>e CONASIDA</w:t>
      </w:r>
    </w:p>
    <w:p w14:paraId="77ACE1E0" w14:textId="3884E347" w:rsidR="00BC1612" w:rsidRPr="005E2BA8" w:rsidRDefault="00EA1BF3" w:rsidP="006D54BD">
      <w:pPr>
        <w:pStyle w:val="ListParagraph"/>
        <w:numPr>
          <w:ilvl w:val="1"/>
          <w:numId w:val="10"/>
        </w:numPr>
        <w:autoSpaceDN/>
        <w:spacing w:before="0" w:after="0"/>
        <w:textAlignment w:val="auto"/>
        <w:rPr>
          <w:rFonts w:cstheme="minorHAnsi"/>
          <w:szCs w:val="22"/>
          <w:lang w:val="es-ES"/>
        </w:rPr>
      </w:pPr>
      <w:r>
        <w:rPr>
          <w:rFonts w:cstheme="minorHAnsi"/>
          <w:szCs w:val="22"/>
          <w:lang w:val="es-ES"/>
        </w:rPr>
        <w:t>Diseñar me</w:t>
      </w:r>
      <w:r w:rsidRPr="00216BAC">
        <w:rPr>
          <w:rFonts w:cstheme="minorHAnsi"/>
          <w:szCs w:val="22"/>
          <w:lang w:val="es-ES"/>
        </w:rPr>
        <w:t xml:space="preserve">canismos transparentes de convocatoria y asignación de contratos, monitoreo, y rendición </w:t>
      </w:r>
      <w:r>
        <w:rPr>
          <w:rFonts w:cstheme="minorHAnsi"/>
          <w:szCs w:val="22"/>
          <w:lang w:val="es-ES"/>
        </w:rPr>
        <w:t>d</w:t>
      </w:r>
      <w:r w:rsidRPr="00216BAC">
        <w:rPr>
          <w:rFonts w:cstheme="minorHAnsi"/>
          <w:szCs w:val="22"/>
          <w:lang w:val="es-ES"/>
        </w:rPr>
        <w:t>e cuentas</w:t>
      </w:r>
      <w:r>
        <w:rPr>
          <w:rFonts w:cstheme="minorHAnsi"/>
          <w:szCs w:val="22"/>
          <w:lang w:val="es-ES"/>
        </w:rPr>
        <w:t xml:space="preserve"> por parte de CONASIDA.</w:t>
      </w:r>
    </w:p>
    <w:p w14:paraId="4DA719AB" w14:textId="4813BD13" w:rsidR="00BC1612" w:rsidRPr="00BC1612" w:rsidRDefault="00EA1BF3" w:rsidP="006D54BD">
      <w:pPr>
        <w:pStyle w:val="ListParagraph"/>
        <w:numPr>
          <w:ilvl w:val="1"/>
          <w:numId w:val="10"/>
        </w:numPr>
        <w:autoSpaceDN/>
        <w:spacing w:before="0" w:after="0"/>
        <w:textAlignment w:val="auto"/>
        <w:rPr>
          <w:rFonts w:cstheme="minorHAnsi"/>
          <w:szCs w:val="22"/>
          <w:lang w:val="es-ES"/>
        </w:rPr>
      </w:pPr>
      <w:r>
        <w:rPr>
          <w:rFonts w:cstheme="minorHAnsi"/>
          <w:szCs w:val="22"/>
          <w:lang w:val="es-ES"/>
        </w:rPr>
        <w:t xml:space="preserve">En adición, usar la oportunidad de la Reglamentación de la Ley Especial de VH/Sida para: </w:t>
      </w:r>
    </w:p>
    <w:p w14:paraId="05CCE21F" w14:textId="16F486FA" w:rsidR="00EA1BF3" w:rsidRDefault="00EA1BF3" w:rsidP="006D54BD">
      <w:pPr>
        <w:pStyle w:val="ListParagraph"/>
        <w:numPr>
          <w:ilvl w:val="2"/>
          <w:numId w:val="10"/>
        </w:numPr>
        <w:autoSpaceDN/>
        <w:spacing w:before="0" w:after="0"/>
        <w:textAlignment w:val="auto"/>
        <w:rPr>
          <w:rFonts w:cstheme="minorHAnsi"/>
          <w:szCs w:val="22"/>
          <w:lang w:val="es-ES"/>
        </w:rPr>
      </w:pPr>
      <w:r>
        <w:rPr>
          <w:rFonts w:cstheme="minorHAnsi"/>
          <w:szCs w:val="22"/>
          <w:lang w:val="es-ES"/>
        </w:rPr>
        <w:t xml:space="preserve">Regular las sanciones a aplicar por violaciones al </w:t>
      </w:r>
      <w:r w:rsidR="0047098A">
        <w:rPr>
          <w:rFonts w:cstheme="minorHAnsi"/>
          <w:szCs w:val="22"/>
          <w:lang w:val="es-ES"/>
        </w:rPr>
        <w:t>Artículo</w:t>
      </w:r>
      <w:r>
        <w:rPr>
          <w:rFonts w:cstheme="minorHAnsi"/>
          <w:szCs w:val="22"/>
          <w:lang w:val="es-ES"/>
        </w:rPr>
        <w:t xml:space="preserve"> 52 por parte de empleadores públicos y privados.</w:t>
      </w:r>
    </w:p>
    <w:p w14:paraId="200B6D32" w14:textId="77777777" w:rsidR="00EA1BF3" w:rsidRDefault="00EA1BF3" w:rsidP="006D54BD">
      <w:pPr>
        <w:pStyle w:val="ListParagraph"/>
        <w:numPr>
          <w:ilvl w:val="2"/>
          <w:numId w:val="10"/>
        </w:numPr>
        <w:autoSpaceDN/>
        <w:spacing w:before="0" w:after="0"/>
        <w:textAlignment w:val="auto"/>
        <w:rPr>
          <w:rFonts w:cstheme="minorHAnsi"/>
          <w:szCs w:val="22"/>
          <w:lang w:val="es-ES"/>
        </w:rPr>
      </w:pPr>
      <w:r>
        <w:rPr>
          <w:rFonts w:cstheme="minorHAnsi"/>
          <w:szCs w:val="22"/>
          <w:lang w:val="es-ES"/>
        </w:rPr>
        <w:t>Elección de miembros de la OSC en el CONASIDA Político.</w:t>
      </w:r>
    </w:p>
    <w:p w14:paraId="7168D7E6" w14:textId="77777777" w:rsidR="00EA1BF3" w:rsidRDefault="00EA1BF3" w:rsidP="006D54BD">
      <w:pPr>
        <w:pStyle w:val="ListParagraph"/>
        <w:numPr>
          <w:ilvl w:val="2"/>
          <w:numId w:val="10"/>
        </w:numPr>
        <w:autoSpaceDN/>
        <w:spacing w:before="0" w:after="0"/>
        <w:textAlignment w:val="auto"/>
        <w:rPr>
          <w:rFonts w:cstheme="minorHAnsi"/>
          <w:szCs w:val="22"/>
          <w:lang w:val="es-ES"/>
        </w:rPr>
      </w:pPr>
      <w:r>
        <w:rPr>
          <w:rFonts w:cstheme="minorHAnsi"/>
          <w:szCs w:val="22"/>
          <w:lang w:val="es-ES"/>
        </w:rPr>
        <w:t>Definir el papel del CONASIDA Político a nivel rector general de políticas de financiamiento, sin facultades operacionales.</w:t>
      </w:r>
    </w:p>
    <w:p w14:paraId="5E2F905C" w14:textId="77777777" w:rsidR="00EA1BF3" w:rsidRDefault="00EA1BF3" w:rsidP="006D54BD">
      <w:pPr>
        <w:pStyle w:val="ListParagraph"/>
        <w:numPr>
          <w:ilvl w:val="2"/>
          <w:numId w:val="10"/>
        </w:numPr>
        <w:autoSpaceDN/>
        <w:spacing w:before="0" w:after="0"/>
        <w:textAlignment w:val="auto"/>
        <w:rPr>
          <w:rFonts w:cstheme="minorHAnsi"/>
          <w:szCs w:val="22"/>
          <w:lang w:val="es-ES"/>
        </w:rPr>
      </w:pPr>
      <w:r>
        <w:rPr>
          <w:rFonts w:cstheme="minorHAnsi"/>
          <w:szCs w:val="22"/>
          <w:lang w:val="es-ES"/>
        </w:rPr>
        <w:t xml:space="preserve">Fortalecer el CONASIDA Técnico como ente financiador y consecuentemente definir su estructura, funciones y tipo de personal. </w:t>
      </w:r>
    </w:p>
    <w:p w14:paraId="13DD5530" w14:textId="5B83858D" w:rsidR="00D56771" w:rsidRPr="00BC1612" w:rsidRDefault="00EA1BF3" w:rsidP="006D54BD">
      <w:pPr>
        <w:pStyle w:val="ListParagraph"/>
        <w:numPr>
          <w:ilvl w:val="2"/>
          <w:numId w:val="10"/>
        </w:numPr>
        <w:autoSpaceDN/>
        <w:spacing w:before="0" w:after="0"/>
        <w:textAlignment w:val="auto"/>
        <w:rPr>
          <w:rFonts w:cstheme="minorHAnsi"/>
          <w:szCs w:val="22"/>
          <w:lang w:val="es-ES"/>
        </w:rPr>
      </w:pPr>
      <w:r>
        <w:rPr>
          <w:rFonts w:cstheme="minorHAnsi"/>
          <w:szCs w:val="22"/>
          <w:lang w:val="es-ES"/>
        </w:rPr>
        <w:t>Hacer un análisis completo de las disposiciones de la Ley Especial para determinar aspectos a regular con definiciones y procedimientos para incluir en la Reglamentación de la Ley para asegurar su cumplimiento e implementación.</w:t>
      </w:r>
    </w:p>
    <w:sectPr w:rsidR="00D56771" w:rsidRPr="00BC1612" w:rsidSect="006E16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3CC53" w14:textId="77777777" w:rsidR="00F76F80" w:rsidRDefault="00F76F80" w:rsidP="003B1367">
      <w:r>
        <w:separator/>
      </w:r>
    </w:p>
  </w:endnote>
  <w:endnote w:type="continuationSeparator" w:id="0">
    <w:p w14:paraId="55606658" w14:textId="77777777" w:rsidR="00F76F80" w:rsidRDefault="00F76F80" w:rsidP="003B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ova Cond">
    <w:charset w:val="00"/>
    <w:family w:val="swiss"/>
    <w:pitch w:val="variable"/>
    <w:sig w:usb0="0000028F" w:usb1="00000002"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Calibri">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524647"/>
      <w:docPartObj>
        <w:docPartGallery w:val="Page Numbers (Bottom of Page)"/>
        <w:docPartUnique/>
      </w:docPartObj>
    </w:sdtPr>
    <w:sdtContent>
      <w:p w14:paraId="444089B7" w14:textId="77777777" w:rsidR="004B64A9" w:rsidRDefault="004B64A9" w:rsidP="00047098">
        <w:pPr>
          <w:pStyle w:val="NmeroPgina"/>
        </w:pPr>
        <w:r>
          <w:fldChar w:fldCharType="begin"/>
        </w:r>
        <w:r>
          <w:instrText>PAGE   \* MERGEFORMAT</w:instrText>
        </w:r>
        <w:r>
          <w:fldChar w:fldCharType="separate"/>
        </w:r>
        <w:r w:rsidRPr="00A33FC6">
          <w:rPr>
            <w:noProof/>
            <w:lang w:val="es-ES"/>
          </w:rPr>
          <w:t>i</w:t>
        </w:r>
        <w:r>
          <w:fldChar w:fldCharType="end"/>
        </w:r>
      </w:p>
    </w:sdtContent>
  </w:sdt>
  <w:p w14:paraId="7AF0065F" w14:textId="77777777" w:rsidR="004B64A9" w:rsidRDefault="004B6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292746"/>
      <w:docPartObj>
        <w:docPartGallery w:val="Page Numbers (Bottom of Page)"/>
        <w:docPartUnique/>
      </w:docPartObj>
    </w:sdtPr>
    <w:sdtContent>
      <w:p w14:paraId="32AFAD79" w14:textId="77777777" w:rsidR="004B64A9" w:rsidRDefault="004B64A9" w:rsidP="00047098">
        <w:pPr>
          <w:pStyle w:val="NmeroPgina"/>
        </w:pPr>
        <w:r>
          <w:fldChar w:fldCharType="begin"/>
        </w:r>
        <w:r>
          <w:instrText>PAGE   \* MERGEFORMAT</w:instrText>
        </w:r>
        <w:r>
          <w:fldChar w:fldCharType="separate"/>
        </w:r>
        <w:r w:rsidRPr="00A33FC6">
          <w:rPr>
            <w:noProof/>
            <w:lang w:val="es-ES"/>
          </w:rPr>
          <w:t>v</w:t>
        </w:r>
        <w:r>
          <w:fldChar w:fldCharType="end"/>
        </w:r>
      </w:p>
    </w:sdtContent>
  </w:sdt>
  <w:p w14:paraId="189ED6D2" w14:textId="77777777" w:rsidR="004B64A9" w:rsidRDefault="004B6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113606"/>
      <w:docPartObj>
        <w:docPartGallery w:val="Page Numbers (Bottom of Page)"/>
        <w:docPartUnique/>
      </w:docPartObj>
    </w:sdtPr>
    <w:sdtContent>
      <w:p w14:paraId="4F456818" w14:textId="77777777" w:rsidR="004B64A9" w:rsidRDefault="004B64A9" w:rsidP="00047098">
        <w:pPr>
          <w:pStyle w:val="NmeroPgina"/>
        </w:pPr>
        <w:r>
          <w:fldChar w:fldCharType="begin"/>
        </w:r>
        <w:r>
          <w:instrText>PAGE   \* MERGEFORMAT</w:instrText>
        </w:r>
        <w:r>
          <w:fldChar w:fldCharType="separate"/>
        </w:r>
        <w:r w:rsidRPr="00A33FC6">
          <w:rPr>
            <w:noProof/>
            <w:lang w:val="es-ES"/>
          </w:rPr>
          <w:t>14</w:t>
        </w:r>
        <w:r>
          <w:fldChar w:fldCharType="end"/>
        </w:r>
      </w:p>
    </w:sdtContent>
  </w:sdt>
  <w:p w14:paraId="34B7390F" w14:textId="77777777" w:rsidR="004B64A9" w:rsidRDefault="004B6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54BE8" w14:textId="77777777" w:rsidR="00F76F80" w:rsidRDefault="00F76F80" w:rsidP="003B1367">
      <w:r>
        <w:separator/>
      </w:r>
    </w:p>
  </w:footnote>
  <w:footnote w:type="continuationSeparator" w:id="0">
    <w:p w14:paraId="01EC926A" w14:textId="77777777" w:rsidR="00F76F80" w:rsidRDefault="00F76F80" w:rsidP="003B1367">
      <w:r>
        <w:continuationSeparator/>
      </w:r>
    </w:p>
  </w:footnote>
  <w:footnote w:id="1">
    <w:p w14:paraId="3967D46A" w14:textId="488C73A4" w:rsidR="004B64A9" w:rsidRPr="00D14104" w:rsidRDefault="004B64A9" w:rsidP="00D61BF8">
      <w:pPr>
        <w:pStyle w:val="NotaPie"/>
        <w:ind w:firstLine="0"/>
        <w:rPr>
          <w:lang w:val="es-419"/>
        </w:rPr>
      </w:pPr>
      <w:r>
        <w:rPr>
          <w:rStyle w:val="FootnoteReference"/>
        </w:rPr>
        <w:footnoteRef/>
      </w:r>
      <w:r>
        <w:t xml:space="preserve"> </w:t>
      </w:r>
      <w:r w:rsidRPr="003427BE">
        <w:rPr>
          <w:i/>
          <w:lang w:val="es-ES"/>
        </w:rPr>
        <w:t xml:space="preserve">Pharos Global </w:t>
      </w:r>
      <w:proofErr w:type="spellStart"/>
      <w:r w:rsidRPr="003427BE">
        <w:rPr>
          <w:i/>
          <w:lang w:val="es-ES"/>
        </w:rPr>
        <w:t>Health</w:t>
      </w:r>
      <w:proofErr w:type="spellEnd"/>
      <w:r w:rsidRPr="003427BE">
        <w:rPr>
          <w:i/>
          <w:lang w:val="es-ES"/>
        </w:rPr>
        <w:t xml:space="preserve"> </w:t>
      </w:r>
      <w:proofErr w:type="spellStart"/>
      <w:r w:rsidRPr="003427BE">
        <w:rPr>
          <w:i/>
          <w:lang w:val="es-ES"/>
        </w:rPr>
        <w:t>Advisors</w:t>
      </w:r>
      <w:proofErr w:type="spellEnd"/>
      <w:r w:rsidRPr="00D14104">
        <w:t xml:space="preserve"> y </w:t>
      </w:r>
      <w:proofErr w:type="spellStart"/>
      <w:r w:rsidRPr="00D14104">
        <w:t>Bitrán</w:t>
      </w:r>
      <w:proofErr w:type="spellEnd"/>
      <w:r w:rsidRPr="00D14104">
        <w:t xml:space="preserve"> y Asociados (</w:t>
      </w:r>
      <w:r>
        <w:t>febrero</w:t>
      </w:r>
      <w:r w:rsidRPr="00D14104">
        <w:t xml:space="preserve"> 201</w:t>
      </w:r>
      <w:r>
        <w:t>9</w:t>
      </w:r>
      <w:r w:rsidRPr="00D14104">
        <w:t xml:space="preserve">) Informe de País para </w:t>
      </w:r>
      <w:r>
        <w:t>Honduras</w:t>
      </w:r>
      <w:r w:rsidRPr="00D14104">
        <w:t>. Estrategia Nacional de Sostenibilidad de la Respuesta Nacional al VIH/sida</w:t>
      </w:r>
      <w:r>
        <w:t xml:space="preserve"> y a la TB</w:t>
      </w:r>
      <w:r w:rsidRPr="00D14104">
        <w:t xml:space="preserve">. Informe para el Fondo Mundial y el Mecanismo de Coordinación País. </w:t>
      </w:r>
      <w:r>
        <w:t>Honduras.</w:t>
      </w:r>
    </w:p>
  </w:footnote>
  <w:footnote w:id="2">
    <w:p w14:paraId="17C691F8" w14:textId="00C9071B" w:rsidR="004B64A9" w:rsidRPr="000C7A9B" w:rsidRDefault="004B64A9" w:rsidP="005515C6">
      <w:pPr>
        <w:ind w:firstLine="0"/>
        <w:rPr>
          <w:sz w:val="20"/>
          <w:szCs w:val="20"/>
          <w:lang w:val="es-ES"/>
        </w:rPr>
      </w:pPr>
      <w:r w:rsidRPr="000C7A9B">
        <w:rPr>
          <w:rStyle w:val="FootnoteReference"/>
          <w:sz w:val="20"/>
          <w:szCs w:val="20"/>
        </w:rPr>
        <w:footnoteRef/>
      </w:r>
      <w:r w:rsidRPr="000C7A9B">
        <w:rPr>
          <w:sz w:val="20"/>
          <w:szCs w:val="20"/>
          <w:lang w:val="es-MX"/>
        </w:rPr>
        <w:t xml:space="preserve"> </w:t>
      </w:r>
      <w:r w:rsidRPr="000C7A9B">
        <w:rPr>
          <w:sz w:val="20"/>
          <w:szCs w:val="20"/>
          <w:lang w:val="es-ES"/>
        </w:rPr>
        <w:t xml:space="preserve">El equipo de Pharos se compone por seis consultores con experiencias de trabajo en economía y financiamiento de la salud, sistemas de salud y gobernanza, sociedad civil, derechos humanos y provisión de servicios </w:t>
      </w:r>
      <w:r>
        <w:rPr>
          <w:sz w:val="20"/>
          <w:szCs w:val="20"/>
          <w:lang w:val="es-ES"/>
        </w:rPr>
        <w:t>de</w:t>
      </w:r>
      <w:r w:rsidRPr="000C7A9B">
        <w:rPr>
          <w:sz w:val="20"/>
          <w:szCs w:val="20"/>
          <w:lang w:val="es-ES"/>
        </w:rPr>
        <w:t xml:space="preserve"> VIH y TB.</w:t>
      </w:r>
    </w:p>
  </w:footnote>
  <w:footnote w:id="3">
    <w:p w14:paraId="5F4CB2EF" w14:textId="77777777" w:rsidR="004B64A9" w:rsidRPr="000A1346" w:rsidRDefault="004B64A9" w:rsidP="00F948D1">
      <w:pPr>
        <w:pStyle w:val="NotaPie"/>
        <w:ind w:firstLine="0"/>
        <w:rPr>
          <w:lang w:val="es-CL"/>
        </w:rPr>
      </w:pPr>
      <w:r w:rsidRPr="00F620B7">
        <w:rPr>
          <w:rStyle w:val="FootnoteReference"/>
          <w:sz w:val="18"/>
        </w:rPr>
        <w:footnoteRef/>
      </w:r>
      <w:r w:rsidRPr="00F620B7">
        <w:rPr>
          <w:sz w:val="18"/>
        </w:rPr>
        <w:t xml:space="preserve"> </w:t>
      </w:r>
      <w:r w:rsidRPr="00F620B7">
        <w:rPr>
          <w:sz w:val="18"/>
        </w:rPr>
        <w:fldChar w:fldCharType="begin"/>
      </w:r>
      <w:r w:rsidRPr="00F620B7">
        <w:rPr>
          <w:sz w:val="18"/>
        </w:rPr>
        <w:instrText xml:space="preserve"> ADDIN EN.CITE &lt;EndNote&gt;&lt;Cite AuthorYear="1"&gt;&lt;Author&gt;Fondo Mundial&lt;/Author&gt;&lt;Year&gt;2016&lt;/Year&gt;&lt;RecNum&gt;1971&lt;/RecNum&gt;&lt;DisplayText&gt;Fondo Mundial (2016)&lt;/DisplayText&gt;&lt;record&gt;&lt;rec-number&gt;1971&lt;/rec-number&gt;&lt;foreign-keys&gt;&lt;key app="EN" db-id="dfw559pdistz2ketxa5xas9sets9vz05f2vt" timestamp="1545317870"&gt;1971&lt;/key&gt;&lt;key app="ENWeb" db-id=""&gt;0&lt;/key&gt;&lt;/foreign-keys&gt;&lt;ref-type name="Report"&gt;27&lt;/ref-type&gt;&lt;contributors&gt;&lt;authors&gt;&lt;author&gt;Fondo Mundial,&lt;/author&gt;&lt;/authors&gt;&lt;/contributors&gt;&lt;titles&gt;&lt;title&gt;Política de Sostenibilidad, Transición y Cofinanciamiento del Fondo Mundial. 35ª Reunión de la Junta Directiva&lt;/title&gt;&lt;/titles&gt;&lt;dates&gt;&lt;year&gt;2016&lt;/year&gt;&lt;/dates&gt;&lt;urls&gt;&lt;/urls&gt;&lt;/record&gt;&lt;/Cite&gt;&lt;/EndNote&gt;</w:instrText>
      </w:r>
      <w:r w:rsidRPr="00F620B7">
        <w:rPr>
          <w:sz w:val="18"/>
        </w:rPr>
        <w:fldChar w:fldCharType="separate"/>
      </w:r>
      <w:r w:rsidRPr="00F620B7">
        <w:rPr>
          <w:noProof/>
          <w:sz w:val="18"/>
        </w:rPr>
        <w:t>Fondo Mundial (2016)</w:t>
      </w:r>
      <w:r w:rsidRPr="00F620B7">
        <w:rPr>
          <w:sz w:val="18"/>
        </w:rPr>
        <w:fldChar w:fldCharType="end"/>
      </w:r>
      <w:r w:rsidRPr="00F620B7">
        <w:rPr>
          <w:sz w:val="18"/>
        </w:rPr>
        <w:t>.</w:t>
      </w:r>
    </w:p>
  </w:footnote>
  <w:footnote w:id="4">
    <w:p w14:paraId="1C795F28" w14:textId="347BE2F9" w:rsidR="004B64A9" w:rsidRPr="00187EC6" w:rsidRDefault="004B64A9" w:rsidP="00CA1715">
      <w:pPr>
        <w:pStyle w:val="NotaPie"/>
        <w:ind w:firstLine="0"/>
      </w:pPr>
      <w:r w:rsidRPr="00F620B7">
        <w:rPr>
          <w:rStyle w:val="FootnoteReference"/>
          <w:sz w:val="18"/>
        </w:rPr>
        <w:footnoteRef/>
      </w:r>
      <w:r w:rsidRPr="00F620B7">
        <w:rPr>
          <w:sz w:val="18"/>
        </w:rPr>
        <w:t xml:space="preserve"> Pharos </w:t>
      </w:r>
      <w:r w:rsidRPr="00F620B7">
        <w:rPr>
          <w:i/>
          <w:sz w:val="18"/>
          <w:lang w:val="es-ES"/>
        </w:rPr>
        <w:t xml:space="preserve">Global </w:t>
      </w:r>
      <w:proofErr w:type="spellStart"/>
      <w:r w:rsidRPr="00F620B7">
        <w:rPr>
          <w:i/>
          <w:sz w:val="18"/>
          <w:lang w:val="es-ES"/>
        </w:rPr>
        <w:t>Health</w:t>
      </w:r>
      <w:proofErr w:type="spellEnd"/>
      <w:r w:rsidRPr="00F620B7">
        <w:rPr>
          <w:i/>
          <w:sz w:val="18"/>
          <w:lang w:val="es-ES"/>
        </w:rPr>
        <w:t xml:space="preserve"> </w:t>
      </w:r>
      <w:proofErr w:type="spellStart"/>
      <w:r w:rsidRPr="00F620B7">
        <w:rPr>
          <w:i/>
          <w:sz w:val="18"/>
          <w:lang w:val="es-ES"/>
        </w:rPr>
        <w:t>Advisors</w:t>
      </w:r>
      <w:proofErr w:type="spellEnd"/>
      <w:r w:rsidRPr="00F620B7">
        <w:rPr>
          <w:sz w:val="18"/>
        </w:rPr>
        <w:t xml:space="preserve"> y </w:t>
      </w:r>
      <w:proofErr w:type="spellStart"/>
      <w:r w:rsidRPr="00F620B7">
        <w:rPr>
          <w:sz w:val="18"/>
        </w:rPr>
        <w:t>Bitrán</w:t>
      </w:r>
      <w:proofErr w:type="spellEnd"/>
      <w:r w:rsidRPr="00F620B7">
        <w:rPr>
          <w:sz w:val="18"/>
        </w:rPr>
        <w:t xml:space="preserve"> y Asociados (febrero 2019) Informe de País para Honduras. Estrategia Nacional de Sostenibilidad de la Respuesta Nacional al VIH/sida y TB. Informe para el Fondo Mundial y el Mecanismo de Coordinación País. Honduras.</w:t>
      </w:r>
    </w:p>
  </w:footnote>
  <w:footnote w:id="5">
    <w:p w14:paraId="45E0CF8C" w14:textId="54F8609B" w:rsidR="004B64A9" w:rsidRPr="009F0992" w:rsidRDefault="004B64A9" w:rsidP="009F0992">
      <w:pPr>
        <w:pStyle w:val="NotaPie"/>
        <w:ind w:firstLine="0"/>
        <w:rPr>
          <w:lang w:val="es-MX"/>
        </w:rPr>
      </w:pPr>
      <w:r>
        <w:rPr>
          <w:rStyle w:val="FootnoteReference"/>
        </w:rPr>
        <w:footnoteRef/>
      </w:r>
      <w:r>
        <w:t xml:space="preserve"> </w:t>
      </w:r>
      <w:r w:rsidRPr="00474900">
        <w:t xml:space="preserve">Acceso Global / APMG </w:t>
      </w:r>
      <w:proofErr w:type="spellStart"/>
      <w:r w:rsidRPr="00474900">
        <w:t>Health</w:t>
      </w:r>
      <w:proofErr w:type="spellEnd"/>
      <w:r>
        <w:t xml:space="preserve"> (2017). </w:t>
      </w:r>
      <w:proofErr w:type="spellStart"/>
      <w:r w:rsidRPr="00474900">
        <w:t>Guía</w:t>
      </w:r>
      <w:proofErr w:type="spellEnd"/>
      <w:r w:rsidRPr="00474900">
        <w:t xml:space="preserve"> para el </w:t>
      </w:r>
      <w:proofErr w:type="spellStart"/>
      <w:r w:rsidRPr="00474900">
        <w:t>análisis</w:t>
      </w:r>
      <w:proofErr w:type="spellEnd"/>
      <w:r w:rsidRPr="00474900">
        <w:t xml:space="preserve"> de la </w:t>
      </w:r>
      <w:proofErr w:type="spellStart"/>
      <w:r w:rsidRPr="00474900">
        <w:t>preparación</w:t>
      </w:r>
      <w:proofErr w:type="spellEnd"/>
      <w:r w:rsidRPr="00474900">
        <w:t xml:space="preserve"> para la </w:t>
      </w:r>
      <w:proofErr w:type="spellStart"/>
      <w:r w:rsidRPr="00474900">
        <w:t>transición</w:t>
      </w:r>
      <w:proofErr w:type="spellEnd"/>
      <w:r w:rsidRPr="00474900">
        <w:t xml:space="preserve"> del Fondo Mundial</w:t>
      </w:r>
    </w:p>
  </w:footnote>
  <w:footnote w:id="6">
    <w:p w14:paraId="59A4F48C" w14:textId="46B8A6E1" w:rsidR="004B64A9" w:rsidRPr="00AE04C5" w:rsidRDefault="004B64A9" w:rsidP="00AE04C5">
      <w:pPr>
        <w:pStyle w:val="FootnoteText"/>
        <w:spacing w:before="0"/>
        <w:ind w:firstLine="0"/>
        <w:jc w:val="left"/>
        <w:rPr>
          <w:lang w:val="es-MX"/>
        </w:rPr>
      </w:pPr>
      <w:r>
        <w:rPr>
          <w:rStyle w:val="FootnoteReference"/>
        </w:rPr>
        <w:footnoteRef/>
      </w:r>
      <w:r>
        <w:t xml:space="preserve"> </w:t>
      </w:r>
      <w:r>
        <w:rPr>
          <w:lang w:val="es-DO"/>
        </w:rPr>
        <w:t xml:space="preserve">MCP-Honduras (2019). </w:t>
      </w:r>
      <w:r w:rsidRPr="00FC24E8">
        <w:rPr>
          <w:i/>
          <w:lang w:val="es-DO"/>
        </w:rPr>
        <w:t>Nota de continuidad de Programa VIH 2020-2022.</w:t>
      </w:r>
    </w:p>
  </w:footnote>
  <w:footnote w:id="7">
    <w:p w14:paraId="6319F824" w14:textId="77777777" w:rsidR="004B64A9" w:rsidRPr="00DB558A" w:rsidRDefault="004B64A9" w:rsidP="00E02636">
      <w:pPr>
        <w:pStyle w:val="FootnoteText"/>
        <w:spacing w:before="0"/>
        <w:ind w:firstLine="0"/>
        <w:jc w:val="left"/>
        <w:rPr>
          <w:sz w:val="18"/>
          <w:szCs w:val="18"/>
          <w:lang w:val="es-DO"/>
        </w:rPr>
      </w:pPr>
      <w:r w:rsidRPr="00167C47">
        <w:rPr>
          <w:rStyle w:val="FootnoteReference"/>
          <w:rFonts w:ascii="Arial" w:hAnsi="Arial" w:cs="Arial"/>
          <w:sz w:val="18"/>
          <w:szCs w:val="18"/>
        </w:rPr>
        <w:footnoteRef/>
      </w:r>
      <w:r w:rsidRPr="00167C47">
        <w:rPr>
          <w:rFonts w:ascii="Arial" w:hAnsi="Arial" w:cs="Arial"/>
          <w:sz w:val="18"/>
          <w:szCs w:val="18"/>
          <w:lang w:val="es-MX"/>
        </w:rPr>
        <w:t xml:space="preserve"> </w:t>
      </w:r>
      <w:r w:rsidRPr="00DB558A">
        <w:rPr>
          <w:sz w:val="18"/>
          <w:szCs w:val="18"/>
          <w:lang w:val="es-DO"/>
        </w:rPr>
        <w:t>Secretaría de Salud de Honduras. (2018). Informe final: encuesta de resistencia del VIH a los medicamentos</w:t>
      </w:r>
    </w:p>
  </w:footnote>
  <w:footnote w:id="8">
    <w:p w14:paraId="77443D52" w14:textId="62519008" w:rsidR="004B64A9" w:rsidRPr="00F620B7" w:rsidRDefault="004B64A9" w:rsidP="00A51823">
      <w:pPr>
        <w:pStyle w:val="FootnoteText"/>
        <w:spacing w:before="0"/>
        <w:ind w:firstLine="0"/>
        <w:rPr>
          <w:i/>
          <w:sz w:val="18"/>
        </w:rPr>
      </w:pPr>
      <w:r w:rsidRPr="00F620B7">
        <w:rPr>
          <w:rStyle w:val="FootnoteReference"/>
          <w:sz w:val="18"/>
        </w:rPr>
        <w:footnoteRef/>
      </w:r>
      <w:r w:rsidRPr="00F620B7">
        <w:rPr>
          <w:sz w:val="18"/>
        </w:rPr>
        <w:t xml:space="preserve"> </w:t>
      </w:r>
      <w:r w:rsidRPr="00F620B7">
        <w:rPr>
          <w:sz w:val="18"/>
          <w:lang w:val="es-ES"/>
        </w:rPr>
        <w:t xml:space="preserve">Pharos Global </w:t>
      </w:r>
      <w:proofErr w:type="spellStart"/>
      <w:r w:rsidRPr="00F620B7">
        <w:rPr>
          <w:sz w:val="18"/>
          <w:lang w:val="es-ES"/>
        </w:rPr>
        <w:t>Health</w:t>
      </w:r>
      <w:proofErr w:type="spellEnd"/>
      <w:r w:rsidRPr="00F620B7">
        <w:rPr>
          <w:sz w:val="18"/>
          <w:lang w:val="es-ES"/>
        </w:rPr>
        <w:t xml:space="preserve"> </w:t>
      </w:r>
      <w:proofErr w:type="spellStart"/>
      <w:r w:rsidRPr="00F620B7">
        <w:rPr>
          <w:sz w:val="18"/>
          <w:lang w:val="es-ES"/>
        </w:rPr>
        <w:t>Advisors</w:t>
      </w:r>
      <w:proofErr w:type="spellEnd"/>
      <w:r w:rsidRPr="00F620B7">
        <w:rPr>
          <w:sz w:val="18"/>
        </w:rPr>
        <w:t xml:space="preserve"> y </w:t>
      </w:r>
      <w:proofErr w:type="spellStart"/>
      <w:r w:rsidRPr="00F620B7">
        <w:rPr>
          <w:sz w:val="18"/>
        </w:rPr>
        <w:t>Bitrán</w:t>
      </w:r>
      <w:proofErr w:type="spellEnd"/>
      <w:r w:rsidRPr="00F620B7">
        <w:rPr>
          <w:sz w:val="18"/>
        </w:rPr>
        <w:t xml:space="preserve"> y Asociados. (2018) Guatemala: </w:t>
      </w:r>
      <w:r w:rsidRPr="00F620B7">
        <w:rPr>
          <w:i/>
          <w:sz w:val="18"/>
        </w:rPr>
        <w:t>Estrategia Nacional de Sostenibilidad de la Respuesta Nacional al VIH/sida. Ciudad de Guatemala.</w:t>
      </w:r>
    </w:p>
  </w:footnote>
  <w:footnote w:id="9">
    <w:p w14:paraId="5787C0AC" w14:textId="368F5B65" w:rsidR="004B64A9" w:rsidRPr="00F620B7" w:rsidRDefault="004B64A9" w:rsidP="00A51823">
      <w:pPr>
        <w:pStyle w:val="FootnoteText"/>
        <w:spacing w:before="0"/>
        <w:ind w:firstLine="0"/>
        <w:rPr>
          <w:sz w:val="18"/>
        </w:rPr>
      </w:pPr>
      <w:r w:rsidRPr="00F620B7">
        <w:rPr>
          <w:rStyle w:val="FootnoteReference"/>
          <w:sz w:val="18"/>
        </w:rPr>
        <w:footnoteRef/>
      </w:r>
      <w:r w:rsidRPr="00F620B7">
        <w:rPr>
          <w:sz w:val="18"/>
        </w:rPr>
        <w:t xml:space="preserve"> </w:t>
      </w:r>
      <w:r w:rsidRPr="00F620B7">
        <w:rPr>
          <w:sz w:val="18"/>
          <w:lang w:val="es-DO"/>
        </w:rPr>
        <w:t>ONUSIDA. (2013). Caso de Inversión, Honduras.</w:t>
      </w:r>
    </w:p>
  </w:footnote>
  <w:footnote w:id="10">
    <w:p w14:paraId="7E6A2CA9" w14:textId="42021B09" w:rsidR="004B64A9" w:rsidRPr="000F610D" w:rsidRDefault="004B64A9" w:rsidP="00A51823">
      <w:pPr>
        <w:pStyle w:val="FootnoteText"/>
        <w:spacing w:before="0"/>
        <w:ind w:firstLine="0"/>
      </w:pPr>
      <w:r w:rsidRPr="00F620B7">
        <w:rPr>
          <w:rStyle w:val="FootnoteReference"/>
          <w:sz w:val="18"/>
        </w:rPr>
        <w:footnoteRef/>
      </w:r>
      <w:r w:rsidRPr="00F620B7">
        <w:rPr>
          <w:sz w:val="18"/>
        </w:rPr>
        <w:t xml:space="preserve"> </w:t>
      </w:r>
      <w:r w:rsidRPr="00F620B7">
        <w:rPr>
          <w:sz w:val="18"/>
          <w:lang w:val="es-HN"/>
        </w:rPr>
        <w:t>Secretaria de Salud de Honduras. (2018). Informe Situación Epidemiológica y Programática de la Tuberculosis en Honduras 2017.</w:t>
      </w:r>
    </w:p>
  </w:footnote>
  <w:footnote w:id="11">
    <w:p w14:paraId="5DB245D6" w14:textId="2D177E88" w:rsidR="004B64A9" w:rsidRPr="00180BA9" w:rsidRDefault="004B64A9" w:rsidP="00180BA9">
      <w:pPr>
        <w:pStyle w:val="FootnoteText"/>
        <w:spacing w:before="0"/>
        <w:ind w:firstLine="0"/>
      </w:pPr>
      <w:r w:rsidRPr="00F620B7">
        <w:rPr>
          <w:rStyle w:val="FootnoteReference"/>
          <w:sz w:val="18"/>
        </w:rPr>
        <w:footnoteRef/>
      </w:r>
      <w:r w:rsidRPr="00F620B7">
        <w:rPr>
          <w:sz w:val="18"/>
        </w:rPr>
        <w:t xml:space="preserve"> Secretaria de Salud de Honduras, PEPFAR. (2016). Estudio de Medición del Gasto en Sida (MEGAS), Honduras. http://www.unaids.org/sites/default/files/media/documents/NASA_Honduras_2016_es.pdf</w:t>
      </w:r>
    </w:p>
  </w:footnote>
  <w:footnote w:id="12">
    <w:p w14:paraId="1DFE3E7F" w14:textId="29CFCD94" w:rsidR="004B64A9" w:rsidRPr="00DB558A" w:rsidRDefault="004B64A9" w:rsidP="001D7BD5">
      <w:pPr>
        <w:pStyle w:val="FootnoteText"/>
        <w:spacing w:before="0"/>
        <w:ind w:firstLine="0"/>
        <w:jc w:val="left"/>
        <w:rPr>
          <w:sz w:val="18"/>
          <w:szCs w:val="18"/>
          <w:lang w:val="es-DO"/>
        </w:rPr>
      </w:pPr>
      <w:r w:rsidRPr="00167C47">
        <w:rPr>
          <w:rStyle w:val="FootnoteReference"/>
          <w:rFonts w:ascii="Arial" w:hAnsi="Arial" w:cs="Arial"/>
          <w:sz w:val="18"/>
          <w:szCs w:val="18"/>
        </w:rPr>
        <w:footnoteRef/>
      </w:r>
      <w:r w:rsidRPr="00167C47">
        <w:rPr>
          <w:rFonts w:ascii="Arial" w:hAnsi="Arial" w:cs="Arial"/>
          <w:sz w:val="18"/>
          <w:szCs w:val="18"/>
          <w:lang w:val="es-MX"/>
        </w:rPr>
        <w:t xml:space="preserve"> </w:t>
      </w:r>
      <w:r w:rsidRPr="00DB558A">
        <w:rPr>
          <w:sz w:val="18"/>
          <w:szCs w:val="18"/>
          <w:lang w:val="es-DO"/>
        </w:rPr>
        <w:t>Secretaría de Salud de Honduras. (2018). Informe final: encuesta de resistencia del VIH a los medicamentos</w:t>
      </w:r>
    </w:p>
  </w:footnote>
  <w:footnote w:id="13">
    <w:p w14:paraId="170BFA13" w14:textId="77777777" w:rsidR="004B64A9" w:rsidRPr="0080199C" w:rsidRDefault="004B64A9" w:rsidP="00E020DE">
      <w:pPr>
        <w:pStyle w:val="FootnoteText"/>
        <w:spacing w:before="0"/>
        <w:ind w:firstLine="0"/>
        <w:rPr>
          <w:sz w:val="18"/>
          <w:szCs w:val="18"/>
          <w:lang w:val="es-DO"/>
        </w:rPr>
      </w:pPr>
      <w:r w:rsidRPr="0080199C">
        <w:rPr>
          <w:rStyle w:val="FootnoteReference"/>
          <w:sz w:val="18"/>
          <w:szCs w:val="18"/>
        </w:rPr>
        <w:footnoteRef/>
      </w:r>
      <w:r w:rsidRPr="0080199C">
        <w:rPr>
          <w:sz w:val="18"/>
          <w:szCs w:val="18"/>
          <w:lang w:val="es-DO"/>
        </w:rPr>
        <w:t xml:space="preserve"> Secretaria de Salud de Honduras. La Unidad de Logística de Medicamentos, Insumos y Equipamiento (ULMIE) 2017-2018. (2018). Análisis de existencia y disponibilidad de ARV.</w:t>
      </w:r>
    </w:p>
  </w:footnote>
  <w:footnote w:id="14">
    <w:p w14:paraId="405D7C68" w14:textId="77777777" w:rsidR="004B64A9" w:rsidRPr="00E020DE" w:rsidRDefault="004B64A9" w:rsidP="00E020DE">
      <w:pPr>
        <w:pStyle w:val="FootnoteText"/>
        <w:spacing w:before="0"/>
        <w:ind w:firstLine="0"/>
        <w:rPr>
          <w:sz w:val="18"/>
          <w:szCs w:val="18"/>
          <w:lang w:val="es-DO"/>
        </w:rPr>
      </w:pPr>
      <w:r w:rsidRPr="0080199C">
        <w:rPr>
          <w:rStyle w:val="FootnoteReference"/>
          <w:sz w:val="18"/>
          <w:szCs w:val="18"/>
        </w:rPr>
        <w:footnoteRef/>
      </w:r>
      <w:r w:rsidRPr="0080199C">
        <w:rPr>
          <w:sz w:val="18"/>
          <w:szCs w:val="18"/>
          <w:lang w:val="es-DO"/>
        </w:rPr>
        <w:t xml:space="preserve"> ONUSIDA. (2013). </w:t>
      </w:r>
      <w:r w:rsidRPr="00E020DE">
        <w:rPr>
          <w:sz w:val="18"/>
          <w:szCs w:val="18"/>
          <w:lang w:val="es-DO"/>
        </w:rPr>
        <w:t>Caso de Inversión, Honduras.</w:t>
      </w:r>
    </w:p>
  </w:footnote>
  <w:footnote w:id="15">
    <w:p w14:paraId="7BDE386E" w14:textId="59131047" w:rsidR="004B64A9" w:rsidRPr="00C3106E" w:rsidRDefault="004B64A9" w:rsidP="00E020DE">
      <w:pPr>
        <w:pStyle w:val="FootnoteText"/>
        <w:spacing w:before="0"/>
        <w:ind w:firstLine="0"/>
      </w:pPr>
      <w:r w:rsidRPr="00E020DE">
        <w:rPr>
          <w:rStyle w:val="FootnoteReference"/>
          <w:sz w:val="18"/>
          <w:szCs w:val="18"/>
        </w:rPr>
        <w:footnoteRef/>
      </w:r>
      <w:r w:rsidRPr="00E020DE">
        <w:rPr>
          <w:sz w:val="18"/>
          <w:szCs w:val="18"/>
        </w:rPr>
        <w:t xml:space="preserve"> Ministerio de Salud Pública de Uruguay (2018).  Plan Nacional de Acción contra la Resistencia Antimicrobiana.</w:t>
      </w:r>
      <w:r>
        <w:t xml:space="preserve"> </w:t>
      </w:r>
    </w:p>
  </w:footnote>
  <w:footnote w:id="16">
    <w:p w14:paraId="006F7F52" w14:textId="6D2CAEC8" w:rsidR="004B64A9" w:rsidRPr="00D225DB" w:rsidRDefault="004B64A9" w:rsidP="00FC4B37">
      <w:pPr>
        <w:pStyle w:val="FootnoteText"/>
        <w:spacing w:before="0"/>
        <w:ind w:firstLine="0"/>
        <w:rPr>
          <w:lang w:val="en-US"/>
        </w:rPr>
      </w:pPr>
      <w:r>
        <w:rPr>
          <w:rStyle w:val="FootnoteReference"/>
        </w:rPr>
        <w:footnoteRef/>
      </w:r>
      <w:r w:rsidRPr="00D225DB">
        <w:rPr>
          <w:lang w:val="en-US"/>
        </w:rPr>
        <w:t xml:space="preserve"> </w:t>
      </w:r>
      <w:r w:rsidRPr="00A22CB6">
        <w:rPr>
          <w:sz w:val="18"/>
          <w:szCs w:val="18"/>
          <w:lang w:val="en-US"/>
        </w:rPr>
        <w:t>PEPFAR</w:t>
      </w:r>
      <w:r>
        <w:rPr>
          <w:lang w:val="en-US"/>
        </w:rPr>
        <w:t xml:space="preserve">, OPTIMIZE. </w:t>
      </w:r>
      <w:r w:rsidRPr="00D225DB">
        <w:rPr>
          <w:lang w:val="en-US"/>
        </w:rPr>
        <w:t>Checklist to Guide Optimal ARV Introduction</w:t>
      </w:r>
      <w:r>
        <w:rPr>
          <w:lang w:val="en-US"/>
        </w:rPr>
        <w:t xml:space="preserve">. </w:t>
      </w:r>
    </w:p>
  </w:footnote>
  <w:footnote w:id="17">
    <w:p w14:paraId="1A17392D" w14:textId="77777777" w:rsidR="004B64A9" w:rsidRPr="00C96025" w:rsidRDefault="004B64A9" w:rsidP="00DB558A">
      <w:pPr>
        <w:pStyle w:val="FootnoteText"/>
        <w:spacing w:before="0"/>
        <w:ind w:firstLine="0"/>
      </w:pPr>
      <w:r w:rsidRPr="00C96025">
        <w:rPr>
          <w:rStyle w:val="FootnoteReference"/>
          <w:sz w:val="18"/>
          <w:szCs w:val="18"/>
        </w:rPr>
        <w:footnoteRef/>
      </w:r>
      <w:r w:rsidRPr="00C96025">
        <w:rPr>
          <w:sz w:val="18"/>
          <w:szCs w:val="18"/>
        </w:rPr>
        <w:t xml:space="preserve"> </w:t>
      </w:r>
      <w:r w:rsidRPr="00C96025">
        <w:rPr>
          <w:sz w:val="18"/>
          <w:szCs w:val="18"/>
          <w:lang w:val="es-HN"/>
        </w:rPr>
        <w:t>Secretaria de Salud de Honduras. (2018). Informe Situación Epidemiológica y Programática de la Tuberculosis en Honduras 2017.</w:t>
      </w:r>
    </w:p>
  </w:footnote>
  <w:footnote w:id="18">
    <w:p w14:paraId="6B928C8B" w14:textId="7BB2BC03" w:rsidR="004B64A9" w:rsidRPr="00DB558A" w:rsidRDefault="004B64A9" w:rsidP="00DB558A">
      <w:pPr>
        <w:pStyle w:val="FootnoteText"/>
        <w:spacing w:before="0"/>
        <w:ind w:firstLine="0"/>
      </w:pPr>
      <w:r>
        <w:rPr>
          <w:rStyle w:val="FootnoteReference"/>
        </w:rPr>
        <w:footnoteRef/>
      </w:r>
      <w:r>
        <w:t xml:space="preserve"> </w:t>
      </w:r>
      <w:r w:rsidRPr="00DB558A">
        <w:rPr>
          <w:sz w:val="18"/>
          <w:szCs w:val="18"/>
          <w:lang w:val="es-HN"/>
        </w:rPr>
        <w:t xml:space="preserve">OPS-OMS (2017). Informe de la visita de Monitoreo y Asistencia Técnica para el Manejo Programático de la Tuberculosis </w:t>
      </w:r>
      <w:proofErr w:type="spellStart"/>
      <w:r w:rsidRPr="00DB558A">
        <w:rPr>
          <w:sz w:val="18"/>
          <w:szCs w:val="18"/>
          <w:lang w:val="es-HN"/>
        </w:rPr>
        <w:t>Drogo</w:t>
      </w:r>
      <w:r>
        <w:rPr>
          <w:sz w:val="18"/>
          <w:szCs w:val="18"/>
          <w:lang w:val="es-HN"/>
        </w:rPr>
        <w:t>r</w:t>
      </w:r>
      <w:r w:rsidRPr="00DB558A">
        <w:rPr>
          <w:sz w:val="18"/>
          <w:szCs w:val="18"/>
          <w:lang w:val="es-HN"/>
        </w:rPr>
        <w:t>resistente</w:t>
      </w:r>
      <w:proofErr w:type="spellEnd"/>
      <w:r w:rsidRPr="00DB558A">
        <w:rPr>
          <w:sz w:val="18"/>
          <w:szCs w:val="18"/>
          <w:lang w:val="es-HN"/>
        </w:rPr>
        <w:t xml:space="preserve"> en Honduras.</w:t>
      </w:r>
    </w:p>
  </w:footnote>
  <w:footnote w:id="19">
    <w:p w14:paraId="7CCF24A0" w14:textId="46F2A235" w:rsidR="004B64A9" w:rsidRPr="00FC4B37" w:rsidRDefault="004B64A9" w:rsidP="00FC4B37">
      <w:pPr>
        <w:pStyle w:val="FootnoteText"/>
        <w:spacing w:before="0"/>
        <w:ind w:firstLine="0"/>
      </w:pPr>
      <w:r>
        <w:rPr>
          <w:rStyle w:val="FootnoteReference"/>
        </w:rPr>
        <w:footnoteRef/>
      </w:r>
      <w:r>
        <w:t xml:space="preserve"> Documentos descriptivos del presupuesto de las subvenciones, Fondo Mundial (2019).</w:t>
      </w:r>
    </w:p>
  </w:footnote>
  <w:footnote w:id="20">
    <w:p w14:paraId="39190892" w14:textId="77777777" w:rsidR="004B64A9" w:rsidRPr="00A432EE" w:rsidRDefault="004B64A9" w:rsidP="00CF5ADB">
      <w:pPr>
        <w:pStyle w:val="FootnoteText"/>
        <w:spacing w:before="0"/>
        <w:ind w:firstLine="0"/>
        <w:jc w:val="left"/>
        <w:rPr>
          <w:sz w:val="18"/>
          <w:szCs w:val="18"/>
          <w:lang w:val="es-DO"/>
        </w:rPr>
      </w:pPr>
      <w:r w:rsidRPr="00A432EE">
        <w:rPr>
          <w:rStyle w:val="FootnoteReference"/>
          <w:sz w:val="18"/>
          <w:szCs w:val="18"/>
        </w:rPr>
        <w:footnoteRef/>
      </w:r>
      <w:r w:rsidRPr="00A432EE">
        <w:rPr>
          <w:sz w:val="18"/>
          <w:szCs w:val="18"/>
          <w:lang w:val="es-DO"/>
        </w:rPr>
        <w:t xml:space="preserve"> </w:t>
      </w:r>
      <w:bookmarkStart w:id="42" w:name="_Hlk7782700"/>
      <w:r w:rsidRPr="00A432EE">
        <w:rPr>
          <w:sz w:val="18"/>
          <w:szCs w:val="18"/>
          <w:lang w:val="es-DO"/>
        </w:rPr>
        <w:t>Secretaria de Salud de Honduras. (2015). Resultados del Informe Nacional de Progreso de la Respuesta contra el VIH y el Sida.</w:t>
      </w:r>
    </w:p>
    <w:bookmarkEnd w:id="42"/>
  </w:footnote>
  <w:footnote w:id="21">
    <w:p w14:paraId="5FEED4B3" w14:textId="77777777" w:rsidR="004B64A9" w:rsidRPr="00A432EE" w:rsidRDefault="004B64A9" w:rsidP="00BE1B1D">
      <w:pPr>
        <w:pStyle w:val="FootnoteText"/>
        <w:spacing w:before="0"/>
        <w:ind w:firstLine="0"/>
        <w:jc w:val="left"/>
        <w:rPr>
          <w:lang w:val="es-419"/>
        </w:rPr>
      </w:pPr>
      <w:r w:rsidRPr="00A432EE">
        <w:rPr>
          <w:rStyle w:val="FootnoteReference"/>
          <w:sz w:val="18"/>
          <w:szCs w:val="18"/>
        </w:rPr>
        <w:footnoteRef/>
      </w:r>
      <w:r w:rsidRPr="00A432EE">
        <w:rPr>
          <w:sz w:val="18"/>
          <w:szCs w:val="18"/>
        </w:rPr>
        <w:t xml:space="preserve"> </w:t>
      </w:r>
      <w:r w:rsidRPr="00A432EE">
        <w:rPr>
          <w:sz w:val="18"/>
          <w:szCs w:val="18"/>
          <w:lang w:val="es-DO"/>
        </w:rPr>
        <w:t>Elaborada por los autores a partir de datos de los reportes de compras de la Región de Salud del Valle en el 2018 para el precio del mercado local; el precio de OPS se obtuvo del catálogo de precios para productos diagnósticos y los precios de PFSCM, se obtuvieron a partir de su catálogo de productos 2018. El total de pruebas requeridas se obtuvo del reporte de evaluación de la Respuesta Nacional, 2015 y se extrapoló al 2019.</w:t>
      </w:r>
    </w:p>
  </w:footnote>
  <w:footnote w:id="22">
    <w:p w14:paraId="424422D4" w14:textId="19D6C40E" w:rsidR="004B64A9" w:rsidRPr="00310E77" w:rsidRDefault="004B64A9" w:rsidP="00310E77">
      <w:pPr>
        <w:pStyle w:val="FootnoteText"/>
        <w:spacing w:before="0"/>
        <w:ind w:firstLine="0"/>
        <w:jc w:val="left"/>
        <w:rPr>
          <w:lang w:val="es-DO"/>
        </w:rPr>
      </w:pPr>
      <w:r>
        <w:rPr>
          <w:rStyle w:val="FootnoteReference"/>
        </w:rPr>
        <w:footnoteRef/>
      </w:r>
      <w:r>
        <w:t xml:space="preserve"> </w:t>
      </w:r>
      <w:r w:rsidRPr="00310E77">
        <w:rPr>
          <w:sz w:val="18"/>
          <w:szCs w:val="18"/>
          <w:lang w:val="es-DO"/>
        </w:rPr>
        <w:t>Secretaria de Salud de Honduras. (2015). Resultados del Informe Nacional de Progreso de la Respuesta contra el VIH y el Sida.</w:t>
      </w:r>
    </w:p>
  </w:footnote>
  <w:footnote w:id="23">
    <w:p w14:paraId="4B0C45E2" w14:textId="4E9E6FE2" w:rsidR="004B64A9" w:rsidRPr="00E95AE0" w:rsidRDefault="004B64A9" w:rsidP="00E95AE0">
      <w:pPr>
        <w:pStyle w:val="FootnoteText"/>
      </w:pPr>
      <w:r>
        <w:rPr>
          <w:rStyle w:val="FootnoteReference"/>
        </w:rPr>
        <w:footnoteRef/>
      </w:r>
      <w:r>
        <w:t xml:space="preserve"> Información provista por la SESAL (2019)</w:t>
      </w:r>
    </w:p>
  </w:footnote>
  <w:footnote w:id="24">
    <w:p w14:paraId="4636ADAE" w14:textId="77777777" w:rsidR="004B64A9" w:rsidRPr="00FF3B19" w:rsidRDefault="004B64A9" w:rsidP="00FF3B19">
      <w:pPr>
        <w:pStyle w:val="FootnoteText"/>
        <w:spacing w:before="0"/>
        <w:ind w:firstLine="0"/>
        <w:rPr>
          <w:sz w:val="18"/>
          <w:szCs w:val="18"/>
          <w:lang w:val="es-DO"/>
        </w:rPr>
      </w:pPr>
      <w:r w:rsidRPr="00FF3B19">
        <w:rPr>
          <w:rStyle w:val="FootnoteReference"/>
          <w:sz w:val="18"/>
          <w:szCs w:val="18"/>
        </w:rPr>
        <w:footnoteRef/>
      </w:r>
      <w:r w:rsidRPr="00FF3B19">
        <w:rPr>
          <w:sz w:val="18"/>
          <w:szCs w:val="18"/>
          <w:lang w:val="es-419"/>
        </w:rPr>
        <w:t xml:space="preserve"> </w:t>
      </w:r>
      <w:r w:rsidRPr="00FF3B19">
        <w:rPr>
          <w:sz w:val="18"/>
          <w:szCs w:val="18"/>
          <w:lang w:val="es-DO"/>
        </w:rPr>
        <w:t xml:space="preserve">Instituto de Acceso a la Información Pública. (2015). </w:t>
      </w:r>
      <w:r w:rsidRPr="00FF3B19">
        <w:rPr>
          <w:i/>
          <w:sz w:val="18"/>
          <w:szCs w:val="18"/>
          <w:lang w:val="es-DO"/>
        </w:rPr>
        <w:t>Portal único de transparencia</w:t>
      </w:r>
      <w:r w:rsidRPr="00FF3B19">
        <w:rPr>
          <w:sz w:val="18"/>
          <w:szCs w:val="18"/>
          <w:lang w:val="es-DO"/>
        </w:rPr>
        <w:t>. Secretaria de Salud. https://portalunico.iaip.gob.hn/</w:t>
      </w:r>
    </w:p>
  </w:footnote>
  <w:footnote w:id="25">
    <w:p w14:paraId="2B801807" w14:textId="7CBD1A39" w:rsidR="004B64A9" w:rsidRPr="00BA7623" w:rsidRDefault="004B64A9" w:rsidP="00BA7623">
      <w:pPr>
        <w:pStyle w:val="FootnoteText"/>
        <w:spacing w:before="0"/>
        <w:ind w:firstLine="0"/>
        <w:rPr>
          <w:sz w:val="18"/>
          <w:szCs w:val="18"/>
          <w:lang w:val="es-DO"/>
        </w:rPr>
      </w:pPr>
      <w:r w:rsidRPr="00BA7623">
        <w:rPr>
          <w:rStyle w:val="FootnoteReference"/>
          <w:sz w:val="18"/>
          <w:szCs w:val="18"/>
        </w:rPr>
        <w:footnoteRef/>
      </w:r>
      <w:r w:rsidRPr="00BA7623">
        <w:rPr>
          <w:sz w:val="18"/>
          <w:szCs w:val="18"/>
        </w:rPr>
        <w:t xml:space="preserve"> </w:t>
      </w:r>
      <w:r w:rsidRPr="004945B4">
        <w:rPr>
          <w:sz w:val="18"/>
          <w:szCs w:val="18"/>
          <w:lang w:val="es-DO"/>
        </w:rPr>
        <w:t xml:space="preserve">Secretaría de Salud de Honduras, PEPFAR. (2016). </w:t>
      </w:r>
      <w:r w:rsidRPr="004945B4">
        <w:rPr>
          <w:i/>
          <w:sz w:val="18"/>
          <w:szCs w:val="18"/>
          <w:lang w:val="es-DO"/>
        </w:rPr>
        <w:t xml:space="preserve">Estudio de Medición del Gasto en SIDA (MEGAS), Honduras. </w:t>
      </w:r>
      <w:hyperlink r:id="rId1" w:history="1">
        <w:r w:rsidRPr="004945B4">
          <w:rPr>
            <w:rStyle w:val="Hyperlink"/>
            <w:rFonts w:ascii="Times New Roman" w:hAnsi="Times New Roman"/>
            <w:sz w:val="18"/>
            <w:szCs w:val="18"/>
            <w:lang w:val="es-DO"/>
          </w:rPr>
          <w:t>http://www.unaids.org/sites/default/files/media/documents/NASA_Honduras_2016_es.pdf</w:t>
        </w:r>
      </w:hyperlink>
    </w:p>
  </w:footnote>
  <w:footnote w:id="26">
    <w:p w14:paraId="24D89679" w14:textId="77777777" w:rsidR="004B64A9" w:rsidRPr="00167C47" w:rsidRDefault="004B64A9" w:rsidP="00BA7623">
      <w:pPr>
        <w:pStyle w:val="FootnoteText"/>
        <w:spacing w:before="0"/>
        <w:ind w:firstLine="0"/>
        <w:rPr>
          <w:rFonts w:ascii="Arial" w:hAnsi="Arial" w:cs="Arial"/>
          <w:sz w:val="18"/>
          <w:szCs w:val="18"/>
          <w:lang w:val="es-MX"/>
        </w:rPr>
      </w:pPr>
      <w:r w:rsidRPr="00BA7623">
        <w:rPr>
          <w:rStyle w:val="FootnoteReference"/>
          <w:sz w:val="18"/>
          <w:szCs w:val="18"/>
        </w:rPr>
        <w:footnoteRef/>
      </w:r>
      <w:r w:rsidRPr="00BA7623">
        <w:rPr>
          <w:sz w:val="18"/>
          <w:szCs w:val="18"/>
          <w:lang w:val="es-MX"/>
        </w:rPr>
        <w:t xml:space="preserve"> Profesionales femeninas del sexo y sus clientes, profesionales masculinos del sexo travestis (y sus clientes), profesionales del sexo no desglosados por sexo y sus clientes, HSH, y poblaciones más expuestas no desglosadas por tipo.</w:t>
      </w:r>
    </w:p>
  </w:footnote>
  <w:footnote w:id="27">
    <w:p w14:paraId="499E6ABE" w14:textId="77777777" w:rsidR="004B64A9" w:rsidRPr="00B02C0A" w:rsidRDefault="004B64A9" w:rsidP="00D7468E">
      <w:pPr>
        <w:pStyle w:val="FootnoteText"/>
        <w:spacing w:before="0"/>
        <w:ind w:firstLine="0"/>
        <w:jc w:val="left"/>
        <w:rPr>
          <w:sz w:val="18"/>
          <w:szCs w:val="18"/>
          <w:lang w:val="es-US"/>
        </w:rPr>
      </w:pPr>
      <w:r w:rsidRPr="00B02C0A">
        <w:rPr>
          <w:rStyle w:val="FootnoteReference"/>
          <w:sz w:val="18"/>
          <w:szCs w:val="18"/>
        </w:rPr>
        <w:footnoteRef/>
      </w:r>
      <w:r w:rsidRPr="00B02C0A">
        <w:rPr>
          <w:sz w:val="18"/>
          <w:szCs w:val="18"/>
          <w:lang w:val="es-US"/>
        </w:rPr>
        <w:t xml:space="preserve"> Oficina de Alto Comisionado de las Naciones Unidas para los Derechos Humanos. (2017). Informe anual del Alto Comisionado de las Naciones Unidas para los Derechos Humanos sobre la situación de los derechos humanos en Honduras. https://www.refworld.org.es/pdfid/5afca8974.pdf</w:t>
      </w:r>
    </w:p>
  </w:footnote>
  <w:footnote w:id="28">
    <w:p w14:paraId="5D71DAB5" w14:textId="77777777" w:rsidR="004B64A9" w:rsidRPr="00B02C0A" w:rsidRDefault="004B64A9" w:rsidP="00D7468E">
      <w:pPr>
        <w:pStyle w:val="FootnoteText"/>
        <w:spacing w:before="0"/>
        <w:ind w:firstLine="0"/>
        <w:jc w:val="left"/>
        <w:rPr>
          <w:sz w:val="18"/>
          <w:szCs w:val="18"/>
          <w:lang w:val="es-US"/>
        </w:rPr>
      </w:pPr>
      <w:r w:rsidRPr="00B02C0A">
        <w:rPr>
          <w:rStyle w:val="FootnoteReference"/>
          <w:sz w:val="18"/>
          <w:szCs w:val="18"/>
        </w:rPr>
        <w:footnoteRef/>
      </w:r>
      <w:r w:rsidRPr="00B02C0A">
        <w:rPr>
          <w:sz w:val="18"/>
          <w:szCs w:val="18"/>
          <w:lang w:val="es-US"/>
        </w:rPr>
        <w:t xml:space="preserve"> Comisión Interamericana de Derechos Humanos. (2015). Situación de derechos humanos en Honduras. http://www.oas.org/es/cidh/informes/pdfs/honduras-es-2015.pdf</w:t>
      </w:r>
    </w:p>
  </w:footnote>
  <w:footnote w:id="29">
    <w:p w14:paraId="79B31ADD" w14:textId="77777777" w:rsidR="004B64A9" w:rsidRPr="00957CBC" w:rsidRDefault="004B64A9" w:rsidP="00D7468E">
      <w:pPr>
        <w:spacing w:before="0" w:after="0"/>
        <w:ind w:firstLine="0"/>
        <w:jc w:val="left"/>
        <w:rPr>
          <w:rFonts w:ascii="Arial" w:hAnsi="Arial" w:cs="Arial"/>
          <w:sz w:val="18"/>
          <w:szCs w:val="18"/>
          <w:lang w:val="es-419"/>
        </w:rPr>
      </w:pPr>
      <w:r w:rsidRPr="00B02C0A">
        <w:rPr>
          <w:rStyle w:val="FootnoteReference"/>
          <w:sz w:val="18"/>
          <w:szCs w:val="18"/>
        </w:rPr>
        <w:footnoteRef/>
      </w:r>
      <w:r w:rsidRPr="00B02C0A">
        <w:rPr>
          <w:sz w:val="18"/>
          <w:szCs w:val="18"/>
          <w:lang w:val="es-419"/>
        </w:rPr>
        <w:t xml:space="preserve"> </w:t>
      </w:r>
      <w:r w:rsidRPr="00B02C0A">
        <w:rPr>
          <w:sz w:val="18"/>
          <w:szCs w:val="18"/>
          <w:lang w:val="es-ES"/>
        </w:rPr>
        <w:t xml:space="preserve">Red de Trabajadoras Sexuales de América Latina y el Caribe (REDTRASEX), </w:t>
      </w:r>
      <w:proofErr w:type="spellStart"/>
      <w:r w:rsidRPr="00B02C0A">
        <w:rPr>
          <w:sz w:val="18"/>
          <w:szCs w:val="18"/>
          <w:lang w:val="es-ES"/>
        </w:rPr>
        <w:t>Akahatá</w:t>
      </w:r>
      <w:proofErr w:type="spellEnd"/>
      <w:r w:rsidRPr="00B02C0A">
        <w:rPr>
          <w:sz w:val="18"/>
          <w:szCs w:val="18"/>
          <w:lang w:val="es-ES"/>
        </w:rPr>
        <w:t xml:space="preserve"> - Equipo de trabajo en sexualidades y géneros, </w:t>
      </w:r>
      <w:proofErr w:type="spellStart"/>
      <w:r w:rsidRPr="00B02C0A">
        <w:rPr>
          <w:sz w:val="18"/>
          <w:szCs w:val="18"/>
          <w:lang w:val="es-ES"/>
        </w:rPr>
        <w:t>Heartland</w:t>
      </w:r>
      <w:proofErr w:type="spellEnd"/>
      <w:r w:rsidRPr="00B02C0A">
        <w:rPr>
          <w:sz w:val="18"/>
          <w:szCs w:val="18"/>
          <w:lang w:val="es-ES"/>
        </w:rPr>
        <w:t xml:space="preserve"> Alliance </w:t>
      </w:r>
      <w:proofErr w:type="spellStart"/>
      <w:r w:rsidRPr="00B02C0A">
        <w:rPr>
          <w:sz w:val="18"/>
          <w:szCs w:val="18"/>
          <w:lang w:val="es-ES"/>
        </w:rPr>
        <w:t>for</w:t>
      </w:r>
      <w:proofErr w:type="spellEnd"/>
      <w:r w:rsidRPr="00B02C0A">
        <w:rPr>
          <w:sz w:val="18"/>
          <w:szCs w:val="18"/>
          <w:lang w:val="es-ES"/>
        </w:rPr>
        <w:t xml:space="preserve"> Human </w:t>
      </w:r>
      <w:proofErr w:type="spellStart"/>
      <w:r w:rsidRPr="00B02C0A">
        <w:rPr>
          <w:sz w:val="18"/>
          <w:szCs w:val="18"/>
          <w:lang w:val="es-ES"/>
        </w:rPr>
        <w:t>Needs</w:t>
      </w:r>
      <w:proofErr w:type="spellEnd"/>
      <w:r w:rsidRPr="00B02C0A">
        <w:rPr>
          <w:sz w:val="18"/>
          <w:szCs w:val="18"/>
          <w:lang w:val="es-ES"/>
        </w:rPr>
        <w:t xml:space="preserve"> &amp; Human </w:t>
      </w:r>
      <w:proofErr w:type="spellStart"/>
      <w:r w:rsidRPr="00B02C0A">
        <w:rPr>
          <w:sz w:val="18"/>
          <w:szCs w:val="18"/>
          <w:lang w:val="es-ES"/>
        </w:rPr>
        <w:t>Rights</w:t>
      </w:r>
      <w:proofErr w:type="spellEnd"/>
      <w:r w:rsidRPr="00B02C0A">
        <w:rPr>
          <w:sz w:val="18"/>
          <w:szCs w:val="18"/>
          <w:lang w:val="es-ES"/>
        </w:rPr>
        <w:t>. (2017). Situación de los Derechos Humanos de las Trabajadoras Sexuales en Honduras, Información adicional presentada al Grupo de Trabajo Comité de Derechos Humanos. https://tbinternet.ohchr.org/Treaties/CCPR/Shared%20Documents/HND/INT_CCPR_CSS_HND_27561_S.pdf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ABFD1" w14:textId="77777777" w:rsidR="004B64A9" w:rsidRDefault="004B64A9" w:rsidP="005708A7">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A672F"/>
    <w:multiLevelType w:val="hybridMultilevel"/>
    <w:tmpl w:val="8D7C6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A6094"/>
    <w:multiLevelType w:val="multilevel"/>
    <w:tmpl w:val="9AC299E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444E1C5E"/>
    <w:multiLevelType w:val="hybridMultilevel"/>
    <w:tmpl w:val="C4F2F4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4A2195"/>
    <w:multiLevelType w:val="hybridMultilevel"/>
    <w:tmpl w:val="21C6F5E8"/>
    <w:lvl w:ilvl="0" w:tplc="FF005BC2">
      <w:start w:val="1"/>
      <w:numFmt w:val="decimal"/>
      <w:pStyle w:val="NumTab1"/>
      <w:lvlText w:val="Objetivo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9F1138"/>
    <w:multiLevelType w:val="hybridMultilevel"/>
    <w:tmpl w:val="8974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31CEA"/>
    <w:multiLevelType w:val="hybridMultilevel"/>
    <w:tmpl w:val="024E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A2F24"/>
    <w:multiLevelType w:val="hybridMultilevel"/>
    <w:tmpl w:val="88B0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F6A52"/>
    <w:multiLevelType w:val="hybridMultilevel"/>
    <w:tmpl w:val="F1F04334"/>
    <w:lvl w:ilvl="0" w:tplc="ABE02C26">
      <w:start w:val="1"/>
      <w:numFmt w:val="lowerLetter"/>
      <w:pStyle w:val="Heading3"/>
      <w:lvlText w:val="%1)"/>
      <w:lvlJc w:val="left"/>
      <w:pPr>
        <w:ind w:left="1429" w:hanging="360"/>
      </w:pPr>
      <w:rPr>
        <w:rFonts w:ascii="Times New Roman" w:hAnsi="Times New Roman" w:cs="Times New Roman" w:hint="default"/>
        <w:color w:val="auto"/>
        <w:lang w:val="es-DO"/>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8" w15:restartNumberingAfterBreak="0">
    <w:nsid w:val="627A3AB4"/>
    <w:multiLevelType w:val="hybridMultilevel"/>
    <w:tmpl w:val="021E9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A1D7E"/>
    <w:multiLevelType w:val="hybridMultilevel"/>
    <w:tmpl w:val="22183FF2"/>
    <w:lvl w:ilvl="0" w:tplc="1C900694">
      <w:start w:val="1"/>
      <w:numFmt w:val="decimal"/>
      <w:pStyle w:val="Actividad"/>
      <w:lvlText w:val="Actividad %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F6E2DE7"/>
    <w:multiLevelType w:val="multilevel"/>
    <w:tmpl w:val="4F1C390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92518F"/>
    <w:multiLevelType w:val="hybridMultilevel"/>
    <w:tmpl w:val="6C186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937DE"/>
    <w:multiLevelType w:val="multilevel"/>
    <w:tmpl w:val="D7928D0E"/>
    <w:styleLink w:val="LFO39"/>
    <w:lvl w:ilvl="0">
      <w:start w:val="1"/>
      <w:numFmt w:val="decimal"/>
      <w:lvlText w:val="%1."/>
      <w:lvlJc w:val="left"/>
      <w:pPr>
        <w:ind w:left="1282" w:hanging="360"/>
      </w:pPr>
    </w:lvl>
    <w:lvl w:ilvl="1">
      <w:start w:val="1"/>
      <w:numFmt w:val="lowerLetter"/>
      <w:lvlText w:val="%2."/>
      <w:lvlJc w:val="left"/>
      <w:pPr>
        <w:ind w:left="2002" w:hanging="360"/>
      </w:pPr>
    </w:lvl>
    <w:lvl w:ilvl="2">
      <w:start w:val="1"/>
      <w:numFmt w:val="lowerRoman"/>
      <w:lvlText w:val="%3."/>
      <w:lvlJc w:val="right"/>
      <w:pPr>
        <w:ind w:left="2722" w:hanging="180"/>
      </w:pPr>
    </w:lvl>
    <w:lvl w:ilvl="3">
      <w:start w:val="1"/>
      <w:numFmt w:val="decimal"/>
      <w:lvlText w:val="%4."/>
      <w:lvlJc w:val="left"/>
      <w:pPr>
        <w:ind w:left="3442" w:hanging="360"/>
      </w:pPr>
    </w:lvl>
    <w:lvl w:ilvl="4">
      <w:start w:val="1"/>
      <w:numFmt w:val="lowerLetter"/>
      <w:lvlText w:val="%5."/>
      <w:lvlJc w:val="left"/>
      <w:pPr>
        <w:ind w:left="4162" w:hanging="360"/>
      </w:pPr>
    </w:lvl>
    <w:lvl w:ilvl="5">
      <w:start w:val="1"/>
      <w:numFmt w:val="lowerRoman"/>
      <w:lvlText w:val="%6."/>
      <w:lvlJc w:val="right"/>
      <w:pPr>
        <w:ind w:left="4882" w:hanging="180"/>
      </w:pPr>
    </w:lvl>
    <w:lvl w:ilvl="6">
      <w:start w:val="1"/>
      <w:numFmt w:val="decimal"/>
      <w:lvlText w:val="%7."/>
      <w:lvlJc w:val="left"/>
      <w:pPr>
        <w:ind w:left="5602" w:hanging="360"/>
      </w:pPr>
    </w:lvl>
    <w:lvl w:ilvl="7">
      <w:start w:val="1"/>
      <w:numFmt w:val="lowerLetter"/>
      <w:lvlText w:val="%8."/>
      <w:lvlJc w:val="left"/>
      <w:pPr>
        <w:ind w:left="6322" w:hanging="360"/>
      </w:pPr>
    </w:lvl>
    <w:lvl w:ilvl="8">
      <w:start w:val="1"/>
      <w:numFmt w:val="lowerRoman"/>
      <w:lvlText w:val="%9."/>
      <w:lvlJc w:val="right"/>
      <w:pPr>
        <w:ind w:left="7042" w:hanging="180"/>
      </w:pPr>
    </w:lvl>
  </w:abstractNum>
  <w:abstractNum w:abstractNumId="13" w15:restartNumberingAfterBreak="0">
    <w:nsid w:val="79E81B42"/>
    <w:multiLevelType w:val="hybridMultilevel"/>
    <w:tmpl w:val="C4F2F4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2"/>
  </w:num>
  <w:num w:numId="3">
    <w:abstractNumId w:val="1"/>
  </w:num>
  <w:num w:numId="4">
    <w:abstractNumId w:val="10"/>
  </w:num>
  <w:num w:numId="5">
    <w:abstractNumId w:val="3"/>
  </w:num>
  <w:num w:numId="6">
    <w:abstractNumId w:val="7"/>
  </w:num>
  <w:num w:numId="7">
    <w:abstractNumId w:val="9"/>
  </w:num>
  <w:num w:numId="8">
    <w:abstractNumId w:val="8"/>
  </w:num>
  <w:num w:numId="9">
    <w:abstractNumId w:val="2"/>
  </w:num>
  <w:num w:numId="10">
    <w:abstractNumId w:val="11"/>
  </w:num>
  <w:num w:numId="11">
    <w:abstractNumId w:val="6"/>
  </w:num>
  <w:num w:numId="12">
    <w:abstractNumId w:val="7"/>
  </w:num>
  <w:num w:numId="13">
    <w:abstractNumId w:val="0"/>
  </w:num>
  <w:num w:numId="14">
    <w:abstractNumId w:val="4"/>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w559pdistz2ketxa5xas9sets9vz05f2vt&quot;&gt;My EndNote Library&lt;record-ids&gt;&lt;item&gt;1971&lt;/item&gt;&lt;/record-ids&gt;&lt;/item&gt;&lt;/Libraries&gt;"/>
  </w:docVars>
  <w:rsids>
    <w:rsidRoot w:val="00713C11"/>
    <w:rsid w:val="000016F5"/>
    <w:rsid w:val="00002669"/>
    <w:rsid w:val="000036E6"/>
    <w:rsid w:val="00003DD1"/>
    <w:rsid w:val="00004167"/>
    <w:rsid w:val="00005304"/>
    <w:rsid w:val="000065ED"/>
    <w:rsid w:val="00006F2B"/>
    <w:rsid w:val="00006F9F"/>
    <w:rsid w:val="00011485"/>
    <w:rsid w:val="0001239D"/>
    <w:rsid w:val="0001247C"/>
    <w:rsid w:val="00012B30"/>
    <w:rsid w:val="000136DA"/>
    <w:rsid w:val="00013E35"/>
    <w:rsid w:val="00015EEE"/>
    <w:rsid w:val="000202F2"/>
    <w:rsid w:val="000210CC"/>
    <w:rsid w:val="00021D93"/>
    <w:rsid w:val="000224D7"/>
    <w:rsid w:val="0002379B"/>
    <w:rsid w:val="00024073"/>
    <w:rsid w:val="00024435"/>
    <w:rsid w:val="000258C6"/>
    <w:rsid w:val="00030B19"/>
    <w:rsid w:val="00030D0A"/>
    <w:rsid w:val="00031063"/>
    <w:rsid w:val="000315B0"/>
    <w:rsid w:val="0003215E"/>
    <w:rsid w:val="000325A4"/>
    <w:rsid w:val="00034C2A"/>
    <w:rsid w:val="00036ABA"/>
    <w:rsid w:val="00037E2F"/>
    <w:rsid w:val="00040478"/>
    <w:rsid w:val="00040601"/>
    <w:rsid w:val="00041A72"/>
    <w:rsid w:val="00042C2C"/>
    <w:rsid w:val="00043D26"/>
    <w:rsid w:val="0004411D"/>
    <w:rsid w:val="00044AD8"/>
    <w:rsid w:val="00046A5B"/>
    <w:rsid w:val="00047098"/>
    <w:rsid w:val="000478D1"/>
    <w:rsid w:val="00047ADC"/>
    <w:rsid w:val="00050D8F"/>
    <w:rsid w:val="00052C09"/>
    <w:rsid w:val="000540A7"/>
    <w:rsid w:val="000541D8"/>
    <w:rsid w:val="000569F7"/>
    <w:rsid w:val="00057833"/>
    <w:rsid w:val="000615F3"/>
    <w:rsid w:val="00062033"/>
    <w:rsid w:val="00062519"/>
    <w:rsid w:val="00062D47"/>
    <w:rsid w:val="00063213"/>
    <w:rsid w:val="00063952"/>
    <w:rsid w:val="000639A0"/>
    <w:rsid w:val="0006465B"/>
    <w:rsid w:val="0006494B"/>
    <w:rsid w:val="00070F3A"/>
    <w:rsid w:val="00073406"/>
    <w:rsid w:val="000739A0"/>
    <w:rsid w:val="00074C2F"/>
    <w:rsid w:val="000752AB"/>
    <w:rsid w:val="00080BE5"/>
    <w:rsid w:val="0008258C"/>
    <w:rsid w:val="0008342B"/>
    <w:rsid w:val="00087AE6"/>
    <w:rsid w:val="0009089B"/>
    <w:rsid w:val="0009297B"/>
    <w:rsid w:val="000934BD"/>
    <w:rsid w:val="0009383D"/>
    <w:rsid w:val="00093987"/>
    <w:rsid w:val="00093F0B"/>
    <w:rsid w:val="000949B8"/>
    <w:rsid w:val="00096B87"/>
    <w:rsid w:val="000A050E"/>
    <w:rsid w:val="000A1346"/>
    <w:rsid w:val="000A27C5"/>
    <w:rsid w:val="000A386D"/>
    <w:rsid w:val="000A7361"/>
    <w:rsid w:val="000A7710"/>
    <w:rsid w:val="000A7AB7"/>
    <w:rsid w:val="000B03F3"/>
    <w:rsid w:val="000B06A2"/>
    <w:rsid w:val="000B0B9F"/>
    <w:rsid w:val="000B15F4"/>
    <w:rsid w:val="000B1BE5"/>
    <w:rsid w:val="000B3132"/>
    <w:rsid w:val="000B3256"/>
    <w:rsid w:val="000B365C"/>
    <w:rsid w:val="000B4037"/>
    <w:rsid w:val="000B48F3"/>
    <w:rsid w:val="000B54D0"/>
    <w:rsid w:val="000B645C"/>
    <w:rsid w:val="000B7F2F"/>
    <w:rsid w:val="000C0360"/>
    <w:rsid w:val="000C0B37"/>
    <w:rsid w:val="000C1223"/>
    <w:rsid w:val="000C271C"/>
    <w:rsid w:val="000C3A9A"/>
    <w:rsid w:val="000C73E5"/>
    <w:rsid w:val="000C7794"/>
    <w:rsid w:val="000C7A9B"/>
    <w:rsid w:val="000D01D3"/>
    <w:rsid w:val="000D063B"/>
    <w:rsid w:val="000D12A4"/>
    <w:rsid w:val="000D40AA"/>
    <w:rsid w:val="000D56E8"/>
    <w:rsid w:val="000D5BD7"/>
    <w:rsid w:val="000D62F0"/>
    <w:rsid w:val="000D6BF2"/>
    <w:rsid w:val="000D6E99"/>
    <w:rsid w:val="000D7299"/>
    <w:rsid w:val="000E0454"/>
    <w:rsid w:val="000E7416"/>
    <w:rsid w:val="000E7864"/>
    <w:rsid w:val="000E7F71"/>
    <w:rsid w:val="000F14A4"/>
    <w:rsid w:val="000F1A9D"/>
    <w:rsid w:val="000F20FA"/>
    <w:rsid w:val="000F311F"/>
    <w:rsid w:val="000F36E8"/>
    <w:rsid w:val="000F38E4"/>
    <w:rsid w:val="000F5011"/>
    <w:rsid w:val="000F610D"/>
    <w:rsid w:val="000F6E73"/>
    <w:rsid w:val="00100965"/>
    <w:rsid w:val="00102FD8"/>
    <w:rsid w:val="00103308"/>
    <w:rsid w:val="00103558"/>
    <w:rsid w:val="0010427C"/>
    <w:rsid w:val="00104E49"/>
    <w:rsid w:val="001053E6"/>
    <w:rsid w:val="001055FF"/>
    <w:rsid w:val="00106EC7"/>
    <w:rsid w:val="0010716D"/>
    <w:rsid w:val="00107443"/>
    <w:rsid w:val="00107764"/>
    <w:rsid w:val="00110C4E"/>
    <w:rsid w:val="00112EA2"/>
    <w:rsid w:val="001130A4"/>
    <w:rsid w:val="001130EE"/>
    <w:rsid w:val="00114054"/>
    <w:rsid w:val="001161DF"/>
    <w:rsid w:val="0012011D"/>
    <w:rsid w:val="00120A8F"/>
    <w:rsid w:val="00120AA5"/>
    <w:rsid w:val="00120F1A"/>
    <w:rsid w:val="00121654"/>
    <w:rsid w:val="001221CE"/>
    <w:rsid w:val="00125286"/>
    <w:rsid w:val="00126EA1"/>
    <w:rsid w:val="001273D9"/>
    <w:rsid w:val="00130791"/>
    <w:rsid w:val="00131544"/>
    <w:rsid w:val="00131E39"/>
    <w:rsid w:val="00132CDB"/>
    <w:rsid w:val="00134983"/>
    <w:rsid w:val="00134B6C"/>
    <w:rsid w:val="00135A34"/>
    <w:rsid w:val="0013609F"/>
    <w:rsid w:val="00137794"/>
    <w:rsid w:val="001410EC"/>
    <w:rsid w:val="00142383"/>
    <w:rsid w:val="0014268B"/>
    <w:rsid w:val="00142BA3"/>
    <w:rsid w:val="001433D1"/>
    <w:rsid w:val="001435A6"/>
    <w:rsid w:val="00143981"/>
    <w:rsid w:val="0015007C"/>
    <w:rsid w:val="00152DEC"/>
    <w:rsid w:val="00153E3C"/>
    <w:rsid w:val="00155B7A"/>
    <w:rsid w:val="0016072A"/>
    <w:rsid w:val="00160930"/>
    <w:rsid w:val="00161873"/>
    <w:rsid w:val="00164DD1"/>
    <w:rsid w:val="00165DC9"/>
    <w:rsid w:val="0016724B"/>
    <w:rsid w:val="00167FB5"/>
    <w:rsid w:val="001715AB"/>
    <w:rsid w:val="001722E6"/>
    <w:rsid w:val="00172934"/>
    <w:rsid w:val="0017324D"/>
    <w:rsid w:val="00174398"/>
    <w:rsid w:val="00176539"/>
    <w:rsid w:val="00177BC4"/>
    <w:rsid w:val="00180A13"/>
    <w:rsid w:val="00180BA9"/>
    <w:rsid w:val="00182277"/>
    <w:rsid w:val="00182762"/>
    <w:rsid w:val="00182A6C"/>
    <w:rsid w:val="00184D82"/>
    <w:rsid w:val="00184EAD"/>
    <w:rsid w:val="00186C1A"/>
    <w:rsid w:val="001872A3"/>
    <w:rsid w:val="00187657"/>
    <w:rsid w:val="00190131"/>
    <w:rsid w:val="0019173D"/>
    <w:rsid w:val="0019433D"/>
    <w:rsid w:val="001964E4"/>
    <w:rsid w:val="00197BEC"/>
    <w:rsid w:val="001A20B6"/>
    <w:rsid w:val="001A28B4"/>
    <w:rsid w:val="001A2CB7"/>
    <w:rsid w:val="001A3B49"/>
    <w:rsid w:val="001A6BE9"/>
    <w:rsid w:val="001B05CD"/>
    <w:rsid w:val="001B0E54"/>
    <w:rsid w:val="001B255F"/>
    <w:rsid w:val="001B2E9B"/>
    <w:rsid w:val="001B2ECA"/>
    <w:rsid w:val="001B315E"/>
    <w:rsid w:val="001B53A9"/>
    <w:rsid w:val="001B545A"/>
    <w:rsid w:val="001B5B8F"/>
    <w:rsid w:val="001B6162"/>
    <w:rsid w:val="001B692A"/>
    <w:rsid w:val="001B6FA7"/>
    <w:rsid w:val="001B6FA9"/>
    <w:rsid w:val="001C0D1B"/>
    <w:rsid w:val="001C1E14"/>
    <w:rsid w:val="001C4643"/>
    <w:rsid w:val="001C5106"/>
    <w:rsid w:val="001C5194"/>
    <w:rsid w:val="001C7640"/>
    <w:rsid w:val="001C771F"/>
    <w:rsid w:val="001D2D8E"/>
    <w:rsid w:val="001D56C8"/>
    <w:rsid w:val="001D7BD5"/>
    <w:rsid w:val="001D7DE4"/>
    <w:rsid w:val="001E0F0A"/>
    <w:rsid w:val="001E1F3D"/>
    <w:rsid w:val="001E257F"/>
    <w:rsid w:val="001E25ED"/>
    <w:rsid w:val="001E2C97"/>
    <w:rsid w:val="001E2F0B"/>
    <w:rsid w:val="001E3C1A"/>
    <w:rsid w:val="001E3C1B"/>
    <w:rsid w:val="001E5B20"/>
    <w:rsid w:val="001E6436"/>
    <w:rsid w:val="001E7945"/>
    <w:rsid w:val="001F0D9A"/>
    <w:rsid w:val="001F20B1"/>
    <w:rsid w:val="001F21BF"/>
    <w:rsid w:val="001F25EB"/>
    <w:rsid w:val="001F2B22"/>
    <w:rsid w:val="001F2EDC"/>
    <w:rsid w:val="001F2FE6"/>
    <w:rsid w:val="001F3F4E"/>
    <w:rsid w:val="001F4B7C"/>
    <w:rsid w:val="001F4DA2"/>
    <w:rsid w:val="001F7E1C"/>
    <w:rsid w:val="0020202C"/>
    <w:rsid w:val="00202590"/>
    <w:rsid w:val="002026D4"/>
    <w:rsid w:val="00202B33"/>
    <w:rsid w:val="00203842"/>
    <w:rsid w:val="002049E5"/>
    <w:rsid w:val="00204CCD"/>
    <w:rsid w:val="0020564C"/>
    <w:rsid w:val="00212466"/>
    <w:rsid w:val="00212B2C"/>
    <w:rsid w:val="00214709"/>
    <w:rsid w:val="00214849"/>
    <w:rsid w:val="00215C80"/>
    <w:rsid w:val="00215FCE"/>
    <w:rsid w:val="002168A6"/>
    <w:rsid w:val="002178CC"/>
    <w:rsid w:val="002213DB"/>
    <w:rsid w:val="00227187"/>
    <w:rsid w:val="0022719F"/>
    <w:rsid w:val="00227264"/>
    <w:rsid w:val="0022731B"/>
    <w:rsid w:val="00227A4C"/>
    <w:rsid w:val="00227DC5"/>
    <w:rsid w:val="002366AF"/>
    <w:rsid w:val="00240623"/>
    <w:rsid w:val="002408C0"/>
    <w:rsid w:val="00241615"/>
    <w:rsid w:val="00242029"/>
    <w:rsid w:val="0024382F"/>
    <w:rsid w:val="00245DA2"/>
    <w:rsid w:val="002536E4"/>
    <w:rsid w:val="00253C89"/>
    <w:rsid w:val="002550BC"/>
    <w:rsid w:val="002554C7"/>
    <w:rsid w:val="00257655"/>
    <w:rsid w:val="00260991"/>
    <w:rsid w:val="002611E6"/>
    <w:rsid w:val="0026140B"/>
    <w:rsid w:val="00261661"/>
    <w:rsid w:val="0026213D"/>
    <w:rsid w:val="00263171"/>
    <w:rsid w:val="00263823"/>
    <w:rsid w:val="00264221"/>
    <w:rsid w:val="002645D2"/>
    <w:rsid w:val="00265384"/>
    <w:rsid w:val="00265A53"/>
    <w:rsid w:val="00266957"/>
    <w:rsid w:val="00270A46"/>
    <w:rsid w:val="002733C3"/>
    <w:rsid w:val="00273A96"/>
    <w:rsid w:val="00276A8C"/>
    <w:rsid w:val="002779E5"/>
    <w:rsid w:val="00280785"/>
    <w:rsid w:val="0028104D"/>
    <w:rsid w:val="00283DBA"/>
    <w:rsid w:val="0028449B"/>
    <w:rsid w:val="00290393"/>
    <w:rsid w:val="002915AC"/>
    <w:rsid w:val="00291F91"/>
    <w:rsid w:val="002925FC"/>
    <w:rsid w:val="00293A62"/>
    <w:rsid w:val="00294F0F"/>
    <w:rsid w:val="00295BAB"/>
    <w:rsid w:val="00296258"/>
    <w:rsid w:val="002A0051"/>
    <w:rsid w:val="002A1AEB"/>
    <w:rsid w:val="002A4773"/>
    <w:rsid w:val="002A4FF0"/>
    <w:rsid w:val="002A5A2F"/>
    <w:rsid w:val="002A71C6"/>
    <w:rsid w:val="002A74CA"/>
    <w:rsid w:val="002B0075"/>
    <w:rsid w:val="002B02BC"/>
    <w:rsid w:val="002B126B"/>
    <w:rsid w:val="002B36C9"/>
    <w:rsid w:val="002B5534"/>
    <w:rsid w:val="002B5541"/>
    <w:rsid w:val="002B5A36"/>
    <w:rsid w:val="002B6845"/>
    <w:rsid w:val="002B6AD6"/>
    <w:rsid w:val="002B760B"/>
    <w:rsid w:val="002C025C"/>
    <w:rsid w:val="002C04E4"/>
    <w:rsid w:val="002C126F"/>
    <w:rsid w:val="002C3CB5"/>
    <w:rsid w:val="002C3CEA"/>
    <w:rsid w:val="002C5C94"/>
    <w:rsid w:val="002D3EE8"/>
    <w:rsid w:val="002D3FE5"/>
    <w:rsid w:val="002D4A69"/>
    <w:rsid w:val="002D5E38"/>
    <w:rsid w:val="002D67C8"/>
    <w:rsid w:val="002D6A7A"/>
    <w:rsid w:val="002D6BA5"/>
    <w:rsid w:val="002E1212"/>
    <w:rsid w:val="002E218D"/>
    <w:rsid w:val="002E45AE"/>
    <w:rsid w:val="002E4950"/>
    <w:rsid w:val="002E496C"/>
    <w:rsid w:val="002E4A58"/>
    <w:rsid w:val="002E52D8"/>
    <w:rsid w:val="002F0220"/>
    <w:rsid w:val="002F05CA"/>
    <w:rsid w:val="002F1BD5"/>
    <w:rsid w:val="002F201F"/>
    <w:rsid w:val="002F3D03"/>
    <w:rsid w:val="002F4753"/>
    <w:rsid w:val="002F48BC"/>
    <w:rsid w:val="002F49C5"/>
    <w:rsid w:val="002F4C3E"/>
    <w:rsid w:val="002F4CED"/>
    <w:rsid w:val="002F54C9"/>
    <w:rsid w:val="002F6D6D"/>
    <w:rsid w:val="002F7113"/>
    <w:rsid w:val="002F7558"/>
    <w:rsid w:val="002F7851"/>
    <w:rsid w:val="002F7B4E"/>
    <w:rsid w:val="00300B57"/>
    <w:rsid w:val="00300BB9"/>
    <w:rsid w:val="003017D7"/>
    <w:rsid w:val="00301962"/>
    <w:rsid w:val="00304830"/>
    <w:rsid w:val="00304F9C"/>
    <w:rsid w:val="003051FD"/>
    <w:rsid w:val="003058A4"/>
    <w:rsid w:val="003065B4"/>
    <w:rsid w:val="003072BE"/>
    <w:rsid w:val="003078D9"/>
    <w:rsid w:val="003109EC"/>
    <w:rsid w:val="00310E77"/>
    <w:rsid w:val="00311B33"/>
    <w:rsid w:val="00312713"/>
    <w:rsid w:val="0031338D"/>
    <w:rsid w:val="00314CEC"/>
    <w:rsid w:val="00315BD2"/>
    <w:rsid w:val="00315E72"/>
    <w:rsid w:val="003165C6"/>
    <w:rsid w:val="00316931"/>
    <w:rsid w:val="00316A4B"/>
    <w:rsid w:val="00320BB4"/>
    <w:rsid w:val="00321F4E"/>
    <w:rsid w:val="0032377D"/>
    <w:rsid w:val="00326B68"/>
    <w:rsid w:val="00332506"/>
    <w:rsid w:val="00332922"/>
    <w:rsid w:val="00332DF7"/>
    <w:rsid w:val="0033381A"/>
    <w:rsid w:val="00335515"/>
    <w:rsid w:val="0033572B"/>
    <w:rsid w:val="00335CA7"/>
    <w:rsid w:val="003403ED"/>
    <w:rsid w:val="00342410"/>
    <w:rsid w:val="00342620"/>
    <w:rsid w:val="003427BE"/>
    <w:rsid w:val="003443BA"/>
    <w:rsid w:val="00344723"/>
    <w:rsid w:val="00344B28"/>
    <w:rsid w:val="0034533B"/>
    <w:rsid w:val="00345768"/>
    <w:rsid w:val="003506A8"/>
    <w:rsid w:val="00350DDE"/>
    <w:rsid w:val="00352BD8"/>
    <w:rsid w:val="00354205"/>
    <w:rsid w:val="00355560"/>
    <w:rsid w:val="003575EA"/>
    <w:rsid w:val="00361102"/>
    <w:rsid w:val="0036152D"/>
    <w:rsid w:val="00361ABD"/>
    <w:rsid w:val="003621A6"/>
    <w:rsid w:val="003626A9"/>
    <w:rsid w:val="00362A32"/>
    <w:rsid w:val="00362EEC"/>
    <w:rsid w:val="00364928"/>
    <w:rsid w:val="00365793"/>
    <w:rsid w:val="00366423"/>
    <w:rsid w:val="00367125"/>
    <w:rsid w:val="0037088B"/>
    <w:rsid w:val="00373979"/>
    <w:rsid w:val="00374264"/>
    <w:rsid w:val="003744FD"/>
    <w:rsid w:val="0037457A"/>
    <w:rsid w:val="00374695"/>
    <w:rsid w:val="003816BE"/>
    <w:rsid w:val="00381F75"/>
    <w:rsid w:val="003821F9"/>
    <w:rsid w:val="00383050"/>
    <w:rsid w:val="003834B0"/>
    <w:rsid w:val="00383628"/>
    <w:rsid w:val="003838AD"/>
    <w:rsid w:val="00383D0B"/>
    <w:rsid w:val="0038414E"/>
    <w:rsid w:val="00384342"/>
    <w:rsid w:val="0038631F"/>
    <w:rsid w:val="003863EB"/>
    <w:rsid w:val="00387143"/>
    <w:rsid w:val="0039076A"/>
    <w:rsid w:val="00390BA0"/>
    <w:rsid w:val="00392453"/>
    <w:rsid w:val="00394CD5"/>
    <w:rsid w:val="00395C98"/>
    <w:rsid w:val="003960FE"/>
    <w:rsid w:val="003972A1"/>
    <w:rsid w:val="003A19D3"/>
    <w:rsid w:val="003A1E7A"/>
    <w:rsid w:val="003A1EC8"/>
    <w:rsid w:val="003A5653"/>
    <w:rsid w:val="003A687E"/>
    <w:rsid w:val="003A7286"/>
    <w:rsid w:val="003B1367"/>
    <w:rsid w:val="003B3915"/>
    <w:rsid w:val="003B50FF"/>
    <w:rsid w:val="003B52C5"/>
    <w:rsid w:val="003B6CE6"/>
    <w:rsid w:val="003B7244"/>
    <w:rsid w:val="003B7C69"/>
    <w:rsid w:val="003B7D25"/>
    <w:rsid w:val="003C0300"/>
    <w:rsid w:val="003C0D9B"/>
    <w:rsid w:val="003C1FA5"/>
    <w:rsid w:val="003C69B5"/>
    <w:rsid w:val="003D26C4"/>
    <w:rsid w:val="003D297A"/>
    <w:rsid w:val="003D4FD2"/>
    <w:rsid w:val="003D5303"/>
    <w:rsid w:val="003D76E9"/>
    <w:rsid w:val="003E099F"/>
    <w:rsid w:val="003E1524"/>
    <w:rsid w:val="003E2207"/>
    <w:rsid w:val="003E36FE"/>
    <w:rsid w:val="003E4ADA"/>
    <w:rsid w:val="003E7628"/>
    <w:rsid w:val="003F120C"/>
    <w:rsid w:val="003F3F76"/>
    <w:rsid w:val="003F5CE9"/>
    <w:rsid w:val="003F7346"/>
    <w:rsid w:val="0040082C"/>
    <w:rsid w:val="004012B7"/>
    <w:rsid w:val="00403C8C"/>
    <w:rsid w:val="004045CD"/>
    <w:rsid w:val="004052DB"/>
    <w:rsid w:val="00405371"/>
    <w:rsid w:val="00405DAD"/>
    <w:rsid w:val="00406A3D"/>
    <w:rsid w:val="0040739F"/>
    <w:rsid w:val="004073A8"/>
    <w:rsid w:val="00410CA6"/>
    <w:rsid w:val="00412687"/>
    <w:rsid w:val="004127B3"/>
    <w:rsid w:val="00414ED8"/>
    <w:rsid w:val="004160F3"/>
    <w:rsid w:val="004161E7"/>
    <w:rsid w:val="00417955"/>
    <w:rsid w:val="00421839"/>
    <w:rsid w:val="0042197A"/>
    <w:rsid w:val="00422F7E"/>
    <w:rsid w:val="0042346A"/>
    <w:rsid w:val="004234DF"/>
    <w:rsid w:val="00424328"/>
    <w:rsid w:val="00425297"/>
    <w:rsid w:val="00425B8A"/>
    <w:rsid w:val="00426C6D"/>
    <w:rsid w:val="004272FD"/>
    <w:rsid w:val="00431F8A"/>
    <w:rsid w:val="004323DF"/>
    <w:rsid w:val="0043290A"/>
    <w:rsid w:val="004333D3"/>
    <w:rsid w:val="00435F31"/>
    <w:rsid w:val="00436DD9"/>
    <w:rsid w:val="0044113C"/>
    <w:rsid w:val="00442D66"/>
    <w:rsid w:val="00443979"/>
    <w:rsid w:val="00444BD6"/>
    <w:rsid w:val="00444EA4"/>
    <w:rsid w:val="00444EA6"/>
    <w:rsid w:val="00445866"/>
    <w:rsid w:val="00445991"/>
    <w:rsid w:val="00446837"/>
    <w:rsid w:val="0044697E"/>
    <w:rsid w:val="00447037"/>
    <w:rsid w:val="0044768F"/>
    <w:rsid w:val="0045010F"/>
    <w:rsid w:val="00450CDA"/>
    <w:rsid w:val="00451469"/>
    <w:rsid w:val="00453912"/>
    <w:rsid w:val="0045443F"/>
    <w:rsid w:val="00455851"/>
    <w:rsid w:val="00455F8B"/>
    <w:rsid w:val="00456C01"/>
    <w:rsid w:val="004571E9"/>
    <w:rsid w:val="00460CDD"/>
    <w:rsid w:val="00461201"/>
    <w:rsid w:val="004615F2"/>
    <w:rsid w:val="0046283D"/>
    <w:rsid w:val="004636ED"/>
    <w:rsid w:val="004644AC"/>
    <w:rsid w:val="004657DD"/>
    <w:rsid w:val="00465F2B"/>
    <w:rsid w:val="004670B5"/>
    <w:rsid w:val="00470861"/>
    <w:rsid w:val="0047098A"/>
    <w:rsid w:val="00474320"/>
    <w:rsid w:val="00474536"/>
    <w:rsid w:val="00474900"/>
    <w:rsid w:val="0047508B"/>
    <w:rsid w:val="00475458"/>
    <w:rsid w:val="0047551F"/>
    <w:rsid w:val="00476AA8"/>
    <w:rsid w:val="00477906"/>
    <w:rsid w:val="004807C7"/>
    <w:rsid w:val="00481708"/>
    <w:rsid w:val="004823D6"/>
    <w:rsid w:val="00482A42"/>
    <w:rsid w:val="00484620"/>
    <w:rsid w:val="0048463B"/>
    <w:rsid w:val="0048511F"/>
    <w:rsid w:val="00485504"/>
    <w:rsid w:val="00486E70"/>
    <w:rsid w:val="00493945"/>
    <w:rsid w:val="004940AB"/>
    <w:rsid w:val="004945B4"/>
    <w:rsid w:val="00495445"/>
    <w:rsid w:val="00495487"/>
    <w:rsid w:val="00495DEF"/>
    <w:rsid w:val="004A14DE"/>
    <w:rsid w:val="004A1DAB"/>
    <w:rsid w:val="004A20BC"/>
    <w:rsid w:val="004A3C97"/>
    <w:rsid w:val="004A4103"/>
    <w:rsid w:val="004A4424"/>
    <w:rsid w:val="004A68B8"/>
    <w:rsid w:val="004A6BAA"/>
    <w:rsid w:val="004B09EC"/>
    <w:rsid w:val="004B4530"/>
    <w:rsid w:val="004B48B1"/>
    <w:rsid w:val="004B4ADA"/>
    <w:rsid w:val="004B62EB"/>
    <w:rsid w:val="004B64A9"/>
    <w:rsid w:val="004C0871"/>
    <w:rsid w:val="004C1DF7"/>
    <w:rsid w:val="004C3F88"/>
    <w:rsid w:val="004C7756"/>
    <w:rsid w:val="004C7B62"/>
    <w:rsid w:val="004C7DD5"/>
    <w:rsid w:val="004D0CE3"/>
    <w:rsid w:val="004D19BF"/>
    <w:rsid w:val="004D225A"/>
    <w:rsid w:val="004D3775"/>
    <w:rsid w:val="004D4E36"/>
    <w:rsid w:val="004D529C"/>
    <w:rsid w:val="004D5331"/>
    <w:rsid w:val="004D5668"/>
    <w:rsid w:val="004D64F2"/>
    <w:rsid w:val="004D78F9"/>
    <w:rsid w:val="004D7A00"/>
    <w:rsid w:val="004E0D59"/>
    <w:rsid w:val="004E1A93"/>
    <w:rsid w:val="004E1DC3"/>
    <w:rsid w:val="004E1DDA"/>
    <w:rsid w:val="004E32AE"/>
    <w:rsid w:val="004E39C0"/>
    <w:rsid w:val="004E65EE"/>
    <w:rsid w:val="004E6628"/>
    <w:rsid w:val="004E693A"/>
    <w:rsid w:val="004E7E22"/>
    <w:rsid w:val="004F1F19"/>
    <w:rsid w:val="004F36FC"/>
    <w:rsid w:val="004F7917"/>
    <w:rsid w:val="005018D3"/>
    <w:rsid w:val="00501A81"/>
    <w:rsid w:val="005025CC"/>
    <w:rsid w:val="0050467E"/>
    <w:rsid w:val="00507365"/>
    <w:rsid w:val="0051022A"/>
    <w:rsid w:val="00513BBF"/>
    <w:rsid w:val="005146CE"/>
    <w:rsid w:val="005146FB"/>
    <w:rsid w:val="005156FB"/>
    <w:rsid w:val="00516D96"/>
    <w:rsid w:val="00517066"/>
    <w:rsid w:val="00521224"/>
    <w:rsid w:val="00522891"/>
    <w:rsid w:val="00522CEC"/>
    <w:rsid w:val="00524713"/>
    <w:rsid w:val="00524E5A"/>
    <w:rsid w:val="00524EC5"/>
    <w:rsid w:val="0052571A"/>
    <w:rsid w:val="00526571"/>
    <w:rsid w:val="005268EC"/>
    <w:rsid w:val="005269F2"/>
    <w:rsid w:val="00527C5C"/>
    <w:rsid w:val="00530BA3"/>
    <w:rsid w:val="00531488"/>
    <w:rsid w:val="00531D43"/>
    <w:rsid w:val="005321D8"/>
    <w:rsid w:val="00532964"/>
    <w:rsid w:val="00532A04"/>
    <w:rsid w:val="005335AF"/>
    <w:rsid w:val="0053475F"/>
    <w:rsid w:val="00535887"/>
    <w:rsid w:val="00535E4F"/>
    <w:rsid w:val="00535EF2"/>
    <w:rsid w:val="00536995"/>
    <w:rsid w:val="00541594"/>
    <w:rsid w:val="0054172F"/>
    <w:rsid w:val="005417D8"/>
    <w:rsid w:val="00542693"/>
    <w:rsid w:val="00542E93"/>
    <w:rsid w:val="00543946"/>
    <w:rsid w:val="00543B4C"/>
    <w:rsid w:val="00544023"/>
    <w:rsid w:val="005448A9"/>
    <w:rsid w:val="00545C8C"/>
    <w:rsid w:val="005500F6"/>
    <w:rsid w:val="0055104E"/>
    <w:rsid w:val="00551188"/>
    <w:rsid w:val="005515C6"/>
    <w:rsid w:val="00551860"/>
    <w:rsid w:val="00552780"/>
    <w:rsid w:val="00552ECF"/>
    <w:rsid w:val="00555ED8"/>
    <w:rsid w:val="005577E2"/>
    <w:rsid w:val="00561A33"/>
    <w:rsid w:val="0056336B"/>
    <w:rsid w:val="005635E0"/>
    <w:rsid w:val="0056501A"/>
    <w:rsid w:val="00566EA3"/>
    <w:rsid w:val="005674BC"/>
    <w:rsid w:val="00567649"/>
    <w:rsid w:val="00567F9A"/>
    <w:rsid w:val="005708A7"/>
    <w:rsid w:val="00570BB8"/>
    <w:rsid w:val="0057160D"/>
    <w:rsid w:val="00572225"/>
    <w:rsid w:val="00572A6D"/>
    <w:rsid w:val="005733E7"/>
    <w:rsid w:val="0057428E"/>
    <w:rsid w:val="0057492A"/>
    <w:rsid w:val="00574D29"/>
    <w:rsid w:val="005810D0"/>
    <w:rsid w:val="00581747"/>
    <w:rsid w:val="0058205C"/>
    <w:rsid w:val="0058464D"/>
    <w:rsid w:val="00585C59"/>
    <w:rsid w:val="00586A50"/>
    <w:rsid w:val="00590A65"/>
    <w:rsid w:val="00590B24"/>
    <w:rsid w:val="00590D9A"/>
    <w:rsid w:val="00591E7C"/>
    <w:rsid w:val="0059238A"/>
    <w:rsid w:val="00592561"/>
    <w:rsid w:val="00594017"/>
    <w:rsid w:val="00595DD3"/>
    <w:rsid w:val="005A04F3"/>
    <w:rsid w:val="005A0CD2"/>
    <w:rsid w:val="005A254B"/>
    <w:rsid w:val="005A2D2C"/>
    <w:rsid w:val="005A2E32"/>
    <w:rsid w:val="005A5925"/>
    <w:rsid w:val="005A61EB"/>
    <w:rsid w:val="005A6EBD"/>
    <w:rsid w:val="005A726C"/>
    <w:rsid w:val="005A72C1"/>
    <w:rsid w:val="005A7D69"/>
    <w:rsid w:val="005A7EB4"/>
    <w:rsid w:val="005B3518"/>
    <w:rsid w:val="005B3CE4"/>
    <w:rsid w:val="005B44FF"/>
    <w:rsid w:val="005B5614"/>
    <w:rsid w:val="005B6CBA"/>
    <w:rsid w:val="005C0B32"/>
    <w:rsid w:val="005C2817"/>
    <w:rsid w:val="005C2D67"/>
    <w:rsid w:val="005C300D"/>
    <w:rsid w:val="005C3B5F"/>
    <w:rsid w:val="005C4465"/>
    <w:rsid w:val="005C469D"/>
    <w:rsid w:val="005C48CC"/>
    <w:rsid w:val="005C51EB"/>
    <w:rsid w:val="005C5BA8"/>
    <w:rsid w:val="005C6482"/>
    <w:rsid w:val="005C72B3"/>
    <w:rsid w:val="005C7D21"/>
    <w:rsid w:val="005C7E91"/>
    <w:rsid w:val="005D0317"/>
    <w:rsid w:val="005D2A8D"/>
    <w:rsid w:val="005D3E52"/>
    <w:rsid w:val="005E09BA"/>
    <w:rsid w:val="005E0F51"/>
    <w:rsid w:val="005E2814"/>
    <w:rsid w:val="005E2A78"/>
    <w:rsid w:val="005E2BA8"/>
    <w:rsid w:val="005E2DCB"/>
    <w:rsid w:val="005E3064"/>
    <w:rsid w:val="005E58EB"/>
    <w:rsid w:val="005E7958"/>
    <w:rsid w:val="005F109C"/>
    <w:rsid w:val="005F2A85"/>
    <w:rsid w:val="005F34AE"/>
    <w:rsid w:val="005F374D"/>
    <w:rsid w:val="005F387A"/>
    <w:rsid w:val="005F647B"/>
    <w:rsid w:val="005F681D"/>
    <w:rsid w:val="00600E75"/>
    <w:rsid w:val="0060253C"/>
    <w:rsid w:val="00602B9F"/>
    <w:rsid w:val="00603FEC"/>
    <w:rsid w:val="00604206"/>
    <w:rsid w:val="00604366"/>
    <w:rsid w:val="006050BD"/>
    <w:rsid w:val="0060570C"/>
    <w:rsid w:val="00611631"/>
    <w:rsid w:val="00611FBC"/>
    <w:rsid w:val="00612783"/>
    <w:rsid w:val="00612890"/>
    <w:rsid w:val="0061335A"/>
    <w:rsid w:val="00613E9F"/>
    <w:rsid w:val="006169F5"/>
    <w:rsid w:val="00616F92"/>
    <w:rsid w:val="00617B88"/>
    <w:rsid w:val="006200C6"/>
    <w:rsid w:val="00620ABB"/>
    <w:rsid w:val="00622411"/>
    <w:rsid w:val="006224F9"/>
    <w:rsid w:val="0062452A"/>
    <w:rsid w:val="00625838"/>
    <w:rsid w:val="00627A67"/>
    <w:rsid w:val="006309E4"/>
    <w:rsid w:val="00630BBE"/>
    <w:rsid w:val="0063279B"/>
    <w:rsid w:val="00632D24"/>
    <w:rsid w:val="0063490B"/>
    <w:rsid w:val="00635546"/>
    <w:rsid w:val="00636E6E"/>
    <w:rsid w:val="00640B3F"/>
    <w:rsid w:val="006420A0"/>
    <w:rsid w:val="006427B4"/>
    <w:rsid w:val="006440D8"/>
    <w:rsid w:val="006458DE"/>
    <w:rsid w:val="00645D50"/>
    <w:rsid w:val="006475F6"/>
    <w:rsid w:val="00647931"/>
    <w:rsid w:val="00650E5A"/>
    <w:rsid w:val="00651A8D"/>
    <w:rsid w:val="00651C99"/>
    <w:rsid w:val="00653A3E"/>
    <w:rsid w:val="00654A23"/>
    <w:rsid w:val="00654E81"/>
    <w:rsid w:val="006569A5"/>
    <w:rsid w:val="00661FDF"/>
    <w:rsid w:val="00662EC5"/>
    <w:rsid w:val="0066332A"/>
    <w:rsid w:val="00663761"/>
    <w:rsid w:val="00665B5F"/>
    <w:rsid w:val="00665BFB"/>
    <w:rsid w:val="006661D5"/>
    <w:rsid w:val="00670596"/>
    <w:rsid w:val="00671EF2"/>
    <w:rsid w:val="0067467A"/>
    <w:rsid w:val="00674924"/>
    <w:rsid w:val="00674E1D"/>
    <w:rsid w:val="0067514F"/>
    <w:rsid w:val="006752DB"/>
    <w:rsid w:val="006767B8"/>
    <w:rsid w:val="006802C4"/>
    <w:rsid w:val="00680DE8"/>
    <w:rsid w:val="006815EA"/>
    <w:rsid w:val="00681BE2"/>
    <w:rsid w:val="006822CE"/>
    <w:rsid w:val="00682B0B"/>
    <w:rsid w:val="006830A1"/>
    <w:rsid w:val="006867F6"/>
    <w:rsid w:val="006912F5"/>
    <w:rsid w:val="00692BAA"/>
    <w:rsid w:val="006932C0"/>
    <w:rsid w:val="006959B1"/>
    <w:rsid w:val="006959E8"/>
    <w:rsid w:val="00695F23"/>
    <w:rsid w:val="006961E5"/>
    <w:rsid w:val="00697414"/>
    <w:rsid w:val="006A13F4"/>
    <w:rsid w:val="006A3270"/>
    <w:rsid w:val="006A38CB"/>
    <w:rsid w:val="006A3969"/>
    <w:rsid w:val="006A3EEB"/>
    <w:rsid w:val="006A4339"/>
    <w:rsid w:val="006A5136"/>
    <w:rsid w:val="006A59FD"/>
    <w:rsid w:val="006B014F"/>
    <w:rsid w:val="006B0287"/>
    <w:rsid w:val="006B2138"/>
    <w:rsid w:val="006B2A3F"/>
    <w:rsid w:val="006B3630"/>
    <w:rsid w:val="006B466E"/>
    <w:rsid w:val="006B5411"/>
    <w:rsid w:val="006C11B6"/>
    <w:rsid w:val="006C154E"/>
    <w:rsid w:val="006C47D1"/>
    <w:rsid w:val="006C4856"/>
    <w:rsid w:val="006C6D59"/>
    <w:rsid w:val="006C78D3"/>
    <w:rsid w:val="006D1CC4"/>
    <w:rsid w:val="006D478D"/>
    <w:rsid w:val="006D54BD"/>
    <w:rsid w:val="006D63FE"/>
    <w:rsid w:val="006D7479"/>
    <w:rsid w:val="006E03FE"/>
    <w:rsid w:val="006E0A6F"/>
    <w:rsid w:val="006E1100"/>
    <w:rsid w:val="006E16E7"/>
    <w:rsid w:val="006E18BE"/>
    <w:rsid w:val="006E347D"/>
    <w:rsid w:val="006E3D11"/>
    <w:rsid w:val="006E4B9A"/>
    <w:rsid w:val="006E5BCF"/>
    <w:rsid w:val="006E5F82"/>
    <w:rsid w:val="006E679C"/>
    <w:rsid w:val="006E6886"/>
    <w:rsid w:val="006E6CAA"/>
    <w:rsid w:val="006F027C"/>
    <w:rsid w:val="006F0B5C"/>
    <w:rsid w:val="006F3BB8"/>
    <w:rsid w:val="006F3BC4"/>
    <w:rsid w:val="006F3DFF"/>
    <w:rsid w:val="006F5667"/>
    <w:rsid w:val="006F5988"/>
    <w:rsid w:val="006F5A91"/>
    <w:rsid w:val="006F6259"/>
    <w:rsid w:val="006F6515"/>
    <w:rsid w:val="006F74B6"/>
    <w:rsid w:val="006F76CE"/>
    <w:rsid w:val="006F7ED6"/>
    <w:rsid w:val="00700E5B"/>
    <w:rsid w:val="00705805"/>
    <w:rsid w:val="00705818"/>
    <w:rsid w:val="00706345"/>
    <w:rsid w:val="00706A13"/>
    <w:rsid w:val="007109DA"/>
    <w:rsid w:val="00711B91"/>
    <w:rsid w:val="0071382F"/>
    <w:rsid w:val="00713C11"/>
    <w:rsid w:val="00713DD5"/>
    <w:rsid w:val="0071715B"/>
    <w:rsid w:val="007203EA"/>
    <w:rsid w:val="00720840"/>
    <w:rsid w:val="00722F15"/>
    <w:rsid w:val="00723666"/>
    <w:rsid w:val="007251BD"/>
    <w:rsid w:val="00726491"/>
    <w:rsid w:val="00726685"/>
    <w:rsid w:val="007268AA"/>
    <w:rsid w:val="00730FEC"/>
    <w:rsid w:val="00731E1A"/>
    <w:rsid w:val="00732C1A"/>
    <w:rsid w:val="007344E8"/>
    <w:rsid w:val="00734FF3"/>
    <w:rsid w:val="00735468"/>
    <w:rsid w:val="00735E6B"/>
    <w:rsid w:val="007363FF"/>
    <w:rsid w:val="00737ADD"/>
    <w:rsid w:val="00737C18"/>
    <w:rsid w:val="00740D99"/>
    <w:rsid w:val="00741C8B"/>
    <w:rsid w:val="00742936"/>
    <w:rsid w:val="00742D3A"/>
    <w:rsid w:val="00743785"/>
    <w:rsid w:val="007439D8"/>
    <w:rsid w:val="00743A81"/>
    <w:rsid w:val="00744C7B"/>
    <w:rsid w:val="00744DCE"/>
    <w:rsid w:val="007457F4"/>
    <w:rsid w:val="00746751"/>
    <w:rsid w:val="00746E3F"/>
    <w:rsid w:val="00747804"/>
    <w:rsid w:val="00747CAF"/>
    <w:rsid w:val="00752866"/>
    <w:rsid w:val="007532BE"/>
    <w:rsid w:val="0075357D"/>
    <w:rsid w:val="00755014"/>
    <w:rsid w:val="00760C6A"/>
    <w:rsid w:val="007615FB"/>
    <w:rsid w:val="007617BB"/>
    <w:rsid w:val="00763D9C"/>
    <w:rsid w:val="007643A8"/>
    <w:rsid w:val="00765D16"/>
    <w:rsid w:val="007665BF"/>
    <w:rsid w:val="00766AF7"/>
    <w:rsid w:val="0076702D"/>
    <w:rsid w:val="0077221B"/>
    <w:rsid w:val="00776DDF"/>
    <w:rsid w:val="00777EDF"/>
    <w:rsid w:val="007801E1"/>
    <w:rsid w:val="007808BA"/>
    <w:rsid w:val="00780D48"/>
    <w:rsid w:val="007812F7"/>
    <w:rsid w:val="0078182B"/>
    <w:rsid w:val="00782E5F"/>
    <w:rsid w:val="00784415"/>
    <w:rsid w:val="007863C6"/>
    <w:rsid w:val="0078649E"/>
    <w:rsid w:val="007867B8"/>
    <w:rsid w:val="007905A8"/>
    <w:rsid w:val="00790D16"/>
    <w:rsid w:val="007917A3"/>
    <w:rsid w:val="00793550"/>
    <w:rsid w:val="0079390A"/>
    <w:rsid w:val="00793B0F"/>
    <w:rsid w:val="0079616A"/>
    <w:rsid w:val="007A2070"/>
    <w:rsid w:val="007A2667"/>
    <w:rsid w:val="007A56B2"/>
    <w:rsid w:val="007A5A4A"/>
    <w:rsid w:val="007A7A05"/>
    <w:rsid w:val="007B2656"/>
    <w:rsid w:val="007B2B63"/>
    <w:rsid w:val="007B3C34"/>
    <w:rsid w:val="007B5362"/>
    <w:rsid w:val="007C20C3"/>
    <w:rsid w:val="007C2C40"/>
    <w:rsid w:val="007C6B16"/>
    <w:rsid w:val="007C6DC5"/>
    <w:rsid w:val="007D0AC8"/>
    <w:rsid w:val="007D1894"/>
    <w:rsid w:val="007D609C"/>
    <w:rsid w:val="007E0638"/>
    <w:rsid w:val="007E0C46"/>
    <w:rsid w:val="007E17D9"/>
    <w:rsid w:val="007E1ADF"/>
    <w:rsid w:val="007E216B"/>
    <w:rsid w:val="007E32B4"/>
    <w:rsid w:val="007E3363"/>
    <w:rsid w:val="007E3C38"/>
    <w:rsid w:val="007E5CF4"/>
    <w:rsid w:val="007E5FF0"/>
    <w:rsid w:val="007E7CA5"/>
    <w:rsid w:val="007F00CD"/>
    <w:rsid w:val="007F1857"/>
    <w:rsid w:val="007F5166"/>
    <w:rsid w:val="007F6D1A"/>
    <w:rsid w:val="007F6F0F"/>
    <w:rsid w:val="008003E1"/>
    <w:rsid w:val="008010A7"/>
    <w:rsid w:val="00801564"/>
    <w:rsid w:val="0080199C"/>
    <w:rsid w:val="00803D69"/>
    <w:rsid w:val="00804204"/>
    <w:rsid w:val="00806834"/>
    <w:rsid w:val="00807C50"/>
    <w:rsid w:val="008111DB"/>
    <w:rsid w:val="00811F7D"/>
    <w:rsid w:val="008131F0"/>
    <w:rsid w:val="00814835"/>
    <w:rsid w:val="00814FE3"/>
    <w:rsid w:val="00815F88"/>
    <w:rsid w:val="00816886"/>
    <w:rsid w:val="00820109"/>
    <w:rsid w:val="00823C24"/>
    <w:rsid w:val="008241AC"/>
    <w:rsid w:val="00824A7F"/>
    <w:rsid w:val="00825B2F"/>
    <w:rsid w:val="00826878"/>
    <w:rsid w:val="00826D91"/>
    <w:rsid w:val="00830CC1"/>
    <w:rsid w:val="00832EC4"/>
    <w:rsid w:val="00835551"/>
    <w:rsid w:val="00837D04"/>
    <w:rsid w:val="00840A1C"/>
    <w:rsid w:val="00840B66"/>
    <w:rsid w:val="0084106B"/>
    <w:rsid w:val="00842446"/>
    <w:rsid w:val="008449A5"/>
    <w:rsid w:val="00846C61"/>
    <w:rsid w:val="00850863"/>
    <w:rsid w:val="00851978"/>
    <w:rsid w:val="008537FB"/>
    <w:rsid w:val="008553E3"/>
    <w:rsid w:val="0085592C"/>
    <w:rsid w:val="00855ADD"/>
    <w:rsid w:val="00860900"/>
    <w:rsid w:val="0086283F"/>
    <w:rsid w:val="0086321D"/>
    <w:rsid w:val="00863D78"/>
    <w:rsid w:val="008640A4"/>
    <w:rsid w:val="0086592B"/>
    <w:rsid w:val="00865D5A"/>
    <w:rsid w:val="0086662F"/>
    <w:rsid w:val="008666B3"/>
    <w:rsid w:val="008724C9"/>
    <w:rsid w:val="008734DB"/>
    <w:rsid w:val="00873758"/>
    <w:rsid w:val="00873A6F"/>
    <w:rsid w:val="008747A2"/>
    <w:rsid w:val="00874996"/>
    <w:rsid w:val="00875B14"/>
    <w:rsid w:val="00876FE7"/>
    <w:rsid w:val="008772F1"/>
    <w:rsid w:val="00880DA1"/>
    <w:rsid w:val="0088161B"/>
    <w:rsid w:val="00881B27"/>
    <w:rsid w:val="00882C98"/>
    <w:rsid w:val="00882E88"/>
    <w:rsid w:val="0088349B"/>
    <w:rsid w:val="00890183"/>
    <w:rsid w:val="008921B6"/>
    <w:rsid w:val="008950DC"/>
    <w:rsid w:val="00895A0D"/>
    <w:rsid w:val="0089709E"/>
    <w:rsid w:val="00897664"/>
    <w:rsid w:val="008A15F8"/>
    <w:rsid w:val="008A1F62"/>
    <w:rsid w:val="008A4ABB"/>
    <w:rsid w:val="008A5216"/>
    <w:rsid w:val="008A5AF5"/>
    <w:rsid w:val="008A5B3A"/>
    <w:rsid w:val="008A7F53"/>
    <w:rsid w:val="008B18C9"/>
    <w:rsid w:val="008B1AF7"/>
    <w:rsid w:val="008B1CC7"/>
    <w:rsid w:val="008B2080"/>
    <w:rsid w:val="008B31B5"/>
    <w:rsid w:val="008B3486"/>
    <w:rsid w:val="008B3A2B"/>
    <w:rsid w:val="008B461D"/>
    <w:rsid w:val="008B46E6"/>
    <w:rsid w:val="008B68D6"/>
    <w:rsid w:val="008B7786"/>
    <w:rsid w:val="008C10B1"/>
    <w:rsid w:val="008C11F8"/>
    <w:rsid w:val="008C64E3"/>
    <w:rsid w:val="008C7309"/>
    <w:rsid w:val="008D1014"/>
    <w:rsid w:val="008D31DB"/>
    <w:rsid w:val="008D34EF"/>
    <w:rsid w:val="008D55D5"/>
    <w:rsid w:val="008D7FEC"/>
    <w:rsid w:val="008E2230"/>
    <w:rsid w:val="008E2EF4"/>
    <w:rsid w:val="008E5031"/>
    <w:rsid w:val="008E607F"/>
    <w:rsid w:val="008E76A7"/>
    <w:rsid w:val="008E7E88"/>
    <w:rsid w:val="008F02B5"/>
    <w:rsid w:val="008F0846"/>
    <w:rsid w:val="008F08A8"/>
    <w:rsid w:val="008F1422"/>
    <w:rsid w:val="008F1C42"/>
    <w:rsid w:val="008F20CA"/>
    <w:rsid w:val="008F3509"/>
    <w:rsid w:val="008F3958"/>
    <w:rsid w:val="008F4832"/>
    <w:rsid w:val="008F5E78"/>
    <w:rsid w:val="008F60A2"/>
    <w:rsid w:val="008F6417"/>
    <w:rsid w:val="008F6AD7"/>
    <w:rsid w:val="008F7AD3"/>
    <w:rsid w:val="00904529"/>
    <w:rsid w:val="00904E98"/>
    <w:rsid w:val="00910288"/>
    <w:rsid w:val="00911BE0"/>
    <w:rsid w:val="009136B1"/>
    <w:rsid w:val="00913975"/>
    <w:rsid w:val="00915FE6"/>
    <w:rsid w:val="009167DF"/>
    <w:rsid w:val="00917272"/>
    <w:rsid w:val="00920037"/>
    <w:rsid w:val="009206AC"/>
    <w:rsid w:val="00920DBC"/>
    <w:rsid w:val="009211E7"/>
    <w:rsid w:val="00921C61"/>
    <w:rsid w:val="00921E2E"/>
    <w:rsid w:val="0092226A"/>
    <w:rsid w:val="00922BD2"/>
    <w:rsid w:val="00923127"/>
    <w:rsid w:val="009259BA"/>
    <w:rsid w:val="00930CA1"/>
    <w:rsid w:val="00930CC2"/>
    <w:rsid w:val="0093336E"/>
    <w:rsid w:val="009343F0"/>
    <w:rsid w:val="0093598F"/>
    <w:rsid w:val="00935C09"/>
    <w:rsid w:val="009407BF"/>
    <w:rsid w:val="0094182B"/>
    <w:rsid w:val="00941882"/>
    <w:rsid w:val="00942357"/>
    <w:rsid w:val="00942418"/>
    <w:rsid w:val="009457DF"/>
    <w:rsid w:val="0094614E"/>
    <w:rsid w:val="00946CA3"/>
    <w:rsid w:val="00946E68"/>
    <w:rsid w:val="00954391"/>
    <w:rsid w:val="00955B0D"/>
    <w:rsid w:val="00956638"/>
    <w:rsid w:val="0095779C"/>
    <w:rsid w:val="009578F3"/>
    <w:rsid w:val="00957DC4"/>
    <w:rsid w:val="009611A9"/>
    <w:rsid w:val="00961AC3"/>
    <w:rsid w:val="00961D6E"/>
    <w:rsid w:val="0096426A"/>
    <w:rsid w:val="00964DD4"/>
    <w:rsid w:val="00965664"/>
    <w:rsid w:val="009672E5"/>
    <w:rsid w:val="00970162"/>
    <w:rsid w:val="00970C40"/>
    <w:rsid w:val="0097258B"/>
    <w:rsid w:val="009732F4"/>
    <w:rsid w:val="00974473"/>
    <w:rsid w:val="00974B7B"/>
    <w:rsid w:val="00976D86"/>
    <w:rsid w:val="0097733A"/>
    <w:rsid w:val="00977E8C"/>
    <w:rsid w:val="00980197"/>
    <w:rsid w:val="00982378"/>
    <w:rsid w:val="00984FE0"/>
    <w:rsid w:val="00985268"/>
    <w:rsid w:val="00986449"/>
    <w:rsid w:val="00987DD4"/>
    <w:rsid w:val="00990C01"/>
    <w:rsid w:val="0099127C"/>
    <w:rsid w:val="00991496"/>
    <w:rsid w:val="00993500"/>
    <w:rsid w:val="00993AA9"/>
    <w:rsid w:val="00994064"/>
    <w:rsid w:val="00994100"/>
    <w:rsid w:val="00994DAC"/>
    <w:rsid w:val="00994F8B"/>
    <w:rsid w:val="00997374"/>
    <w:rsid w:val="00997A31"/>
    <w:rsid w:val="009A0D5F"/>
    <w:rsid w:val="009A0E0D"/>
    <w:rsid w:val="009A103A"/>
    <w:rsid w:val="009A564A"/>
    <w:rsid w:val="009A585B"/>
    <w:rsid w:val="009A65B1"/>
    <w:rsid w:val="009A6946"/>
    <w:rsid w:val="009A6DA2"/>
    <w:rsid w:val="009A6FD7"/>
    <w:rsid w:val="009A7FF1"/>
    <w:rsid w:val="009B0433"/>
    <w:rsid w:val="009B089F"/>
    <w:rsid w:val="009B0B4F"/>
    <w:rsid w:val="009B175D"/>
    <w:rsid w:val="009B18E5"/>
    <w:rsid w:val="009B1AAE"/>
    <w:rsid w:val="009B2090"/>
    <w:rsid w:val="009B24F7"/>
    <w:rsid w:val="009B2F09"/>
    <w:rsid w:val="009B349C"/>
    <w:rsid w:val="009B35BF"/>
    <w:rsid w:val="009B48D7"/>
    <w:rsid w:val="009B5415"/>
    <w:rsid w:val="009B5F34"/>
    <w:rsid w:val="009B680E"/>
    <w:rsid w:val="009B7C1E"/>
    <w:rsid w:val="009C0EC7"/>
    <w:rsid w:val="009C11E3"/>
    <w:rsid w:val="009C3501"/>
    <w:rsid w:val="009C4E37"/>
    <w:rsid w:val="009C68D0"/>
    <w:rsid w:val="009C76FE"/>
    <w:rsid w:val="009D14B8"/>
    <w:rsid w:val="009D2FE8"/>
    <w:rsid w:val="009D33C6"/>
    <w:rsid w:val="009D3F2A"/>
    <w:rsid w:val="009D62D3"/>
    <w:rsid w:val="009D7223"/>
    <w:rsid w:val="009D7FE2"/>
    <w:rsid w:val="009E0306"/>
    <w:rsid w:val="009E040B"/>
    <w:rsid w:val="009E0C08"/>
    <w:rsid w:val="009E0CEE"/>
    <w:rsid w:val="009E1F77"/>
    <w:rsid w:val="009E2247"/>
    <w:rsid w:val="009E4EE5"/>
    <w:rsid w:val="009E4FE6"/>
    <w:rsid w:val="009E6516"/>
    <w:rsid w:val="009E69E9"/>
    <w:rsid w:val="009E79CA"/>
    <w:rsid w:val="009F023B"/>
    <w:rsid w:val="009F0992"/>
    <w:rsid w:val="009F43CE"/>
    <w:rsid w:val="009F44D0"/>
    <w:rsid w:val="009F4862"/>
    <w:rsid w:val="009F4D7C"/>
    <w:rsid w:val="009F5396"/>
    <w:rsid w:val="00A005E9"/>
    <w:rsid w:val="00A02233"/>
    <w:rsid w:val="00A069AE"/>
    <w:rsid w:val="00A10587"/>
    <w:rsid w:val="00A12CBD"/>
    <w:rsid w:val="00A131CF"/>
    <w:rsid w:val="00A13CEE"/>
    <w:rsid w:val="00A14365"/>
    <w:rsid w:val="00A1454D"/>
    <w:rsid w:val="00A14882"/>
    <w:rsid w:val="00A170E2"/>
    <w:rsid w:val="00A20065"/>
    <w:rsid w:val="00A210E6"/>
    <w:rsid w:val="00A2261E"/>
    <w:rsid w:val="00A22CB6"/>
    <w:rsid w:val="00A23BE8"/>
    <w:rsid w:val="00A250B4"/>
    <w:rsid w:val="00A2790C"/>
    <w:rsid w:val="00A27A4B"/>
    <w:rsid w:val="00A30DF9"/>
    <w:rsid w:val="00A322D5"/>
    <w:rsid w:val="00A32A11"/>
    <w:rsid w:val="00A33A87"/>
    <w:rsid w:val="00A33FC6"/>
    <w:rsid w:val="00A35BDB"/>
    <w:rsid w:val="00A35F73"/>
    <w:rsid w:val="00A41024"/>
    <w:rsid w:val="00A433DB"/>
    <w:rsid w:val="00A43638"/>
    <w:rsid w:val="00A450A8"/>
    <w:rsid w:val="00A45A06"/>
    <w:rsid w:val="00A4627B"/>
    <w:rsid w:val="00A46695"/>
    <w:rsid w:val="00A472BA"/>
    <w:rsid w:val="00A473F0"/>
    <w:rsid w:val="00A47B64"/>
    <w:rsid w:val="00A47F2C"/>
    <w:rsid w:val="00A51474"/>
    <w:rsid w:val="00A51823"/>
    <w:rsid w:val="00A518D3"/>
    <w:rsid w:val="00A51B45"/>
    <w:rsid w:val="00A520FC"/>
    <w:rsid w:val="00A523B5"/>
    <w:rsid w:val="00A537F2"/>
    <w:rsid w:val="00A53DE5"/>
    <w:rsid w:val="00A54190"/>
    <w:rsid w:val="00A56041"/>
    <w:rsid w:val="00A56AD0"/>
    <w:rsid w:val="00A57F38"/>
    <w:rsid w:val="00A62C2C"/>
    <w:rsid w:val="00A63FF3"/>
    <w:rsid w:val="00A648AD"/>
    <w:rsid w:val="00A67681"/>
    <w:rsid w:val="00A70600"/>
    <w:rsid w:val="00A712F2"/>
    <w:rsid w:val="00A71A28"/>
    <w:rsid w:val="00A74053"/>
    <w:rsid w:val="00A76045"/>
    <w:rsid w:val="00A765C0"/>
    <w:rsid w:val="00A767B4"/>
    <w:rsid w:val="00A7765E"/>
    <w:rsid w:val="00A811C8"/>
    <w:rsid w:val="00A840FC"/>
    <w:rsid w:val="00A906B7"/>
    <w:rsid w:val="00A91AC5"/>
    <w:rsid w:val="00A956C1"/>
    <w:rsid w:val="00AA0749"/>
    <w:rsid w:val="00AA1B5A"/>
    <w:rsid w:val="00AA2450"/>
    <w:rsid w:val="00AA2AE5"/>
    <w:rsid w:val="00AA42EF"/>
    <w:rsid w:val="00AA4CA0"/>
    <w:rsid w:val="00AA530F"/>
    <w:rsid w:val="00AA5FA3"/>
    <w:rsid w:val="00AA74CF"/>
    <w:rsid w:val="00AA74F7"/>
    <w:rsid w:val="00AA78FE"/>
    <w:rsid w:val="00AA7AA3"/>
    <w:rsid w:val="00AB26E8"/>
    <w:rsid w:val="00AB29E5"/>
    <w:rsid w:val="00AB43D3"/>
    <w:rsid w:val="00AB5951"/>
    <w:rsid w:val="00AB693A"/>
    <w:rsid w:val="00AB75FD"/>
    <w:rsid w:val="00AB778F"/>
    <w:rsid w:val="00AB7900"/>
    <w:rsid w:val="00AC264C"/>
    <w:rsid w:val="00AC3E39"/>
    <w:rsid w:val="00AC51BB"/>
    <w:rsid w:val="00AC56A3"/>
    <w:rsid w:val="00AC5BE6"/>
    <w:rsid w:val="00AC698B"/>
    <w:rsid w:val="00AC7851"/>
    <w:rsid w:val="00AD0D87"/>
    <w:rsid w:val="00AD1E4E"/>
    <w:rsid w:val="00AD34EE"/>
    <w:rsid w:val="00AD4A0A"/>
    <w:rsid w:val="00AD5CE7"/>
    <w:rsid w:val="00AD63B4"/>
    <w:rsid w:val="00AD71E9"/>
    <w:rsid w:val="00AE04C5"/>
    <w:rsid w:val="00AE15E1"/>
    <w:rsid w:val="00AE25E2"/>
    <w:rsid w:val="00AE3727"/>
    <w:rsid w:val="00AE3D49"/>
    <w:rsid w:val="00AE3E30"/>
    <w:rsid w:val="00AE4A02"/>
    <w:rsid w:val="00AE788C"/>
    <w:rsid w:val="00AF0135"/>
    <w:rsid w:val="00AF14D4"/>
    <w:rsid w:val="00AF2A50"/>
    <w:rsid w:val="00AF39D6"/>
    <w:rsid w:val="00AF5699"/>
    <w:rsid w:val="00AF586C"/>
    <w:rsid w:val="00AF5AFC"/>
    <w:rsid w:val="00AF5B83"/>
    <w:rsid w:val="00AF723F"/>
    <w:rsid w:val="00B00410"/>
    <w:rsid w:val="00B01A9D"/>
    <w:rsid w:val="00B02772"/>
    <w:rsid w:val="00B03B8B"/>
    <w:rsid w:val="00B054A6"/>
    <w:rsid w:val="00B055BB"/>
    <w:rsid w:val="00B069AD"/>
    <w:rsid w:val="00B06CBB"/>
    <w:rsid w:val="00B10E4C"/>
    <w:rsid w:val="00B11C84"/>
    <w:rsid w:val="00B13BFA"/>
    <w:rsid w:val="00B14417"/>
    <w:rsid w:val="00B16C93"/>
    <w:rsid w:val="00B201B5"/>
    <w:rsid w:val="00B22342"/>
    <w:rsid w:val="00B246CA"/>
    <w:rsid w:val="00B25245"/>
    <w:rsid w:val="00B2644A"/>
    <w:rsid w:val="00B26BCF"/>
    <w:rsid w:val="00B27A9F"/>
    <w:rsid w:val="00B3012D"/>
    <w:rsid w:val="00B30257"/>
    <w:rsid w:val="00B303FC"/>
    <w:rsid w:val="00B3317A"/>
    <w:rsid w:val="00B337EB"/>
    <w:rsid w:val="00B33D1F"/>
    <w:rsid w:val="00B34115"/>
    <w:rsid w:val="00B347D8"/>
    <w:rsid w:val="00B36A3E"/>
    <w:rsid w:val="00B415E6"/>
    <w:rsid w:val="00B41E06"/>
    <w:rsid w:val="00B41F11"/>
    <w:rsid w:val="00B42BB7"/>
    <w:rsid w:val="00B44DBB"/>
    <w:rsid w:val="00B46177"/>
    <w:rsid w:val="00B469C0"/>
    <w:rsid w:val="00B47256"/>
    <w:rsid w:val="00B47424"/>
    <w:rsid w:val="00B476B3"/>
    <w:rsid w:val="00B47BAF"/>
    <w:rsid w:val="00B5141B"/>
    <w:rsid w:val="00B532F7"/>
    <w:rsid w:val="00B54012"/>
    <w:rsid w:val="00B54D5B"/>
    <w:rsid w:val="00B5727C"/>
    <w:rsid w:val="00B57580"/>
    <w:rsid w:val="00B60E58"/>
    <w:rsid w:val="00B61679"/>
    <w:rsid w:val="00B6285F"/>
    <w:rsid w:val="00B63119"/>
    <w:rsid w:val="00B65272"/>
    <w:rsid w:val="00B660A6"/>
    <w:rsid w:val="00B661CD"/>
    <w:rsid w:val="00B66885"/>
    <w:rsid w:val="00B67B17"/>
    <w:rsid w:val="00B67B3A"/>
    <w:rsid w:val="00B70284"/>
    <w:rsid w:val="00B70687"/>
    <w:rsid w:val="00B71A4B"/>
    <w:rsid w:val="00B71B76"/>
    <w:rsid w:val="00B7226B"/>
    <w:rsid w:val="00B722F4"/>
    <w:rsid w:val="00B72DC6"/>
    <w:rsid w:val="00B734F0"/>
    <w:rsid w:val="00B73E7C"/>
    <w:rsid w:val="00B74E50"/>
    <w:rsid w:val="00B75610"/>
    <w:rsid w:val="00B816FC"/>
    <w:rsid w:val="00B8220F"/>
    <w:rsid w:val="00B82902"/>
    <w:rsid w:val="00B8564E"/>
    <w:rsid w:val="00B8575C"/>
    <w:rsid w:val="00B862A6"/>
    <w:rsid w:val="00B86A45"/>
    <w:rsid w:val="00B87B14"/>
    <w:rsid w:val="00B905C5"/>
    <w:rsid w:val="00B91048"/>
    <w:rsid w:val="00B91D4A"/>
    <w:rsid w:val="00B92118"/>
    <w:rsid w:val="00B9319D"/>
    <w:rsid w:val="00B9602B"/>
    <w:rsid w:val="00B96818"/>
    <w:rsid w:val="00B96C41"/>
    <w:rsid w:val="00BA06FC"/>
    <w:rsid w:val="00BA181B"/>
    <w:rsid w:val="00BA18B7"/>
    <w:rsid w:val="00BA1FF4"/>
    <w:rsid w:val="00BA3E16"/>
    <w:rsid w:val="00BA52ED"/>
    <w:rsid w:val="00BA7623"/>
    <w:rsid w:val="00BB0538"/>
    <w:rsid w:val="00BB34FE"/>
    <w:rsid w:val="00BB4E45"/>
    <w:rsid w:val="00BB5DBF"/>
    <w:rsid w:val="00BB6A78"/>
    <w:rsid w:val="00BB7B10"/>
    <w:rsid w:val="00BC051B"/>
    <w:rsid w:val="00BC1612"/>
    <w:rsid w:val="00BC1FB0"/>
    <w:rsid w:val="00BC6E7C"/>
    <w:rsid w:val="00BC753E"/>
    <w:rsid w:val="00BC7A9C"/>
    <w:rsid w:val="00BD138D"/>
    <w:rsid w:val="00BD21BB"/>
    <w:rsid w:val="00BD4599"/>
    <w:rsid w:val="00BD532D"/>
    <w:rsid w:val="00BD5527"/>
    <w:rsid w:val="00BD5BDB"/>
    <w:rsid w:val="00BD7615"/>
    <w:rsid w:val="00BD7961"/>
    <w:rsid w:val="00BE0005"/>
    <w:rsid w:val="00BE0246"/>
    <w:rsid w:val="00BE1B1D"/>
    <w:rsid w:val="00BE1D6B"/>
    <w:rsid w:val="00BE2A21"/>
    <w:rsid w:val="00BE317D"/>
    <w:rsid w:val="00BE6441"/>
    <w:rsid w:val="00BE6BAE"/>
    <w:rsid w:val="00BF071E"/>
    <w:rsid w:val="00BF10D6"/>
    <w:rsid w:val="00BF17A3"/>
    <w:rsid w:val="00BF1934"/>
    <w:rsid w:val="00BF2187"/>
    <w:rsid w:val="00BF29DA"/>
    <w:rsid w:val="00BF5675"/>
    <w:rsid w:val="00BF5BA5"/>
    <w:rsid w:val="00BF6EA9"/>
    <w:rsid w:val="00BF6FFF"/>
    <w:rsid w:val="00BF7008"/>
    <w:rsid w:val="00C00956"/>
    <w:rsid w:val="00C0213C"/>
    <w:rsid w:val="00C02994"/>
    <w:rsid w:val="00C02AA4"/>
    <w:rsid w:val="00C038F9"/>
    <w:rsid w:val="00C03A5B"/>
    <w:rsid w:val="00C03ABC"/>
    <w:rsid w:val="00C03B96"/>
    <w:rsid w:val="00C051B0"/>
    <w:rsid w:val="00C054BF"/>
    <w:rsid w:val="00C057E3"/>
    <w:rsid w:val="00C06199"/>
    <w:rsid w:val="00C0651A"/>
    <w:rsid w:val="00C072D4"/>
    <w:rsid w:val="00C07DCD"/>
    <w:rsid w:val="00C1082D"/>
    <w:rsid w:val="00C10B6A"/>
    <w:rsid w:val="00C10FE5"/>
    <w:rsid w:val="00C11C07"/>
    <w:rsid w:val="00C11F2A"/>
    <w:rsid w:val="00C123CC"/>
    <w:rsid w:val="00C12647"/>
    <w:rsid w:val="00C12754"/>
    <w:rsid w:val="00C131C5"/>
    <w:rsid w:val="00C13B38"/>
    <w:rsid w:val="00C13EAB"/>
    <w:rsid w:val="00C15253"/>
    <w:rsid w:val="00C20DDA"/>
    <w:rsid w:val="00C2102A"/>
    <w:rsid w:val="00C22306"/>
    <w:rsid w:val="00C242E8"/>
    <w:rsid w:val="00C2466F"/>
    <w:rsid w:val="00C2467B"/>
    <w:rsid w:val="00C254D0"/>
    <w:rsid w:val="00C2647B"/>
    <w:rsid w:val="00C26EE8"/>
    <w:rsid w:val="00C3106E"/>
    <w:rsid w:val="00C31162"/>
    <w:rsid w:val="00C313CE"/>
    <w:rsid w:val="00C353A2"/>
    <w:rsid w:val="00C357EF"/>
    <w:rsid w:val="00C362F4"/>
    <w:rsid w:val="00C37038"/>
    <w:rsid w:val="00C407EB"/>
    <w:rsid w:val="00C40E0D"/>
    <w:rsid w:val="00C41040"/>
    <w:rsid w:val="00C421D9"/>
    <w:rsid w:val="00C435ED"/>
    <w:rsid w:val="00C43C80"/>
    <w:rsid w:val="00C450C3"/>
    <w:rsid w:val="00C46261"/>
    <w:rsid w:val="00C478C0"/>
    <w:rsid w:val="00C478D9"/>
    <w:rsid w:val="00C47E62"/>
    <w:rsid w:val="00C51304"/>
    <w:rsid w:val="00C521E9"/>
    <w:rsid w:val="00C5230F"/>
    <w:rsid w:val="00C53938"/>
    <w:rsid w:val="00C54BC2"/>
    <w:rsid w:val="00C54EA7"/>
    <w:rsid w:val="00C5533F"/>
    <w:rsid w:val="00C606B8"/>
    <w:rsid w:val="00C607C6"/>
    <w:rsid w:val="00C607D2"/>
    <w:rsid w:val="00C6449D"/>
    <w:rsid w:val="00C647D1"/>
    <w:rsid w:val="00C64D8F"/>
    <w:rsid w:val="00C66B87"/>
    <w:rsid w:val="00C71FD1"/>
    <w:rsid w:val="00C74758"/>
    <w:rsid w:val="00C769EF"/>
    <w:rsid w:val="00C77584"/>
    <w:rsid w:val="00C805D1"/>
    <w:rsid w:val="00C809D4"/>
    <w:rsid w:val="00C8323B"/>
    <w:rsid w:val="00C836CC"/>
    <w:rsid w:val="00C85569"/>
    <w:rsid w:val="00C85D55"/>
    <w:rsid w:val="00C85F63"/>
    <w:rsid w:val="00C862EB"/>
    <w:rsid w:val="00C87E05"/>
    <w:rsid w:val="00C9136C"/>
    <w:rsid w:val="00C9387D"/>
    <w:rsid w:val="00C95589"/>
    <w:rsid w:val="00C95CBA"/>
    <w:rsid w:val="00CA0017"/>
    <w:rsid w:val="00CA0691"/>
    <w:rsid w:val="00CA1715"/>
    <w:rsid w:val="00CA23A7"/>
    <w:rsid w:val="00CA559D"/>
    <w:rsid w:val="00CA75CC"/>
    <w:rsid w:val="00CA7604"/>
    <w:rsid w:val="00CB1A3D"/>
    <w:rsid w:val="00CB1DB4"/>
    <w:rsid w:val="00CB2072"/>
    <w:rsid w:val="00CB369C"/>
    <w:rsid w:val="00CB410A"/>
    <w:rsid w:val="00CB413C"/>
    <w:rsid w:val="00CB4433"/>
    <w:rsid w:val="00CB4A6E"/>
    <w:rsid w:val="00CB54CF"/>
    <w:rsid w:val="00CB70F1"/>
    <w:rsid w:val="00CB7AF0"/>
    <w:rsid w:val="00CC03C2"/>
    <w:rsid w:val="00CC0922"/>
    <w:rsid w:val="00CC18AD"/>
    <w:rsid w:val="00CC5A9F"/>
    <w:rsid w:val="00CC5E05"/>
    <w:rsid w:val="00CC63AF"/>
    <w:rsid w:val="00CC6AE7"/>
    <w:rsid w:val="00CC7D1C"/>
    <w:rsid w:val="00CD0024"/>
    <w:rsid w:val="00CD01E1"/>
    <w:rsid w:val="00CD04C5"/>
    <w:rsid w:val="00CD0D0A"/>
    <w:rsid w:val="00CD1D8E"/>
    <w:rsid w:val="00CD23D9"/>
    <w:rsid w:val="00CD3C6B"/>
    <w:rsid w:val="00CD4AD9"/>
    <w:rsid w:val="00CD5AB3"/>
    <w:rsid w:val="00CD718D"/>
    <w:rsid w:val="00CD7A17"/>
    <w:rsid w:val="00CD7F85"/>
    <w:rsid w:val="00CE09C4"/>
    <w:rsid w:val="00CE0FFE"/>
    <w:rsid w:val="00CE4073"/>
    <w:rsid w:val="00CE41D7"/>
    <w:rsid w:val="00CE46C5"/>
    <w:rsid w:val="00CE54E6"/>
    <w:rsid w:val="00CE5DA5"/>
    <w:rsid w:val="00CE72FF"/>
    <w:rsid w:val="00CE7DE9"/>
    <w:rsid w:val="00CF038F"/>
    <w:rsid w:val="00CF1CF3"/>
    <w:rsid w:val="00CF1FD5"/>
    <w:rsid w:val="00CF3329"/>
    <w:rsid w:val="00CF3A58"/>
    <w:rsid w:val="00CF3D5D"/>
    <w:rsid w:val="00CF421F"/>
    <w:rsid w:val="00CF505D"/>
    <w:rsid w:val="00CF5ADB"/>
    <w:rsid w:val="00CF6005"/>
    <w:rsid w:val="00CF6FF1"/>
    <w:rsid w:val="00CF74A8"/>
    <w:rsid w:val="00D00429"/>
    <w:rsid w:val="00D00702"/>
    <w:rsid w:val="00D01644"/>
    <w:rsid w:val="00D037CC"/>
    <w:rsid w:val="00D03FE0"/>
    <w:rsid w:val="00D04718"/>
    <w:rsid w:val="00D04B3F"/>
    <w:rsid w:val="00D05199"/>
    <w:rsid w:val="00D06947"/>
    <w:rsid w:val="00D06C34"/>
    <w:rsid w:val="00D11373"/>
    <w:rsid w:val="00D12754"/>
    <w:rsid w:val="00D13B70"/>
    <w:rsid w:val="00D14104"/>
    <w:rsid w:val="00D15C38"/>
    <w:rsid w:val="00D20FE5"/>
    <w:rsid w:val="00D222E9"/>
    <w:rsid w:val="00D2240D"/>
    <w:rsid w:val="00D225DB"/>
    <w:rsid w:val="00D2278E"/>
    <w:rsid w:val="00D22B06"/>
    <w:rsid w:val="00D22BA7"/>
    <w:rsid w:val="00D22F2D"/>
    <w:rsid w:val="00D24775"/>
    <w:rsid w:val="00D254CA"/>
    <w:rsid w:val="00D26986"/>
    <w:rsid w:val="00D31BAB"/>
    <w:rsid w:val="00D32059"/>
    <w:rsid w:val="00D4007F"/>
    <w:rsid w:val="00D40124"/>
    <w:rsid w:val="00D40E39"/>
    <w:rsid w:val="00D41639"/>
    <w:rsid w:val="00D41C1B"/>
    <w:rsid w:val="00D44440"/>
    <w:rsid w:val="00D455BE"/>
    <w:rsid w:val="00D46356"/>
    <w:rsid w:val="00D53B6B"/>
    <w:rsid w:val="00D53F38"/>
    <w:rsid w:val="00D56771"/>
    <w:rsid w:val="00D575FC"/>
    <w:rsid w:val="00D602B3"/>
    <w:rsid w:val="00D61BF8"/>
    <w:rsid w:val="00D61D1B"/>
    <w:rsid w:val="00D62602"/>
    <w:rsid w:val="00D636AB"/>
    <w:rsid w:val="00D6538E"/>
    <w:rsid w:val="00D66170"/>
    <w:rsid w:val="00D67166"/>
    <w:rsid w:val="00D67264"/>
    <w:rsid w:val="00D67667"/>
    <w:rsid w:val="00D726AF"/>
    <w:rsid w:val="00D742E3"/>
    <w:rsid w:val="00D742F8"/>
    <w:rsid w:val="00D7468E"/>
    <w:rsid w:val="00D75AC4"/>
    <w:rsid w:val="00D75C5D"/>
    <w:rsid w:val="00D75C68"/>
    <w:rsid w:val="00D7708E"/>
    <w:rsid w:val="00D80F64"/>
    <w:rsid w:val="00D81148"/>
    <w:rsid w:val="00D812EF"/>
    <w:rsid w:val="00D81F96"/>
    <w:rsid w:val="00D8201B"/>
    <w:rsid w:val="00D82046"/>
    <w:rsid w:val="00D83C5A"/>
    <w:rsid w:val="00D83CAC"/>
    <w:rsid w:val="00D83E97"/>
    <w:rsid w:val="00D8447D"/>
    <w:rsid w:val="00D84F72"/>
    <w:rsid w:val="00D85B5A"/>
    <w:rsid w:val="00D86217"/>
    <w:rsid w:val="00D86450"/>
    <w:rsid w:val="00D86F57"/>
    <w:rsid w:val="00D94720"/>
    <w:rsid w:val="00D94B2B"/>
    <w:rsid w:val="00D95322"/>
    <w:rsid w:val="00D95FAE"/>
    <w:rsid w:val="00D97B80"/>
    <w:rsid w:val="00DA27B7"/>
    <w:rsid w:val="00DA29ED"/>
    <w:rsid w:val="00DA2F40"/>
    <w:rsid w:val="00DA321C"/>
    <w:rsid w:val="00DA4EE3"/>
    <w:rsid w:val="00DB06EA"/>
    <w:rsid w:val="00DB1AA6"/>
    <w:rsid w:val="00DB402A"/>
    <w:rsid w:val="00DB4CE4"/>
    <w:rsid w:val="00DB558A"/>
    <w:rsid w:val="00DB7F47"/>
    <w:rsid w:val="00DC2084"/>
    <w:rsid w:val="00DC2801"/>
    <w:rsid w:val="00DC3CE9"/>
    <w:rsid w:val="00DC3E24"/>
    <w:rsid w:val="00DC4315"/>
    <w:rsid w:val="00DC4AB8"/>
    <w:rsid w:val="00DC6BEA"/>
    <w:rsid w:val="00DC74A7"/>
    <w:rsid w:val="00DD115D"/>
    <w:rsid w:val="00DD1AEE"/>
    <w:rsid w:val="00DD2C51"/>
    <w:rsid w:val="00DD44B8"/>
    <w:rsid w:val="00DD4676"/>
    <w:rsid w:val="00DD6032"/>
    <w:rsid w:val="00DD61F8"/>
    <w:rsid w:val="00DD7688"/>
    <w:rsid w:val="00DE136B"/>
    <w:rsid w:val="00DE13C9"/>
    <w:rsid w:val="00DE1E88"/>
    <w:rsid w:val="00DE385A"/>
    <w:rsid w:val="00DE3FC1"/>
    <w:rsid w:val="00DE5CCA"/>
    <w:rsid w:val="00DF007D"/>
    <w:rsid w:val="00DF0C89"/>
    <w:rsid w:val="00DF0C95"/>
    <w:rsid w:val="00DF3265"/>
    <w:rsid w:val="00DF3FB3"/>
    <w:rsid w:val="00DF44D2"/>
    <w:rsid w:val="00DF5906"/>
    <w:rsid w:val="00DF6359"/>
    <w:rsid w:val="00DF78FA"/>
    <w:rsid w:val="00E00D8D"/>
    <w:rsid w:val="00E01318"/>
    <w:rsid w:val="00E01453"/>
    <w:rsid w:val="00E020DE"/>
    <w:rsid w:val="00E02636"/>
    <w:rsid w:val="00E02C62"/>
    <w:rsid w:val="00E02D9B"/>
    <w:rsid w:val="00E0495F"/>
    <w:rsid w:val="00E04B14"/>
    <w:rsid w:val="00E05980"/>
    <w:rsid w:val="00E068E0"/>
    <w:rsid w:val="00E06D03"/>
    <w:rsid w:val="00E0720C"/>
    <w:rsid w:val="00E104F7"/>
    <w:rsid w:val="00E10E8F"/>
    <w:rsid w:val="00E11268"/>
    <w:rsid w:val="00E1203D"/>
    <w:rsid w:val="00E12EEF"/>
    <w:rsid w:val="00E13446"/>
    <w:rsid w:val="00E13847"/>
    <w:rsid w:val="00E14FA7"/>
    <w:rsid w:val="00E17395"/>
    <w:rsid w:val="00E20190"/>
    <w:rsid w:val="00E227DB"/>
    <w:rsid w:val="00E23F96"/>
    <w:rsid w:val="00E27D9D"/>
    <w:rsid w:val="00E27DE1"/>
    <w:rsid w:val="00E30044"/>
    <w:rsid w:val="00E305C8"/>
    <w:rsid w:val="00E31C9D"/>
    <w:rsid w:val="00E32466"/>
    <w:rsid w:val="00E33487"/>
    <w:rsid w:val="00E34BD6"/>
    <w:rsid w:val="00E361BD"/>
    <w:rsid w:val="00E3786E"/>
    <w:rsid w:val="00E40C42"/>
    <w:rsid w:val="00E41571"/>
    <w:rsid w:val="00E43397"/>
    <w:rsid w:val="00E43561"/>
    <w:rsid w:val="00E4410B"/>
    <w:rsid w:val="00E4491E"/>
    <w:rsid w:val="00E4564E"/>
    <w:rsid w:val="00E47F42"/>
    <w:rsid w:val="00E52483"/>
    <w:rsid w:val="00E527F0"/>
    <w:rsid w:val="00E54AD7"/>
    <w:rsid w:val="00E57BF7"/>
    <w:rsid w:val="00E60892"/>
    <w:rsid w:val="00E609ED"/>
    <w:rsid w:val="00E60FC4"/>
    <w:rsid w:val="00E61CF7"/>
    <w:rsid w:val="00E642E9"/>
    <w:rsid w:val="00E644E4"/>
    <w:rsid w:val="00E64F61"/>
    <w:rsid w:val="00E65942"/>
    <w:rsid w:val="00E66383"/>
    <w:rsid w:val="00E6698E"/>
    <w:rsid w:val="00E66C3D"/>
    <w:rsid w:val="00E66EFC"/>
    <w:rsid w:val="00E67C0A"/>
    <w:rsid w:val="00E67C28"/>
    <w:rsid w:val="00E67F92"/>
    <w:rsid w:val="00E71AC1"/>
    <w:rsid w:val="00E7339E"/>
    <w:rsid w:val="00E73683"/>
    <w:rsid w:val="00E74079"/>
    <w:rsid w:val="00E74A07"/>
    <w:rsid w:val="00E74CF5"/>
    <w:rsid w:val="00E74DF5"/>
    <w:rsid w:val="00E77184"/>
    <w:rsid w:val="00E77892"/>
    <w:rsid w:val="00E77BFE"/>
    <w:rsid w:val="00E81358"/>
    <w:rsid w:val="00E816F6"/>
    <w:rsid w:val="00E81910"/>
    <w:rsid w:val="00E81A7E"/>
    <w:rsid w:val="00E846C9"/>
    <w:rsid w:val="00E84AD2"/>
    <w:rsid w:val="00E84F86"/>
    <w:rsid w:val="00E85858"/>
    <w:rsid w:val="00E86002"/>
    <w:rsid w:val="00E86129"/>
    <w:rsid w:val="00E86867"/>
    <w:rsid w:val="00E873E1"/>
    <w:rsid w:val="00E87D05"/>
    <w:rsid w:val="00E904F4"/>
    <w:rsid w:val="00E90C1D"/>
    <w:rsid w:val="00E9335C"/>
    <w:rsid w:val="00E93A27"/>
    <w:rsid w:val="00E94276"/>
    <w:rsid w:val="00E9435C"/>
    <w:rsid w:val="00E94B02"/>
    <w:rsid w:val="00E95226"/>
    <w:rsid w:val="00E95AE0"/>
    <w:rsid w:val="00EA0491"/>
    <w:rsid w:val="00EA1BF3"/>
    <w:rsid w:val="00EA23E9"/>
    <w:rsid w:val="00EA45B3"/>
    <w:rsid w:val="00EA66B4"/>
    <w:rsid w:val="00EB00E6"/>
    <w:rsid w:val="00EB0264"/>
    <w:rsid w:val="00EB0545"/>
    <w:rsid w:val="00EB238C"/>
    <w:rsid w:val="00EB2BFB"/>
    <w:rsid w:val="00EB382E"/>
    <w:rsid w:val="00EB401F"/>
    <w:rsid w:val="00EB6537"/>
    <w:rsid w:val="00EB69AA"/>
    <w:rsid w:val="00EC2CD0"/>
    <w:rsid w:val="00EC5CB8"/>
    <w:rsid w:val="00EC6570"/>
    <w:rsid w:val="00EC69E7"/>
    <w:rsid w:val="00EC7150"/>
    <w:rsid w:val="00ED07DD"/>
    <w:rsid w:val="00ED215D"/>
    <w:rsid w:val="00ED300F"/>
    <w:rsid w:val="00ED44F0"/>
    <w:rsid w:val="00ED4893"/>
    <w:rsid w:val="00ED59F6"/>
    <w:rsid w:val="00ED6A6D"/>
    <w:rsid w:val="00ED737B"/>
    <w:rsid w:val="00ED74DE"/>
    <w:rsid w:val="00EE00E0"/>
    <w:rsid w:val="00EE07EB"/>
    <w:rsid w:val="00EE0F6F"/>
    <w:rsid w:val="00EE202E"/>
    <w:rsid w:val="00EE36B4"/>
    <w:rsid w:val="00EE471E"/>
    <w:rsid w:val="00EE58A3"/>
    <w:rsid w:val="00EE6097"/>
    <w:rsid w:val="00EF0171"/>
    <w:rsid w:val="00EF2655"/>
    <w:rsid w:val="00EF36FE"/>
    <w:rsid w:val="00EF3ABE"/>
    <w:rsid w:val="00EF3C9E"/>
    <w:rsid w:val="00EF3CF4"/>
    <w:rsid w:val="00EF5935"/>
    <w:rsid w:val="00EF5B0B"/>
    <w:rsid w:val="00F008D0"/>
    <w:rsid w:val="00F01E4F"/>
    <w:rsid w:val="00F02A25"/>
    <w:rsid w:val="00F03731"/>
    <w:rsid w:val="00F05CFB"/>
    <w:rsid w:val="00F06130"/>
    <w:rsid w:val="00F06474"/>
    <w:rsid w:val="00F06552"/>
    <w:rsid w:val="00F10A44"/>
    <w:rsid w:val="00F11B53"/>
    <w:rsid w:val="00F121F0"/>
    <w:rsid w:val="00F12D62"/>
    <w:rsid w:val="00F12DCF"/>
    <w:rsid w:val="00F15BE1"/>
    <w:rsid w:val="00F17304"/>
    <w:rsid w:val="00F17DDC"/>
    <w:rsid w:val="00F17E4E"/>
    <w:rsid w:val="00F21F92"/>
    <w:rsid w:val="00F22422"/>
    <w:rsid w:val="00F22E8E"/>
    <w:rsid w:val="00F23940"/>
    <w:rsid w:val="00F23E42"/>
    <w:rsid w:val="00F24045"/>
    <w:rsid w:val="00F245FA"/>
    <w:rsid w:val="00F251A3"/>
    <w:rsid w:val="00F26A61"/>
    <w:rsid w:val="00F30230"/>
    <w:rsid w:val="00F32981"/>
    <w:rsid w:val="00F32D52"/>
    <w:rsid w:val="00F34C76"/>
    <w:rsid w:val="00F37A47"/>
    <w:rsid w:val="00F4142B"/>
    <w:rsid w:val="00F42ABF"/>
    <w:rsid w:val="00F43364"/>
    <w:rsid w:val="00F44163"/>
    <w:rsid w:val="00F444E1"/>
    <w:rsid w:val="00F460F6"/>
    <w:rsid w:val="00F462EE"/>
    <w:rsid w:val="00F46D0D"/>
    <w:rsid w:val="00F4749F"/>
    <w:rsid w:val="00F477D4"/>
    <w:rsid w:val="00F47ABE"/>
    <w:rsid w:val="00F50007"/>
    <w:rsid w:val="00F50E08"/>
    <w:rsid w:val="00F51C7B"/>
    <w:rsid w:val="00F53181"/>
    <w:rsid w:val="00F53A0C"/>
    <w:rsid w:val="00F53AEF"/>
    <w:rsid w:val="00F545F2"/>
    <w:rsid w:val="00F56127"/>
    <w:rsid w:val="00F56189"/>
    <w:rsid w:val="00F56598"/>
    <w:rsid w:val="00F56D26"/>
    <w:rsid w:val="00F56EAE"/>
    <w:rsid w:val="00F60B50"/>
    <w:rsid w:val="00F61480"/>
    <w:rsid w:val="00F620B7"/>
    <w:rsid w:val="00F62118"/>
    <w:rsid w:val="00F62EA2"/>
    <w:rsid w:val="00F65887"/>
    <w:rsid w:val="00F70F96"/>
    <w:rsid w:val="00F71405"/>
    <w:rsid w:val="00F71E7D"/>
    <w:rsid w:val="00F724D9"/>
    <w:rsid w:val="00F73474"/>
    <w:rsid w:val="00F7557A"/>
    <w:rsid w:val="00F76B65"/>
    <w:rsid w:val="00F76C4E"/>
    <w:rsid w:val="00F76F80"/>
    <w:rsid w:val="00F77941"/>
    <w:rsid w:val="00F801E2"/>
    <w:rsid w:val="00F80D9D"/>
    <w:rsid w:val="00F80EAB"/>
    <w:rsid w:val="00F82496"/>
    <w:rsid w:val="00F8282C"/>
    <w:rsid w:val="00F8407D"/>
    <w:rsid w:val="00F87931"/>
    <w:rsid w:val="00F9092D"/>
    <w:rsid w:val="00F9112E"/>
    <w:rsid w:val="00F91F5C"/>
    <w:rsid w:val="00F92965"/>
    <w:rsid w:val="00F92A0F"/>
    <w:rsid w:val="00F94628"/>
    <w:rsid w:val="00F948D1"/>
    <w:rsid w:val="00F95094"/>
    <w:rsid w:val="00F95B8B"/>
    <w:rsid w:val="00F97892"/>
    <w:rsid w:val="00FA15A1"/>
    <w:rsid w:val="00FA1C71"/>
    <w:rsid w:val="00FA285F"/>
    <w:rsid w:val="00FA4BAA"/>
    <w:rsid w:val="00FA5EBE"/>
    <w:rsid w:val="00FA6AF9"/>
    <w:rsid w:val="00FA6E41"/>
    <w:rsid w:val="00FB061C"/>
    <w:rsid w:val="00FB1BB0"/>
    <w:rsid w:val="00FB2553"/>
    <w:rsid w:val="00FB337C"/>
    <w:rsid w:val="00FB552D"/>
    <w:rsid w:val="00FB6945"/>
    <w:rsid w:val="00FB6F47"/>
    <w:rsid w:val="00FB77DD"/>
    <w:rsid w:val="00FB7D57"/>
    <w:rsid w:val="00FC0126"/>
    <w:rsid w:val="00FC1379"/>
    <w:rsid w:val="00FC176E"/>
    <w:rsid w:val="00FC24E8"/>
    <w:rsid w:val="00FC2522"/>
    <w:rsid w:val="00FC2582"/>
    <w:rsid w:val="00FC4916"/>
    <w:rsid w:val="00FC4B37"/>
    <w:rsid w:val="00FC5024"/>
    <w:rsid w:val="00FC542E"/>
    <w:rsid w:val="00FC581F"/>
    <w:rsid w:val="00FC64B1"/>
    <w:rsid w:val="00FC66AD"/>
    <w:rsid w:val="00FC716A"/>
    <w:rsid w:val="00FD1229"/>
    <w:rsid w:val="00FD1818"/>
    <w:rsid w:val="00FD1A04"/>
    <w:rsid w:val="00FD3086"/>
    <w:rsid w:val="00FD30AB"/>
    <w:rsid w:val="00FD435B"/>
    <w:rsid w:val="00FD474A"/>
    <w:rsid w:val="00FD4E1D"/>
    <w:rsid w:val="00FD51F8"/>
    <w:rsid w:val="00FD5749"/>
    <w:rsid w:val="00FD57A8"/>
    <w:rsid w:val="00FD5CF2"/>
    <w:rsid w:val="00FD5D69"/>
    <w:rsid w:val="00FD74BF"/>
    <w:rsid w:val="00FD7E85"/>
    <w:rsid w:val="00FE0A31"/>
    <w:rsid w:val="00FE184E"/>
    <w:rsid w:val="00FE4955"/>
    <w:rsid w:val="00FE4E4C"/>
    <w:rsid w:val="00FE5397"/>
    <w:rsid w:val="00FE6ED3"/>
    <w:rsid w:val="00FE702A"/>
    <w:rsid w:val="00FF13F6"/>
    <w:rsid w:val="00FF1FD5"/>
    <w:rsid w:val="00FF2B7E"/>
    <w:rsid w:val="00FF335F"/>
    <w:rsid w:val="00FF3B19"/>
    <w:rsid w:val="00FF4364"/>
    <w:rsid w:val="00FF4F4C"/>
    <w:rsid w:val="00FF5922"/>
    <w:rsid w:val="00FF5E14"/>
    <w:rsid w:val="00FF6BEA"/>
    <w:rsid w:val="00FF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4119C"/>
  <w15:chartTrackingRefBased/>
  <w15:docId w15:val="{2D259B82-557D-4A00-902D-884AA8AD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367"/>
    <w:pPr>
      <w:autoSpaceDN w:val="0"/>
      <w:spacing w:before="120" w:after="120" w:line="240" w:lineRule="auto"/>
      <w:ind w:firstLine="709"/>
      <w:jc w:val="both"/>
      <w:textAlignment w:val="baseline"/>
    </w:pPr>
    <w:rPr>
      <w:rFonts w:ascii="Times New Roman" w:eastAsia="Times New Roman" w:hAnsi="Times New Roman" w:cs="Times New Roman"/>
      <w:szCs w:val="24"/>
      <w:lang w:val="es-ES_tradnl" w:eastAsia="es-ES"/>
    </w:rPr>
  </w:style>
  <w:style w:type="paragraph" w:styleId="Heading1">
    <w:name w:val="heading 1"/>
    <w:next w:val="Normal"/>
    <w:link w:val="Heading1Char"/>
    <w:uiPriority w:val="9"/>
    <w:qFormat/>
    <w:rsid w:val="00BF5BA5"/>
    <w:pPr>
      <w:keepNext/>
      <w:pageBreakBefore/>
      <w:numPr>
        <w:numId w:val="4"/>
      </w:numPr>
      <w:spacing w:after="240"/>
      <w:outlineLvl w:val="0"/>
    </w:pPr>
    <w:rPr>
      <w:rFonts w:ascii="Arial" w:eastAsia="Times New Roman" w:hAnsi="Arial" w:cs="Arial"/>
      <w:b/>
      <w:color w:val="000000"/>
      <w:sz w:val="24"/>
      <w:szCs w:val="32"/>
      <w:lang w:val="es-ES_tradnl"/>
    </w:rPr>
  </w:style>
  <w:style w:type="paragraph" w:styleId="Heading2">
    <w:name w:val="heading 2"/>
    <w:basedOn w:val="Heading1"/>
    <w:next w:val="Normal"/>
    <w:link w:val="Heading2Char"/>
    <w:uiPriority w:val="9"/>
    <w:unhideWhenUsed/>
    <w:qFormat/>
    <w:rsid w:val="003A19D3"/>
    <w:pPr>
      <w:keepLines/>
      <w:pageBreakBefore w:val="0"/>
      <w:numPr>
        <w:ilvl w:val="1"/>
      </w:numPr>
      <w:outlineLvl w:val="1"/>
    </w:pPr>
    <w:rPr>
      <w:i/>
      <w:sz w:val="22"/>
      <w:lang w:val="es-GT"/>
    </w:rPr>
  </w:style>
  <w:style w:type="paragraph" w:styleId="Heading3">
    <w:name w:val="heading 3"/>
    <w:basedOn w:val="Normal"/>
    <w:next w:val="Normal"/>
    <w:link w:val="Heading3Char"/>
    <w:uiPriority w:val="9"/>
    <w:unhideWhenUsed/>
    <w:qFormat/>
    <w:rsid w:val="00E644E4"/>
    <w:pPr>
      <w:keepNext/>
      <w:keepLines/>
      <w:numPr>
        <w:numId w:val="6"/>
      </w:numPr>
      <w:tabs>
        <w:tab w:val="left" w:pos="851"/>
      </w:tabs>
      <w:autoSpaceDN/>
      <w:spacing w:before="240" w:after="240"/>
      <w:jc w:val="left"/>
      <w:textAlignment w:val="auto"/>
      <w:outlineLvl w:val="2"/>
    </w:pPr>
    <w:rPr>
      <w:rFonts w:ascii="Arial" w:hAnsi="Arial"/>
      <w:b/>
      <w:color w:val="000000"/>
      <w:sz w:val="20"/>
      <w:lang w:eastAsia="en-US"/>
    </w:rPr>
  </w:style>
  <w:style w:type="paragraph" w:styleId="Heading4">
    <w:name w:val="heading 4"/>
    <w:basedOn w:val="Normal"/>
    <w:next w:val="Normal"/>
    <w:link w:val="Heading4Char"/>
    <w:uiPriority w:val="9"/>
    <w:unhideWhenUsed/>
    <w:qFormat/>
    <w:rsid w:val="00B472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2C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19D3"/>
    <w:rPr>
      <w:rFonts w:ascii="Arial" w:eastAsia="Times New Roman" w:hAnsi="Arial" w:cs="Arial"/>
      <w:b/>
      <w:i/>
      <w:color w:val="000000"/>
      <w:szCs w:val="32"/>
      <w:lang w:val="es-GT"/>
    </w:rPr>
  </w:style>
  <w:style w:type="character" w:styleId="Strong">
    <w:name w:val="Strong"/>
    <w:basedOn w:val="DefaultParagraphFont"/>
    <w:uiPriority w:val="22"/>
    <w:qFormat/>
    <w:rsid w:val="00713C11"/>
    <w:rPr>
      <w:b/>
      <w:bCs/>
    </w:rPr>
  </w:style>
  <w:style w:type="character" w:customStyle="1" w:styleId="normaltextrun">
    <w:name w:val="normaltextrun"/>
    <w:basedOn w:val="DefaultParagraphFont"/>
    <w:rsid w:val="00713C11"/>
  </w:style>
  <w:style w:type="character" w:customStyle="1" w:styleId="eop">
    <w:name w:val="eop"/>
    <w:basedOn w:val="DefaultParagraphFont"/>
    <w:rsid w:val="00713C11"/>
  </w:style>
  <w:style w:type="paragraph" w:styleId="FootnoteText">
    <w:name w:val="footnote text"/>
    <w:aliases w:val="fn,Footnote ak,fn Char,footnote text Char,Footnotes Char,Footnote ak Char,ft,fn cafc,Footnotes Char Char,Footnote Text Char Char,fn Char Char,footnote text Char Char Char Ch,Texto nota pie_mujer,Texto nota pie Car1,Texto nota pie Car Car"/>
    <w:basedOn w:val="Normal"/>
    <w:link w:val="FootnoteTextChar"/>
    <w:uiPriority w:val="99"/>
    <w:unhideWhenUsed/>
    <w:rsid w:val="00713C11"/>
    <w:pPr>
      <w:spacing w:after="0"/>
    </w:pPr>
    <w:rPr>
      <w:sz w:val="20"/>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Texto nota pie_mujer Char"/>
    <w:basedOn w:val="DefaultParagraphFont"/>
    <w:link w:val="FootnoteText"/>
    <w:uiPriority w:val="99"/>
    <w:rsid w:val="00713C11"/>
    <w:rPr>
      <w:sz w:val="20"/>
      <w:szCs w:val="20"/>
    </w:rPr>
  </w:style>
  <w:style w:type="character" w:styleId="FootnoteReference">
    <w:name w:val="footnote reference"/>
    <w:aliases w:val="referencia nota al pie,Texto de nota al pie,Nota de pie,Ref,de nota al pie,Texto nota al pie,Appel note de bas de page,Footnotes refss,Footnote number,BVI fnr,f,Ref. de nota al pie2,Footnote symbol,Footnote,Pie de pagina"/>
    <w:basedOn w:val="DefaultParagraphFont"/>
    <w:uiPriority w:val="99"/>
    <w:unhideWhenUsed/>
    <w:rsid w:val="00713C11"/>
    <w:rPr>
      <w:vertAlign w:val="superscript"/>
    </w:rPr>
  </w:style>
  <w:style w:type="paragraph" w:styleId="HTMLPreformatted">
    <w:name w:val="HTML Preformatted"/>
    <w:basedOn w:val="Normal"/>
    <w:link w:val="HTMLPreformattedChar"/>
    <w:uiPriority w:val="99"/>
    <w:unhideWhenUsed/>
    <w:rsid w:val="007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s-CO" w:eastAsia="es-CO"/>
    </w:rPr>
  </w:style>
  <w:style w:type="character" w:customStyle="1" w:styleId="HTMLPreformattedChar">
    <w:name w:val="HTML Preformatted Char"/>
    <w:basedOn w:val="DefaultParagraphFont"/>
    <w:link w:val="HTMLPreformatted"/>
    <w:uiPriority w:val="99"/>
    <w:rsid w:val="00713C11"/>
    <w:rPr>
      <w:rFonts w:ascii="Courier New" w:eastAsia="Times New Roman" w:hAnsi="Courier New" w:cs="Courier New"/>
      <w:sz w:val="20"/>
      <w:szCs w:val="20"/>
      <w:lang w:val="es-CO" w:eastAsia="es-CO"/>
    </w:rPr>
  </w:style>
  <w:style w:type="character" w:styleId="Hyperlink">
    <w:name w:val="Hyperlink"/>
    <w:basedOn w:val="DefaultParagraphFont"/>
    <w:uiPriority w:val="99"/>
    <w:unhideWhenUsed/>
    <w:rsid w:val="005C7E91"/>
    <w:rPr>
      <w:rFonts w:ascii="Arial Nova Cond" w:hAnsi="Arial Nova Cond"/>
      <w:color w:val="0563C1" w:themeColor="hyperlink"/>
      <w:sz w:val="20"/>
      <w:u w:val="single"/>
    </w:rPr>
  </w:style>
  <w:style w:type="character" w:customStyle="1" w:styleId="apple-converted-space">
    <w:name w:val="apple-converted-space"/>
    <w:rsid w:val="00713C11"/>
  </w:style>
  <w:style w:type="table" w:styleId="TableGrid">
    <w:name w:val="Table Grid"/>
    <w:basedOn w:val="TableNormal"/>
    <w:uiPriority w:val="39"/>
    <w:rsid w:val="0030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5BA5"/>
    <w:rPr>
      <w:rFonts w:ascii="Arial" w:eastAsia="Times New Roman" w:hAnsi="Arial" w:cs="Arial"/>
      <w:b/>
      <w:color w:val="000000"/>
      <w:sz w:val="24"/>
      <w:szCs w:val="32"/>
      <w:lang w:val="es-ES_tradnl"/>
    </w:rPr>
  </w:style>
  <w:style w:type="paragraph" w:styleId="ListParagraph">
    <w:name w:val="List Paragraph"/>
    <w:aliases w:val="titulo 5,References,Paragraphe de liste1,List Paragraph1,Liste couleur - Accent 11,titulo 3,Bullets,Bolita,Lista vistosa - Énfasis 11,Lista vistosa - Énfasis 13,Bullet 1,Liste couleur - Accent 111,List bullet,Bioforce zListePuce"/>
    <w:basedOn w:val="Normal"/>
    <w:link w:val="ListParagraphChar"/>
    <w:uiPriority w:val="34"/>
    <w:qFormat/>
    <w:rsid w:val="00FB552D"/>
    <w:pPr>
      <w:ind w:left="720"/>
      <w:contextualSpacing/>
    </w:pPr>
  </w:style>
  <w:style w:type="paragraph" w:styleId="BalloonText">
    <w:name w:val="Balloon Text"/>
    <w:basedOn w:val="Normal"/>
    <w:link w:val="BalloonTextChar"/>
    <w:uiPriority w:val="99"/>
    <w:semiHidden/>
    <w:unhideWhenUsed/>
    <w:rsid w:val="00B41E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E06"/>
    <w:rPr>
      <w:rFonts w:ascii="Segoe UI" w:hAnsi="Segoe UI" w:cs="Segoe UI"/>
      <w:sz w:val="18"/>
      <w:szCs w:val="18"/>
    </w:rPr>
  </w:style>
  <w:style w:type="paragraph" w:styleId="TOCHeading">
    <w:name w:val="TOC Heading"/>
    <w:basedOn w:val="Heading1"/>
    <w:next w:val="Normal"/>
    <w:uiPriority w:val="39"/>
    <w:unhideWhenUsed/>
    <w:qFormat/>
    <w:rsid w:val="00B201B5"/>
    <w:pPr>
      <w:outlineLvl w:val="9"/>
    </w:pPr>
  </w:style>
  <w:style w:type="paragraph" w:styleId="TOC2">
    <w:name w:val="toc 2"/>
    <w:basedOn w:val="Normal"/>
    <w:next w:val="Normal"/>
    <w:autoRedefine/>
    <w:uiPriority w:val="39"/>
    <w:unhideWhenUsed/>
    <w:rsid w:val="00C1082D"/>
    <w:pPr>
      <w:tabs>
        <w:tab w:val="left" w:pos="1320"/>
        <w:tab w:val="right" w:leader="dot" w:pos="9350"/>
      </w:tabs>
      <w:spacing w:before="0" w:after="0"/>
      <w:ind w:left="1350" w:hanging="450"/>
    </w:pPr>
    <w:rPr>
      <w:rFonts w:ascii="Arial Nova Cond" w:hAnsi="Arial Nova Cond"/>
      <w:noProof/>
      <w:sz w:val="20"/>
    </w:rPr>
  </w:style>
  <w:style w:type="paragraph" w:styleId="TOC1">
    <w:name w:val="toc 1"/>
    <w:basedOn w:val="Normal"/>
    <w:next w:val="Normal"/>
    <w:autoRedefine/>
    <w:uiPriority w:val="39"/>
    <w:unhideWhenUsed/>
    <w:rsid w:val="000540A7"/>
    <w:pPr>
      <w:tabs>
        <w:tab w:val="left" w:pos="1100"/>
        <w:tab w:val="right" w:leader="dot" w:pos="9350"/>
      </w:tabs>
      <w:spacing w:after="100"/>
    </w:pPr>
    <w:rPr>
      <w:rFonts w:ascii="Arial Nova Cond" w:hAnsi="Arial Nova Cond"/>
      <w:b/>
      <w:noProof/>
      <w:sz w:val="20"/>
      <w:szCs w:val="20"/>
    </w:rPr>
  </w:style>
  <w:style w:type="character" w:customStyle="1" w:styleId="Heading3Char">
    <w:name w:val="Heading 3 Char"/>
    <w:basedOn w:val="DefaultParagraphFont"/>
    <w:link w:val="Heading3"/>
    <w:uiPriority w:val="9"/>
    <w:rsid w:val="00E644E4"/>
    <w:rPr>
      <w:rFonts w:ascii="Arial" w:eastAsia="Times New Roman" w:hAnsi="Arial" w:cs="Times New Roman"/>
      <w:b/>
      <w:color w:val="000000"/>
      <w:sz w:val="20"/>
      <w:szCs w:val="24"/>
      <w:lang w:val="es-ES_tradnl"/>
    </w:rPr>
  </w:style>
  <w:style w:type="paragraph" w:styleId="TOC3">
    <w:name w:val="toc 3"/>
    <w:basedOn w:val="Normal"/>
    <w:next w:val="Normal"/>
    <w:autoRedefine/>
    <w:uiPriority w:val="39"/>
    <w:unhideWhenUsed/>
    <w:rsid w:val="00B201B5"/>
    <w:pPr>
      <w:spacing w:after="100"/>
      <w:ind w:left="440"/>
    </w:pPr>
  </w:style>
  <w:style w:type="character" w:styleId="IntenseReference">
    <w:name w:val="Intense Reference"/>
    <w:basedOn w:val="DefaultParagraphFont"/>
    <w:uiPriority w:val="32"/>
    <w:qFormat/>
    <w:rsid w:val="002B5541"/>
    <w:rPr>
      <w:b/>
      <w:bCs/>
      <w:smallCaps/>
      <w:color w:val="5B9BD5" w:themeColor="accent1"/>
      <w:spacing w:val="5"/>
    </w:rPr>
  </w:style>
  <w:style w:type="paragraph" w:styleId="Caption">
    <w:name w:val="caption"/>
    <w:basedOn w:val="Normal"/>
    <w:next w:val="Normal"/>
    <w:uiPriority w:val="35"/>
    <w:unhideWhenUsed/>
    <w:qFormat/>
    <w:rsid w:val="009A7FF1"/>
    <w:pPr>
      <w:keepNext/>
      <w:autoSpaceDN/>
      <w:spacing w:before="240" w:after="0"/>
      <w:ind w:firstLine="0"/>
      <w:jc w:val="center"/>
      <w:textAlignment w:val="auto"/>
    </w:pPr>
    <w:rPr>
      <w:rFonts w:ascii="Arial" w:hAnsi="Arial"/>
      <w:b/>
      <w:bCs/>
      <w:sz w:val="18"/>
      <w:szCs w:val="18"/>
      <w:lang w:eastAsia="en-US"/>
    </w:rPr>
  </w:style>
  <w:style w:type="character" w:customStyle="1" w:styleId="Heading4Char">
    <w:name w:val="Heading 4 Char"/>
    <w:basedOn w:val="DefaultParagraphFont"/>
    <w:link w:val="Heading4"/>
    <w:uiPriority w:val="9"/>
    <w:rsid w:val="00B47256"/>
    <w:rPr>
      <w:rFonts w:asciiTheme="majorHAnsi" w:eastAsiaTheme="majorEastAsia" w:hAnsiTheme="majorHAnsi" w:cstheme="majorBidi"/>
      <w:i/>
      <w:iCs/>
      <w:color w:val="2E74B5" w:themeColor="accent1" w:themeShade="BF"/>
    </w:rPr>
  </w:style>
  <w:style w:type="paragraph" w:styleId="CommentText">
    <w:name w:val="annotation text"/>
    <w:basedOn w:val="Normal"/>
    <w:link w:val="CommentTextChar1"/>
    <w:uiPriority w:val="99"/>
    <w:unhideWhenUsed/>
    <w:rsid w:val="00F73474"/>
    <w:rPr>
      <w:rFonts w:ascii="Georgia" w:hAnsi="Georgia"/>
      <w:sz w:val="20"/>
      <w:szCs w:val="20"/>
      <w:lang w:val="es-GT"/>
    </w:rPr>
  </w:style>
  <w:style w:type="character" w:customStyle="1" w:styleId="CommentTextChar">
    <w:name w:val="Comment Text Char"/>
    <w:basedOn w:val="DefaultParagraphFont"/>
    <w:uiPriority w:val="99"/>
    <w:rsid w:val="00F73474"/>
    <w:rPr>
      <w:sz w:val="20"/>
      <w:szCs w:val="20"/>
    </w:rPr>
  </w:style>
  <w:style w:type="paragraph" w:customStyle="1" w:styleId="Figura">
    <w:name w:val="Figura"/>
    <w:basedOn w:val="Normal"/>
    <w:qFormat/>
    <w:rsid w:val="00F60B50"/>
    <w:pPr>
      <w:keepNext/>
      <w:spacing w:after="0"/>
      <w:ind w:firstLine="0"/>
      <w:jc w:val="center"/>
    </w:pPr>
    <w:rPr>
      <w:rFonts w:ascii="Arial" w:hAnsi="Arial"/>
      <w:b/>
      <w:noProof/>
      <w:color w:val="000000"/>
      <w:sz w:val="18"/>
      <w:szCs w:val="23"/>
      <w:lang w:val="es-EC" w:eastAsia="es-ES_tradnl"/>
    </w:rPr>
  </w:style>
  <w:style w:type="paragraph" w:customStyle="1" w:styleId="Nota">
    <w:name w:val="Nota"/>
    <w:qFormat/>
    <w:rsid w:val="00F73474"/>
    <w:pPr>
      <w:shd w:val="clear" w:color="auto" w:fill="FFFFFF"/>
      <w:autoSpaceDN w:val="0"/>
      <w:spacing w:after="60" w:line="240" w:lineRule="auto"/>
    </w:pPr>
    <w:rPr>
      <w:rFonts w:ascii="Arial" w:eastAsia="Times New Roman" w:hAnsi="Arial" w:cs="Times New Roman"/>
      <w:sz w:val="16"/>
      <w:szCs w:val="16"/>
      <w:lang w:val="es-MX"/>
    </w:rPr>
  </w:style>
  <w:style w:type="character" w:styleId="CommentReference">
    <w:name w:val="annotation reference"/>
    <w:basedOn w:val="DefaultParagraphFont"/>
    <w:uiPriority w:val="99"/>
    <w:semiHidden/>
    <w:unhideWhenUsed/>
    <w:rsid w:val="00F73474"/>
    <w:rPr>
      <w:sz w:val="16"/>
      <w:szCs w:val="16"/>
    </w:rPr>
  </w:style>
  <w:style w:type="character" w:customStyle="1" w:styleId="CommentTextChar1">
    <w:name w:val="Comment Text Char1"/>
    <w:basedOn w:val="DefaultParagraphFont"/>
    <w:link w:val="CommentText"/>
    <w:uiPriority w:val="99"/>
    <w:locked/>
    <w:rsid w:val="00F73474"/>
    <w:rPr>
      <w:rFonts w:ascii="Georgia" w:eastAsia="Times New Roman" w:hAnsi="Georgia" w:cs="Times New Roman"/>
      <w:sz w:val="20"/>
      <w:szCs w:val="20"/>
      <w:lang w:val="es-GT" w:eastAsia="es-ES"/>
    </w:rPr>
  </w:style>
  <w:style w:type="character" w:customStyle="1" w:styleId="Heading5Char">
    <w:name w:val="Heading 5 Char"/>
    <w:basedOn w:val="DefaultParagraphFont"/>
    <w:link w:val="Heading5"/>
    <w:uiPriority w:val="9"/>
    <w:semiHidden/>
    <w:rsid w:val="001A2CB7"/>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062519"/>
    <w:pPr>
      <w:spacing w:before="100" w:beforeAutospacing="1" w:after="100" w:afterAutospacing="1"/>
    </w:pPr>
    <w:rPr>
      <w:sz w:val="24"/>
    </w:rPr>
  </w:style>
  <w:style w:type="character" w:customStyle="1" w:styleId="FootnoteTextChar1">
    <w:name w:val="Footnote Text Char1"/>
    <w:basedOn w:val="DefaultParagraphFont"/>
    <w:uiPriority w:val="99"/>
    <w:rsid w:val="004C3F88"/>
    <w:rPr>
      <w:rFonts w:ascii="Times New Roman" w:eastAsia="Times New Roman" w:hAnsi="Times New Roman"/>
      <w:sz w:val="20"/>
      <w:szCs w:val="20"/>
      <w:lang w:val="es-EC" w:eastAsia="es-ES"/>
    </w:rPr>
  </w:style>
  <w:style w:type="paragraph" w:customStyle="1" w:styleId="TableText">
    <w:name w:val="Table Text"/>
    <w:link w:val="TableTextCar1"/>
    <w:qFormat/>
    <w:rsid w:val="00004167"/>
    <w:pPr>
      <w:tabs>
        <w:tab w:val="left" w:pos="0"/>
      </w:tabs>
      <w:autoSpaceDN w:val="0"/>
      <w:spacing w:after="0" w:line="240" w:lineRule="auto"/>
      <w:textAlignment w:val="baseline"/>
    </w:pPr>
    <w:rPr>
      <w:rFonts w:ascii="Arial Nova Cond" w:eastAsia="Times New Roman" w:hAnsi="Arial Nova Cond" w:cs="Times New Roman"/>
      <w:bCs/>
      <w:sz w:val="16"/>
      <w:szCs w:val="20"/>
      <w:lang w:val="es-ES" w:eastAsia="es-ES"/>
    </w:rPr>
  </w:style>
  <w:style w:type="character" w:customStyle="1" w:styleId="TableTextCar1">
    <w:name w:val="Table Text Car1"/>
    <w:basedOn w:val="DefaultParagraphFont"/>
    <w:link w:val="TableText"/>
    <w:rsid w:val="00004167"/>
    <w:rPr>
      <w:rFonts w:ascii="Arial Nova Cond" w:eastAsia="Times New Roman" w:hAnsi="Arial Nova Cond" w:cs="Times New Roman"/>
      <w:bCs/>
      <w:sz w:val="16"/>
      <w:szCs w:val="20"/>
      <w:lang w:val="es-ES" w:eastAsia="es-ES"/>
    </w:rPr>
  </w:style>
  <w:style w:type="paragraph" w:styleId="Title">
    <w:name w:val="Title"/>
    <w:link w:val="TitleChar"/>
    <w:qFormat/>
    <w:rsid w:val="00E31C9D"/>
    <w:pPr>
      <w:jc w:val="center"/>
    </w:pPr>
    <w:rPr>
      <w:rFonts w:ascii="Arial" w:eastAsia="Times New Roman" w:hAnsi="Arial" w:cs="Arial"/>
      <w:b/>
      <w:color w:val="000000"/>
      <w:sz w:val="28"/>
      <w:szCs w:val="32"/>
      <w:lang w:val="es-ES_tradnl"/>
    </w:rPr>
  </w:style>
  <w:style w:type="character" w:customStyle="1" w:styleId="TitleChar">
    <w:name w:val="Title Char"/>
    <w:basedOn w:val="DefaultParagraphFont"/>
    <w:link w:val="Title"/>
    <w:rsid w:val="00E31C9D"/>
    <w:rPr>
      <w:rFonts w:ascii="Arial" w:eastAsia="Times New Roman" w:hAnsi="Arial" w:cs="Arial"/>
      <w:b/>
      <w:color w:val="000000"/>
      <w:sz w:val="28"/>
      <w:szCs w:val="32"/>
      <w:lang w:val="es-ES_tradnl"/>
    </w:rPr>
  </w:style>
  <w:style w:type="paragraph" w:customStyle="1" w:styleId="EndNoteBibliographyTitle">
    <w:name w:val="EndNote Bibliography Title"/>
    <w:basedOn w:val="Normal"/>
    <w:link w:val="EndNoteBibliographyTitleCar"/>
    <w:rsid w:val="000A1346"/>
    <w:pPr>
      <w:spacing w:after="0"/>
      <w:jc w:val="center"/>
    </w:pPr>
    <w:rPr>
      <w:noProof/>
      <w:lang w:val="es-ES"/>
    </w:rPr>
  </w:style>
  <w:style w:type="character" w:customStyle="1" w:styleId="EndNoteBibliographyTitleCar">
    <w:name w:val="EndNote Bibliography Title Car"/>
    <w:basedOn w:val="FootnoteTextChar"/>
    <w:link w:val="EndNoteBibliographyTitle"/>
    <w:rsid w:val="000A1346"/>
    <w:rPr>
      <w:rFonts w:ascii="Times New Roman" w:eastAsia="Times New Roman" w:hAnsi="Times New Roman" w:cs="Times New Roman"/>
      <w:noProof/>
      <w:sz w:val="20"/>
      <w:szCs w:val="24"/>
      <w:lang w:val="es-ES" w:eastAsia="es-ES"/>
    </w:rPr>
  </w:style>
  <w:style w:type="paragraph" w:customStyle="1" w:styleId="EndNoteBibliography">
    <w:name w:val="EndNote Bibliography"/>
    <w:basedOn w:val="Normal"/>
    <w:link w:val="EndNoteBibliographyCar"/>
    <w:rsid w:val="000A1346"/>
    <w:rPr>
      <w:noProof/>
      <w:lang w:val="es-ES"/>
    </w:rPr>
  </w:style>
  <w:style w:type="character" w:customStyle="1" w:styleId="EndNoteBibliographyCar">
    <w:name w:val="EndNote Bibliography Car"/>
    <w:basedOn w:val="FootnoteTextChar"/>
    <w:link w:val="EndNoteBibliography"/>
    <w:rsid w:val="000A1346"/>
    <w:rPr>
      <w:rFonts w:ascii="Times New Roman" w:eastAsia="Times New Roman" w:hAnsi="Times New Roman" w:cs="Times New Roman"/>
      <w:noProof/>
      <w:sz w:val="20"/>
      <w:szCs w:val="24"/>
      <w:lang w:val="es-ES" w:eastAsia="es-ES"/>
    </w:rPr>
  </w:style>
  <w:style w:type="numbering" w:customStyle="1" w:styleId="LFO39">
    <w:name w:val="LFO39"/>
    <w:basedOn w:val="NoList"/>
    <w:rsid w:val="00047098"/>
    <w:pPr>
      <w:numPr>
        <w:numId w:val="2"/>
      </w:numPr>
    </w:pPr>
  </w:style>
  <w:style w:type="character" w:customStyle="1" w:styleId="ListParagraphChar">
    <w:name w:val="List Paragraph Char"/>
    <w:aliases w:val="titulo 5 Char,References Char,Paragraphe de liste1 Char,List Paragraph1 Char,Liste couleur - Accent 11 Char,titulo 3 Char,Bullets Char,Bolita Char,Lista vistosa - Énfasis 11 Char,Lista vistosa - Énfasis 13 Char,Bullet 1 Char"/>
    <w:basedOn w:val="DefaultParagraphFont"/>
    <w:link w:val="ListParagraph"/>
    <w:uiPriority w:val="34"/>
    <w:locked/>
    <w:rsid w:val="00047098"/>
    <w:rPr>
      <w:rFonts w:ascii="Times New Roman" w:eastAsia="Times New Roman" w:hAnsi="Times New Roman" w:cs="Times New Roman"/>
      <w:szCs w:val="24"/>
      <w:lang w:val="es-ES_tradnl" w:eastAsia="es-ES"/>
    </w:rPr>
  </w:style>
  <w:style w:type="paragraph" w:customStyle="1" w:styleId="Normal-RE">
    <w:name w:val="Normal-RE"/>
    <w:basedOn w:val="Normal"/>
    <w:link w:val="Normal-RECar"/>
    <w:qFormat/>
    <w:rsid w:val="00047098"/>
    <w:pPr>
      <w:autoSpaceDN/>
      <w:ind w:firstLine="0"/>
      <w:textAlignment w:val="auto"/>
    </w:pPr>
    <w:rPr>
      <w:rFonts w:cstheme="minorBidi"/>
      <w:szCs w:val="22"/>
      <w:lang w:val="es-GT"/>
    </w:rPr>
  </w:style>
  <w:style w:type="character" w:customStyle="1" w:styleId="Normal-RECar">
    <w:name w:val="Normal-RE Car"/>
    <w:basedOn w:val="DefaultParagraphFont"/>
    <w:link w:val="Normal-RE"/>
    <w:rsid w:val="00047098"/>
    <w:rPr>
      <w:rFonts w:ascii="Times New Roman" w:eastAsia="Times New Roman" w:hAnsi="Times New Roman"/>
      <w:lang w:val="es-GT" w:eastAsia="es-ES"/>
    </w:rPr>
  </w:style>
  <w:style w:type="paragraph" w:styleId="Header">
    <w:name w:val="header"/>
    <w:basedOn w:val="Normal"/>
    <w:link w:val="HeaderChar"/>
    <w:uiPriority w:val="99"/>
    <w:unhideWhenUsed/>
    <w:rsid w:val="00047098"/>
    <w:pPr>
      <w:tabs>
        <w:tab w:val="center" w:pos="4513"/>
        <w:tab w:val="right" w:pos="9026"/>
      </w:tabs>
      <w:spacing w:before="0" w:after="0"/>
    </w:pPr>
  </w:style>
  <w:style w:type="character" w:customStyle="1" w:styleId="HeaderChar">
    <w:name w:val="Header Char"/>
    <w:basedOn w:val="DefaultParagraphFont"/>
    <w:link w:val="Header"/>
    <w:uiPriority w:val="99"/>
    <w:rsid w:val="00047098"/>
    <w:rPr>
      <w:rFonts w:ascii="Times New Roman" w:eastAsia="Times New Roman" w:hAnsi="Times New Roman" w:cs="Times New Roman"/>
      <w:szCs w:val="24"/>
      <w:lang w:val="es-ES_tradnl" w:eastAsia="es-ES"/>
    </w:rPr>
  </w:style>
  <w:style w:type="paragraph" w:styleId="Footer">
    <w:name w:val="footer"/>
    <w:basedOn w:val="Normal"/>
    <w:link w:val="FooterChar"/>
    <w:uiPriority w:val="99"/>
    <w:unhideWhenUsed/>
    <w:rsid w:val="00047098"/>
    <w:pPr>
      <w:tabs>
        <w:tab w:val="center" w:pos="4513"/>
        <w:tab w:val="right" w:pos="9026"/>
      </w:tabs>
      <w:spacing w:before="0" w:after="0"/>
    </w:pPr>
  </w:style>
  <w:style w:type="character" w:customStyle="1" w:styleId="FooterChar">
    <w:name w:val="Footer Char"/>
    <w:basedOn w:val="DefaultParagraphFont"/>
    <w:link w:val="Footer"/>
    <w:uiPriority w:val="99"/>
    <w:rsid w:val="00047098"/>
    <w:rPr>
      <w:rFonts w:ascii="Times New Roman" w:eastAsia="Times New Roman" w:hAnsi="Times New Roman" w:cs="Times New Roman"/>
      <w:szCs w:val="24"/>
      <w:lang w:val="es-ES_tradnl" w:eastAsia="es-ES"/>
    </w:rPr>
  </w:style>
  <w:style w:type="paragraph" w:customStyle="1" w:styleId="NmeroPgina">
    <w:name w:val="NúmeroPágina"/>
    <w:basedOn w:val="Footer"/>
    <w:qFormat/>
    <w:rsid w:val="00047098"/>
    <w:pPr>
      <w:ind w:firstLine="0"/>
      <w:jc w:val="center"/>
    </w:pPr>
  </w:style>
  <w:style w:type="paragraph" w:customStyle="1" w:styleId="TableTNR">
    <w:name w:val="TableTNR"/>
    <w:qFormat/>
    <w:rsid w:val="007643A8"/>
    <w:pPr>
      <w:spacing w:before="120" w:after="120" w:line="240" w:lineRule="auto"/>
    </w:pPr>
    <w:rPr>
      <w:rFonts w:ascii="Times New Roman" w:eastAsia="Times New Roman" w:hAnsi="Times New Roman" w:cs="Times New Roman"/>
      <w:szCs w:val="24"/>
      <w:lang w:val="es-ES_tradnl" w:eastAsia="es-ES"/>
    </w:rPr>
  </w:style>
  <w:style w:type="paragraph" w:customStyle="1" w:styleId="NumTab1">
    <w:name w:val="NumTab1"/>
    <w:qFormat/>
    <w:rsid w:val="001161DF"/>
    <w:pPr>
      <w:pageBreakBefore/>
      <w:numPr>
        <w:numId w:val="5"/>
      </w:numPr>
      <w:tabs>
        <w:tab w:val="left" w:pos="1164"/>
      </w:tabs>
      <w:spacing w:before="120" w:after="120" w:line="240" w:lineRule="auto"/>
      <w:ind w:left="714" w:hanging="357"/>
    </w:pPr>
    <w:rPr>
      <w:rFonts w:ascii="Arial Nova Cond" w:eastAsia="Calibri" w:hAnsi="Arial Nova Cond" w:cs="Calibri"/>
      <w:b/>
      <w:sz w:val="20"/>
      <w:szCs w:val="20"/>
      <w:lang w:val="es-EC"/>
    </w:rPr>
  </w:style>
  <w:style w:type="paragraph" w:customStyle="1" w:styleId="NumTab2">
    <w:name w:val="NumTab2"/>
    <w:qFormat/>
    <w:rsid w:val="002D6A7A"/>
    <w:pPr>
      <w:keepNext/>
      <w:tabs>
        <w:tab w:val="left" w:pos="1134"/>
      </w:tabs>
      <w:spacing w:before="60" w:after="60"/>
      <w:ind w:left="1135" w:hanging="851"/>
    </w:pPr>
    <w:rPr>
      <w:rFonts w:ascii="Arial Nova Cond" w:eastAsia="Calibri" w:hAnsi="Arial Nova Cond" w:cs="Calibri"/>
      <w:b/>
      <w:sz w:val="18"/>
      <w:szCs w:val="20"/>
      <w:lang w:val="es-ES_tradnl"/>
    </w:rPr>
  </w:style>
  <w:style w:type="paragraph" w:styleId="TableofFigures">
    <w:name w:val="table of figures"/>
    <w:next w:val="Normal"/>
    <w:uiPriority w:val="99"/>
    <w:unhideWhenUsed/>
    <w:rsid w:val="005C7E91"/>
    <w:pPr>
      <w:spacing w:after="0"/>
    </w:pPr>
    <w:rPr>
      <w:rFonts w:ascii="Arial Nova Cond" w:eastAsia="Times New Roman" w:hAnsi="Arial Nova Cond" w:cs="Times New Roman"/>
      <w:sz w:val="20"/>
      <w:szCs w:val="24"/>
      <w:lang w:val="es-ES_tradnl" w:eastAsia="es-ES"/>
    </w:rPr>
  </w:style>
  <w:style w:type="paragraph" w:customStyle="1" w:styleId="NotaPie">
    <w:name w:val="NotaPie"/>
    <w:basedOn w:val="FootnoteText"/>
    <w:qFormat/>
    <w:rsid w:val="00D14104"/>
    <w:pPr>
      <w:spacing w:before="0"/>
      <w:ind w:firstLine="680"/>
    </w:pPr>
    <w:rPr>
      <w:lang w:val="es-EC"/>
    </w:rPr>
  </w:style>
  <w:style w:type="paragraph" w:customStyle="1" w:styleId="Actividad">
    <w:name w:val="Actividad"/>
    <w:qFormat/>
    <w:rsid w:val="00BE1D6B"/>
    <w:pPr>
      <w:numPr>
        <w:numId w:val="7"/>
      </w:numPr>
      <w:ind w:left="357" w:hanging="357"/>
    </w:pPr>
    <w:rPr>
      <w:rFonts w:ascii="Arial Nova Cond" w:eastAsia="Times New Roman" w:hAnsi="Arial Nova Cond" w:cs="Times New Roman"/>
      <w:bCs/>
      <w:sz w:val="16"/>
      <w:szCs w:val="20"/>
      <w:lang w:val="es-ES" w:eastAsia="es-ES"/>
    </w:rPr>
  </w:style>
  <w:style w:type="paragraph" w:styleId="CommentSubject">
    <w:name w:val="annotation subject"/>
    <w:basedOn w:val="CommentText"/>
    <w:next w:val="CommentText"/>
    <w:link w:val="CommentSubjectChar"/>
    <w:uiPriority w:val="99"/>
    <w:semiHidden/>
    <w:unhideWhenUsed/>
    <w:rsid w:val="003427BE"/>
    <w:rPr>
      <w:rFonts w:ascii="Times New Roman" w:hAnsi="Times New Roman"/>
      <w:b/>
      <w:bCs/>
      <w:lang w:val="es-ES_tradnl"/>
    </w:rPr>
  </w:style>
  <w:style w:type="character" w:customStyle="1" w:styleId="CommentSubjectChar">
    <w:name w:val="Comment Subject Char"/>
    <w:basedOn w:val="CommentTextChar1"/>
    <w:link w:val="CommentSubject"/>
    <w:uiPriority w:val="99"/>
    <w:semiHidden/>
    <w:rsid w:val="003427BE"/>
    <w:rPr>
      <w:rFonts w:ascii="Times New Roman" w:eastAsia="Times New Roman" w:hAnsi="Times New Roman" w:cs="Times New Roman"/>
      <w:b/>
      <w:bCs/>
      <w:sz w:val="20"/>
      <w:szCs w:val="20"/>
      <w:lang w:val="es-ES_tradnl" w:eastAsia="es-ES"/>
    </w:rPr>
  </w:style>
  <w:style w:type="character" w:customStyle="1" w:styleId="UnresolvedMention1">
    <w:name w:val="Unresolved Mention1"/>
    <w:basedOn w:val="DefaultParagraphFont"/>
    <w:uiPriority w:val="99"/>
    <w:semiHidden/>
    <w:unhideWhenUsed/>
    <w:rsid w:val="004945B4"/>
    <w:rPr>
      <w:color w:val="605E5C"/>
      <w:shd w:val="clear" w:color="auto" w:fill="E1DFDD"/>
    </w:rPr>
  </w:style>
  <w:style w:type="paragraph" w:customStyle="1" w:styleId="TextoTablaIzquierda">
    <w:name w:val="Texto Tabla Izquierda"/>
    <w:basedOn w:val="Normal"/>
    <w:qFormat/>
    <w:rsid w:val="00D56771"/>
    <w:pPr>
      <w:spacing w:before="20" w:after="20"/>
      <w:ind w:firstLine="0"/>
      <w:jc w:val="left"/>
    </w:pPr>
    <w:rPr>
      <w:rFonts w:ascii="Arial" w:hAnsi="Arial" w:cs="Arial"/>
      <w:bCs/>
      <w:color w:val="000000"/>
      <w:sz w:val="18"/>
      <w:szCs w:val="18"/>
      <w:lang w:val="es-ES"/>
    </w:rPr>
  </w:style>
  <w:style w:type="table" w:customStyle="1" w:styleId="GridTable4-Accent11">
    <w:name w:val="Grid Table 4 - Accent 11"/>
    <w:basedOn w:val="TableNormal"/>
    <w:next w:val="GridTable4-Accent1"/>
    <w:uiPriority w:val="49"/>
    <w:rsid w:val="00AC56A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AC56A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41">
    <w:name w:val="Plain Table 41"/>
    <w:basedOn w:val="TableNormal"/>
    <w:next w:val="PlainTable4"/>
    <w:uiPriority w:val="44"/>
    <w:rsid w:val="00AC56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AC56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DA2F40"/>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3531">
      <w:bodyDiv w:val="1"/>
      <w:marLeft w:val="0"/>
      <w:marRight w:val="0"/>
      <w:marTop w:val="0"/>
      <w:marBottom w:val="0"/>
      <w:divBdr>
        <w:top w:val="none" w:sz="0" w:space="0" w:color="auto"/>
        <w:left w:val="none" w:sz="0" w:space="0" w:color="auto"/>
        <w:bottom w:val="none" w:sz="0" w:space="0" w:color="auto"/>
        <w:right w:val="none" w:sz="0" w:space="0" w:color="auto"/>
      </w:divBdr>
    </w:div>
    <w:div w:id="72316317">
      <w:bodyDiv w:val="1"/>
      <w:marLeft w:val="0"/>
      <w:marRight w:val="0"/>
      <w:marTop w:val="0"/>
      <w:marBottom w:val="0"/>
      <w:divBdr>
        <w:top w:val="none" w:sz="0" w:space="0" w:color="auto"/>
        <w:left w:val="none" w:sz="0" w:space="0" w:color="auto"/>
        <w:bottom w:val="none" w:sz="0" w:space="0" w:color="auto"/>
        <w:right w:val="none" w:sz="0" w:space="0" w:color="auto"/>
      </w:divBdr>
      <w:divsChild>
        <w:div w:id="1446148198">
          <w:marLeft w:val="547"/>
          <w:marRight w:val="0"/>
          <w:marTop w:val="0"/>
          <w:marBottom w:val="0"/>
          <w:divBdr>
            <w:top w:val="none" w:sz="0" w:space="0" w:color="auto"/>
            <w:left w:val="none" w:sz="0" w:space="0" w:color="auto"/>
            <w:bottom w:val="none" w:sz="0" w:space="0" w:color="auto"/>
            <w:right w:val="none" w:sz="0" w:space="0" w:color="auto"/>
          </w:divBdr>
        </w:div>
      </w:divsChild>
    </w:div>
    <w:div w:id="203100123">
      <w:bodyDiv w:val="1"/>
      <w:marLeft w:val="0"/>
      <w:marRight w:val="0"/>
      <w:marTop w:val="0"/>
      <w:marBottom w:val="0"/>
      <w:divBdr>
        <w:top w:val="none" w:sz="0" w:space="0" w:color="auto"/>
        <w:left w:val="none" w:sz="0" w:space="0" w:color="auto"/>
        <w:bottom w:val="none" w:sz="0" w:space="0" w:color="auto"/>
        <w:right w:val="none" w:sz="0" w:space="0" w:color="auto"/>
      </w:divBdr>
    </w:div>
    <w:div w:id="259527705">
      <w:bodyDiv w:val="1"/>
      <w:marLeft w:val="0"/>
      <w:marRight w:val="0"/>
      <w:marTop w:val="0"/>
      <w:marBottom w:val="0"/>
      <w:divBdr>
        <w:top w:val="none" w:sz="0" w:space="0" w:color="auto"/>
        <w:left w:val="none" w:sz="0" w:space="0" w:color="auto"/>
        <w:bottom w:val="none" w:sz="0" w:space="0" w:color="auto"/>
        <w:right w:val="none" w:sz="0" w:space="0" w:color="auto"/>
      </w:divBdr>
    </w:div>
    <w:div w:id="445127427">
      <w:bodyDiv w:val="1"/>
      <w:marLeft w:val="0"/>
      <w:marRight w:val="0"/>
      <w:marTop w:val="0"/>
      <w:marBottom w:val="0"/>
      <w:divBdr>
        <w:top w:val="none" w:sz="0" w:space="0" w:color="auto"/>
        <w:left w:val="none" w:sz="0" w:space="0" w:color="auto"/>
        <w:bottom w:val="none" w:sz="0" w:space="0" w:color="auto"/>
        <w:right w:val="none" w:sz="0" w:space="0" w:color="auto"/>
      </w:divBdr>
    </w:div>
    <w:div w:id="547835604">
      <w:bodyDiv w:val="1"/>
      <w:marLeft w:val="0"/>
      <w:marRight w:val="0"/>
      <w:marTop w:val="0"/>
      <w:marBottom w:val="0"/>
      <w:divBdr>
        <w:top w:val="none" w:sz="0" w:space="0" w:color="auto"/>
        <w:left w:val="none" w:sz="0" w:space="0" w:color="auto"/>
        <w:bottom w:val="none" w:sz="0" w:space="0" w:color="auto"/>
        <w:right w:val="none" w:sz="0" w:space="0" w:color="auto"/>
      </w:divBdr>
    </w:div>
    <w:div w:id="676734657">
      <w:bodyDiv w:val="1"/>
      <w:marLeft w:val="0"/>
      <w:marRight w:val="0"/>
      <w:marTop w:val="0"/>
      <w:marBottom w:val="0"/>
      <w:divBdr>
        <w:top w:val="none" w:sz="0" w:space="0" w:color="auto"/>
        <w:left w:val="none" w:sz="0" w:space="0" w:color="auto"/>
        <w:bottom w:val="none" w:sz="0" w:space="0" w:color="auto"/>
        <w:right w:val="none" w:sz="0" w:space="0" w:color="auto"/>
      </w:divBdr>
    </w:div>
    <w:div w:id="691034410">
      <w:bodyDiv w:val="1"/>
      <w:marLeft w:val="0"/>
      <w:marRight w:val="0"/>
      <w:marTop w:val="0"/>
      <w:marBottom w:val="0"/>
      <w:divBdr>
        <w:top w:val="none" w:sz="0" w:space="0" w:color="auto"/>
        <w:left w:val="none" w:sz="0" w:space="0" w:color="auto"/>
        <w:bottom w:val="none" w:sz="0" w:space="0" w:color="auto"/>
        <w:right w:val="none" w:sz="0" w:space="0" w:color="auto"/>
      </w:divBdr>
    </w:div>
    <w:div w:id="734203469">
      <w:bodyDiv w:val="1"/>
      <w:marLeft w:val="0"/>
      <w:marRight w:val="0"/>
      <w:marTop w:val="0"/>
      <w:marBottom w:val="0"/>
      <w:divBdr>
        <w:top w:val="none" w:sz="0" w:space="0" w:color="auto"/>
        <w:left w:val="none" w:sz="0" w:space="0" w:color="auto"/>
        <w:bottom w:val="none" w:sz="0" w:space="0" w:color="auto"/>
        <w:right w:val="none" w:sz="0" w:space="0" w:color="auto"/>
      </w:divBdr>
    </w:div>
    <w:div w:id="749541940">
      <w:bodyDiv w:val="1"/>
      <w:marLeft w:val="0"/>
      <w:marRight w:val="0"/>
      <w:marTop w:val="0"/>
      <w:marBottom w:val="0"/>
      <w:divBdr>
        <w:top w:val="none" w:sz="0" w:space="0" w:color="auto"/>
        <w:left w:val="none" w:sz="0" w:space="0" w:color="auto"/>
        <w:bottom w:val="none" w:sz="0" w:space="0" w:color="auto"/>
        <w:right w:val="none" w:sz="0" w:space="0" w:color="auto"/>
      </w:divBdr>
      <w:divsChild>
        <w:div w:id="895626464">
          <w:marLeft w:val="547"/>
          <w:marRight w:val="0"/>
          <w:marTop w:val="0"/>
          <w:marBottom w:val="0"/>
          <w:divBdr>
            <w:top w:val="none" w:sz="0" w:space="0" w:color="auto"/>
            <w:left w:val="none" w:sz="0" w:space="0" w:color="auto"/>
            <w:bottom w:val="none" w:sz="0" w:space="0" w:color="auto"/>
            <w:right w:val="none" w:sz="0" w:space="0" w:color="auto"/>
          </w:divBdr>
        </w:div>
      </w:divsChild>
    </w:div>
    <w:div w:id="753473034">
      <w:bodyDiv w:val="1"/>
      <w:marLeft w:val="0"/>
      <w:marRight w:val="0"/>
      <w:marTop w:val="0"/>
      <w:marBottom w:val="0"/>
      <w:divBdr>
        <w:top w:val="none" w:sz="0" w:space="0" w:color="auto"/>
        <w:left w:val="none" w:sz="0" w:space="0" w:color="auto"/>
        <w:bottom w:val="none" w:sz="0" w:space="0" w:color="auto"/>
        <w:right w:val="none" w:sz="0" w:space="0" w:color="auto"/>
      </w:divBdr>
    </w:div>
    <w:div w:id="781848854">
      <w:bodyDiv w:val="1"/>
      <w:marLeft w:val="0"/>
      <w:marRight w:val="0"/>
      <w:marTop w:val="0"/>
      <w:marBottom w:val="0"/>
      <w:divBdr>
        <w:top w:val="none" w:sz="0" w:space="0" w:color="auto"/>
        <w:left w:val="none" w:sz="0" w:space="0" w:color="auto"/>
        <w:bottom w:val="none" w:sz="0" w:space="0" w:color="auto"/>
        <w:right w:val="none" w:sz="0" w:space="0" w:color="auto"/>
      </w:divBdr>
    </w:div>
    <w:div w:id="843280736">
      <w:bodyDiv w:val="1"/>
      <w:marLeft w:val="0"/>
      <w:marRight w:val="0"/>
      <w:marTop w:val="0"/>
      <w:marBottom w:val="0"/>
      <w:divBdr>
        <w:top w:val="none" w:sz="0" w:space="0" w:color="auto"/>
        <w:left w:val="none" w:sz="0" w:space="0" w:color="auto"/>
        <w:bottom w:val="none" w:sz="0" w:space="0" w:color="auto"/>
        <w:right w:val="none" w:sz="0" w:space="0" w:color="auto"/>
      </w:divBdr>
    </w:div>
    <w:div w:id="850335630">
      <w:bodyDiv w:val="1"/>
      <w:marLeft w:val="0"/>
      <w:marRight w:val="0"/>
      <w:marTop w:val="0"/>
      <w:marBottom w:val="0"/>
      <w:divBdr>
        <w:top w:val="none" w:sz="0" w:space="0" w:color="auto"/>
        <w:left w:val="none" w:sz="0" w:space="0" w:color="auto"/>
        <w:bottom w:val="none" w:sz="0" w:space="0" w:color="auto"/>
        <w:right w:val="none" w:sz="0" w:space="0" w:color="auto"/>
      </w:divBdr>
    </w:div>
    <w:div w:id="852457982">
      <w:bodyDiv w:val="1"/>
      <w:marLeft w:val="0"/>
      <w:marRight w:val="0"/>
      <w:marTop w:val="0"/>
      <w:marBottom w:val="0"/>
      <w:divBdr>
        <w:top w:val="none" w:sz="0" w:space="0" w:color="auto"/>
        <w:left w:val="none" w:sz="0" w:space="0" w:color="auto"/>
        <w:bottom w:val="none" w:sz="0" w:space="0" w:color="auto"/>
        <w:right w:val="none" w:sz="0" w:space="0" w:color="auto"/>
      </w:divBdr>
    </w:div>
    <w:div w:id="876892296">
      <w:bodyDiv w:val="1"/>
      <w:marLeft w:val="0"/>
      <w:marRight w:val="0"/>
      <w:marTop w:val="0"/>
      <w:marBottom w:val="0"/>
      <w:divBdr>
        <w:top w:val="none" w:sz="0" w:space="0" w:color="auto"/>
        <w:left w:val="none" w:sz="0" w:space="0" w:color="auto"/>
        <w:bottom w:val="none" w:sz="0" w:space="0" w:color="auto"/>
        <w:right w:val="none" w:sz="0" w:space="0" w:color="auto"/>
      </w:divBdr>
    </w:div>
    <w:div w:id="877669148">
      <w:bodyDiv w:val="1"/>
      <w:marLeft w:val="0"/>
      <w:marRight w:val="0"/>
      <w:marTop w:val="0"/>
      <w:marBottom w:val="0"/>
      <w:divBdr>
        <w:top w:val="none" w:sz="0" w:space="0" w:color="auto"/>
        <w:left w:val="none" w:sz="0" w:space="0" w:color="auto"/>
        <w:bottom w:val="none" w:sz="0" w:space="0" w:color="auto"/>
        <w:right w:val="none" w:sz="0" w:space="0" w:color="auto"/>
      </w:divBdr>
    </w:div>
    <w:div w:id="926158520">
      <w:bodyDiv w:val="1"/>
      <w:marLeft w:val="0"/>
      <w:marRight w:val="0"/>
      <w:marTop w:val="0"/>
      <w:marBottom w:val="0"/>
      <w:divBdr>
        <w:top w:val="none" w:sz="0" w:space="0" w:color="auto"/>
        <w:left w:val="none" w:sz="0" w:space="0" w:color="auto"/>
        <w:bottom w:val="none" w:sz="0" w:space="0" w:color="auto"/>
        <w:right w:val="none" w:sz="0" w:space="0" w:color="auto"/>
      </w:divBdr>
    </w:div>
    <w:div w:id="970135911">
      <w:bodyDiv w:val="1"/>
      <w:marLeft w:val="0"/>
      <w:marRight w:val="0"/>
      <w:marTop w:val="0"/>
      <w:marBottom w:val="0"/>
      <w:divBdr>
        <w:top w:val="none" w:sz="0" w:space="0" w:color="auto"/>
        <w:left w:val="none" w:sz="0" w:space="0" w:color="auto"/>
        <w:bottom w:val="none" w:sz="0" w:space="0" w:color="auto"/>
        <w:right w:val="none" w:sz="0" w:space="0" w:color="auto"/>
      </w:divBdr>
    </w:div>
    <w:div w:id="974486502">
      <w:bodyDiv w:val="1"/>
      <w:marLeft w:val="0"/>
      <w:marRight w:val="0"/>
      <w:marTop w:val="0"/>
      <w:marBottom w:val="0"/>
      <w:divBdr>
        <w:top w:val="none" w:sz="0" w:space="0" w:color="auto"/>
        <w:left w:val="none" w:sz="0" w:space="0" w:color="auto"/>
        <w:bottom w:val="none" w:sz="0" w:space="0" w:color="auto"/>
        <w:right w:val="none" w:sz="0" w:space="0" w:color="auto"/>
      </w:divBdr>
    </w:div>
    <w:div w:id="1044518855">
      <w:bodyDiv w:val="1"/>
      <w:marLeft w:val="0"/>
      <w:marRight w:val="0"/>
      <w:marTop w:val="0"/>
      <w:marBottom w:val="0"/>
      <w:divBdr>
        <w:top w:val="none" w:sz="0" w:space="0" w:color="auto"/>
        <w:left w:val="none" w:sz="0" w:space="0" w:color="auto"/>
        <w:bottom w:val="none" w:sz="0" w:space="0" w:color="auto"/>
        <w:right w:val="none" w:sz="0" w:space="0" w:color="auto"/>
      </w:divBdr>
    </w:div>
    <w:div w:id="1120957987">
      <w:bodyDiv w:val="1"/>
      <w:marLeft w:val="0"/>
      <w:marRight w:val="0"/>
      <w:marTop w:val="0"/>
      <w:marBottom w:val="0"/>
      <w:divBdr>
        <w:top w:val="none" w:sz="0" w:space="0" w:color="auto"/>
        <w:left w:val="none" w:sz="0" w:space="0" w:color="auto"/>
        <w:bottom w:val="none" w:sz="0" w:space="0" w:color="auto"/>
        <w:right w:val="none" w:sz="0" w:space="0" w:color="auto"/>
      </w:divBdr>
      <w:divsChild>
        <w:div w:id="2008626398">
          <w:marLeft w:val="446"/>
          <w:marRight w:val="0"/>
          <w:marTop w:val="0"/>
          <w:marBottom w:val="0"/>
          <w:divBdr>
            <w:top w:val="none" w:sz="0" w:space="0" w:color="auto"/>
            <w:left w:val="none" w:sz="0" w:space="0" w:color="auto"/>
            <w:bottom w:val="none" w:sz="0" w:space="0" w:color="auto"/>
            <w:right w:val="none" w:sz="0" w:space="0" w:color="auto"/>
          </w:divBdr>
        </w:div>
      </w:divsChild>
    </w:div>
    <w:div w:id="1129667648">
      <w:bodyDiv w:val="1"/>
      <w:marLeft w:val="0"/>
      <w:marRight w:val="0"/>
      <w:marTop w:val="0"/>
      <w:marBottom w:val="0"/>
      <w:divBdr>
        <w:top w:val="none" w:sz="0" w:space="0" w:color="auto"/>
        <w:left w:val="none" w:sz="0" w:space="0" w:color="auto"/>
        <w:bottom w:val="none" w:sz="0" w:space="0" w:color="auto"/>
        <w:right w:val="none" w:sz="0" w:space="0" w:color="auto"/>
      </w:divBdr>
    </w:div>
    <w:div w:id="1139227784">
      <w:bodyDiv w:val="1"/>
      <w:marLeft w:val="0"/>
      <w:marRight w:val="0"/>
      <w:marTop w:val="0"/>
      <w:marBottom w:val="0"/>
      <w:divBdr>
        <w:top w:val="none" w:sz="0" w:space="0" w:color="auto"/>
        <w:left w:val="none" w:sz="0" w:space="0" w:color="auto"/>
        <w:bottom w:val="none" w:sz="0" w:space="0" w:color="auto"/>
        <w:right w:val="none" w:sz="0" w:space="0" w:color="auto"/>
      </w:divBdr>
    </w:div>
    <w:div w:id="1188257441">
      <w:bodyDiv w:val="1"/>
      <w:marLeft w:val="0"/>
      <w:marRight w:val="0"/>
      <w:marTop w:val="0"/>
      <w:marBottom w:val="0"/>
      <w:divBdr>
        <w:top w:val="none" w:sz="0" w:space="0" w:color="auto"/>
        <w:left w:val="none" w:sz="0" w:space="0" w:color="auto"/>
        <w:bottom w:val="none" w:sz="0" w:space="0" w:color="auto"/>
        <w:right w:val="none" w:sz="0" w:space="0" w:color="auto"/>
      </w:divBdr>
      <w:divsChild>
        <w:div w:id="970473665">
          <w:marLeft w:val="446"/>
          <w:marRight w:val="0"/>
          <w:marTop w:val="0"/>
          <w:marBottom w:val="0"/>
          <w:divBdr>
            <w:top w:val="none" w:sz="0" w:space="0" w:color="auto"/>
            <w:left w:val="none" w:sz="0" w:space="0" w:color="auto"/>
            <w:bottom w:val="none" w:sz="0" w:space="0" w:color="auto"/>
            <w:right w:val="none" w:sz="0" w:space="0" w:color="auto"/>
          </w:divBdr>
        </w:div>
      </w:divsChild>
    </w:div>
    <w:div w:id="1200705193">
      <w:bodyDiv w:val="1"/>
      <w:marLeft w:val="0"/>
      <w:marRight w:val="0"/>
      <w:marTop w:val="0"/>
      <w:marBottom w:val="0"/>
      <w:divBdr>
        <w:top w:val="none" w:sz="0" w:space="0" w:color="auto"/>
        <w:left w:val="none" w:sz="0" w:space="0" w:color="auto"/>
        <w:bottom w:val="none" w:sz="0" w:space="0" w:color="auto"/>
        <w:right w:val="none" w:sz="0" w:space="0" w:color="auto"/>
      </w:divBdr>
      <w:divsChild>
        <w:div w:id="1128426926">
          <w:marLeft w:val="547"/>
          <w:marRight w:val="0"/>
          <w:marTop w:val="0"/>
          <w:marBottom w:val="0"/>
          <w:divBdr>
            <w:top w:val="none" w:sz="0" w:space="0" w:color="auto"/>
            <w:left w:val="none" w:sz="0" w:space="0" w:color="auto"/>
            <w:bottom w:val="none" w:sz="0" w:space="0" w:color="auto"/>
            <w:right w:val="none" w:sz="0" w:space="0" w:color="auto"/>
          </w:divBdr>
        </w:div>
      </w:divsChild>
    </w:div>
    <w:div w:id="1205408452">
      <w:bodyDiv w:val="1"/>
      <w:marLeft w:val="0"/>
      <w:marRight w:val="0"/>
      <w:marTop w:val="0"/>
      <w:marBottom w:val="0"/>
      <w:divBdr>
        <w:top w:val="none" w:sz="0" w:space="0" w:color="auto"/>
        <w:left w:val="none" w:sz="0" w:space="0" w:color="auto"/>
        <w:bottom w:val="none" w:sz="0" w:space="0" w:color="auto"/>
        <w:right w:val="none" w:sz="0" w:space="0" w:color="auto"/>
      </w:divBdr>
    </w:div>
    <w:div w:id="1318923868">
      <w:bodyDiv w:val="1"/>
      <w:marLeft w:val="0"/>
      <w:marRight w:val="0"/>
      <w:marTop w:val="0"/>
      <w:marBottom w:val="0"/>
      <w:divBdr>
        <w:top w:val="none" w:sz="0" w:space="0" w:color="auto"/>
        <w:left w:val="none" w:sz="0" w:space="0" w:color="auto"/>
        <w:bottom w:val="none" w:sz="0" w:space="0" w:color="auto"/>
        <w:right w:val="none" w:sz="0" w:space="0" w:color="auto"/>
      </w:divBdr>
    </w:div>
    <w:div w:id="1410345524">
      <w:bodyDiv w:val="1"/>
      <w:marLeft w:val="0"/>
      <w:marRight w:val="0"/>
      <w:marTop w:val="0"/>
      <w:marBottom w:val="0"/>
      <w:divBdr>
        <w:top w:val="none" w:sz="0" w:space="0" w:color="auto"/>
        <w:left w:val="none" w:sz="0" w:space="0" w:color="auto"/>
        <w:bottom w:val="none" w:sz="0" w:space="0" w:color="auto"/>
        <w:right w:val="none" w:sz="0" w:space="0" w:color="auto"/>
      </w:divBdr>
    </w:div>
    <w:div w:id="1461533456">
      <w:bodyDiv w:val="1"/>
      <w:marLeft w:val="0"/>
      <w:marRight w:val="0"/>
      <w:marTop w:val="0"/>
      <w:marBottom w:val="0"/>
      <w:divBdr>
        <w:top w:val="none" w:sz="0" w:space="0" w:color="auto"/>
        <w:left w:val="none" w:sz="0" w:space="0" w:color="auto"/>
        <w:bottom w:val="none" w:sz="0" w:space="0" w:color="auto"/>
        <w:right w:val="none" w:sz="0" w:space="0" w:color="auto"/>
      </w:divBdr>
    </w:div>
    <w:div w:id="1480725401">
      <w:bodyDiv w:val="1"/>
      <w:marLeft w:val="0"/>
      <w:marRight w:val="0"/>
      <w:marTop w:val="0"/>
      <w:marBottom w:val="0"/>
      <w:divBdr>
        <w:top w:val="none" w:sz="0" w:space="0" w:color="auto"/>
        <w:left w:val="none" w:sz="0" w:space="0" w:color="auto"/>
        <w:bottom w:val="none" w:sz="0" w:space="0" w:color="auto"/>
        <w:right w:val="none" w:sz="0" w:space="0" w:color="auto"/>
      </w:divBdr>
    </w:div>
    <w:div w:id="1487277820">
      <w:bodyDiv w:val="1"/>
      <w:marLeft w:val="0"/>
      <w:marRight w:val="0"/>
      <w:marTop w:val="0"/>
      <w:marBottom w:val="0"/>
      <w:divBdr>
        <w:top w:val="none" w:sz="0" w:space="0" w:color="auto"/>
        <w:left w:val="none" w:sz="0" w:space="0" w:color="auto"/>
        <w:bottom w:val="none" w:sz="0" w:space="0" w:color="auto"/>
        <w:right w:val="none" w:sz="0" w:space="0" w:color="auto"/>
      </w:divBdr>
    </w:div>
    <w:div w:id="1490974765">
      <w:bodyDiv w:val="1"/>
      <w:marLeft w:val="0"/>
      <w:marRight w:val="0"/>
      <w:marTop w:val="0"/>
      <w:marBottom w:val="0"/>
      <w:divBdr>
        <w:top w:val="none" w:sz="0" w:space="0" w:color="auto"/>
        <w:left w:val="none" w:sz="0" w:space="0" w:color="auto"/>
        <w:bottom w:val="none" w:sz="0" w:space="0" w:color="auto"/>
        <w:right w:val="none" w:sz="0" w:space="0" w:color="auto"/>
      </w:divBdr>
    </w:div>
    <w:div w:id="1514029254">
      <w:bodyDiv w:val="1"/>
      <w:marLeft w:val="0"/>
      <w:marRight w:val="0"/>
      <w:marTop w:val="0"/>
      <w:marBottom w:val="0"/>
      <w:divBdr>
        <w:top w:val="none" w:sz="0" w:space="0" w:color="auto"/>
        <w:left w:val="none" w:sz="0" w:space="0" w:color="auto"/>
        <w:bottom w:val="none" w:sz="0" w:space="0" w:color="auto"/>
        <w:right w:val="none" w:sz="0" w:space="0" w:color="auto"/>
      </w:divBdr>
    </w:div>
    <w:div w:id="1624730150">
      <w:bodyDiv w:val="1"/>
      <w:marLeft w:val="0"/>
      <w:marRight w:val="0"/>
      <w:marTop w:val="0"/>
      <w:marBottom w:val="0"/>
      <w:divBdr>
        <w:top w:val="none" w:sz="0" w:space="0" w:color="auto"/>
        <w:left w:val="none" w:sz="0" w:space="0" w:color="auto"/>
        <w:bottom w:val="none" w:sz="0" w:space="0" w:color="auto"/>
        <w:right w:val="none" w:sz="0" w:space="0" w:color="auto"/>
      </w:divBdr>
    </w:div>
    <w:div w:id="1630866232">
      <w:bodyDiv w:val="1"/>
      <w:marLeft w:val="0"/>
      <w:marRight w:val="0"/>
      <w:marTop w:val="0"/>
      <w:marBottom w:val="0"/>
      <w:divBdr>
        <w:top w:val="none" w:sz="0" w:space="0" w:color="auto"/>
        <w:left w:val="none" w:sz="0" w:space="0" w:color="auto"/>
        <w:bottom w:val="none" w:sz="0" w:space="0" w:color="auto"/>
        <w:right w:val="none" w:sz="0" w:space="0" w:color="auto"/>
      </w:divBdr>
    </w:div>
    <w:div w:id="1630941402">
      <w:bodyDiv w:val="1"/>
      <w:marLeft w:val="0"/>
      <w:marRight w:val="0"/>
      <w:marTop w:val="0"/>
      <w:marBottom w:val="0"/>
      <w:divBdr>
        <w:top w:val="none" w:sz="0" w:space="0" w:color="auto"/>
        <w:left w:val="none" w:sz="0" w:space="0" w:color="auto"/>
        <w:bottom w:val="none" w:sz="0" w:space="0" w:color="auto"/>
        <w:right w:val="none" w:sz="0" w:space="0" w:color="auto"/>
      </w:divBdr>
    </w:div>
    <w:div w:id="1652564461">
      <w:bodyDiv w:val="1"/>
      <w:marLeft w:val="0"/>
      <w:marRight w:val="0"/>
      <w:marTop w:val="0"/>
      <w:marBottom w:val="0"/>
      <w:divBdr>
        <w:top w:val="none" w:sz="0" w:space="0" w:color="auto"/>
        <w:left w:val="none" w:sz="0" w:space="0" w:color="auto"/>
        <w:bottom w:val="none" w:sz="0" w:space="0" w:color="auto"/>
        <w:right w:val="none" w:sz="0" w:space="0" w:color="auto"/>
      </w:divBdr>
    </w:div>
    <w:div w:id="1720089989">
      <w:bodyDiv w:val="1"/>
      <w:marLeft w:val="0"/>
      <w:marRight w:val="0"/>
      <w:marTop w:val="0"/>
      <w:marBottom w:val="0"/>
      <w:divBdr>
        <w:top w:val="none" w:sz="0" w:space="0" w:color="auto"/>
        <w:left w:val="none" w:sz="0" w:space="0" w:color="auto"/>
        <w:bottom w:val="none" w:sz="0" w:space="0" w:color="auto"/>
        <w:right w:val="none" w:sz="0" w:space="0" w:color="auto"/>
      </w:divBdr>
    </w:div>
    <w:div w:id="1734111270">
      <w:bodyDiv w:val="1"/>
      <w:marLeft w:val="0"/>
      <w:marRight w:val="0"/>
      <w:marTop w:val="0"/>
      <w:marBottom w:val="0"/>
      <w:divBdr>
        <w:top w:val="none" w:sz="0" w:space="0" w:color="auto"/>
        <w:left w:val="none" w:sz="0" w:space="0" w:color="auto"/>
        <w:bottom w:val="none" w:sz="0" w:space="0" w:color="auto"/>
        <w:right w:val="none" w:sz="0" w:space="0" w:color="auto"/>
      </w:divBdr>
    </w:div>
    <w:div w:id="1740401852">
      <w:bodyDiv w:val="1"/>
      <w:marLeft w:val="0"/>
      <w:marRight w:val="0"/>
      <w:marTop w:val="0"/>
      <w:marBottom w:val="0"/>
      <w:divBdr>
        <w:top w:val="none" w:sz="0" w:space="0" w:color="auto"/>
        <w:left w:val="none" w:sz="0" w:space="0" w:color="auto"/>
        <w:bottom w:val="none" w:sz="0" w:space="0" w:color="auto"/>
        <w:right w:val="none" w:sz="0" w:space="0" w:color="auto"/>
      </w:divBdr>
    </w:div>
    <w:div w:id="1748527387">
      <w:bodyDiv w:val="1"/>
      <w:marLeft w:val="0"/>
      <w:marRight w:val="0"/>
      <w:marTop w:val="0"/>
      <w:marBottom w:val="0"/>
      <w:divBdr>
        <w:top w:val="none" w:sz="0" w:space="0" w:color="auto"/>
        <w:left w:val="none" w:sz="0" w:space="0" w:color="auto"/>
        <w:bottom w:val="none" w:sz="0" w:space="0" w:color="auto"/>
        <w:right w:val="none" w:sz="0" w:space="0" w:color="auto"/>
      </w:divBdr>
    </w:div>
    <w:div w:id="1819106349">
      <w:bodyDiv w:val="1"/>
      <w:marLeft w:val="0"/>
      <w:marRight w:val="0"/>
      <w:marTop w:val="0"/>
      <w:marBottom w:val="0"/>
      <w:divBdr>
        <w:top w:val="none" w:sz="0" w:space="0" w:color="auto"/>
        <w:left w:val="none" w:sz="0" w:space="0" w:color="auto"/>
        <w:bottom w:val="none" w:sz="0" w:space="0" w:color="auto"/>
        <w:right w:val="none" w:sz="0" w:space="0" w:color="auto"/>
      </w:divBdr>
      <w:divsChild>
        <w:div w:id="384839496">
          <w:marLeft w:val="0"/>
          <w:marRight w:val="0"/>
          <w:marTop w:val="0"/>
          <w:marBottom w:val="0"/>
          <w:divBdr>
            <w:top w:val="none" w:sz="0" w:space="0" w:color="auto"/>
            <w:left w:val="none" w:sz="0" w:space="0" w:color="auto"/>
            <w:bottom w:val="none" w:sz="0" w:space="0" w:color="auto"/>
            <w:right w:val="none" w:sz="0" w:space="0" w:color="auto"/>
          </w:divBdr>
        </w:div>
        <w:div w:id="1622222737">
          <w:marLeft w:val="0"/>
          <w:marRight w:val="0"/>
          <w:marTop w:val="0"/>
          <w:marBottom w:val="0"/>
          <w:divBdr>
            <w:top w:val="none" w:sz="0" w:space="0" w:color="auto"/>
            <w:left w:val="none" w:sz="0" w:space="0" w:color="auto"/>
            <w:bottom w:val="none" w:sz="0" w:space="0" w:color="auto"/>
            <w:right w:val="none" w:sz="0" w:space="0" w:color="auto"/>
          </w:divBdr>
        </w:div>
        <w:div w:id="1913737391">
          <w:marLeft w:val="0"/>
          <w:marRight w:val="0"/>
          <w:marTop w:val="0"/>
          <w:marBottom w:val="0"/>
          <w:divBdr>
            <w:top w:val="none" w:sz="0" w:space="0" w:color="auto"/>
            <w:left w:val="none" w:sz="0" w:space="0" w:color="auto"/>
            <w:bottom w:val="none" w:sz="0" w:space="0" w:color="auto"/>
            <w:right w:val="none" w:sz="0" w:space="0" w:color="auto"/>
          </w:divBdr>
        </w:div>
      </w:divsChild>
    </w:div>
    <w:div w:id="1844315671">
      <w:bodyDiv w:val="1"/>
      <w:marLeft w:val="0"/>
      <w:marRight w:val="0"/>
      <w:marTop w:val="0"/>
      <w:marBottom w:val="0"/>
      <w:divBdr>
        <w:top w:val="none" w:sz="0" w:space="0" w:color="auto"/>
        <w:left w:val="none" w:sz="0" w:space="0" w:color="auto"/>
        <w:bottom w:val="none" w:sz="0" w:space="0" w:color="auto"/>
        <w:right w:val="none" w:sz="0" w:space="0" w:color="auto"/>
      </w:divBdr>
    </w:div>
    <w:div w:id="1926104684">
      <w:bodyDiv w:val="1"/>
      <w:marLeft w:val="0"/>
      <w:marRight w:val="0"/>
      <w:marTop w:val="0"/>
      <w:marBottom w:val="0"/>
      <w:divBdr>
        <w:top w:val="none" w:sz="0" w:space="0" w:color="auto"/>
        <w:left w:val="none" w:sz="0" w:space="0" w:color="auto"/>
        <w:bottom w:val="none" w:sz="0" w:space="0" w:color="auto"/>
        <w:right w:val="none" w:sz="0" w:space="0" w:color="auto"/>
      </w:divBdr>
    </w:div>
    <w:div w:id="1949922487">
      <w:bodyDiv w:val="1"/>
      <w:marLeft w:val="0"/>
      <w:marRight w:val="0"/>
      <w:marTop w:val="0"/>
      <w:marBottom w:val="0"/>
      <w:divBdr>
        <w:top w:val="none" w:sz="0" w:space="0" w:color="auto"/>
        <w:left w:val="none" w:sz="0" w:space="0" w:color="auto"/>
        <w:bottom w:val="none" w:sz="0" w:space="0" w:color="auto"/>
        <w:right w:val="none" w:sz="0" w:space="0" w:color="auto"/>
      </w:divBdr>
    </w:div>
    <w:div w:id="1979912665">
      <w:bodyDiv w:val="1"/>
      <w:marLeft w:val="0"/>
      <w:marRight w:val="0"/>
      <w:marTop w:val="0"/>
      <w:marBottom w:val="0"/>
      <w:divBdr>
        <w:top w:val="none" w:sz="0" w:space="0" w:color="auto"/>
        <w:left w:val="none" w:sz="0" w:space="0" w:color="auto"/>
        <w:bottom w:val="none" w:sz="0" w:space="0" w:color="auto"/>
        <w:right w:val="none" w:sz="0" w:space="0" w:color="auto"/>
      </w:divBdr>
    </w:div>
    <w:div w:id="2027435906">
      <w:bodyDiv w:val="1"/>
      <w:marLeft w:val="0"/>
      <w:marRight w:val="0"/>
      <w:marTop w:val="0"/>
      <w:marBottom w:val="0"/>
      <w:divBdr>
        <w:top w:val="none" w:sz="0" w:space="0" w:color="auto"/>
        <w:left w:val="none" w:sz="0" w:space="0" w:color="auto"/>
        <w:bottom w:val="none" w:sz="0" w:space="0" w:color="auto"/>
        <w:right w:val="none" w:sz="0" w:space="0" w:color="auto"/>
      </w:divBdr>
    </w:div>
    <w:div w:id="21258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tbinternet.ohchr.org/Treaties/CCPR/Shared%20Documents/HND/INT_CCPR_CSS_HND_27561_S.pdf" TargetMode="External"/><Relationship Id="rId26" Type="http://schemas.openxmlformats.org/officeDocument/2006/relationships/customXml" Target="../customXml/item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refworld.org.es/pdfid/5afca8974.pdf"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ohchr.org/Documents/Issues/Women/WRGS/SexualHealth/INFO_HIV_WEB_SP.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oas.org/es/cidh/informes/pdfs/honduras-es-2015.pdf" TargetMode="Externa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hyperlink" Target="http://www.unaids.org/sites/default/files/media/documents/NASA_Honduras_2016_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unaids.org/sites/default/files/media/documents/NASA_Honduras_2016_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8B7A57E5DE90614098D159175272FAFE" ma:contentTypeVersion="125" ma:contentTypeDescription="A work in progress document. &#10;Retention period upon archiving: 0 years." ma:contentTypeScope="" ma:versionID="7985a9beb6646101d4d1f3509a7ca991">
  <xsd:schema xmlns:xsd="http://www.w3.org/2001/XMLSchema" xmlns:xs="http://www.w3.org/2001/XMLSchema" xmlns:p="http://schemas.microsoft.com/office/2006/metadata/properties" xmlns:ns2="d3a87529-1e04-4d9d-b564-768a36fca9e7" xmlns:ns3="fa473315-44a4-4518-8a4f-31f7017f3642" targetNamespace="http://schemas.microsoft.com/office/2006/metadata/properties" ma:root="true" ma:fieldsID="16fe53979ea7b0b4b34fc8f6c8306733" ns2:_="" ns3:_="">
    <xsd:import namespace="d3a87529-1e04-4d9d-b564-768a36fca9e7"/>
    <xsd:import namespace="fa473315-44a4-4518-8a4f-31f7017f3642"/>
    <xsd:element name="properties">
      <xsd:complexType>
        <xsd:sequence>
          <xsd:element name="documentManagement">
            <xsd:complexType>
              <xsd:all>
                <xsd:element ref="ns2:Grant_x0020_Name" minOccurs="0"/>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87529-1e04-4d9d-b564-768a36fca9e7" elementFormDefault="qualified">
    <xsd:import namespace="http://schemas.microsoft.com/office/2006/documentManagement/types"/>
    <xsd:import namespace="http://schemas.microsoft.com/office/infopath/2007/PartnerControls"/>
    <xsd:element name="Grant_x0020_Name" ma:index="5" nillable="true" ma:displayName="Grant Name" ma:internalName="Grant_x0020_Name" ma:readOnly="false">
      <xsd:simpleType>
        <xsd:restriction base="dms:Text">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97f1e6-5941-48e7-ac45-8c5509127d4f" ContentTypeId="0x01010014768F94803F42BEA62C5B7969543DC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rant_x0020_Name xmlns="d3a87529-1e04-4d9d-b564-768a36fca9e7" xsi:nil="true"/>
    <_dlc_DocId xmlns="fa473315-44a4-4518-8a4f-31f7017f3642">HHFFXVFNZ7RQ-260380143-11450</_dlc_DocId>
    <_dlc_DocIdUrl xmlns="fa473315-44a4-4518-8a4f-31f7017f3642">
      <Url>https://tgf.sharepoint.com/sites/TSGMT10/HND3/_layouts/15/DocIdRedir.aspx?ID=HHFFXVFNZ7RQ-260380143-11450</Url>
      <Description>HHFFXVFNZ7RQ-260380143-11450</Description>
    </_dlc_DocIdUrl>
  </documentManagement>
</p:properties>
</file>

<file path=customXml/itemProps1.xml><?xml version="1.0" encoding="utf-8"?>
<ds:datastoreItem xmlns:ds="http://schemas.openxmlformats.org/officeDocument/2006/customXml" ds:itemID="{A11A4379-FA01-4B12-8BB6-EDF2CC1BFD17}">
  <ds:schemaRefs>
    <ds:schemaRef ds:uri="http://schemas.openxmlformats.org/officeDocument/2006/bibliography"/>
  </ds:schemaRefs>
</ds:datastoreItem>
</file>

<file path=customXml/itemProps2.xml><?xml version="1.0" encoding="utf-8"?>
<ds:datastoreItem xmlns:ds="http://schemas.openxmlformats.org/officeDocument/2006/customXml" ds:itemID="{3BA0F051-714B-465E-990D-4E5E701993D2}"/>
</file>

<file path=customXml/itemProps3.xml><?xml version="1.0" encoding="utf-8"?>
<ds:datastoreItem xmlns:ds="http://schemas.openxmlformats.org/officeDocument/2006/customXml" ds:itemID="{0E04DA2E-3FDD-444A-8327-AC44F9094B91}"/>
</file>

<file path=customXml/itemProps4.xml><?xml version="1.0" encoding="utf-8"?>
<ds:datastoreItem xmlns:ds="http://schemas.openxmlformats.org/officeDocument/2006/customXml" ds:itemID="{251E0FBC-6F4E-482D-8918-7531F49B17AC}"/>
</file>

<file path=customXml/itemProps5.xml><?xml version="1.0" encoding="utf-8"?>
<ds:datastoreItem xmlns:ds="http://schemas.openxmlformats.org/officeDocument/2006/customXml" ds:itemID="{5E334551-FD2C-4A73-852E-1369A50FA9E3}"/>
</file>

<file path=customXml/itemProps6.xml><?xml version="1.0" encoding="utf-8"?>
<ds:datastoreItem xmlns:ds="http://schemas.openxmlformats.org/officeDocument/2006/customXml" ds:itemID="{8A534458-6F01-4125-B5E8-9BEE4EC5AEEE}"/>
</file>

<file path=docProps/app.xml><?xml version="1.0" encoding="utf-8"?>
<Properties xmlns="http://schemas.openxmlformats.org/officeDocument/2006/extended-properties" xmlns:vt="http://schemas.openxmlformats.org/officeDocument/2006/docPropsVTypes">
  <Template>Normal</Template>
  <TotalTime>118</TotalTime>
  <Pages>1</Pages>
  <Words>21645</Words>
  <Characters>123381</Characters>
  <Application>Microsoft Office Word</Application>
  <DocSecurity>0</DocSecurity>
  <Lines>1028</Lines>
  <Paragraphs>289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de la Sostenibilidad para la Respuesta al VIH y TB_3 Mayo 2019_GF vf</dc:title>
  <dc:subject/>
  <dc:creator>Lindsay Palazuelos</dc:creator>
  <cp:keywords/>
  <dc:description/>
  <cp:lastModifiedBy>diana gonzalez garcia</cp:lastModifiedBy>
  <cp:revision>52</cp:revision>
  <cp:lastPrinted>2019-02-04T04:23:00Z</cp:lastPrinted>
  <dcterms:created xsi:type="dcterms:W3CDTF">2019-06-04T15:46:00Z</dcterms:created>
  <dcterms:modified xsi:type="dcterms:W3CDTF">2019-06-04T19:06:00Z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0x01010014768F94803F42BEA62C5B7969543DC7008B7A57E5DE90614098D159175272FAFE</vt:lpwstr>
  </property>
  <property fmtid="{D5CDD505-2E9C-101B-9397-08002B2CF9AE}" pid="3" name="_dlc_DocIdItemGuid">
    <vt:lpwstr>fc5299b6-7954-49eb-962d-dba6c8948450</vt:lpwstr>
  </property>
  <property fmtid="{D5CDD505-2E9C-101B-9397-08002B2CF9AE}" pid="4" name="Order">
    <vt:r8>1145000</vt:r8>
  </property>
</Properties>
</file>