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drawings/drawing1.xml" ContentType="application/vnd.openxmlformats-officedocument.drawingml.chartshapes+xml"/>
  <Override PartName="/word/endnotes.xml" ContentType="application/vnd.openxmlformats-officedocument.wordprocessingml.endnotes+xml"/>
  <Override PartName="/word/footnotes.xml" ContentType="application/vnd.openxmlformats-officedocument.wordprocessingml.foot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fontTable.xml" ContentType="application/vnd.openxmlformats-officedocument.wordprocessingml.fontTable+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73FA79" w14:textId="7A3135F9" w:rsidR="00E23375" w:rsidRPr="00DD37EC" w:rsidRDefault="00E23375" w:rsidP="00DD37EC">
      <w:pPr>
        <w:pStyle w:val="TOCHeading"/>
        <w:spacing w:before="0" w:after="240" w:line="240" w:lineRule="auto"/>
        <w:rPr>
          <w:rFonts w:ascii="Arial" w:eastAsiaTheme="minorHAnsi" w:hAnsi="Arial" w:cs="Arial"/>
          <w:color w:val="auto"/>
          <w:sz w:val="22"/>
          <w:szCs w:val="22"/>
        </w:rPr>
      </w:pPr>
      <w:bookmarkStart w:id="0" w:name="_Hlk535348607"/>
      <w:bookmarkEnd w:id="0"/>
      <w:r w:rsidRPr="00DD37EC">
        <w:rPr>
          <w:rFonts w:ascii="Arial" w:eastAsiaTheme="minorHAnsi" w:hAnsi="Arial" w:cs="Arial"/>
          <w:noProof/>
          <w:color w:val="auto"/>
          <w:sz w:val="22"/>
          <w:szCs w:val="22"/>
        </w:rPr>
        <mc:AlternateContent>
          <mc:Choice Requires="wps">
            <w:drawing>
              <wp:anchor distT="0" distB="0" distL="114300" distR="114300" simplePos="0" relativeHeight="251659264" behindDoc="1" locked="0" layoutInCell="1" allowOverlap="1" wp14:anchorId="1CB5EE40" wp14:editId="5B55E5A0">
                <wp:simplePos x="0" y="0"/>
                <wp:positionH relativeFrom="page">
                  <wp:posOffset>-994</wp:posOffset>
                </wp:positionH>
                <wp:positionV relativeFrom="paragraph">
                  <wp:posOffset>-913627</wp:posOffset>
                </wp:positionV>
                <wp:extent cx="7831455" cy="10161270"/>
                <wp:effectExtent l="0" t="0" r="17145" b="11430"/>
                <wp:wrapNone/>
                <wp:docPr id="1" name="Rectangle 1"/>
                <wp:cNvGraphicFramePr/>
                <a:graphic xmlns:a="http://schemas.openxmlformats.org/drawingml/2006/main">
                  <a:graphicData uri="http://schemas.microsoft.com/office/word/2010/wordprocessingShape">
                    <wps:wsp>
                      <wps:cNvSpPr/>
                      <wps:spPr>
                        <a:xfrm>
                          <a:off x="0" y="0"/>
                          <a:ext cx="7831455" cy="10161270"/>
                        </a:xfrm>
                        <a:prstGeom prst="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CC56629" w14:textId="77777777" w:rsidR="00F74A36" w:rsidRPr="007E35A8" w:rsidRDefault="00F74A36" w:rsidP="007E35A8">
                            <w:bookmarkStart w:id="1" w:name="_GoBack"/>
                            <w:bookmarkEnd w:id="1"/>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B5EE40" id="Rectangle 1" o:spid="_x0000_s1026" style="position:absolute;margin-left:-.1pt;margin-top:-71.95pt;width:616.65pt;height:800.1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" fillcolor="#1f3763 [1604]" strokecolor="#1f3763 [1604]" strokeweight="1pt">
                <v:textbox>
                  <w:txbxContent>
                    <w:p w14:paraId="0CC56629" w14:textId="77777777" w:rsidR="00F74A36" w:rsidRPr="007E35A8" w:rsidRDefault="00F74A36" w:rsidP="007E35A8">
                      <w:bookmarkStart w:id="2" w:name="_GoBack"/>
                      <w:bookmarkEnd w:id="2"/>
                    </w:p>
                  </w:txbxContent>
                </v:textbox>
                <w10:wrap anchorx="page"/>
              </v:rect>
            </w:pict>
          </mc:Fallback>
        </mc:AlternateContent>
      </w:r>
    </w:p>
    <w:p w14:paraId="3F9B4776" w14:textId="3B6445F9" w:rsidR="00E23375" w:rsidRPr="00DD37EC" w:rsidRDefault="00E23375" w:rsidP="00DD37EC">
      <w:pPr>
        <w:pStyle w:val="TOCHeading"/>
        <w:spacing w:before="0" w:after="240" w:line="240" w:lineRule="auto"/>
        <w:rPr>
          <w:rFonts w:ascii="Arial" w:eastAsiaTheme="minorHAnsi" w:hAnsi="Arial" w:cs="Arial"/>
          <w:color w:val="auto"/>
          <w:sz w:val="22"/>
          <w:szCs w:val="22"/>
        </w:rPr>
      </w:pPr>
    </w:p>
    <w:p w14:paraId="733E0BBC" w14:textId="133AE422" w:rsidR="00E23375" w:rsidRPr="00DD37EC" w:rsidRDefault="00E23375" w:rsidP="00DD37EC">
      <w:pPr>
        <w:pStyle w:val="TOCHeading"/>
        <w:spacing w:before="0" w:after="240" w:line="240" w:lineRule="auto"/>
        <w:rPr>
          <w:rFonts w:ascii="Arial" w:eastAsiaTheme="minorHAnsi" w:hAnsi="Arial" w:cs="Arial"/>
          <w:color w:val="auto"/>
          <w:sz w:val="22"/>
          <w:szCs w:val="22"/>
        </w:rPr>
      </w:pPr>
    </w:p>
    <w:p w14:paraId="47E1FC34" w14:textId="01CCF4A7" w:rsidR="00522B6F" w:rsidRPr="00DD37EC" w:rsidRDefault="005B13C9" w:rsidP="00DD37EC">
      <w:pPr>
        <w:pStyle w:val="TOCHeading"/>
        <w:spacing w:before="0" w:after="240" w:line="240" w:lineRule="auto"/>
        <w:jc w:val="right"/>
        <w:rPr>
          <w:rFonts w:ascii="Arial" w:hAnsi="Arial" w:cs="Arial"/>
          <w:b/>
          <w:color w:val="FFFFFF" w:themeColor="background1"/>
          <w:sz w:val="72"/>
          <w:szCs w:val="22"/>
          <w:lang w:val="es-MX"/>
        </w:rPr>
      </w:pPr>
      <w:r w:rsidRPr="00DD37EC">
        <w:rPr>
          <w:rFonts w:ascii="Arial" w:hAnsi="Arial" w:cs="Arial"/>
          <w:b/>
          <w:color w:val="FFFFFF" w:themeColor="background1"/>
          <w:sz w:val="72"/>
          <w:szCs w:val="22"/>
          <w:lang w:val="es-MX"/>
        </w:rPr>
        <w:t>ESTRATEGIA</w:t>
      </w:r>
      <w:r w:rsidR="007E00D6" w:rsidRPr="00DD37EC">
        <w:rPr>
          <w:rFonts w:ascii="Arial" w:hAnsi="Arial" w:cs="Arial"/>
          <w:b/>
          <w:color w:val="FFFFFF" w:themeColor="background1"/>
          <w:sz w:val="72"/>
          <w:szCs w:val="22"/>
          <w:lang w:val="es-MX"/>
        </w:rPr>
        <w:t xml:space="preserve"> NACIONAL DE</w:t>
      </w:r>
      <w:r w:rsidR="00980FA1">
        <w:rPr>
          <w:rFonts w:ascii="Arial" w:hAnsi="Arial" w:cs="Arial"/>
          <w:b/>
          <w:color w:val="FFFFFF" w:themeColor="background1"/>
          <w:sz w:val="72"/>
          <w:szCs w:val="22"/>
          <w:lang w:val="es-MX"/>
        </w:rPr>
        <w:t xml:space="preserve"> LA</w:t>
      </w:r>
      <w:r w:rsidR="00E23375" w:rsidRPr="00DD37EC">
        <w:rPr>
          <w:rFonts w:ascii="Arial" w:hAnsi="Arial" w:cs="Arial"/>
          <w:b/>
          <w:color w:val="FFFFFF" w:themeColor="background1"/>
          <w:sz w:val="72"/>
          <w:szCs w:val="22"/>
          <w:lang w:val="es-MX"/>
        </w:rPr>
        <w:t xml:space="preserve"> SOSTENIBILIDAD DE L</w:t>
      </w:r>
      <w:r w:rsidR="007E00D6" w:rsidRPr="00DD37EC">
        <w:rPr>
          <w:rFonts w:ascii="Arial" w:hAnsi="Arial" w:cs="Arial"/>
          <w:b/>
          <w:color w:val="FFFFFF" w:themeColor="background1"/>
          <w:sz w:val="72"/>
          <w:szCs w:val="22"/>
          <w:lang w:val="es-MX"/>
        </w:rPr>
        <w:t>A RESPUESTA NACIONAL AL</w:t>
      </w:r>
      <w:r w:rsidR="00E23375" w:rsidRPr="00DD37EC">
        <w:rPr>
          <w:rFonts w:ascii="Arial" w:hAnsi="Arial" w:cs="Arial"/>
          <w:b/>
          <w:color w:val="FFFFFF" w:themeColor="background1"/>
          <w:sz w:val="72"/>
          <w:szCs w:val="22"/>
          <w:lang w:val="es-MX"/>
        </w:rPr>
        <w:t xml:space="preserve"> VIH Y TUBERCULOSIS</w:t>
      </w:r>
    </w:p>
    <w:p w14:paraId="4E39EC55" w14:textId="77777777" w:rsidR="007E35A8" w:rsidRDefault="007E35A8" w:rsidP="00DD37EC">
      <w:pPr>
        <w:pStyle w:val="TOCHeading"/>
        <w:spacing w:before="0" w:after="240" w:line="240" w:lineRule="auto"/>
        <w:jc w:val="right"/>
        <w:rPr>
          <w:rFonts w:ascii="Arial" w:hAnsi="Arial" w:cs="Arial"/>
          <w:b/>
          <w:color w:val="FFFFFF" w:themeColor="background1"/>
          <w:sz w:val="56"/>
          <w:szCs w:val="22"/>
          <w:lang w:val="es-MX"/>
        </w:rPr>
      </w:pPr>
    </w:p>
    <w:p w14:paraId="099315E2" w14:textId="049E76A3" w:rsidR="00E23375" w:rsidRPr="00DD37EC" w:rsidRDefault="00522B6F" w:rsidP="00DD37EC">
      <w:pPr>
        <w:pStyle w:val="TOCHeading"/>
        <w:spacing w:before="0" w:after="240" w:line="240" w:lineRule="auto"/>
        <w:jc w:val="right"/>
        <w:rPr>
          <w:rFonts w:ascii="Arial" w:hAnsi="Arial" w:cs="Arial"/>
          <w:b/>
          <w:color w:val="FFFFFF" w:themeColor="background1"/>
          <w:sz w:val="56"/>
          <w:szCs w:val="22"/>
          <w:lang w:val="es-MX"/>
        </w:rPr>
      </w:pPr>
      <w:r w:rsidRPr="00DD37EC">
        <w:rPr>
          <w:rFonts w:ascii="Arial" w:hAnsi="Arial" w:cs="Arial"/>
          <w:b/>
          <w:color w:val="FFFFFF" w:themeColor="background1"/>
          <w:sz w:val="56"/>
          <w:szCs w:val="22"/>
          <w:lang w:val="es-MX"/>
        </w:rPr>
        <w:t>Análisis de riesgos hacia la sostenibilidad</w:t>
      </w:r>
      <w:r w:rsidR="00E23375" w:rsidRPr="00DD37EC">
        <w:rPr>
          <w:rFonts w:ascii="Arial" w:hAnsi="Arial" w:cs="Arial"/>
          <w:b/>
          <w:color w:val="FFFFFF" w:themeColor="background1"/>
          <w:sz w:val="56"/>
          <w:szCs w:val="22"/>
          <w:lang w:val="es-MX"/>
        </w:rPr>
        <w:t xml:space="preserve"> </w:t>
      </w:r>
    </w:p>
    <w:p w14:paraId="72D44FF2" w14:textId="62900ABE" w:rsidR="00E23375" w:rsidRDefault="00E23375" w:rsidP="00DD37EC">
      <w:pPr>
        <w:pStyle w:val="TOCHeading"/>
        <w:spacing w:before="0" w:after="240" w:line="240" w:lineRule="auto"/>
        <w:jc w:val="right"/>
        <w:rPr>
          <w:rFonts w:ascii="Arial" w:hAnsi="Arial" w:cs="Arial"/>
          <w:b/>
          <w:color w:val="FFFFFF" w:themeColor="background1"/>
          <w:sz w:val="56"/>
          <w:szCs w:val="22"/>
          <w:lang w:val="es-MX"/>
        </w:rPr>
      </w:pPr>
      <w:r w:rsidRPr="00DD37EC">
        <w:rPr>
          <w:rFonts w:ascii="Arial" w:hAnsi="Arial" w:cs="Arial"/>
          <w:b/>
          <w:color w:val="FFFFFF" w:themeColor="background1"/>
          <w:sz w:val="56"/>
          <w:szCs w:val="22"/>
          <w:lang w:val="es-MX"/>
        </w:rPr>
        <w:t>HONDURAS</w:t>
      </w:r>
    </w:p>
    <w:p w14:paraId="4AF918C1" w14:textId="666E0AEF" w:rsidR="00980FA1" w:rsidRPr="00980FA1" w:rsidRDefault="00980FA1" w:rsidP="00980FA1">
      <w:pPr>
        <w:jc w:val="right"/>
        <w:rPr>
          <w:b/>
          <w:color w:val="FFFFFF" w:themeColor="background1"/>
          <w:sz w:val="48"/>
          <w:lang w:val="es-MX"/>
        </w:rPr>
      </w:pPr>
      <w:r w:rsidRPr="00980FA1">
        <w:rPr>
          <w:b/>
          <w:color w:val="FFFFFF" w:themeColor="background1"/>
          <w:sz w:val="48"/>
          <w:lang w:val="es-MX"/>
        </w:rPr>
        <w:t>1</w:t>
      </w:r>
      <w:r w:rsidR="004C7BD4">
        <w:rPr>
          <w:b/>
          <w:color w:val="FFFFFF" w:themeColor="background1"/>
          <w:sz w:val="48"/>
          <w:lang w:val="es-MX"/>
        </w:rPr>
        <w:t>5</w:t>
      </w:r>
      <w:r w:rsidRPr="00980FA1">
        <w:rPr>
          <w:b/>
          <w:color w:val="FFFFFF" w:themeColor="background1"/>
          <w:sz w:val="48"/>
          <w:lang w:val="es-MX"/>
        </w:rPr>
        <w:t xml:space="preserve"> de mayo 2019</w:t>
      </w:r>
    </w:p>
    <w:p w14:paraId="0754C64B" w14:textId="77777777" w:rsidR="00E23375" w:rsidRPr="00DD37EC" w:rsidRDefault="00E23375" w:rsidP="00DD37EC">
      <w:pPr>
        <w:pStyle w:val="TOCHeading"/>
        <w:spacing w:before="0" w:after="240" w:line="240" w:lineRule="auto"/>
        <w:rPr>
          <w:rFonts w:ascii="Arial" w:eastAsiaTheme="minorHAnsi" w:hAnsi="Arial" w:cs="Arial"/>
          <w:color w:val="auto"/>
          <w:sz w:val="22"/>
          <w:szCs w:val="22"/>
          <w:lang w:val="es-419"/>
        </w:rPr>
      </w:pPr>
    </w:p>
    <w:p w14:paraId="14297A82" w14:textId="7F470A9B" w:rsidR="00E23375" w:rsidRPr="00DD37EC" w:rsidRDefault="00E23375" w:rsidP="00DD37EC">
      <w:pPr>
        <w:pStyle w:val="TOCHeading"/>
        <w:spacing w:before="0" w:after="240" w:line="240" w:lineRule="auto"/>
        <w:rPr>
          <w:rFonts w:ascii="Arial" w:eastAsiaTheme="minorHAnsi" w:hAnsi="Arial" w:cs="Arial"/>
          <w:color w:val="auto"/>
          <w:sz w:val="22"/>
          <w:szCs w:val="22"/>
          <w:lang w:val="es-419"/>
        </w:rPr>
      </w:pPr>
    </w:p>
    <w:p w14:paraId="0DF55D21" w14:textId="14A9F44C" w:rsidR="00E23375" w:rsidRPr="00DD37EC" w:rsidRDefault="00E23375" w:rsidP="00DD37EC">
      <w:pPr>
        <w:pStyle w:val="TOCHeading"/>
        <w:spacing w:before="0" w:after="240" w:line="240" w:lineRule="auto"/>
        <w:rPr>
          <w:rFonts w:ascii="Arial" w:eastAsiaTheme="minorHAnsi" w:hAnsi="Arial" w:cs="Arial"/>
          <w:color w:val="auto"/>
          <w:sz w:val="22"/>
          <w:szCs w:val="22"/>
          <w:lang w:val="es-419"/>
        </w:rPr>
      </w:pPr>
    </w:p>
    <w:p w14:paraId="6F60F033" w14:textId="77777777" w:rsidR="00C5405B" w:rsidRPr="00DD37EC" w:rsidRDefault="00C5405B" w:rsidP="00DD37EC">
      <w:pPr>
        <w:pStyle w:val="TOCHeading"/>
        <w:spacing w:before="0" w:after="240" w:line="240" w:lineRule="auto"/>
        <w:rPr>
          <w:rFonts w:ascii="Arial" w:eastAsiaTheme="minorHAnsi" w:hAnsi="Arial" w:cs="Arial"/>
          <w:color w:val="auto"/>
          <w:sz w:val="22"/>
          <w:szCs w:val="22"/>
          <w:lang w:val="es-419"/>
        </w:rPr>
      </w:pPr>
    </w:p>
    <w:p w14:paraId="2AAAECEB" w14:textId="77777777" w:rsidR="007E35A8" w:rsidRPr="007E35A8" w:rsidRDefault="007E35A8" w:rsidP="007E35A8">
      <w:pPr>
        <w:rPr>
          <w:lang w:val="es-419"/>
        </w:rPr>
      </w:pPr>
    </w:p>
    <w:p w14:paraId="7A7DEF7D" w14:textId="77777777" w:rsidR="007E35A8" w:rsidRPr="007E35A8" w:rsidRDefault="007E35A8" w:rsidP="007E35A8">
      <w:pPr>
        <w:spacing w:after="240" w:line="240" w:lineRule="auto"/>
        <w:rPr>
          <w:rFonts w:ascii="Arial" w:hAnsi="Arial" w:cs="Arial"/>
          <w:lang w:val="es-MX"/>
        </w:rPr>
      </w:pPr>
      <w:bookmarkStart w:id="3" w:name="_Toc534983151"/>
      <w:bookmarkStart w:id="4" w:name="_Toc529882087"/>
      <w:bookmarkStart w:id="5" w:name="_Toc529812933"/>
    </w:p>
    <w:p w14:paraId="22033752" w14:textId="77777777" w:rsidR="007E35A8" w:rsidRPr="007E35A8" w:rsidRDefault="007E35A8" w:rsidP="007E35A8">
      <w:pPr>
        <w:spacing w:after="240" w:line="240" w:lineRule="auto"/>
        <w:rPr>
          <w:rFonts w:ascii="Arial" w:hAnsi="Arial" w:cs="Arial"/>
          <w:lang w:val="es-MX"/>
        </w:rPr>
      </w:pPr>
    </w:p>
    <w:bookmarkEnd w:id="3"/>
    <w:p w14:paraId="415944BE" w14:textId="18AF085D" w:rsidR="00C5405B" w:rsidRPr="00DD37EC" w:rsidRDefault="00C5405B" w:rsidP="00DD37EC">
      <w:pPr>
        <w:spacing w:after="240" w:line="240" w:lineRule="auto"/>
        <w:rPr>
          <w:rFonts w:ascii="Arial" w:hAnsi="Arial" w:cs="Arial"/>
          <w:lang w:val="es-MX"/>
        </w:rPr>
      </w:pPr>
    </w:p>
    <w:bookmarkStart w:id="6" w:name="_Toc8905206" w:displacedByCustomXml="next"/>
    <w:bookmarkStart w:id="7" w:name="_Toc535411109" w:displacedByCustomXml="next"/>
    <w:bookmarkStart w:id="8" w:name="_Toc535074542" w:displacedByCustomXml="next"/>
    <w:bookmarkStart w:id="9" w:name="_Toc534983152" w:displacedByCustomXml="next"/>
    <w:sdt>
      <w:sdtPr>
        <w:rPr>
          <w:rFonts w:ascii="Arial" w:eastAsiaTheme="minorHAnsi" w:hAnsi="Arial" w:cs="Arial"/>
          <w:color w:val="auto"/>
          <w:sz w:val="22"/>
          <w:szCs w:val="22"/>
        </w:rPr>
        <w:id w:val="535316692"/>
        <w:docPartObj>
          <w:docPartGallery w:val="Table of Contents"/>
          <w:docPartUnique/>
        </w:docPartObj>
      </w:sdtPr>
      <w:sdtEndPr>
        <w:rPr>
          <w:b/>
          <w:bCs/>
          <w:noProof/>
        </w:rPr>
      </w:sdtEndPr>
      <w:sdtContent>
        <w:p w14:paraId="512DB2E3" w14:textId="77777777" w:rsidR="00D72B17" w:rsidRDefault="00E23375" w:rsidP="00DF55F6">
          <w:pPr>
            <w:pStyle w:val="Heading1"/>
            <w:spacing w:before="0" w:after="120" w:line="240" w:lineRule="auto"/>
            <w:rPr>
              <w:noProof/>
            </w:rPr>
          </w:pPr>
          <w:r w:rsidRPr="00DD37EC">
            <w:rPr>
              <w:rFonts w:ascii="Arial" w:hAnsi="Arial" w:cs="Arial"/>
              <w:b/>
              <w:sz w:val="22"/>
              <w:szCs w:val="22"/>
            </w:rPr>
            <w:t>ÍNDICE</w:t>
          </w:r>
          <w:bookmarkEnd w:id="4"/>
          <w:bookmarkEnd w:id="5"/>
          <w:bookmarkEnd w:id="9"/>
          <w:bookmarkEnd w:id="8"/>
          <w:bookmarkEnd w:id="7"/>
          <w:bookmarkEnd w:id="6"/>
          <w:r w:rsidR="00EC31D4" w:rsidRPr="00DD37EC">
            <w:rPr>
              <w:rFonts w:ascii="Arial" w:hAnsi="Arial" w:cs="Arial"/>
              <w:b/>
              <w:bCs/>
              <w:noProof/>
              <w:sz w:val="22"/>
              <w:szCs w:val="22"/>
            </w:rPr>
            <w:fldChar w:fldCharType="begin"/>
          </w:r>
          <w:r w:rsidR="00EC31D4" w:rsidRPr="00DD37EC">
            <w:rPr>
              <w:rFonts w:ascii="Arial" w:hAnsi="Arial" w:cs="Arial"/>
              <w:b/>
              <w:bCs/>
              <w:noProof/>
              <w:sz w:val="22"/>
              <w:szCs w:val="22"/>
            </w:rPr>
            <w:instrText xml:space="preserve"> TOC \o "1-3" \h \z \u </w:instrText>
          </w:r>
          <w:r w:rsidR="00EC31D4" w:rsidRPr="00DD37EC">
            <w:rPr>
              <w:rFonts w:ascii="Arial" w:hAnsi="Arial" w:cs="Arial"/>
              <w:b/>
              <w:bCs/>
              <w:noProof/>
              <w:sz w:val="22"/>
              <w:szCs w:val="22"/>
            </w:rPr>
            <w:fldChar w:fldCharType="separate"/>
          </w:r>
        </w:p>
        <w:p w14:paraId="61348049" w14:textId="21222D53" w:rsidR="00D72B17" w:rsidRDefault="006F6A41">
          <w:pPr>
            <w:pStyle w:val="TOC1"/>
            <w:tabs>
              <w:tab w:val="right" w:leader="dot" w:pos="9954"/>
            </w:tabs>
            <w:rPr>
              <w:rFonts w:eastAsiaTheme="minorEastAsia"/>
              <w:noProof/>
            </w:rPr>
          </w:pPr>
          <w:hyperlink w:anchor="_Toc8905206" w:history="1">
            <w:r w:rsidR="00D72B17" w:rsidRPr="0016676F">
              <w:rPr>
                <w:rStyle w:val="Hyperlink"/>
                <w:rFonts w:ascii="Arial" w:hAnsi="Arial" w:cs="Arial"/>
                <w:b/>
                <w:noProof/>
              </w:rPr>
              <w:t>ÍNDICE</w:t>
            </w:r>
            <w:r w:rsidR="00D72B17">
              <w:rPr>
                <w:noProof/>
                <w:webHidden/>
              </w:rPr>
              <w:tab/>
            </w:r>
            <w:r w:rsidR="00D72B17">
              <w:rPr>
                <w:noProof/>
                <w:webHidden/>
              </w:rPr>
              <w:fldChar w:fldCharType="begin"/>
            </w:r>
            <w:r w:rsidR="00D72B17">
              <w:rPr>
                <w:noProof/>
                <w:webHidden/>
              </w:rPr>
              <w:instrText xml:space="preserve"> PAGEREF _Toc8905206 \h </w:instrText>
            </w:r>
            <w:r w:rsidR="00D72B17">
              <w:rPr>
                <w:noProof/>
                <w:webHidden/>
              </w:rPr>
            </w:r>
            <w:r w:rsidR="00D72B17">
              <w:rPr>
                <w:noProof/>
                <w:webHidden/>
              </w:rPr>
              <w:fldChar w:fldCharType="separate"/>
            </w:r>
            <w:r w:rsidR="00776040">
              <w:rPr>
                <w:noProof/>
                <w:webHidden/>
              </w:rPr>
              <w:t>2</w:t>
            </w:r>
            <w:r w:rsidR="00D72B17">
              <w:rPr>
                <w:noProof/>
                <w:webHidden/>
              </w:rPr>
              <w:fldChar w:fldCharType="end"/>
            </w:r>
          </w:hyperlink>
        </w:p>
        <w:p w14:paraId="362A57D9" w14:textId="1BDDD0FA" w:rsidR="00D72B17" w:rsidRDefault="006F6A41">
          <w:pPr>
            <w:pStyle w:val="TOC1"/>
            <w:tabs>
              <w:tab w:val="right" w:leader="dot" w:pos="9954"/>
            </w:tabs>
            <w:rPr>
              <w:rFonts w:eastAsiaTheme="minorEastAsia"/>
              <w:noProof/>
            </w:rPr>
          </w:pPr>
          <w:hyperlink w:anchor="_Toc8905207" w:history="1">
            <w:r w:rsidR="00D72B17" w:rsidRPr="0016676F">
              <w:rPr>
                <w:rStyle w:val="Hyperlink"/>
                <w:rFonts w:ascii="Arial" w:hAnsi="Arial" w:cs="Arial"/>
                <w:noProof/>
                <w:lang w:val="es-419"/>
              </w:rPr>
              <w:t>Lista de Acrónimos</w:t>
            </w:r>
            <w:r w:rsidR="00D72B17">
              <w:rPr>
                <w:noProof/>
                <w:webHidden/>
              </w:rPr>
              <w:tab/>
            </w:r>
            <w:r w:rsidR="00D72B17">
              <w:rPr>
                <w:noProof/>
                <w:webHidden/>
              </w:rPr>
              <w:fldChar w:fldCharType="begin"/>
            </w:r>
            <w:r w:rsidR="00D72B17">
              <w:rPr>
                <w:noProof/>
                <w:webHidden/>
              </w:rPr>
              <w:instrText xml:space="preserve"> PAGEREF _Toc8905207 \h </w:instrText>
            </w:r>
            <w:r w:rsidR="00D72B17">
              <w:rPr>
                <w:noProof/>
                <w:webHidden/>
              </w:rPr>
            </w:r>
            <w:r w:rsidR="00D72B17">
              <w:rPr>
                <w:noProof/>
                <w:webHidden/>
              </w:rPr>
              <w:fldChar w:fldCharType="separate"/>
            </w:r>
            <w:r w:rsidR="00776040">
              <w:rPr>
                <w:noProof/>
                <w:webHidden/>
              </w:rPr>
              <w:t>4</w:t>
            </w:r>
            <w:r w:rsidR="00D72B17">
              <w:rPr>
                <w:noProof/>
                <w:webHidden/>
              </w:rPr>
              <w:fldChar w:fldCharType="end"/>
            </w:r>
          </w:hyperlink>
        </w:p>
        <w:p w14:paraId="1178E5D1" w14:textId="704870DC" w:rsidR="00D72B17" w:rsidRDefault="006F6A41">
          <w:pPr>
            <w:pStyle w:val="TOC1"/>
            <w:tabs>
              <w:tab w:val="right" w:leader="dot" w:pos="9954"/>
            </w:tabs>
            <w:rPr>
              <w:rFonts w:eastAsiaTheme="minorEastAsia"/>
              <w:noProof/>
            </w:rPr>
          </w:pPr>
          <w:hyperlink w:anchor="_Toc8905208" w:history="1">
            <w:r w:rsidR="00D72B17" w:rsidRPr="0016676F">
              <w:rPr>
                <w:rStyle w:val="Hyperlink"/>
                <w:rFonts w:ascii="Arial" w:hAnsi="Arial" w:cs="Arial"/>
                <w:noProof/>
                <w:lang w:val="es-419"/>
              </w:rPr>
              <w:t>Lista de Figuras y Tablas</w:t>
            </w:r>
            <w:r w:rsidR="00D72B17">
              <w:rPr>
                <w:noProof/>
                <w:webHidden/>
              </w:rPr>
              <w:tab/>
            </w:r>
            <w:r w:rsidR="00D72B17">
              <w:rPr>
                <w:noProof/>
                <w:webHidden/>
              </w:rPr>
              <w:fldChar w:fldCharType="begin"/>
            </w:r>
            <w:r w:rsidR="00D72B17">
              <w:rPr>
                <w:noProof/>
                <w:webHidden/>
              </w:rPr>
              <w:instrText xml:space="preserve"> PAGEREF _Toc8905208 \h </w:instrText>
            </w:r>
            <w:r w:rsidR="00D72B17">
              <w:rPr>
                <w:noProof/>
                <w:webHidden/>
              </w:rPr>
            </w:r>
            <w:r w:rsidR="00D72B17">
              <w:rPr>
                <w:noProof/>
                <w:webHidden/>
              </w:rPr>
              <w:fldChar w:fldCharType="separate"/>
            </w:r>
            <w:r w:rsidR="00776040">
              <w:rPr>
                <w:noProof/>
                <w:webHidden/>
              </w:rPr>
              <w:t>6</w:t>
            </w:r>
            <w:r w:rsidR="00D72B17">
              <w:rPr>
                <w:noProof/>
                <w:webHidden/>
              </w:rPr>
              <w:fldChar w:fldCharType="end"/>
            </w:r>
          </w:hyperlink>
        </w:p>
        <w:p w14:paraId="66154F6D" w14:textId="23F3D480" w:rsidR="00D72B17" w:rsidRDefault="006F6A41">
          <w:pPr>
            <w:pStyle w:val="TOC1"/>
            <w:tabs>
              <w:tab w:val="right" w:leader="dot" w:pos="9954"/>
            </w:tabs>
            <w:rPr>
              <w:rFonts w:eastAsiaTheme="minorEastAsia"/>
              <w:noProof/>
            </w:rPr>
          </w:pPr>
          <w:hyperlink w:anchor="_Toc8905209" w:history="1">
            <w:r w:rsidR="00D72B17" w:rsidRPr="0016676F">
              <w:rPr>
                <w:rStyle w:val="Hyperlink"/>
                <w:rFonts w:ascii="Arial" w:hAnsi="Arial" w:cs="Arial"/>
                <w:noProof/>
                <w:lang w:val="es-419"/>
              </w:rPr>
              <w:t>1. Resumen Ejecutivo</w:t>
            </w:r>
            <w:r w:rsidR="00D72B17">
              <w:rPr>
                <w:noProof/>
                <w:webHidden/>
              </w:rPr>
              <w:tab/>
            </w:r>
            <w:r w:rsidR="00D72B17">
              <w:rPr>
                <w:noProof/>
                <w:webHidden/>
              </w:rPr>
              <w:fldChar w:fldCharType="begin"/>
            </w:r>
            <w:r w:rsidR="00D72B17">
              <w:rPr>
                <w:noProof/>
                <w:webHidden/>
              </w:rPr>
              <w:instrText xml:space="preserve"> PAGEREF _Toc8905209 \h </w:instrText>
            </w:r>
            <w:r w:rsidR="00D72B17">
              <w:rPr>
                <w:noProof/>
                <w:webHidden/>
              </w:rPr>
            </w:r>
            <w:r w:rsidR="00D72B17">
              <w:rPr>
                <w:noProof/>
                <w:webHidden/>
              </w:rPr>
              <w:fldChar w:fldCharType="separate"/>
            </w:r>
            <w:r w:rsidR="00776040">
              <w:rPr>
                <w:noProof/>
                <w:webHidden/>
              </w:rPr>
              <w:t>7</w:t>
            </w:r>
            <w:r w:rsidR="00D72B17">
              <w:rPr>
                <w:noProof/>
                <w:webHidden/>
              </w:rPr>
              <w:fldChar w:fldCharType="end"/>
            </w:r>
          </w:hyperlink>
        </w:p>
        <w:p w14:paraId="5A94F3E5" w14:textId="52ED8F7D" w:rsidR="00D72B17" w:rsidRDefault="006F6A41">
          <w:pPr>
            <w:pStyle w:val="TOC2"/>
            <w:tabs>
              <w:tab w:val="left" w:pos="880"/>
              <w:tab w:val="right" w:leader="dot" w:pos="9954"/>
            </w:tabs>
            <w:rPr>
              <w:rFonts w:eastAsiaTheme="minorEastAsia"/>
              <w:noProof/>
            </w:rPr>
          </w:pPr>
          <w:hyperlink w:anchor="_Toc8905210" w:history="1">
            <w:r w:rsidR="00D72B17" w:rsidRPr="0016676F">
              <w:rPr>
                <w:rStyle w:val="Hyperlink"/>
                <w:rFonts w:ascii="Arial" w:hAnsi="Arial" w:cs="Arial"/>
                <w:noProof/>
                <w:lang w:val="es-419"/>
              </w:rPr>
              <w:t>1.1</w:t>
            </w:r>
            <w:r w:rsidR="00D72B17">
              <w:rPr>
                <w:rFonts w:eastAsiaTheme="minorEastAsia"/>
                <w:noProof/>
              </w:rPr>
              <w:tab/>
            </w:r>
            <w:r w:rsidR="00D72B17" w:rsidRPr="0016676F">
              <w:rPr>
                <w:rStyle w:val="Hyperlink"/>
                <w:rFonts w:ascii="Arial" w:hAnsi="Arial" w:cs="Arial"/>
                <w:noProof/>
                <w:lang w:val="es-419"/>
              </w:rPr>
              <w:t>Motivación de la Estrategia de la Sostenibilidad de VIH y TB</w:t>
            </w:r>
            <w:r w:rsidR="00D72B17">
              <w:rPr>
                <w:noProof/>
                <w:webHidden/>
              </w:rPr>
              <w:tab/>
            </w:r>
            <w:r w:rsidR="00D72B17">
              <w:rPr>
                <w:noProof/>
                <w:webHidden/>
              </w:rPr>
              <w:fldChar w:fldCharType="begin"/>
            </w:r>
            <w:r w:rsidR="00D72B17">
              <w:rPr>
                <w:noProof/>
                <w:webHidden/>
              </w:rPr>
              <w:instrText xml:space="preserve"> PAGEREF _Toc8905210 \h </w:instrText>
            </w:r>
            <w:r w:rsidR="00D72B17">
              <w:rPr>
                <w:noProof/>
                <w:webHidden/>
              </w:rPr>
            </w:r>
            <w:r w:rsidR="00D72B17">
              <w:rPr>
                <w:noProof/>
                <w:webHidden/>
              </w:rPr>
              <w:fldChar w:fldCharType="separate"/>
            </w:r>
            <w:r w:rsidR="00776040">
              <w:rPr>
                <w:noProof/>
                <w:webHidden/>
              </w:rPr>
              <w:t>7</w:t>
            </w:r>
            <w:r w:rsidR="00D72B17">
              <w:rPr>
                <w:noProof/>
                <w:webHidden/>
              </w:rPr>
              <w:fldChar w:fldCharType="end"/>
            </w:r>
          </w:hyperlink>
        </w:p>
        <w:p w14:paraId="1F5D763B" w14:textId="6D68AEB8" w:rsidR="00D72B17" w:rsidRDefault="006F6A41">
          <w:pPr>
            <w:pStyle w:val="TOC2"/>
            <w:tabs>
              <w:tab w:val="left" w:pos="880"/>
              <w:tab w:val="right" w:leader="dot" w:pos="9954"/>
            </w:tabs>
            <w:rPr>
              <w:rFonts w:eastAsiaTheme="minorEastAsia"/>
              <w:noProof/>
            </w:rPr>
          </w:pPr>
          <w:hyperlink w:anchor="_Toc8905211" w:history="1">
            <w:r w:rsidR="00D72B17" w:rsidRPr="0016676F">
              <w:rPr>
                <w:rStyle w:val="Hyperlink"/>
                <w:rFonts w:ascii="Arial" w:hAnsi="Arial" w:cs="Arial"/>
                <w:noProof/>
                <w:lang w:val="es-419"/>
              </w:rPr>
              <w:t>1.2</w:t>
            </w:r>
            <w:r w:rsidR="00D72B17">
              <w:rPr>
                <w:rFonts w:eastAsiaTheme="minorEastAsia"/>
                <w:noProof/>
              </w:rPr>
              <w:tab/>
            </w:r>
            <w:r w:rsidR="00D72B17" w:rsidRPr="0016676F">
              <w:rPr>
                <w:rStyle w:val="Hyperlink"/>
                <w:rFonts w:ascii="Arial" w:hAnsi="Arial" w:cs="Arial"/>
                <w:noProof/>
                <w:lang w:val="es-419"/>
              </w:rPr>
              <w:t>Metodología</w:t>
            </w:r>
            <w:r w:rsidR="00D72B17">
              <w:rPr>
                <w:noProof/>
                <w:webHidden/>
              </w:rPr>
              <w:tab/>
            </w:r>
            <w:r w:rsidR="00D72B17">
              <w:rPr>
                <w:noProof/>
                <w:webHidden/>
              </w:rPr>
              <w:fldChar w:fldCharType="begin"/>
            </w:r>
            <w:r w:rsidR="00D72B17">
              <w:rPr>
                <w:noProof/>
                <w:webHidden/>
              </w:rPr>
              <w:instrText xml:space="preserve"> PAGEREF _Toc8905211 \h </w:instrText>
            </w:r>
            <w:r w:rsidR="00D72B17">
              <w:rPr>
                <w:noProof/>
                <w:webHidden/>
              </w:rPr>
            </w:r>
            <w:r w:rsidR="00D72B17">
              <w:rPr>
                <w:noProof/>
                <w:webHidden/>
              </w:rPr>
              <w:fldChar w:fldCharType="separate"/>
            </w:r>
            <w:r w:rsidR="00776040">
              <w:rPr>
                <w:noProof/>
                <w:webHidden/>
              </w:rPr>
              <w:t>7</w:t>
            </w:r>
            <w:r w:rsidR="00D72B17">
              <w:rPr>
                <w:noProof/>
                <w:webHidden/>
              </w:rPr>
              <w:fldChar w:fldCharType="end"/>
            </w:r>
          </w:hyperlink>
        </w:p>
        <w:p w14:paraId="5F8D6756" w14:textId="13EB5364" w:rsidR="00D72B17" w:rsidRDefault="006F6A41">
          <w:pPr>
            <w:pStyle w:val="TOC2"/>
            <w:tabs>
              <w:tab w:val="left" w:pos="880"/>
              <w:tab w:val="right" w:leader="dot" w:pos="9954"/>
            </w:tabs>
            <w:rPr>
              <w:rFonts w:eastAsiaTheme="minorEastAsia"/>
              <w:noProof/>
            </w:rPr>
          </w:pPr>
          <w:hyperlink w:anchor="_Toc8905212" w:history="1">
            <w:r w:rsidR="00D72B17" w:rsidRPr="0016676F">
              <w:rPr>
                <w:rStyle w:val="Hyperlink"/>
                <w:rFonts w:ascii="Arial" w:hAnsi="Arial" w:cs="Arial"/>
                <w:noProof/>
                <w:lang w:val="es-419"/>
              </w:rPr>
              <w:t>1.3</w:t>
            </w:r>
            <w:r w:rsidR="00D72B17">
              <w:rPr>
                <w:rFonts w:eastAsiaTheme="minorEastAsia"/>
                <w:noProof/>
              </w:rPr>
              <w:tab/>
            </w:r>
            <w:r w:rsidR="00D72B17" w:rsidRPr="0016676F">
              <w:rPr>
                <w:rStyle w:val="Hyperlink"/>
                <w:rFonts w:ascii="Arial" w:hAnsi="Arial" w:cs="Arial"/>
                <w:noProof/>
                <w:lang w:val="es-419"/>
              </w:rPr>
              <w:t>Contexto del país y hallazgos preliminares</w:t>
            </w:r>
            <w:r w:rsidR="00D72B17">
              <w:rPr>
                <w:noProof/>
                <w:webHidden/>
              </w:rPr>
              <w:tab/>
            </w:r>
            <w:r w:rsidR="00D72B17">
              <w:rPr>
                <w:noProof/>
                <w:webHidden/>
              </w:rPr>
              <w:fldChar w:fldCharType="begin"/>
            </w:r>
            <w:r w:rsidR="00D72B17">
              <w:rPr>
                <w:noProof/>
                <w:webHidden/>
              </w:rPr>
              <w:instrText xml:space="preserve"> PAGEREF _Toc8905212 \h </w:instrText>
            </w:r>
            <w:r w:rsidR="00D72B17">
              <w:rPr>
                <w:noProof/>
                <w:webHidden/>
              </w:rPr>
            </w:r>
            <w:r w:rsidR="00D72B17">
              <w:rPr>
                <w:noProof/>
                <w:webHidden/>
              </w:rPr>
              <w:fldChar w:fldCharType="separate"/>
            </w:r>
            <w:r w:rsidR="00776040">
              <w:rPr>
                <w:noProof/>
                <w:webHidden/>
              </w:rPr>
              <w:t>8</w:t>
            </w:r>
            <w:r w:rsidR="00D72B17">
              <w:rPr>
                <w:noProof/>
                <w:webHidden/>
              </w:rPr>
              <w:fldChar w:fldCharType="end"/>
            </w:r>
          </w:hyperlink>
        </w:p>
        <w:p w14:paraId="4EC22708" w14:textId="30336B2F" w:rsidR="00D72B17" w:rsidRDefault="006F6A41">
          <w:pPr>
            <w:pStyle w:val="TOC3"/>
            <w:tabs>
              <w:tab w:val="right" w:leader="dot" w:pos="9954"/>
            </w:tabs>
            <w:rPr>
              <w:rFonts w:eastAsiaTheme="minorEastAsia"/>
              <w:noProof/>
            </w:rPr>
          </w:pPr>
          <w:hyperlink w:anchor="_Toc8905213" w:history="1">
            <w:r w:rsidR="00D72B17" w:rsidRPr="0016676F">
              <w:rPr>
                <w:rStyle w:val="Hyperlink"/>
                <w:rFonts w:ascii="Arial" w:hAnsi="Arial" w:cs="Arial"/>
                <w:noProof/>
                <w:lang w:val="es-419"/>
              </w:rPr>
              <w:t>1.3.1 Riesgos a la sostenibilidad priorizados por el país</w:t>
            </w:r>
            <w:r w:rsidR="00D72B17">
              <w:rPr>
                <w:noProof/>
                <w:webHidden/>
              </w:rPr>
              <w:tab/>
            </w:r>
            <w:r w:rsidR="00D72B17">
              <w:rPr>
                <w:noProof/>
                <w:webHidden/>
              </w:rPr>
              <w:fldChar w:fldCharType="begin"/>
            </w:r>
            <w:r w:rsidR="00D72B17">
              <w:rPr>
                <w:noProof/>
                <w:webHidden/>
              </w:rPr>
              <w:instrText xml:space="preserve"> PAGEREF _Toc8905213 \h </w:instrText>
            </w:r>
            <w:r w:rsidR="00D72B17">
              <w:rPr>
                <w:noProof/>
                <w:webHidden/>
              </w:rPr>
            </w:r>
            <w:r w:rsidR="00D72B17">
              <w:rPr>
                <w:noProof/>
                <w:webHidden/>
              </w:rPr>
              <w:fldChar w:fldCharType="separate"/>
            </w:r>
            <w:r w:rsidR="00776040">
              <w:rPr>
                <w:noProof/>
                <w:webHidden/>
              </w:rPr>
              <w:t>9</w:t>
            </w:r>
            <w:r w:rsidR="00D72B17">
              <w:rPr>
                <w:noProof/>
                <w:webHidden/>
              </w:rPr>
              <w:fldChar w:fldCharType="end"/>
            </w:r>
          </w:hyperlink>
        </w:p>
        <w:p w14:paraId="0960411D" w14:textId="16B1DF5B" w:rsidR="00D72B17" w:rsidRDefault="006F6A41">
          <w:pPr>
            <w:pStyle w:val="TOC1"/>
            <w:tabs>
              <w:tab w:val="right" w:leader="dot" w:pos="9954"/>
            </w:tabs>
            <w:rPr>
              <w:rFonts w:eastAsiaTheme="minorEastAsia"/>
              <w:noProof/>
            </w:rPr>
          </w:pPr>
          <w:hyperlink w:anchor="_Toc8905214" w:history="1">
            <w:r w:rsidR="00D72B17" w:rsidRPr="0016676F">
              <w:rPr>
                <w:rStyle w:val="Hyperlink"/>
                <w:rFonts w:ascii="Arial" w:hAnsi="Arial" w:cs="Arial"/>
                <w:noProof/>
                <w:lang w:val="es-419"/>
              </w:rPr>
              <w:t>2. Introducción</w:t>
            </w:r>
            <w:r w:rsidR="00D72B17">
              <w:rPr>
                <w:noProof/>
                <w:webHidden/>
              </w:rPr>
              <w:tab/>
            </w:r>
            <w:r w:rsidR="00D72B17">
              <w:rPr>
                <w:noProof/>
                <w:webHidden/>
              </w:rPr>
              <w:fldChar w:fldCharType="begin"/>
            </w:r>
            <w:r w:rsidR="00D72B17">
              <w:rPr>
                <w:noProof/>
                <w:webHidden/>
              </w:rPr>
              <w:instrText xml:space="preserve"> PAGEREF _Toc8905214 \h </w:instrText>
            </w:r>
            <w:r w:rsidR="00D72B17">
              <w:rPr>
                <w:noProof/>
                <w:webHidden/>
              </w:rPr>
            </w:r>
            <w:r w:rsidR="00D72B17">
              <w:rPr>
                <w:noProof/>
                <w:webHidden/>
              </w:rPr>
              <w:fldChar w:fldCharType="separate"/>
            </w:r>
            <w:r w:rsidR="00776040">
              <w:rPr>
                <w:noProof/>
                <w:webHidden/>
              </w:rPr>
              <w:t>15</w:t>
            </w:r>
            <w:r w:rsidR="00D72B17">
              <w:rPr>
                <w:noProof/>
                <w:webHidden/>
              </w:rPr>
              <w:fldChar w:fldCharType="end"/>
            </w:r>
          </w:hyperlink>
        </w:p>
        <w:p w14:paraId="4CAEBBE4" w14:textId="2444B63C" w:rsidR="00D72B17" w:rsidRDefault="006F6A41">
          <w:pPr>
            <w:pStyle w:val="TOC2"/>
            <w:tabs>
              <w:tab w:val="left" w:pos="880"/>
              <w:tab w:val="right" w:leader="dot" w:pos="9954"/>
            </w:tabs>
            <w:rPr>
              <w:rFonts w:eastAsiaTheme="minorEastAsia"/>
              <w:noProof/>
            </w:rPr>
          </w:pPr>
          <w:hyperlink w:anchor="_Toc8905215" w:history="1">
            <w:r w:rsidR="00D72B17" w:rsidRPr="0016676F">
              <w:rPr>
                <w:rStyle w:val="Hyperlink"/>
                <w:rFonts w:ascii="Arial" w:hAnsi="Arial" w:cs="Arial"/>
                <w:noProof/>
                <w:lang w:val="es-419"/>
              </w:rPr>
              <w:t>2.1</w:t>
            </w:r>
            <w:r w:rsidR="00D72B17">
              <w:rPr>
                <w:rFonts w:eastAsiaTheme="minorEastAsia"/>
                <w:noProof/>
              </w:rPr>
              <w:tab/>
            </w:r>
            <w:r w:rsidR="00D72B17" w:rsidRPr="0016676F">
              <w:rPr>
                <w:rStyle w:val="Hyperlink"/>
                <w:rFonts w:ascii="Arial" w:hAnsi="Arial" w:cs="Arial"/>
                <w:noProof/>
                <w:lang w:val="es-419"/>
              </w:rPr>
              <w:t>Motivación de la Estrategia de Sostenibilidad para VIH y TB</w:t>
            </w:r>
            <w:r w:rsidR="00D72B17">
              <w:rPr>
                <w:noProof/>
                <w:webHidden/>
              </w:rPr>
              <w:tab/>
            </w:r>
            <w:r w:rsidR="00D72B17">
              <w:rPr>
                <w:noProof/>
                <w:webHidden/>
              </w:rPr>
              <w:fldChar w:fldCharType="begin"/>
            </w:r>
            <w:r w:rsidR="00D72B17">
              <w:rPr>
                <w:noProof/>
                <w:webHidden/>
              </w:rPr>
              <w:instrText xml:space="preserve"> PAGEREF _Toc8905215 \h </w:instrText>
            </w:r>
            <w:r w:rsidR="00D72B17">
              <w:rPr>
                <w:noProof/>
                <w:webHidden/>
              </w:rPr>
            </w:r>
            <w:r w:rsidR="00D72B17">
              <w:rPr>
                <w:noProof/>
                <w:webHidden/>
              </w:rPr>
              <w:fldChar w:fldCharType="separate"/>
            </w:r>
            <w:r w:rsidR="00776040">
              <w:rPr>
                <w:noProof/>
                <w:webHidden/>
              </w:rPr>
              <w:t>15</w:t>
            </w:r>
            <w:r w:rsidR="00D72B17">
              <w:rPr>
                <w:noProof/>
                <w:webHidden/>
              </w:rPr>
              <w:fldChar w:fldCharType="end"/>
            </w:r>
          </w:hyperlink>
        </w:p>
        <w:p w14:paraId="666B092B" w14:textId="7506E2C5" w:rsidR="00D72B17" w:rsidRDefault="006F6A41">
          <w:pPr>
            <w:pStyle w:val="TOC2"/>
            <w:tabs>
              <w:tab w:val="left" w:pos="880"/>
              <w:tab w:val="right" w:leader="dot" w:pos="9954"/>
            </w:tabs>
            <w:rPr>
              <w:rFonts w:eastAsiaTheme="minorEastAsia"/>
              <w:noProof/>
            </w:rPr>
          </w:pPr>
          <w:hyperlink w:anchor="_Toc8905216" w:history="1">
            <w:r w:rsidR="00D72B17" w:rsidRPr="0016676F">
              <w:rPr>
                <w:rStyle w:val="Hyperlink"/>
                <w:rFonts w:ascii="Arial" w:hAnsi="Arial" w:cs="Arial"/>
                <w:noProof/>
                <w:lang w:val="es-419"/>
              </w:rPr>
              <w:t>2.2</w:t>
            </w:r>
            <w:r w:rsidR="00D72B17">
              <w:rPr>
                <w:rFonts w:eastAsiaTheme="minorEastAsia"/>
                <w:noProof/>
              </w:rPr>
              <w:tab/>
            </w:r>
            <w:r w:rsidR="00D72B17" w:rsidRPr="0016676F">
              <w:rPr>
                <w:rStyle w:val="Hyperlink"/>
                <w:rFonts w:ascii="Arial" w:hAnsi="Arial" w:cs="Arial"/>
                <w:noProof/>
                <w:lang w:val="es-419"/>
              </w:rPr>
              <w:t>Metodología</w:t>
            </w:r>
            <w:r w:rsidR="00D72B17">
              <w:rPr>
                <w:noProof/>
                <w:webHidden/>
              </w:rPr>
              <w:tab/>
            </w:r>
            <w:r w:rsidR="00D72B17">
              <w:rPr>
                <w:noProof/>
                <w:webHidden/>
              </w:rPr>
              <w:fldChar w:fldCharType="begin"/>
            </w:r>
            <w:r w:rsidR="00D72B17">
              <w:rPr>
                <w:noProof/>
                <w:webHidden/>
              </w:rPr>
              <w:instrText xml:space="preserve"> PAGEREF _Toc8905216 \h </w:instrText>
            </w:r>
            <w:r w:rsidR="00D72B17">
              <w:rPr>
                <w:noProof/>
                <w:webHidden/>
              </w:rPr>
            </w:r>
            <w:r w:rsidR="00D72B17">
              <w:rPr>
                <w:noProof/>
                <w:webHidden/>
              </w:rPr>
              <w:fldChar w:fldCharType="separate"/>
            </w:r>
            <w:r w:rsidR="00776040">
              <w:rPr>
                <w:noProof/>
                <w:webHidden/>
              </w:rPr>
              <w:t>16</w:t>
            </w:r>
            <w:r w:rsidR="00D72B17">
              <w:rPr>
                <w:noProof/>
                <w:webHidden/>
              </w:rPr>
              <w:fldChar w:fldCharType="end"/>
            </w:r>
          </w:hyperlink>
        </w:p>
        <w:p w14:paraId="334BB3AD" w14:textId="766D93A0" w:rsidR="00D72B17" w:rsidRDefault="006F6A41">
          <w:pPr>
            <w:pStyle w:val="TOC1"/>
            <w:tabs>
              <w:tab w:val="right" w:leader="dot" w:pos="9954"/>
            </w:tabs>
            <w:rPr>
              <w:rFonts w:eastAsiaTheme="minorEastAsia"/>
              <w:noProof/>
            </w:rPr>
          </w:pPr>
          <w:hyperlink w:anchor="_Toc8905217" w:history="1">
            <w:r w:rsidR="00D72B17" w:rsidRPr="0016676F">
              <w:rPr>
                <w:rStyle w:val="Hyperlink"/>
                <w:rFonts w:ascii="Arial" w:hAnsi="Arial" w:cs="Arial"/>
                <w:noProof/>
                <w:lang w:val="es-419"/>
              </w:rPr>
              <w:t>3. Contexto del país</w:t>
            </w:r>
            <w:r w:rsidR="00D72B17">
              <w:rPr>
                <w:noProof/>
                <w:webHidden/>
              </w:rPr>
              <w:tab/>
            </w:r>
            <w:r w:rsidR="00D72B17">
              <w:rPr>
                <w:noProof/>
                <w:webHidden/>
              </w:rPr>
              <w:fldChar w:fldCharType="begin"/>
            </w:r>
            <w:r w:rsidR="00D72B17">
              <w:rPr>
                <w:noProof/>
                <w:webHidden/>
              </w:rPr>
              <w:instrText xml:space="preserve"> PAGEREF _Toc8905217 \h </w:instrText>
            </w:r>
            <w:r w:rsidR="00D72B17">
              <w:rPr>
                <w:noProof/>
                <w:webHidden/>
              </w:rPr>
            </w:r>
            <w:r w:rsidR="00D72B17">
              <w:rPr>
                <w:noProof/>
                <w:webHidden/>
              </w:rPr>
              <w:fldChar w:fldCharType="separate"/>
            </w:r>
            <w:r w:rsidR="00776040">
              <w:rPr>
                <w:noProof/>
                <w:webHidden/>
              </w:rPr>
              <w:t>19</w:t>
            </w:r>
            <w:r w:rsidR="00D72B17">
              <w:rPr>
                <w:noProof/>
                <w:webHidden/>
              </w:rPr>
              <w:fldChar w:fldCharType="end"/>
            </w:r>
          </w:hyperlink>
        </w:p>
        <w:p w14:paraId="7A38D3C1" w14:textId="3E947308" w:rsidR="00D72B17" w:rsidRDefault="006F6A41">
          <w:pPr>
            <w:pStyle w:val="TOC2"/>
            <w:tabs>
              <w:tab w:val="left" w:pos="880"/>
              <w:tab w:val="right" w:leader="dot" w:pos="9954"/>
            </w:tabs>
            <w:rPr>
              <w:rFonts w:eastAsiaTheme="minorEastAsia"/>
              <w:noProof/>
            </w:rPr>
          </w:pPr>
          <w:hyperlink w:anchor="_Toc8905218" w:history="1">
            <w:r w:rsidR="00D72B17" w:rsidRPr="0016676F">
              <w:rPr>
                <w:rStyle w:val="Hyperlink"/>
                <w:rFonts w:ascii="Arial" w:hAnsi="Arial" w:cs="Arial"/>
                <w:noProof/>
                <w:lang w:val="es-419"/>
              </w:rPr>
              <w:t>3.1</w:t>
            </w:r>
            <w:r w:rsidR="00D72B17">
              <w:rPr>
                <w:rFonts w:eastAsiaTheme="minorEastAsia"/>
                <w:noProof/>
              </w:rPr>
              <w:tab/>
            </w:r>
            <w:r w:rsidR="00D72B17" w:rsidRPr="0016676F">
              <w:rPr>
                <w:rStyle w:val="Hyperlink"/>
                <w:rFonts w:ascii="Arial" w:hAnsi="Arial" w:cs="Arial"/>
                <w:noProof/>
                <w:lang w:val="es-419"/>
              </w:rPr>
              <w:t>Perfil epidemiológico y del sistema salud hondureño</w:t>
            </w:r>
            <w:r w:rsidR="00D72B17">
              <w:rPr>
                <w:noProof/>
                <w:webHidden/>
              </w:rPr>
              <w:tab/>
            </w:r>
            <w:r w:rsidR="00D72B17">
              <w:rPr>
                <w:noProof/>
                <w:webHidden/>
              </w:rPr>
              <w:fldChar w:fldCharType="begin"/>
            </w:r>
            <w:r w:rsidR="00D72B17">
              <w:rPr>
                <w:noProof/>
                <w:webHidden/>
              </w:rPr>
              <w:instrText xml:space="preserve"> PAGEREF _Toc8905218 \h </w:instrText>
            </w:r>
            <w:r w:rsidR="00D72B17">
              <w:rPr>
                <w:noProof/>
                <w:webHidden/>
              </w:rPr>
            </w:r>
            <w:r w:rsidR="00D72B17">
              <w:rPr>
                <w:noProof/>
                <w:webHidden/>
              </w:rPr>
              <w:fldChar w:fldCharType="separate"/>
            </w:r>
            <w:r w:rsidR="00776040">
              <w:rPr>
                <w:noProof/>
                <w:webHidden/>
              </w:rPr>
              <w:t>19</w:t>
            </w:r>
            <w:r w:rsidR="00D72B17">
              <w:rPr>
                <w:noProof/>
                <w:webHidden/>
              </w:rPr>
              <w:fldChar w:fldCharType="end"/>
            </w:r>
          </w:hyperlink>
        </w:p>
        <w:p w14:paraId="71208022" w14:textId="6B9427B2" w:rsidR="00D72B17" w:rsidRDefault="006F6A41">
          <w:pPr>
            <w:pStyle w:val="TOC1"/>
            <w:tabs>
              <w:tab w:val="right" w:leader="dot" w:pos="9954"/>
            </w:tabs>
            <w:rPr>
              <w:rFonts w:eastAsiaTheme="minorEastAsia"/>
              <w:noProof/>
            </w:rPr>
          </w:pPr>
          <w:hyperlink w:anchor="_Toc8905219" w:history="1">
            <w:r w:rsidR="00D72B17" w:rsidRPr="0016676F">
              <w:rPr>
                <w:rStyle w:val="Hyperlink"/>
                <w:rFonts w:ascii="Arial" w:hAnsi="Arial" w:cs="Arial"/>
                <w:noProof/>
                <w:lang w:val="es-419"/>
              </w:rPr>
              <w:t xml:space="preserve">4. </w:t>
            </w:r>
            <w:r w:rsidR="00D72B17" w:rsidRPr="0016676F">
              <w:rPr>
                <w:rStyle w:val="Hyperlink"/>
                <w:rFonts w:ascii="Arial" w:hAnsi="Arial" w:cs="Arial"/>
                <w:bCs/>
                <w:iCs/>
                <w:noProof/>
                <w:lang w:val="es-419"/>
              </w:rPr>
              <w:t>Respuesta del País a la Epidemia de VIH</w:t>
            </w:r>
            <w:r w:rsidR="00D72B17">
              <w:rPr>
                <w:noProof/>
                <w:webHidden/>
              </w:rPr>
              <w:tab/>
            </w:r>
            <w:r w:rsidR="00D72B17">
              <w:rPr>
                <w:noProof/>
                <w:webHidden/>
              </w:rPr>
              <w:fldChar w:fldCharType="begin"/>
            </w:r>
            <w:r w:rsidR="00D72B17">
              <w:rPr>
                <w:noProof/>
                <w:webHidden/>
              </w:rPr>
              <w:instrText xml:space="preserve"> PAGEREF _Toc8905219 \h </w:instrText>
            </w:r>
            <w:r w:rsidR="00D72B17">
              <w:rPr>
                <w:noProof/>
                <w:webHidden/>
              </w:rPr>
            </w:r>
            <w:r w:rsidR="00D72B17">
              <w:rPr>
                <w:noProof/>
                <w:webHidden/>
              </w:rPr>
              <w:fldChar w:fldCharType="separate"/>
            </w:r>
            <w:r w:rsidR="00776040">
              <w:rPr>
                <w:noProof/>
                <w:webHidden/>
              </w:rPr>
              <w:t>20</w:t>
            </w:r>
            <w:r w:rsidR="00D72B17">
              <w:rPr>
                <w:noProof/>
                <w:webHidden/>
              </w:rPr>
              <w:fldChar w:fldCharType="end"/>
            </w:r>
          </w:hyperlink>
        </w:p>
        <w:p w14:paraId="06E07D49" w14:textId="5378A491" w:rsidR="00D72B17" w:rsidRDefault="006F6A41">
          <w:pPr>
            <w:pStyle w:val="TOC2"/>
            <w:tabs>
              <w:tab w:val="left" w:pos="880"/>
              <w:tab w:val="right" w:leader="dot" w:pos="9954"/>
            </w:tabs>
            <w:rPr>
              <w:rFonts w:eastAsiaTheme="minorEastAsia"/>
              <w:noProof/>
            </w:rPr>
          </w:pPr>
          <w:hyperlink w:anchor="_Toc8905220" w:history="1">
            <w:r w:rsidR="00D72B17" w:rsidRPr="0016676F">
              <w:rPr>
                <w:rStyle w:val="Hyperlink"/>
                <w:rFonts w:ascii="Arial" w:hAnsi="Arial" w:cs="Arial"/>
                <w:noProof/>
                <w:lang w:val="es-419"/>
              </w:rPr>
              <w:t>4.1</w:t>
            </w:r>
            <w:r w:rsidR="00D72B17">
              <w:rPr>
                <w:rFonts w:eastAsiaTheme="minorEastAsia"/>
                <w:noProof/>
              </w:rPr>
              <w:tab/>
            </w:r>
            <w:r w:rsidR="00D72B17" w:rsidRPr="0016676F">
              <w:rPr>
                <w:rStyle w:val="Hyperlink"/>
                <w:rFonts w:ascii="Arial" w:hAnsi="Arial" w:cs="Arial"/>
                <w:noProof/>
                <w:lang w:val="es-419"/>
              </w:rPr>
              <w:t>Contexto general de la Respuesta Nacional al VIH</w:t>
            </w:r>
            <w:r w:rsidR="00D72B17">
              <w:rPr>
                <w:noProof/>
                <w:webHidden/>
              </w:rPr>
              <w:tab/>
            </w:r>
            <w:r w:rsidR="00D72B17">
              <w:rPr>
                <w:noProof/>
                <w:webHidden/>
              </w:rPr>
              <w:fldChar w:fldCharType="begin"/>
            </w:r>
            <w:r w:rsidR="00D72B17">
              <w:rPr>
                <w:noProof/>
                <w:webHidden/>
              </w:rPr>
              <w:instrText xml:space="preserve"> PAGEREF _Toc8905220 \h </w:instrText>
            </w:r>
            <w:r w:rsidR="00D72B17">
              <w:rPr>
                <w:noProof/>
                <w:webHidden/>
              </w:rPr>
            </w:r>
            <w:r w:rsidR="00D72B17">
              <w:rPr>
                <w:noProof/>
                <w:webHidden/>
              </w:rPr>
              <w:fldChar w:fldCharType="separate"/>
            </w:r>
            <w:r w:rsidR="00776040">
              <w:rPr>
                <w:noProof/>
                <w:webHidden/>
              </w:rPr>
              <w:t>20</w:t>
            </w:r>
            <w:r w:rsidR="00D72B17">
              <w:rPr>
                <w:noProof/>
                <w:webHidden/>
              </w:rPr>
              <w:fldChar w:fldCharType="end"/>
            </w:r>
          </w:hyperlink>
        </w:p>
        <w:p w14:paraId="6D330068" w14:textId="4723016B" w:rsidR="00D72B17" w:rsidRDefault="006F6A41">
          <w:pPr>
            <w:pStyle w:val="TOC2"/>
            <w:tabs>
              <w:tab w:val="left" w:pos="880"/>
              <w:tab w:val="right" w:leader="dot" w:pos="9954"/>
            </w:tabs>
            <w:rPr>
              <w:rFonts w:eastAsiaTheme="minorEastAsia"/>
              <w:noProof/>
            </w:rPr>
          </w:pPr>
          <w:hyperlink w:anchor="_Toc8905221" w:history="1">
            <w:r w:rsidR="00D72B17" w:rsidRPr="0016676F">
              <w:rPr>
                <w:rStyle w:val="Hyperlink"/>
                <w:rFonts w:ascii="Arial" w:hAnsi="Arial" w:cs="Arial"/>
                <w:noProof/>
                <w:lang w:val="es-419"/>
              </w:rPr>
              <w:t>4.2</w:t>
            </w:r>
            <w:r w:rsidR="00D72B17">
              <w:rPr>
                <w:rFonts w:eastAsiaTheme="minorEastAsia"/>
                <w:noProof/>
              </w:rPr>
              <w:tab/>
            </w:r>
            <w:r w:rsidR="00D72B17" w:rsidRPr="0016676F">
              <w:rPr>
                <w:rStyle w:val="Hyperlink"/>
                <w:rFonts w:ascii="Arial" w:hAnsi="Arial" w:cs="Arial"/>
                <w:noProof/>
                <w:lang w:val="es-419"/>
              </w:rPr>
              <w:t>Situación epidemiológica – Carga de enfermedad del VIH</w:t>
            </w:r>
            <w:r w:rsidR="00D72B17">
              <w:rPr>
                <w:noProof/>
                <w:webHidden/>
              </w:rPr>
              <w:tab/>
            </w:r>
            <w:r w:rsidR="00D72B17">
              <w:rPr>
                <w:noProof/>
                <w:webHidden/>
              </w:rPr>
              <w:fldChar w:fldCharType="begin"/>
            </w:r>
            <w:r w:rsidR="00D72B17">
              <w:rPr>
                <w:noProof/>
                <w:webHidden/>
              </w:rPr>
              <w:instrText xml:space="preserve"> PAGEREF _Toc8905221 \h </w:instrText>
            </w:r>
            <w:r w:rsidR="00D72B17">
              <w:rPr>
                <w:noProof/>
                <w:webHidden/>
              </w:rPr>
            </w:r>
            <w:r w:rsidR="00D72B17">
              <w:rPr>
                <w:noProof/>
                <w:webHidden/>
              </w:rPr>
              <w:fldChar w:fldCharType="separate"/>
            </w:r>
            <w:r w:rsidR="00776040">
              <w:rPr>
                <w:noProof/>
                <w:webHidden/>
              </w:rPr>
              <w:t>20</w:t>
            </w:r>
            <w:r w:rsidR="00D72B17">
              <w:rPr>
                <w:noProof/>
                <w:webHidden/>
              </w:rPr>
              <w:fldChar w:fldCharType="end"/>
            </w:r>
          </w:hyperlink>
        </w:p>
        <w:p w14:paraId="58A37A09" w14:textId="580D903F" w:rsidR="00D72B17" w:rsidRDefault="006F6A41">
          <w:pPr>
            <w:pStyle w:val="TOC2"/>
            <w:tabs>
              <w:tab w:val="left" w:pos="880"/>
              <w:tab w:val="right" w:leader="dot" w:pos="9954"/>
            </w:tabs>
            <w:rPr>
              <w:rFonts w:eastAsiaTheme="minorEastAsia"/>
              <w:noProof/>
            </w:rPr>
          </w:pPr>
          <w:hyperlink w:anchor="_Toc8905222" w:history="1">
            <w:r w:rsidR="00D72B17" w:rsidRPr="0016676F">
              <w:rPr>
                <w:rStyle w:val="Hyperlink"/>
                <w:rFonts w:ascii="Arial" w:hAnsi="Arial" w:cs="Arial"/>
                <w:noProof/>
                <w:lang w:val="es-419"/>
              </w:rPr>
              <w:t>4.3</w:t>
            </w:r>
            <w:r w:rsidR="00D72B17">
              <w:rPr>
                <w:rFonts w:eastAsiaTheme="minorEastAsia"/>
                <w:noProof/>
              </w:rPr>
              <w:tab/>
            </w:r>
            <w:r w:rsidR="00D72B17" w:rsidRPr="0016676F">
              <w:rPr>
                <w:rStyle w:val="Hyperlink"/>
                <w:rFonts w:ascii="Arial" w:hAnsi="Arial" w:cs="Arial"/>
                <w:noProof/>
                <w:lang w:val="es-419"/>
              </w:rPr>
              <w:t>Actividades de prevención y promoción, fuerzas y debilidades</w:t>
            </w:r>
            <w:r w:rsidR="00D72B17">
              <w:rPr>
                <w:noProof/>
                <w:webHidden/>
              </w:rPr>
              <w:tab/>
            </w:r>
            <w:r w:rsidR="00D72B17">
              <w:rPr>
                <w:noProof/>
                <w:webHidden/>
              </w:rPr>
              <w:fldChar w:fldCharType="begin"/>
            </w:r>
            <w:r w:rsidR="00D72B17">
              <w:rPr>
                <w:noProof/>
                <w:webHidden/>
              </w:rPr>
              <w:instrText xml:space="preserve"> PAGEREF _Toc8905222 \h </w:instrText>
            </w:r>
            <w:r w:rsidR="00D72B17">
              <w:rPr>
                <w:noProof/>
                <w:webHidden/>
              </w:rPr>
            </w:r>
            <w:r w:rsidR="00D72B17">
              <w:rPr>
                <w:noProof/>
                <w:webHidden/>
              </w:rPr>
              <w:fldChar w:fldCharType="separate"/>
            </w:r>
            <w:r w:rsidR="00776040">
              <w:rPr>
                <w:noProof/>
                <w:webHidden/>
              </w:rPr>
              <w:t>21</w:t>
            </w:r>
            <w:r w:rsidR="00D72B17">
              <w:rPr>
                <w:noProof/>
                <w:webHidden/>
              </w:rPr>
              <w:fldChar w:fldCharType="end"/>
            </w:r>
          </w:hyperlink>
        </w:p>
        <w:p w14:paraId="128D869C" w14:textId="7E73B34B" w:rsidR="00D72B17" w:rsidRDefault="006F6A41">
          <w:pPr>
            <w:pStyle w:val="TOC2"/>
            <w:tabs>
              <w:tab w:val="left" w:pos="880"/>
              <w:tab w:val="right" w:leader="dot" w:pos="9954"/>
            </w:tabs>
            <w:rPr>
              <w:rFonts w:eastAsiaTheme="minorEastAsia"/>
              <w:noProof/>
            </w:rPr>
          </w:pPr>
          <w:hyperlink w:anchor="_Toc8905223" w:history="1">
            <w:r w:rsidR="00D72B17" w:rsidRPr="0016676F">
              <w:rPr>
                <w:rStyle w:val="Hyperlink"/>
                <w:rFonts w:ascii="Arial" w:hAnsi="Arial" w:cs="Arial"/>
                <w:noProof/>
                <w:lang w:val="es-419"/>
              </w:rPr>
              <w:t>4.4</w:t>
            </w:r>
            <w:r w:rsidR="00D72B17">
              <w:rPr>
                <w:rFonts w:eastAsiaTheme="minorEastAsia"/>
                <w:noProof/>
              </w:rPr>
              <w:tab/>
            </w:r>
            <w:r w:rsidR="00D72B17" w:rsidRPr="0016676F">
              <w:rPr>
                <w:rStyle w:val="Hyperlink"/>
                <w:rFonts w:ascii="Arial" w:hAnsi="Arial" w:cs="Arial"/>
                <w:noProof/>
                <w:lang w:val="es-419"/>
              </w:rPr>
              <w:t>Cascada del 90-90-90</w:t>
            </w:r>
            <w:r w:rsidR="00D72B17">
              <w:rPr>
                <w:noProof/>
                <w:webHidden/>
              </w:rPr>
              <w:tab/>
            </w:r>
            <w:r w:rsidR="00D72B17">
              <w:rPr>
                <w:noProof/>
                <w:webHidden/>
              </w:rPr>
              <w:fldChar w:fldCharType="begin"/>
            </w:r>
            <w:r w:rsidR="00D72B17">
              <w:rPr>
                <w:noProof/>
                <w:webHidden/>
              </w:rPr>
              <w:instrText xml:space="preserve"> PAGEREF _Toc8905223 \h </w:instrText>
            </w:r>
            <w:r w:rsidR="00D72B17">
              <w:rPr>
                <w:noProof/>
                <w:webHidden/>
              </w:rPr>
            </w:r>
            <w:r w:rsidR="00D72B17">
              <w:rPr>
                <w:noProof/>
                <w:webHidden/>
              </w:rPr>
              <w:fldChar w:fldCharType="separate"/>
            </w:r>
            <w:r w:rsidR="00776040">
              <w:rPr>
                <w:noProof/>
                <w:webHidden/>
              </w:rPr>
              <w:t>23</w:t>
            </w:r>
            <w:r w:rsidR="00D72B17">
              <w:rPr>
                <w:noProof/>
                <w:webHidden/>
              </w:rPr>
              <w:fldChar w:fldCharType="end"/>
            </w:r>
          </w:hyperlink>
        </w:p>
        <w:p w14:paraId="5A71D242" w14:textId="58E73EFD" w:rsidR="00D72B17" w:rsidRDefault="006F6A41">
          <w:pPr>
            <w:pStyle w:val="TOC3"/>
            <w:tabs>
              <w:tab w:val="right" w:leader="dot" w:pos="9954"/>
            </w:tabs>
            <w:rPr>
              <w:rFonts w:eastAsiaTheme="minorEastAsia"/>
              <w:noProof/>
            </w:rPr>
          </w:pPr>
          <w:hyperlink w:anchor="_Toc8905224" w:history="1">
            <w:r w:rsidR="00D72B17" w:rsidRPr="0016676F">
              <w:rPr>
                <w:rStyle w:val="Hyperlink"/>
                <w:rFonts w:ascii="Arial" w:hAnsi="Arial" w:cs="Arial"/>
                <w:noProof/>
                <w:lang w:val="es-DO"/>
              </w:rPr>
              <w:t xml:space="preserve">4.4.1. Actividades de diagnóstico (1er 90), </w:t>
            </w:r>
            <w:r w:rsidR="00D72B17" w:rsidRPr="0016676F">
              <w:rPr>
                <w:rStyle w:val="Hyperlink"/>
                <w:rFonts w:ascii="Arial" w:hAnsi="Arial" w:cs="Arial"/>
                <w:noProof/>
                <w:lang w:val="es-419"/>
              </w:rPr>
              <w:t>fuerzas y debilidades</w:t>
            </w:r>
            <w:r w:rsidR="00D72B17">
              <w:rPr>
                <w:noProof/>
                <w:webHidden/>
              </w:rPr>
              <w:tab/>
            </w:r>
            <w:r w:rsidR="00D72B17">
              <w:rPr>
                <w:noProof/>
                <w:webHidden/>
              </w:rPr>
              <w:fldChar w:fldCharType="begin"/>
            </w:r>
            <w:r w:rsidR="00D72B17">
              <w:rPr>
                <w:noProof/>
                <w:webHidden/>
              </w:rPr>
              <w:instrText xml:space="preserve"> PAGEREF _Toc8905224 \h </w:instrText>
            </w:r>
            <w:r w:rsidR="00D72B17">
              <w:rPr>
                <w:noProof/>
                <w:webHidden/>
              </w:rPr>
            </w:r>
            <w:r w:rsidR="00D72B17">
              <w:rPr>
                <w:noProof/>
                <w:webHidden/>
              </w:rPr>
              <w:fldChar w:fldCharType="separate"/>
            </w:r>
            <w:r w:rsidR="00776040">
              <w:rPr>
                <w:noProof/>
                <w:webHidden/>
              </w:rPr>
              <w:t>24</w:t>
            </w:r>
            <w:r w:rsidR="00D72B17">
              <w:rPr>
                <w:noProof/>
                <w:webHidden/>
              </w:rPr>
              <w:fldChar w:fldCharType="end"/>
            </w:r>
          </w:hyperlink>
        </w:p>
        <w:p w14:paraId="5B9C01AC" w14:textId="1147E7BC" w:rsidR="00D72B17" w:rsidRDefault="006F6A41">
          <w:pPr>
            <w:pStyle w:val="TOC3"/>
            <w:tabs>
              <w:tab w:val="right" w:leader="dot" w:pos="9954"/>
            </w:tabs>
            <w:rPr>
              <w:rFonts w:eastAsiaTheme="minorEastAsia"/>
              <w:noProof/>
            </w:rPr>
          </w:pPr>
          <w:hyperlink w:anchor="_Toc8905225" w:history="1">
            <w:r w:rsidR="00D72B17" w:rsidRPr="0016676F">
              <w:rPr>
                <w:rStyle w:val="Hyperlink"/>
                <w:rFonts w:ascii="Arial" w:hAnsi="Arial" w:cs="Arial"/>
                <w:noProof/>
                <w:lang w:val="es-419"/>
              </w:rPr>
              <w:t>4.4.2 Actividades de tratamiento (2do 90), fuerzas y debilidades</w:t>
            </w:r>
            <w:r w:rsidR="00D72B17">
              <w:rPr>
                <w:noProof/>
                <w:webHidden/>
              </w:rPr>
              <w:tab/>
            </w:r>
            <w:r w:rsidR="00D72B17">
              <w:rPr>
                <w:noProof/>
                <w:webHidden/>
              </w:rPr>
              <w:fldChar w:fldCharType="begin"/>
            </w:r>
            <w:r w:rsidR="00D72B17">
              <w:rPr>
                <w:noProof/>
                <w:webHidden/>
              </w:rPr>
              <w:instrText xml:space="preserve"> PAGEREF _Toc8905225 \h </w:instrText>
            </w:r>
            <w:r w:rsidR="00D72B17">
              <w:rPr>
                <w:noProof/>
                <w:webHidden/>
              </w:rPr>
            </w:r>
            <w:r w:rsidR="00D72B17">
              <w:rPr>
                <w:noProof/>
                <w:webHidden/>
              </w:rPr>
              <w:fldChar w:fldCharType="separate"/>
            </w:r>
            <w:r w:rsidR="00776040">
              <w:rPr>
                <w:noProof/>
                <w:webHidden/>
              </w:rPr>
              <w:t>26</w:t>
            </w:r>
            <w:r w:rsidR="00D72B17">
              <w:rPr>
                <w:noProof/>
                <w:webHidden/>
              </w:rPr>
              <w:fldChar w:fldCharType="end"/>
            </w:r>
          </w:hyperlink>
        </w:p>
        <w:p w14:paraId="0AF8F935" w14:textId="2BF6FAC4" w:rsidR="00D72B17" w:rsidRDefault="006F6A41">
          <w:pPr>
            <w:pStyle w:val="TOC3"/>
            <w:tabs>
              <w:tab w:val="right" w:leader="dot" w:pos="9954"/>
            </w:tabs>
            <w:rPr>
              <w:rFonts w:eastAsiaTheme="minorEastAsia"/>
              <w:noProof/>
            </w:rPr>
          </w:pPr>
          <w:hyperlink w:anchor="_Toc8905226" w:history="1">
            <w:r w:rsidR="00D72B17" w:rsidRPr="0016676F">
              <w:rPr>
                <w:rStyle w:val="Hyperlink"/>
                <w:rFonts w:ascii="Arial" w:hAnsi="Arial" w:cs="Arial"/>
                <w:noProof/>
                <w:lang w:val="es-DO"/>
              </w:rPr>
              <w:t xml:space="preserve">4.4.3 Actividades de retención y supresión viral (3er 90), </w:t>
            </w:r>
            <w:r w:rsidR="00D72B17" w:rsidRPr="0016676F">
              <w:rPr>
                <w:rStyle w:val="Hyperlink"/>
                <w:rFonts w:ascii="Arial" w:hAnsi="Arial" w:cs="Arial"/>
                <w:noProof/>
                <w:lang w:val="es-419"/>
              </w:rPr>
              <w:t>fuerzas y debilidades</w:t>
            </w:r>
            <w:r w:rsidR="00D72B17">
              <w:rPr>
                <w:noProof/>
                <w:webHidden/>
              </w:rPr>
              <w:tab/>
            </w:r>
            <w:r w:rsidR="00D72B17">
              <w:rPr>
                <w:noProof/>
                <w:webHidden/>
              </w:rPr>
              <w:fldChar w:fldCharType="begin"/>
            </w:r>
            <w:r w:rsidR="00D72B17">
              <w:rPr>
                <w:noProof/>
                <w:webHidden/>
              </w:rPr>
              <w:instrText xml:space="preserve"> PAGEREF _Toc8905226 \h </w:instrText>
            </w:r>
            <w:r w:rsidR="00D72B17">
              <w:rPr>
                <w:noProof/>
                <w:webHidden/>
              </w:rPr>
            </w:r>
            <w:r w:rsidR="00D72B17">
              <w:rPr>
                <w:noProof/>
                <w:webHidden/>
              </w:rPr>
              <w:fldChar w:fldCharType="separate"/>
            </w:r>
            <w:r w:rsidR="00776040">
              <w:rPr>
                <w:noProof/>
                <w:webHidden/>
              </w:rPr>
              <w:t>29</w:t>
            </w:r>
            <w:r w:rsidR="00D72B17">
              <w:rPr>
                <w:noProof/>
                <w:webHidden/>
              </w:rPr>
              <w:fldChar w:fldCharType="end"/>
            </w:r>
          </w:hyperlink>
        </w:p>
        <w:p w14:paraId="0C7D11F1" w14:textId="2352DE90" w:rsidR="00D72B17" w:rsidRDefault="006F6A41">
          <w:pPr>
            <w:pStyle w:val="TOC2"/>
            <w:tabs>
              <w:tab w:val="left" w:pos="880"/>
              <w:tab w:val="right" w:leader="dot" w:pos="9954"/>
            </w:tabs>
            <w:rPr>
              <w:rFonts w:eastAsiaTheme="minorEastAsia"/>
              <w:noProof/>
            </w:rPr>
          </w:pPr>
          <w:hyperlink w:anchor="_Toc8905227" w:history="1">
            <w:r w:rsidR="00D72B17" w:rsidRPr="0016676F">
              <w:rPr>
                <w:rStyle w:val="Hyperlink"/>
                <w:rFonts w:ascii="Arial" w:hAnsi="Arial" w:cs="Arial"/>
                <w:noProof/>
                <w:lang w:val="es-419"/>
              </w:rPr>
              <w:t>4.5</w:t>
            </w:r>
            <w:r w:rsidR="00D72B17">
              <w:rPr>
                <w:rFonts w:eastAsiaTheme="minorEastAsia"/>
                <w:noProof/>
              </w:rPr>
              <w:tab/>
            </w:r>
            <w:r w:rsidR="00D72B17" w:rsidRPr="0016676F">
              <w:rPr>
                <w:rStyle w:val="Hyperlink"/>
                <w:rFonts w:ascii="Arial" w:hAnsi="Arial" w:cs="Arial"/>
                <w:noProof/>
                <w:lang w:val="es-419"/>
              </w:rPr>
              <w:t>Aspectos operativos</w:t>
            </w:r>
            <w:r w:rsidR="00D72B17">
              <w:rPr>
                <w:noProof/>
                <w:webHidden/>
              </w:rPr>
              <w:tab/>
            </w:r>
            <w:r w:rsidR="00D72B17">
              <w:rPr>
                <w:noProof/>
                <w:webHidden/>
              </w:rPr>
              <w:fldChar w:fldCharType="begin"/>
            </w:r>
            <w:r w:rsidR="00D72B17">
              <w:rPr>
                <w:noProof/>
                <w:webHidden/>
              </w:rPr>
              <w:instrText xml:space="preserve"> PAGEREF _Toc8905227 \h </w:instrText>
            </w:r>
            <w:r w:rsidR="00D72B17">
              <w:rPr>
                <w:noProof/>
                <w:webHidden/>
              </w:rPr>
            </w:r>
            <w:r w:rsidR="00D72B17">
              <w:rPr>
                <w:noProof/>
                <w:webHidden/>
              </w:rPr>
              <w:fldChar w:fldCharType="separate"/>
            </w:r>
            <w:r w:rsidR="00776040">
              <w:rPr>
                <w:noProof/>
                <w:webHidden/>
              </w:rPr>
              <w:t>29</w:t>
            </w:r>
            <w:r w:rsidR="00D72B17">
              <w:rPr>
                <w:noProof/>
                <w:webHidden/>
              </w:rPr>
              <w:fldChar w:fldCharType="end"/>
            </w:r>
          </w:hyperlink>
        </w:p>
        <w:p w14:paraId="3525FA0E" w14:textId="1C9D08C3" w:rsidR="00D72B17" w:rsidRDefault="006F6A41">
          <w:pPr>
            <w:pStyle w:val="TOC3"/>
            <w:tabs>
              <w:tab w:val="right" w:leader="dot" w:pos="9954"/>
            </w:tabs>
            <w:rPr>
              <w:rFonts w:eastAsiaTheme="minorEastAsia"/>
              <w:noProof/>
            </w:rPr>
          </w:pPr>
          <w:hyperlink w:anchor="_Toc8905228" w:history="1">
            <w:r w:rsidR="00D72B17" w:rsidRPr="0016676F">
              <w:rPr>
                <w:rStyle w:val="Hyperlink"/>
                <w:rFonts w:ascii="Arial" w:hAnsi="Arial" w:cs="Arial"/>
                <w:noProof/>
                <w:lang w:val="es-DO"/>
              </w:rPr>
              <w:t>4.5.1. Adquisición de productos y gestión suministros</w:t>
            </w:r>
            <w:r w:rsidR="00D72B17">
              <w:rPr>
                <w:noProof/>
                <w:webHidden/>
              </w:rPr>
              <w:tab/>
            </w:r>
            <w:r w:rsidR="00D72B17">
              <w:rPr>
                <w:noProof/>
                <w:webHidden/>
              </w:rPr>
              <w:fldChar w:fldCharType="begin"/>
            </w:r>
            <w:r w:rsidR="00D72B17">
              <w:rPr>
                <w:noProof/>
                <w:webHidden/>
              </w:rPr>
              <w:instrText xml:space="preserve"> PAGEREF _Toc8905228 \h </w:instrText>
            </w:r>
            <w:r w:rsidR="00D72B17">
              <w:rPr>
                <w:noProof/>
                <w:webHidden/>
              </w:rPr>
            </w:r>
            <w:r w:rsidR="00D72B17">
              <w:rPr>
                <w:noProof/>
                <w:webHidden/>
              </w:rPr>
              <w:fldChar w:fldCharType="separate"/>
            </w:r>
            <w:r w:rsidR="00776040">
              <w:rPr>
                <w:noProof/>
                <w:webHidden/>
              </w:rPr>
              <w:t>29</w:t>
            </w:r>
            <w:r w:rsidR="00D72B17">
              <w:rPr>
                <w:noProof/>
                <w:webHidden/>
              </w:rPr>
              <w:fldChar w:fldCharType="end"/>
            </w:r>
          </w:hyperlink>
        </w:p>
        <w:p w14:paraId="0CF6CB13" w14:textId="20860FC3" w:rsidR="00D72B17" w:rsidRDefault="006F6A41">
          <w:pPr>
            <w:pStyle w:val="TOC3"/>
            <w:tabs>
              <w:tab w:val="right" w:leader="dot" w:pos="9954"/>
            </w:tabs>
            <w:rPr>
              <w:rFonts w:eastAsiaTheme="minorEastAsia"/>
              <w:noProof/>
            </w:rPr>
          </w:pPr>
          <w:hyperlink w:anchor="_Toc8905229" w:history="1">
            <w:r w:rsidR="00D72B17" w:rsidRPr="0016676F">
              <w:rPr>
                <w:rStyle w:val="Hyperlink"/>
                <w:rFonts w:ascii="Arial" w:hAnsi="Arial" w:cs="Arial"/>
                <w:noProof/>
                <w:lang w:val="es-DO"/>
              </w:rPr>
              <w:t>4.5.2 Eficiencias en la gestión del suministro</w:t>
            </w:r>
            <w:r w:rsidR="00D72B17">
              <w:rPr>
                <w:noProof/>
                <w:webHidden/>
              </w:rPr>
              <w:tab/>
            </w:r>
            <w:r w:rsidR="00D72B17">
              <w:rPr>
                <w:noProof/>
                <w:webHidden/>
              </w:rPr>
              <w:fldChar w:fldCharType="begin"/>
            </w:r>
            <w:r w:rsidR="00D72B17">
              <w:rPr>
                <w:noProof/>
                <w:webHidden/>
              </w:rPr>
              <w:instrText xml:space="preserve"> PAGEREF _Toc8905229 \h </w:instrText>
            </w:r>
            <w:r w:rsidR="00D72B17">
              <w:rPr>
                <w:noProof/>
                <w:webHidden/>
              </w:rPr>
            </w:r>
            <w:r w:rsidR="00D72B17">
              <w:rPr>
                <w:noProof/>
                <w:webHidden/>
              </w:rPr>
              <w:fldChar w:fldCharType="separate"/>
            </w:r>
            <w:r w:rsidR="00776040">
              <w:rPr>
                <w:noProof/>
                <w:webHidden/>
              </w:rPr>
              <w:t>33</w:t>
            </w:r>
            <w:r w:rsidR="00D72B17">
              <w:rPr>
                <w:noProof/>
                <w:webHidden/>
              </w:rPr>
              <w:fldChar w:fldCharType="end"/>
            </w:r>
          </w:hyperlink>
        </w:p>
        <w:p w14:paraId="72D93F29" w14:textId="575156D6" w:rsidR="00D72B17" w:rsidRDefault="006F6A41">
          <w:pPr>
            <w:pStyle w:val="TOC3"/>
            <w:tabs>
              <w:tab w:val="right" w:leader="dot" w:pos="9954"/>
            </w:tabs>
            <w:rPr>
              <w:rFonts w:eastAsiaTheme="minorEastAsia"/>
              <w:noProof/>
            </w:rPr>
          </w:pPr>
          <w:hyperlink w:anchor="_Toc8905230" w:history="1">
            <w:r w:rsidR="00D72B17" w:rsidRPr="0016676F">
              <w:rPr>
                <w:rStyle w:val="Hyperlink"/>
                <w:rFonts w:ascii="Arial" w:hAnsi="Arial" w:cs="Arial"/>
                <w:noProof/>
                <w:lang w:val="es-DO"/>
              </w:rPr>
              <w:t>4.5.3 Compras conjuntas</w:t>
            </w:r>
            <w:r w:rsidR="00D72B17">
              <w:rPr>
                <w:noProof/>
                <w:webHidden/>
              </w:rPr>
              <w:tab/>
            </w:r>
            <w:r w:rsidR="00D72B17">
              <w:rPr>
                <w:noProof/>
                <w:webHidden/>
              </w:rPr>
              <w:fldChar w:fldCharType="begin"/>
            </w:r>
            <w:r w:rsidR="00D72B17">
              <w:rPr>
                <w:noProof/>
                <w:webHidden/>
              </w:rPr>
              <w:instrText xml:space="preserve"> PAGEREF _Toc8905230 \h </w:instrText>
            </w:r>
            <w:r w:rsidR="00D72B17">
              <w:rPr>
                <w:noProof/>
                <w:webHidden/>
              </w:rPr>
            </w:r>
            <w:r w:rsidR="00D72B17">
              <w:rPr>
                <w:noProof/>
                <w:webHidden/>
              </w:rPr>
              <w:fldChar w:fldCharType="separate"/>
            </w:r>
            <w:r w:rsidR="00776040">
              <w:rPr>
                <w:noProof/>
                <w:webHidden/>
              </w:rPr>
              <w:t>34</w:t>
            </w:r>
            <w:r w:rsidR="00D72B17">
              <w:rPr>
                <w:noProof/>
                <w:webHidden/>
              </w:rPr>
              <w:fldChar w:fldCharType="end"/>
            </w:r>
          </w:hyperlink>
        </w:p>
        <w:p w14:paraId="13590EFE" w14:textId="522C0E9D" w:rsidR="00D72B17" w:rsidRDefault="006F6A41">
          <w:pPr>
            <w:pStyle w:val="TOC3"/>
            <w:tabs>
              <w:tab w:val="right" w:leader="dot" w:pos="9954"/>
            </w:tabs>
            <w:rPr>
              <w:rFonts w:eastAsiaTheme="minorEastAsia"/>
              <w:noProof/>
            </w:rPr>
          </w:pPr>
          <w:hyperlink w:anchor="_Toc8905231" w:history="1">
            <w:r w:rsidR="00D72B17" w:rsidRPr="0016676F">
              <w:rPr>
                <w:rStyle w:val="Hyperlink"/>
                <w:rFonts w:ascii="Arial" w:hAnsi="Arial" w:cs="Arial"/>
                <w:noProof/>
                <w:lang w:val="es-DO"/>
              </w:rPr>
              <w:t>4.5.4 Recursos humanos</w:t>
            </w:r>
            <w:r w:rsidR="00D72B17">
              <w:rPr>
                <w:noProof/>
                <w:webHidden/>
              </w:rPr>
              <w:tab/>
            </w:r>
            <w:r w:rsidR="00D72B17">
              <w:rPr>
                <w:noProof/>
                <w:webHidden/>
              </w:rPr>
              <w:fldChar w:fldCharType="begin"/>
            </w:r>
            <w:r w:rsidR="00D72B17">
              <w:rPr>
                <w:noProof/>
                <w:webHidden/>
              </w:rPr>
              <w:instrText xml:space="preserve"> PAGEREF _Toc8905231 \h </w:instrText>
            </w:r>
            <w:r w:rsidR="00D72B17">
              <w:rPr>
                <w:noProof/>
                <w:webHidden/>
              </w:rPr>
            </w:r>
            <w:r w:rsidR="00D72B17">
              <w:rPr>
                <w:noProof/>
                <w:webHidden/>
              </w:rPr>
              <w:fldChar w:fldCharType="separate"/>
            </w:r>
            <w:r w:rsidR="00776040">
              <w:rPr>
                <w:noProof/>
                <w:webHidden/>
              </w:rPr>
              <w:t>34</w:t>
            </w:r>
            <w:r w:rsidR="00D72B17">
              <w:rPr>
                <w:noProof/>
                <w:webHidden/>
              </w:rPr>
              <w:fldChar w:fldCharType="end"/>
            </w:r>
          </w:hyperlink>
        </w:p>
        <w:p w14:paraId="5AA0ECEE" w14:textId="437DD559" w:rsidR="00D72B17" w:rsidRDefault="006F6A41">
          <w:pPr>
            <w:pStyle w:val="TOC3"/>
            <w:tabs>
              <w:tab w:val="right" w:leader="dot" w:pos="9954"/>
            </w:tabs>
            <w:rPr>
              <w:rFonts w:eastAsiaTheme="minorEastAsia"/>
              <w:noProof/>
            </w:rPr>
          </w:pPr>
          <w:hyperlink w:anchor="_Toc8905232" w:history="1">
            <w:r w:rsidR="00D72B17" w:rsidRPr="0016676F">
              <w:rPr>
                <w:rStyle w:val="Hyperlink"/>
                <w:rFonts w:ascii="Arial" w:hAnsi="Arial" w:cs="Arial"/>
                <w:noProof/>
                <w:lang w:val="es-DO"/>
              </w:rPr>
              <w:t>4.5.5 Sistemas de información</w:t>
            </w:r>
            <w:r w:rsidR="00D72B17">
              <w:rPr>
                <w:noProof/>
                <w:webHidden/>
              </w:rPr>
              <w:tab/>
            </w:r>
            <w:r w:rsidR="00D72B17">
              <w:rPr>
                <w:noProof/>
                <w:webHidden/>
              </w:rPr>
              <w:fldChar w:fldCharType="begin"/>
            </w:r>
            <w:r w:rsidR="00D72B17">
              <w:rPr>
                <w:noProof/>
                <w:webHidden/>
              </w:rPr>
              <w:instrText xml:space="preserve"> PAGEREF _Toc8905232 \h </w:instrText>
            </w:r>
            <w:r w:rsidR="00D72B17">
              <w:rPr>
                <w:noProof/>
                <w:webHidden/>
              </w:rPr>
            </w:r>
            <w:r w:rsidR="00D72B17">
              <w:rPr>
                <w:noProof/>
                <w:webHidden/>
              </w:rPr>
              <w:fldChar w:fldCharType="separate"/>
            </w:r>
            <w:r w:rsidR="00776040">
              <w:rPr>
                <w:noProof/>
                <w:webHidden/>
              </w:rPr>
              <w:t>35</w:t>
            </w:r>
            <w:r w:rsidR="00D72B17">
              <w:rPr>
                <w:noProof/>
                <w:webHidden/>
              </w:rPr>
              <w:fldChar w:fldCharType="end"/>
            </w:r>
          </w:hyperlink>
        </w:p>
        <w:p w14:paraId="6AAE4B50" w14:textId="5775FC55" w:rsidR="00D72B17" w:rsidRDefault="006F6A41">
          <w:pPr>
            <w:pStyle w:val="TOC2"/>
            <w:tabs>
              <w:tab w:val="left" w:pos="880"/>
              <w:tab w:val="right" w:leader="dot" w:pos="9954"/>
            </w:tabs>
            <w:rPr>
              <w:rFonts w:eastAsiaTheme="minorEastAsia"/>
              <w:noProof/>
            </w:rPr>
          </w:pPr>
          <w:hyperlink w:anchor="_Toc8905233" w:history="1">
            <w:r w:rsidR="00D72B17" w:rsidRPr="0016676F">
              <w:rPr>
                <w:rStyle w:val="Hyperlink"/>
                <w:rFonts w:ascii="Arial" w:hAnsi="Arial" w:cs="Arial"/>
                <w:noProof/>
                <w:lang w:val="es-419"/>
              </w:rPr>
              <w:t>4.6</w:t>
            </w:r>
            <w:r w:rsidR="00D72B17">
              <w:rPr>
                <w:rFonts w:eastAsiaTheme="minorEastAsia"/>
                <w:noProof/>
              </w:rPr>
              <w:tab/>
            </w:r>
            <w:r w:rsidR="00D72B17" w:rsidRPr="0016676F">
              <w:rPr>
                <w:rStyle w:val="Hyperlink"/>
                <w:rFonts w:ascii="Arial" w:hAnsi="Arial" w:cs="Arial"/>
                <w:noProof/>
                <w:lang w:val="es-419"/>
              </w:rPr>
              <w:t>Resumen de riesgos, su impacto y soluciones potenciales</w:t>
            </w:r>
            <w:r w:rsidR="00D72B17">
              <w:rPr>
                <w:noProof/>
                <w:webHidden/>
              </w:rPr>
              <w:tab/>
            </w:r>
            <w:r w:rsidR="00D72B17">
              <w:rPr>
                <w:noProof/>
                <w:webHidden/>
              </w:rPr>
              <w:fldChar w:fldCharType="begin"/>
            </w:r>
            <w:r w:rsidR="00D72B17">
              <w:rPr>
                <w:noProof/>
                <w:webHidden/>
              </w:rPr>
              <w:instrText xml:space="preserve"> PAGEREF _Toc8905233 \h </w:instrText>
            </w:r>
            <w:r w:rsidR="00D72B17">
              <w:rPr>
                <w:noProof/>
                <w:webHidden/>
              </w:rPr>
            </w:r>
            <w:r w:rsidR="00D72B17">
              <w:rPr>
                <w:noProof/>
                <w:webHidden/>
              </w:rPr>
              <w:fldChar w:fldCharType="separate"/>
            </w:r>
            <w:r w:rsidR="00776040">
              <w:rPr>
                <w:noProof/>
                <w:webHidden/>
              </w:rPr>
              <w:t>36</w:t>
            </w:r>
            <w:r w:rsidR="00D72B17">
              <w:rPr>
                <w:noProof/>
                <w:webHidden/>
              </w:rPr>
              <w:fldChar w:fldCharType="end"/>
            </w:r>
          </w:hyperlink>
        </w:p>
        <w:p w14:paraId="3B8C28A2" w14:textId="1090B9EA" w:rsidR="00D72B17" w:rsidRDefault="006F6A41">
          <w:pPr>
            <w:pStyle w:val="TOC1"/>
            <w:tabs>
              <w:tab w:val="right" w:leader="dot" w:pos="9954"/>
            </w:tabs>
            <w:rPr>
              <w:rFonts w:eastAsiaTheme="minorEastAsia"/>
              <w:noProof/>
            </w:rPr>
          </w:pPr>
          <w:hyperlink w:anchor="_Toc8905234" w:history="1">
            <w:r w:rsidR="00D72B17" w:rsidRPr="0016676F">
              <w:rPr>
                <w:rStyle w:val="Hyperlink"/>
                <w:rFonts w:ascii="Arial" w:hAnsi="Arial" w:cs="Arial"/>
                <w:noProof/>
                <w:lang w:val="es-419"/>
              </w:rPr>
              <w:t>5. Respuesta del País a la Epidemia de TB</w:t>
            </w:r>
            <w:r w:rsidR="00D72B17">
              <w:rPr>
                <w:noProof/>
                <w:webHidden/>
              </w:rPr>
              <w:tab/>
            </w:r>
            <w:r w:rsidR="00D72B17">
              <w:rPr>
                <w:noProof/>
                <w:webHidden/>
              </w:rPr>
              <w:fldChar w:fldCharType="begin"/>
            </w:r>
            <w:r w:rsidR="00D72B17">
              <w:rPr>
                <w:noProof/>
                <w:webHidden/>
              </w:rPr>
              <w:instrText xml:space="preserve"> PAGEREF _Toc8905234 \h </w:instrText>
            </w:r>
            <w:r w:rsidR="00D72B17">
              <w:rPr>
                <w:noProof/>
                <w:webHidden/>
              </w:rPr>
            </w:r>
            <w:r w:rsidR="00D72B17">
              <w:rPr>
                <w:noProof/>
                <w:webHidden/>
              </w:rPr>
              <w:fldChar w:fldCharType="separate"/>
            </w:r>
            <w:r w:rsidR="00776040">
              <w:rPr>
                <w:noProof/>
                <w:webHidden/>
              </w:rPr>
              <w:t>38</w:t>
            </w:r>
            <w:r w:rsidR="00D72B17">
              <w:rPr>
                <w:noProof/>
                <w:webHidden/>
              </w:rPr>
              <w:fldChar w:fldCharType="end"/>
            </w:r>
          </w:hyperlink>
        </w:p>
        <w:p w14:paraId="0AFFB043" w14:textId="295C7303" w:rsidR="00D72B17" w:rsidRDefault="006F6A41">
          <w:pPr>
            <w:pStyle w:val="TOC2"/>
            <w:tabs>
              <w:tab w:val="left" w:pos="880"/>
              <w:tab w:val="right" w:leader="dot" w:pos="9954"/>
            </w:tabs>
            <w:rPr>
              <w:rFonts w:eastAsiaTheme="minorEastAsia"/>
              <w:noProof/>
            </w:rPr>
          </w:pPr>
          <w:hyperlink w:anchor="_Toc8905235" w:history="1">
            <w:r w:rsidR="00D72B17" w:rsidRPr="0016676F">
              <w:rPr>
                <w:rStyle w:val="Hyperlink"/>
                <w:rFonts w:ascii="Arial" w:hAnsi="Arial" w:cs="Arial"/>
                <w:noProof/>
                <w:lang w:val="es-419"/>
              </w:rPr>
              <w:t>5.1</w:t>
            </w:r>
            <w:r w:rsidR="00D72B17">
              <w:rPr>
                <w:rFonts w:eastAsiaTheme="minorEastAsia"/>
                <w:noProof/>
              </w:rPr>
              <w:tab/>
            </w:r>
            <w:r w:rsidR="00D72B17" w:rsidRPr="0016676F">
              <w:rPr>
                <w:rStyle w:val="Hyperlink"/>
                <w:rFonts w:ascii="Arial" w:hAnsi="Arial" w:cs="Arial"/>
                <w:noProof/>
                <w:lang w:val="es-419"/>
              </w:rPr>
              <w:t>Contexto general de la Respuesta Nacional a la TB</w:t>
            </w:r>
            <w:r w:rsidR="00D72B17">
              <w:rPr>
                <w:noProof/>
                <w:webHidden/>
              </w:rPr>
              <w:tab/>
            </w:r>
            <w:r w:rsidR="00D72B17">
              <w:rPr>
                <w:noProof/>
                <w:webHidden/>
              </w:rPr>
              <w:fldChar w:fldCharType="begin"/>
            </w:r>
            <w:r w:rsidR="00D72B17">
              <w:rPr>
                <w:noProof/>
                <w:webHidden/>
              </w:rPr>
              <w:instrText xml:space="preserve"> PAGEREF _Toc8905235 \h </w:instrText>
            </w:r>
            <w:r w:rsidR="00D72B17">
              <w:rPr>
                <w:noProof/>
                <w:webHidden/>
              </w:rPr>
            </w:r>
            <w:r w:rsidR="00D72B17">
              <w:rPr>
                <w:noProof/>
                <w:webHidden/>
              </w:rPr>
              <w:fldChar w:fldCharType="separate"/>
            </w:r>
            <w:r w:rsidR="00776040">
              <w:rPr>
                <w:noProof/>
                <w:webHidden/>
              </w:rPr>
              <w:t>38</w:t>
            </w:r>
            <w:r w:rsidR="00D72B17">
              <w:rPr>
                <w:noProof/>
                <w:webHidden/>
              </w:rPr>
              <w:fldChar w:fldCharType="end"/>
            </w:r>
          </w:hyperlink>
        </w:p>
        <w:p w14:paraId="0E19B2EA" w14:textId="582E9E4C" w:rsidR="00D72B17" w:rsidRDefault="006F6A41">
          <w:pPr>
            <w:pStyle w:val="TOC2"/>
            <w:tabs>
              <w:tab w:val="left" w:pos="880"/>
              <w:tab w:val="right" w:leader="dot" w:pos="9954"/>
            </w:tabs>
            <w:rPr>
              <w:rFonts w:eastAsiaTheme="minorEastAsia"/>
              <w:noProof/>
            </w:rPr>
          </w:pPr>
          <w:hyperlink w:anchor="_Toc8905236" w:history="1">
            <w:r w:rsidR="00D72B17" w:rsidRPr="0016676F">
              <w:rPr>
                <w:rStyle w:val="Hyperlink"/>
                <w:rFonts w:ascii="Arial" w:hAnsi="Arial" w:cs="Arial"/>
                <w:noProof/>
                <w:lang w:val="es-419"/>
              </w:rPr>
              <w:t>5.2</w:t>
            </w:r>
            <w:r w:rsidR="00D72B17">
              <w:rPr>
                <w:rFonts w:eastAsiaTheme="minorEastAsia"/>
                <w:noProof/>
              </w:rPr>
              <w:tab/>
            </w:r>
            <w:r w:rsidR="00D72B17" w:rsidRPr="0016676F">
              <w:rPr>
                <w:rStyle w:val="Hyperlink"/>
                <w:rFonts w:ascii="Arial" w:hAnsi="Arial" w:cs="Arial"/>
                <w:noProof/>
                <w:lang w:val="es-419"/>
              </w:rPr>
              <w:t>Situación epidemiológica – Carga de enfermedad del TB</w:t>
            </w:r>
            <w:r w:rsidR="00D72B17">
              <w:rPr>
                <w:noProof/>
                <w:webHidden/>
              </w:rPr>
              <w:tab/>
            </w:r>
            <w:r w:rsidR="00D72B17">
              <w:rPr>
                <w:noProof/>
                <w:webHidden/>
              </w:rPr>
              <w:fldChar w:fldCharType="begin"/>
            </w:r>
            <w:r w:rsidR="00D72B17">
              <w:rPr>
                <w:noProof/>
                <w:webHidden/>
              </w:rPr>
              <w:instrText xml:space="preserve"> PAGEREF _Toc8905236 \h </w:instrText>
            </w:r>
            <w:r w:rsidR="00D72B17">
              <w:rPr>
                <w:noProof/>
                <w:webHidden/>
              </w:rPr>
            </w:r>
            <w:r w:rsidR="00D72B17">
              <w:rPr>
                <w:noProof/>
                <w:webHidden/>
              </w:rPr>
              <w:fldChar w:fldCharType="separate"/>
            </w:r>
            <w:r w:rsidR="00776040">
              <w:rPr>
                <w:noProof/>
                <w:webHidden/>
              </w:rPr>
              <w:t>39</w:t>
            </w:r>
            <w:r w:rsidR="00D72B17">
              <w:rPr>
                <w:noProof/>
                <w:webHidden/>
              </w:rPr>
              <w:fldChar w:fldCharType="end"/>
            </w:r>
          </w:hyperlink>
        </w:p>
        <w:p w14:paraId="0AF173CF" w14:textId="282431D6" w:rsidR="00D72B17" w:rsidRDefault="006F6A41">
          <w:pPr>
            <w:pStyle w:val="TOC2"/>
            <w:tabs>
              <w:tab w:val="left" w:pos="880"/>
              <w:tab w:val="right" w:leader="dot" w:pos="9954"/>
            </w:tabs>
            <w:rPr>
              <w:rFonts w:eastAsiaTheme="minorEastAsia"/>
              <w:noProof/>
            </w:rPr>
          </w:pPr>
          <w:hyperlink w:anchor="_Toc8905237" w:history="1">
            <w:r w:rsidR="00D72B17" w:rsidRPr="0016676F">
              <w:rPr>
                <w:rStyle w:val="Hyperlink"/>
                <w:rFonts w:ascii="Arial" w:hAnsi="Arial" w:cs="Arial"/>
                <w:noProof/>
                <w:lang w:val="es-419"/>
              </w:rPr>
              <w:t>5.3</w:t>
            </w:r>
            <w:r w:rsidR="00D72B17">
              <w:rPr>
                <w:rFonts w:eastAsiaTheme="minorEastAsia"/>
                <w:noProof/>
              </w:rPr>
              <w:tab/>
            </w:r>
            <w:r w:rsidR="00D72B17" w:rsidRPr="0016676F">
              <w:rPr>
                <w:rStyle w:val="Hyperlink"/>
                <w:rFonts w:ascii="Arial" w:hAnsi="Arial" w:cs="Arial"/>
                <w:noProof/>
                <w:lang w:val="es-419"/>
              </w:rPr>
              <w:t>Actividades de prevención y promoción, fuerzas y debilidades</w:t>
            </w:r>
            <w:r w:rsidR="00D72B17">
              <w:rPr>
                <w:noProof/>
                <w:webHidden/>
              </w:rPr>
              <w:tab/>
            </w:r>
            <w:r w:rsidR="00D72B17">
              <w:rPr>
                <w:noProof/>
                <w:webHidden/>
              </w:rPr>
              <w:fldChar w:fldCharType="begin"/>
            </w:r>
            <w:r w:rsidR="00D72B17">
              <w:rPr>
                <w:noProof/>
                <w:webHidden/>
              </w:rPr>
              <w:instrText xml:space="preserve"> PAGEREF _Toc8905237 \h </w:instrText>
            </w:r>
            <w:r w:rsidR="00D72B17">
              <w:rPr>
                <w:noProof/>
                <w:webHidden/>
              </w:rPr>
            </w:r>
            <w:r w:rsidR="00D72B17">
              <w:rPr>
                <w:noProof/>
                <w:webHidden/>
              </w:rPr>
              <w:fldChar w:fldCharType="separate"/>
            </w:r>
            <w:r w:rsidR="00776040">
              <w:rPr>
                <w:noProof/>
                <w:webHidden/>
              </w:rPr>
              <w:t>42</w:t>
            </w:r>
            <w:r w:rsidR="00D72B17">
              <w:rPr>
                <w:noProof/>
                <w:webHidden/>
              </w:rPr>
              <w:fldChar w:fldCharType="end"/>
            </w:r>
          </w:hyperlink>
        </w:p>
        <w:p w14:paraId="6BF47389" w14:textId="7DE21114" w:rsidR="00D72B17" w:rsidRDefault="006F6A41">
          <w:pPr>
            <w:pStyle w:val="TOC2"/>
            <w:tabs>
              <w:tab w:val="left" w:pos="880"/>
              <w:tab w:val="right" w:leader="dot" w:pos="9954"/>
            </w:tabs>
            <w:rPr>
              <w:rFonts w:eastAsiaTheme="minorEastAsia"/>
              <w:noProof/>
            </w:rPr>
          </w:pPr>
          <w:hyperlink w:anchor="_Toc8905238" w:history="1">
            <w:r w:rsidR="00D72B17" w:rsidRPr="0016676F">
              <w:rPr>
                <w:rStyle w:val="Hyperlink"/>
                <w:rFonts w:ascii="Arial" w:hAnsi="Arial" w:cs="Arial"/>
                <w:noProof/>
                <w:lang w:val="es-419"/>
              </w:rPr>
              <w:t>5.4</w:t>
            </w:r>
            <w:r w:rsidR="00D72B17">
              <w:rPr>
                <w:rFonts w:eastAsiaTheme="minorEastAsia"/>
                <w:noProof/>
              </w:rPr>
              <w:tab/>
            </w:r>
            <w:r w:rsidR="00D72B17" w:rsidRPr="0016676F">
              <w:rPr>
                <w:rStyle w:val="Hyperlink"/>
                <w:rFonts w:ascii="Arial" w:hAnsi="Arial" w:cs="Arial"/>
                <w:noProof/>
                <w:lang w:val="es-419"/>
              </w:rPr>
              <w:t>Actividades de diagnóstico, fuerzas y debilidades</w:t>
            </w:r>
            <w:r w:rsidR="00D72B17">
              <w:rPr>
                <w:noProof/>
                <w:webHidden/>
              </w:rPr>
              <w:tab/>
            </w:r>
            <w:r w:rsidR="00D72B17">
              <w:rPr>
                <w:noProof/>
                <w:webHidden/>
              </w:rPr>
              <w:fldChar w:fldCharType="begin"/>
            </w:r>
            <w:r w:rsidR="00D72B17">
              <w:rPr>
                <w:noProof/>
                <w:webHidden/>
              </w:rPr>
              <w:instrText xml:space="preserve"> PAGEREF _Toc8905238 \h </w:instrText>
            </w:r>
            <w:r w:rsidR="00D72B17">
              <w:rPr>
                <w:noProof/>
                <w:webHidden/>
              </w:rPr>
            </w:r>
            <w:r w:rsidR="00D72B17">
              <w:rPr>
                <w:noProof/>
                <w:webHidden/>
              </w:rPr>
              <w:fldChar w:fldCharType="separate"/>
            </w:r>
            <w:r w:rsidR="00776040">
              <w:rPr>
                <w:noProof/>
                <w:webHidden/>
              </w:rPr>
              <w:t>44</w:t>
            </w:r>
            <w:r w:rsidR="00D72B17">
              <w:rPr>
                <w:noProof/>
                <w:webHidden/>
              </w:rPr>
              <w:fldChar w:fldCharType="end"/>
            </w:r>
          </w:hyperlink>
        </w:p>
        <w:p w14:paraId="1C013679" w14:textId="076BE115" w:rsidR="00D72B17" w:rsidRDefault="006F6A41">
          <w:pPr>
            <w:pStyle w:val="TOC2"/>
            <w:tabs>
              <w:tab w:val="left" w:pos="880"/>
              <w:tab w:val="right" w:leader="dot" w:pos="9954"/>
            </w:tabs>
            <w:rPr>
              <w:rFonts w:eastAsiaTheme="minorEastAsia"/>
              <w:noProof/>
            </w:rPr>
          </w:pPr>
          <w:hyperlink w:anchor="_Toc8905239" w:history="1">
            <w:r w:rsidR="00D72B17" w:rsidRPr="0016676F">
              <w:rPr>
                <w:rStyle w:val="Hyperlink"/>
                <w:rFonts w:ascii="Arial" w:hAnsi="Arial" w:cs="Arial"/>
                <w:noProof/>
                <w:lang w:val="es-419"/>
              </w:rPr>
              <w:t>5.5</w:t>
            </w:r>
            <w:r w:rsidR="00D72B17">
              <w:rPr>
                <w:rFonts w:eastAsiaTheme="minorEastAsia"/>
                <w:noProof/>
              </w:rPr>
              <w:tab/>
            </w:r>
            <w:r w:rsidR="00D72B17" w:rsidRPr="0016676F">
              <w:rPr>
                <w:rStyle w:val="Hyperlink"/>
                <w:rFonts w:ascii="Arial" w:hAnsi="Arial" w:cs="Arial"/>
                <w:noProof/>
                <w:lang w:val="es-419"/>
              </w:rPr>
              <w:t>Actividades de tratamiento y retención en atención, fuerzas y debilidades</w:t>
            </w:r>
            <w:r w:rsidR="00D72B17">
              <w:rPr>
                <w:noProof/>
                <w:webHidden/>
              </w:rPr>
              <w:tab/>
            </w:r>
            <w:r w:rsidR="00D72B17">
              <w:rPr>
                <w:noProof/>
                <w:webHidden/>
              </w:rPr>
              <w:fldChar w:fldCharType="begin"/>
            </w:r>
            <w:r w:rsidR="00D72B17">
              <w:rPr>
                <w:noProof/>
                <w:webHidden/>
              </w:rPr>
              <w:instrText xml:space="preserve"> PAGEREF _Toc8905239 \h </w:instrText>
            </w:r>
            <w:r w:rsidR="00D72B17">
              <w:rPr>
                <w:noProof/>
                <w:webHidden/>
              </w:rPr>
            </w:r>
            <w:r w:rsidR="00D72B17">
              <w:rPr>
                <w:noProof/>
                <w:webHidden/>
              </w:rPr>
              <w:fldChar w:fldCharType="separate"/>
            </w:r>
            <w:r w:rsidR="00776040">
              <w:rPr>
                <w:noProof/>
                <w:webHidden/>
              </w:rPr>
              <w:t>45</w:t>
            </w:r>
            <w:r w:rsidR="00D72B17">
              <w:rPr>
                <w:noProof/>
                <w:webHidden/>
              </w:rPr>
              <w:fldChar w:fldCharType="end"/>
            </w:r>
          </w:hyperlink>
        </w:p>
        <w:p w14:paraId="7593826A" w14:textId="5E3A8CA8" w:rsidR="00D72B17" w:rsidRDefault="006F6A41">
          <w:pPr>
            <w:pStyle w:val="TOC2"/>
            <w:tabs>
              <w:tab w:val="left" w:pos="880"/>
              <w:tab w:val="right" w:leader="dot" w:pos="9954"/>
            </w:tabs>
            <w:rPr>
              <w:rFonts w:eastAsiaTheme="minorEastAsia"/>
              <w:noProof/>
            </w:rPr>
          </w:pPr>
          <w:hyperlink w:anchor="_Toc8905240" w:history="1">
            <w:r w:rsidR="00D72B17" w:rsidRPr="0016676F">
              <w:rPr>
                <w:rStyle w:val="Hyperlink"/>
                <w:rFonts w:ascii="Arial" w:hAnsi="Arial" w:cs="Arial"/>
                <w:noProof/>
                <w:lang w:val="es-419"/>
              </w:rPr>
              <w:t>5.6</w:t>
            </w:r>
            <w:r w:rsidR="00D72B17">
              <w:rPr>
                <w:rFonts w:eastAsiaTheme="minorEastAsia"/>
                <w:noProof/>
              </w:rPr>
              <w:tab/>
            </w:r>
            <w:r w:rsidR="00D72B17" w:rsidRPr="0016676F">
              <w:rPr>
                <w:rStyle w:val="Hyperlink"/>
                <w:rFonts w:ascii="Arial" w:hAnsi="Arial" w:cs="Arial"/>
                <w:noProof/>
                <w:lang w:val="es-419"/>
              </w:rPr>
              <w:t>Aspectos operativos</w:t>
            </w:r>
            <w:r w:rsidR="00D72B17">
              <w:rPr>
                <w:noProof/>
                <w:webHidden/>
              </w:rPr>
              <w:tab/>
            </w:r>
            <w:r w:rsidR="00D72B17">
              <w:rPr>
                <w:noProof/>
                <w:webHidden/>
              </w:rPr>
              <w:fldChar w:fldCharType="begin"/>
            </w:r>
            <w:r w:rsidR="00D72B17">
              <w:rPr>
                <w:noProof/>
                <w:webHidden/>
              </w:rPr>
              <w:instrText xml:space="preserve"> PAGEREF _Toc8905240 \h </w:instrText>
            </w:r>
            <w:r w:rsidR="00D72B17">
              <w:rPr>
                <w:noProof/>
                <w:webHidden/>
              </w:rPr>
            </w:r>
            <w:r w:rsidR="00D72B17">
              <w:rPr>
                <w:noProof/>
                <w:webHidden/>
              </w:rPr>
              <w:fldChar w:fldCharType="separate"/>
            </w:r>
            <w:r w:rsidR="00776040">
              <w:rPr>
                <w:noProof/>
                <w:webHidden/>
              </w:rPr>
              <w:t>48</w:t>
            </w:r>
            <w:r w:rsidR="00D72B17">
              <w:rPr>
                <w:noProof/>
                <w:webHidden/>
              </w:rPr>
              <w:fldChar w:fldCharType="end"/>
            </w:r>
          </w:hyperlink>
        </w:p>
        <w:p w14:paraId="36FF2122" w14:textId="11B197E6" w:rsidR="00D72B17" w:rsidRDefault="006F6A41">
          <w:pPr>
            <w:pStyle w:val="TOC3"/>
            <w:tabs>
              <w:tab w:val="left" w:pos="1320"/>
              <w:tab w:val="right" w:leader="dot" w:pos="9954"/>
            </w:tabs>
            <w:rPr>
              <w:rFonts w:eastAsiaTheme="minorEastAsia"/>
              <w:noProof/>
            </w:rPr>
          </w:pPr>
          <w:hyperlink w:anchor="_Toc8905241" w:history="1">
            <w:r w:rsidR="00D72B17" w:rsidRPr="0016676F">
              <w:rPr>
                <w:rStyle w:val="Hyperlink"/>
                <w:rFonts w:ascii="Arial" w:hAnsi="Arial" w:cs="Arial"/>
                <w:noProof/>
                <w:lang w:val="es-419"/>
              </w:rPr>
              <w:t>5.6.1</w:t>
            </w:r>
            <w:r w:rsidR="00D72B17">
              <w:rPr>
                <w:rFonts w:eastAsiaTheme="minorEastAsia"/>
                <w:noProof/>
              </w:rPr>
              <w:tab/>
            </w:r>
            <w:r w:rsidR="00D72B17" w:rsidRPr="0016676F">
              <w:rPr>
                <w:rStyle w:val="Hyperlink"/>
                <w:rFonts w:ascii="Arial" w:hAnsi="Arial" w:cs="Arial"/>
                <w:noProof/>
                <w:lang w:val="es-419"/>
              </w:rPr>
              <w:t>Adquisición de productos y gestión de cadena de suministros</w:t>
            </w:r>
            <w:r w:rsidR="00D72B17">
              <w:rPr>
                <w:noProof/>
                <w:webHidden/>
              </w:rPr>
              <w:tab/>
            </w:r>
            <w:r w:rsidR="00D72B17">
              <w:rPr>
                <w:noProof/>
                <w:webHidden/>
              </w:rPr>
              <w:fldChar w:fldCharType="begin"/>
            </w:r>
            <w:r w:rsidR="00D72B17">
              <w:rPr>
                <w:noProof/>
                <w:webHidden/>
              </w:rPr>
              <w:instrText xml:space="preserve"> PAGEREF _Toc8905241 \h </w:instrText>
            </w:r>
            <w:r w:rsidR="00D72B17">
              <w:rPr>
                <w:noProof/>
                <w:webHidden/>
              </w:rPr>
            </w:r>
            <w:r w:rsidR="00D72B17">
              <w:rPr>
                <w:noProof/>
                <w:webHidden/>
              </w:rPr>
              <w:fldChar w:fldCharType="separate"/>
            </w:r>
            <w:r w:rsidR="00776040">
              <w:rPr>
                <w:noProof/>
                <w:webHidden/>
              </w:rPr>
              <w:t>48</w:t>
            </w:r>
            <w:r w:rsidR="00D72B17">
              <w:rPr>
                <w:noProof/>
                <w:webHidden/>
              </w:rPr>
              <w:fldChar w:fldCharType="end"/>
            </w:r>
          </w:hyperlink>
        </w:p>
        <w:p w14:paraId="74A6DC4E" w14:textId="64EEE6B6" w:rsidR="00D72B17" w:rsidRDefault="006F6A41">
          <w:pPr>
            <w:pStyle w:val="TOC3"/>
            <w:tabs>
              <w:tab w:val="right" w:leader="dot" w:pos="9954"/>
            </w:tabs>
            <w:rPr>
              <w:rFonts w:eastAsiaTheme="minorEastAsia"/>
              <w:noProof/>
            </w:rPr>
          </w:pPr>
          <w:hyperlink w:anchor="_Toc8905242" w:history="1">
            <w:r w:rsidR="00D72B17" w:rsidRPr="0016676F">
              <w:rPr>
                <w:rStyle w:val="Hyperlink"/>
                <w:rFonts w:ascii="Arial" w:hAnsi="Arial" w:cs="Arial"/>
                <w:noProof/>
                <w:lang w:val="es-419"/>
              </w:rPr>
              <w:t>5.7.2 Recursos humanos</w:t>
            </w:r>
            <w:r w:rsidR="00D72B17">
              <w:rPr>
                <w:noProof/>
                <w:webHidden/>
              </w:rPr>
              <w:tab/>
            </w:r>
            <w:r w:rsidR="00D72B17">
              <w:rPr>
                <w:noProof/>
                <w:webHidden/>
              </w:rPr>
              <w:fldChar w:fldCharType="begin"/>
            </w:r>
            <w:r w:rsidR="00D72B17">
              <w:rPr>
                <w:noProof/>
                <w:webHidden/>
              </w:rPr>
              <w:instrText xml:space="preserve"> PAGEREF _Toc8905242 \h </w:instrText>
            </w:r>
            <w:r w:rsidR="00D72B17">
              <w:rPr>
                <w:noProof/>
                <w:webHidden/>
              </w:rPr>
            </w:r>
            <w:r w:rsidR="00D72B17">
              <w:rPr>
                <w:noProof/>
                <w:webHidden/>
              </w:rPr>
              <w:fldChar w:fldCharType="separate"/>
            </w:r>
            <w:r w:rsidR="00776040">
              <w:rPr>
                <w:noProof/>
                <w:webHidden/>
              </w:rPr>
              <w:t>48</w:t>
            </w:r>
            <w:r w:rsidR="00D72B17">
              <w:rPr>
                <w:noProof/>
                <w:webHidden/>
              </w:rPr>
              <w:fldChar w:fldCharType="end"/>
            </w:r>
          </w:hyperlink>
        </w:p>
        <w:p w14:paraId="405E9D10" w14:textId="59900203" w:rsidR="00D72B17" w:rsidRDefault="006F6A41">
          <w:pPr>
            <w:pStyle w:val="TOC3"/>
            <w:tabs>
              <w:tab w:val="right" w:leader="dot" w:pos="9954"/>
            </w:tabs>
            <w:rPr>
              <w:rFonts w:eastAsiaTheme="minorEastAsia"/>
              <w:noProof/>
            </w:rPr>
          </w:pPr>
          <w:hyperlink w:anchor="_Toc8905243" w:history="1">
            <w:r w:rsidR="00D72B17" w:rsidRPr="0016676F">
              <w:rPr>
                <w:rStyle w:val="Hyperlink"/>
                <w:rFonts w:ascii="Arial" w:hAnsi="Arial" w:cs="Arial"/>
                <w:noProof/>
                <w:lang w:val="es-419"/>
              </w:rPr>
              <w:t>5.7.3 Sistemas de informaci</w:t>
            </w:r>
            <w:r w:rsidR="00D72B17" w:rsidRPr="0016676F">
              <w:rPr>
                <w:rStyle w:val="Hyperlink"/>
                <w:rFonts w:ascii="Arial" w:hAnsi="Arial" w:cs="Arial"/>
                <w:noProof/>
                <w:lang w:val="es-MX"/>
              </w:rPr>
              <w:t>ón</w:t>
            </w:r>
            <w:r w:rsidR="00D72B17">
              <w:rPr>
                <w:noProof/>
                <w:webHidden/>
              </w:rPr>
              <w:tab/>
            </w:r>
            <w:r w:rsidR="00D72B17">
              <w:rPr>
                <w:noProof/>
                <w:webHidden/>
              </w:rPr>
              <w:fldChar w:fldCharType="begin"/>
            </w:r>
            <w:r w:rsidR="00D72B17">
              <w:rPr>
                <w:noProof/>
                <w:webHidden/>
              </w:rPr>
              <w:instrText xml:space="preserve"> PAGEREF _Toc8905243 \h </w:instrText>
            </w:r>
            <w:r w:rsidR="00D72B17">
              <w:rPr>
                <w:noProof/>
                <w:webHidden/>
              </w:rPr>
            </w:r>
            <w:r w:rsidR="00D72B17">
              <w:rPr>
                <w:noProof/>
                <w:webHidden/>
              </w:rPr>
              <w:fldChar w:fldCharType="separate"/>
            </w:r>
            <w:r w:rsidR="00776040">
              <w:rPr>
                <w:noProof/>
                <w:webHidden/>
              </w:rPr>
              <w:t>49</w:t>
            </w:r>
            <w:r w:rsidR="00D72B17">
              <w:rPr>
                <w:noProof/>
                <w:webHidden/>
              </w:rPr>
              <w:fldChar w:fldCharType="end"/>
            </w:r>
          </w:hyperlink>
        </w:p>
        <w:p w14:paraId="08BC4B0E" w14:textId="462B0086" w:rsidR="00D72B17" w:rsidRDefault="006F6A41">
          <w:pPr>
            <w:pStyle w:val="TOC2"/>
            <w:tabs>
              <w:tab w:val="left" w:pos="880"/>
              <w:tab w:val="right" w:leader="dot" w:pos="9954"/>
            </w:tabs>
            <w:rPr>
              <w:rFonts w:eastAsiaTheme="minorEastAsia"/>
              <w:noProof/>
            </w:rPr>
          </w:pPr>
          <w:hyperlink w:anchor="_Toc8905244" w:history="1">
            <w:r w:rsidR="00D72B17" w:rsidRPr="0016676F">
              <w:rPr>
                <w:rStyle w:val="Hyperlink"/>
                <w:rFonts w:ascii="Arial" w:hAnsi="Arial" w:cs="Arial"/>
                <w:noProof/>
                <w:lang w:val="es-419"/>
              </w:rPr>
              <w:t>4.7</w:t>
            </w:r>
            <w:r w:rsidR="00D72B17">
              <w:rPr>
                <w:rFonts w:eastAsiaTheme="minorEastAsia"/>
                <w:noProof/>
              </w:rPr>
              <w:tab/>
            </w:r>
            <w:r w:rsidR="00D72B17" w:rsidRPr="0016676F">
              <w:rPr>
                <w:rStyle w:val="Hyperlink"/>
                <w:rFonts w:ascii="Arial" w:hAnsi="Arial" w:cs="Arial"/>
                <w:noProof/>
                <w:lang w:val="es-419"/>
              </w:rPr>
              <w:t>Resumen de riesgos, su impacto y soluciones potenciales</w:t>
            </w:r>
            <w:r w:rsidR="00D72B17">
              <w:rPr>
                <w:noProof/>
                <w:webHidden/>
              </w:rPr>
              <w:tab/>
            </w:r>
            <w:r w:rsidR="00D72B17">
              <w:rPr>
                <w:noProof/>
                <w:webHidden/>
              </w:rPr>
              <w:fldChar w:fldCharType="begin"/>
            </w:r>
            <w:r w:rsidR="00D72B17">
              <w:rPr>
                <w:noProof/>
                <w:webHidden/>
              </w:rPr>
              <w:instrText xml:space="preserve"> PAGEREF _Toc8905244 \h </w:instrText>
            </w:r>
            <w:r w:rsidR="00D72B17">
              <w:rPr>
                <w:noProof/>
                <w:webHidden/>
              </w:rPr>
            </w:r>
            <w:r w:rsidR="00D72B17">
              <w:rPr>
                <w:noProof/>
                <w:webHidden/>
              </w:rPr>
              <w:fldChar w:fldCharType="separate"/>
            </w:r>
            <w:r w:rsidR="00776040">
              <w:rPr>
                <w:noProof/>
                <w:webHidden/>
              </w:rPr>
              <w:t>50</w:t>
            </w:r>
            <w:r w:rsidR="00D72B17">
              <w:rPr>
                <w:noProof/>
                <w:webHidden/>
              </w:rPr>
              <w:fldChar w:fldCharType="end"/>
            </w:r>
          </w:hyperlink>
        </w:p>
        <w:p w14:paraId="3A97FC34" w14:textId="59FC673D" w:rsidR="00D72B17" w:rsidRDefault="006F6A41">
          <w:pPr>
            <w:pStyle w:val="TOC1"/>
            <w:tabs>
              <w:tab w:val="right" w:leader="dot" w:pos="9954"/>
            </w:tabs>
            <w:rPr>
              <w:rFonts w:eastAsiaTheme="minorEastAsia"/>
              <w:noProof/>
            </w:rPr>
          </w:pPr>
          <w:hyperlink w:anchor="_Toc8905245" w:history="1">
            <w:r w:rsidR="00D72B17" w:rsidRPr="0016676F">
              <w:rPr>
                <w:rStyle w:val="Hyperlink"/>
                <w:rFonts w:ascii="Arial" w:hAnsi="Arial" w:cs="Arial"/>
                <w:noProof/>
                <w:lang w:val="es-419"/>
              </w:rPr>
              <w:t>6. Financiamiento de salud, sostenibilidad, y transición</w:t>
            </w:r>
            <w:r w:rsidR="00D72B17">
              <w:rPr>
                <w:noProof/>
                <w:webHidden/>
              </w:rPr>
              <w:tab/>
            </w:r>
            <w:r w:rsidR="00D72B17">
              <w:rPr>
                <w:noProof/>
                <w:webHidden/>
              </w:rPr>
              <w:fldChar w:fldCharType="begin"/>
            </w:r>
            <w:r w:rsidR="00D72B17">
              <w:rPr>
                <w:noProof/>
                <w:webHidden/>
              </w:rPr>
              <w:instrText xml:space="preserve"> PAGEREF _Toc8905245 \h </w:instrText>
            </w:r>
            <w:r w:rsidR="00D72B17">
              <w:rPr>
                <w:noProof/>
                <w:webHidden/>
              </w:rPr>
            </w:r>
            <w:r w:rsidR="00D72B17">
              <w:rPr>
                <w:noProof/>
                <w:webHidden/>
              </w:rPr>
              <w:fldChar w:fldCharType="separate"/>
            </w:r>
            <w:r w:rsidR="00776040">
              <w:rPr>
                <w:noProof/>
                <w:webHidden/>
              </w:rPr>
              <w:t>52</w:t>
            </w:r>
            <w:r w:rsidR="00D72B17">
              <w:rPr>
                <w:noProof/>
                <w:webHidden/>
              </w:rPr>
              <w:fldChar w:fldCharType="end"/>
            </w:r>
          </w:hyperlink>
        </w:p>
        <w:p w14:paraId="73B31F7E" w14:textId="58CF7EF6" w:rsidR="00D72B17" w:rsidRDefault="006F6A41">
          <w:pPr>
            <w:pStyle w:val="TOC2"/>
            <w:tabs>
              <w:tab w:val="left" w:pos="880"/>
              <w:tab w:val="right" w:leader="dot" w:pos="9954"/>
            </w:tabs>
            <w:rPr>
              <w:rFonts w:eastAsiaTheme="minorEastAsia"/>
              <w:noProof/>
            </w:rPr>
          </w:pPr>
          <w:hyperlink w:anchor="_Toc8905246" w:history="1">
            <w:r w:rsidR="00D72B17" w:rsidRPr="0016676F">
              <w:rPr>
                <w:rStyle w:val="Hyperlink"/>
                <w:rFonts w:ascii="Arial" w:hAnsi="Arial" w:cs="Arial"/>
                <w:noProof/>
                <w:lang w:val="es-419"/>
              </w:rPr>
              <w:t>6.1</w:t>
            </w:r>
            <w:r w:rsidR="00D72B17">
              <w:rPr>
                <w:rFonts w:eastAsiaTheme="minorEastAsia"/>
                <w:noProof/>
              </w:rPr>
              <w:tab/>
            </w:r>
            <w:r w:rsidR="00D72B17" w:rsidRPr="0016676F">
              <w:rPr>
                <w:rStyle w:val="Hyperlink"/>
                <w:rFonts w:ascii="Arial" w:hAnsi="Arial" w:cs="Arial"/>
                <w:noProof/>
                <w:lang w:val="es-419"/>
              </w:rPr>
              <w:t>Entorno macroeconómico, fiscal y político</w:t>
            </w:r>
            <w:r w:rsidR="00D72B17">
              <w:rPr>
                <w:noProof/>
                <w:webHidden/>
              </w:rPr>
              <w:tab/>
            </w:r>
            <w:r w:rsidR="00D72B17">
              <w:rPr>
                <w:noProof/>
                <w:webHidden/>
              </w:rPr>
              <w:fldChar w:fldCharType="begin"/>
            </w:r>
            <w:r w:rsidR="00D72B17">
              <w:rPr>
                <w:noProof/>
                <w:webHidden/>
              </w:rPr>
              <w:instrText xml:space="preserve"> PAGEREF _Toc8905246 \h </w:instrText>
            </w:r>
            <w:r w:rsidR="00D72B17">
              <w:rPr>
                <w:noProof/>
                <w:webHidden/>
              </w:rPr>
            </w:r>
            <w:r w:rsidR="00D72B17">
              <w:rPr>
                <w:noProof/>
                <w:webHidden/>
              </w:rPr>
              <w:fldChar w:fldCharType="separate"/>
            </w:r>
            <w:r w:rsidR="00776040">
              <w:rPr>
                <w:noProof/>
                <w:webHidden/>
              </w:rPr>
              <w:t>52</w:t>
            </w:r>
            <w:r w:rsidR="00D72B17">
              <w:rPr>
                <w:noProof/>
                <w:webHidden/>
              </w:rPr>
              <w:fldChar w:fldCharType="end"/>
            </w:r>
          </w:hyperlink>
        </w:p>
        <w:p w14:paraId="39CC255A" w14:textId="3BD2D4D8" w:rsidR="00D72B17" w:rsidRDefault="006F6A41">
          <w:pPr>
            <w:pStyle w:val="TOC2"/>
            <w:tabs>
              <w:tab w:val="left" w:pos="880"/>
              <w:tab w:val="right" w:leader="dot" w:pos="9954"/>
            </w:tabs>
            <w:rPr>
              <w:rFonts w:eastAsiaTheme="minorEastAsia"/>
              <w:noProof/>
            </w:rPr>
          </w:pPr>
          <w:hyperlink w:anchor="_Toc8905247" w:history="1">
            <w:r w:rsidR="00D72B17" w:rsidRPr="0016676F">
              <w:rPr>
                <w:rStyle w:val="Hyperlink"/>
                <w:rFonts w:ascii="Arial" w:hAnsi="Arial" w:cs="Arial"/>
                <w:noProof/>
                <w:lang w:val="es-419"/>
              </w:rPr>
              <w:t>6.2</w:t>
            </w:r>
            <w:r w:rsidR="00D72B17">
              <w:rPr>
                <w:rFonts w:eastAsiaTheme="minorEastAsia"/>
                <w:noProof/>
              </w:rPr>
              <w:tab/>
            </w:r>
            <w:r w:rsidR="00D72B17" w:rsidRPr="0016676F">
              <w:rPr>
                <w:rStyle w:val="Hyperlink"/>
                <w:rFonts w:ascii="Arial" w:hAnsi="Arial" w:cs="Arial"/>
                <w:noProof/>
                <w:lang w:val="es-419"/>
              </w:rPr>
              <w:t>Financiamiento del sector salud</w:t>
            </w:r>
            <w:r w:rsidR="00D72B17">
              <w:rPr>
                <w:noProof/>
                <w:webHidden/>
              </w:rPr>
              <w:tab/>
            </w:r>
            <w:r w:rsidR="00D72B17">
              <w:rPr>
                <w:noProof/>
                <w:webHidden/>
              </w:rPr>
              <w:fldChar w:fldCharType="begin"/>
            </w:r>
            <w:r w:rsidR="00D72B17">
              <w:rPr>
                <w:noProof/>
                <w:webHidden/>
              </w:rPr>
              <w:instrText xml:space="preserve"> PAGEREF _Toc8905247 \h </w:instrText>
            </w:r>
            <w:r w:rsidR="00D72B17">
              <w:rPr>
                <w:noProof/>
                <w:webHidden/>
              </w:rPr>
            </w:r>
            <w:r w:rsidR="00D72B17">
              <w:rPr>
                <w:noProof/>
                <w:webHidden/>
              </w:rPr>
              <w:fldChar w:fldCharType="separate"/>
            </w:r>
            <w:r w:rsidR="00776040">
              <w:rPr>
                <w:noProof/>
                <w:webHidden/>
              </w:rPr>
              <w:t>52</w:t>
            </w:r>
            <w:r w:rsidR="00D72B17">
              <w:rPr>
                <w:noProof/>
                <w:webHidden/>
              </w:rPr>
              <w:fldChar w:fldCharType="end"/>
            </w:r>
          </w:hyperlink>
        </w:p>
        <w:p w14:paraId="67C1BBD8" w14:textId="72CFFE91" w:rsidR="00D72B17" w:rsidRDefault="006F6A41">
          <w:pPr>
            <w:pStyle w:val="TOC2"/>
            <w:tabs>
              <w:tab w:val="left" w:pos="880"/>
              <w:tab w:val="right" w:leader="dot" w:pos="9954"/>
            </w:tabs>
            <w:rPr>
              <w:rFonts w:eastAsiaTheme="minorEastAsia"/>
              <w:noProof/>
            </w:rPr>
          </w:pPr>
          <w:hyperlink w:anchor="_Toc8905248" w:history="1">
            <w:r w:rsidR="00D72B17" w:rsidRPr="0016676F">
              <w:rPr>
                <w:rStyle w:val="Hyperlink"/>
                <w:rFonts w:ascii="Arial" w:hAnsi="Arial" w:cs="Arial"/>
                <w:noProof/>
                <w:lang w:val="es-419"/>
              </w:rPr>
              <w:t>6.3</w:t>
            </w:r>
            <w:r w:rsidR="00D72B17">
              <w:rPr>
                <w:rFonts w:eastAsiaTheme="minorEastAsia"/>
                <w:noProof/>
              </w:rPr>
              <w:tab/>
            </w:r>
            <w:r w:rsidR="00D72B17" w:rsidRPr="0016676F">
              <w:rPr>
                <w:rStyle w:val="Hyperlink"/>
                <w:rFonts w:ascii="Arial" w:hAnsi="Arial" w:cs="Arial"/>
                <w:noProof/>
                <w:lang w:val="es-419"/>
              </w:rPr>
              <w:t>Gasto en VIH</w:t>
            </w:r>
            <w:r w:rsidR="00D72B17">
              <w:rPr>
                <w:noProof/>
                <w:webHidden/>
              </w:rPr>
              <w:tab/>
            </w:r>
            <w:r w:rsidR="00D72B17">
              <w:rPr>
                <w:noProof/>
                <w:webHidden/>
              </w:rPr>
              <w:fldChar w:fldCharType="begin"/>
            </w:r>
            <w:r w:rsidR="00D72B17">
              <w:rPr>
                <w:noProof/>
                <w:webHidden/>
              </w:rPr>
              <w:instrText xml:space="preserve"> PAGEREF _Toc8905248 \h </w:instrText>
            </w:r>
            <w:r w:rsidR="00D72B17">
              <w:rPr>
                <w:noProof/>
                <w:webHidden/>
              </w:rPr>
            </w:r>
            <w:r w:rsidR="00D72B17">
              <w:rPr>
                <w:noProof/>
                <w:webHidden/>
              </w:rPr>
              <w:fldChar w:fldCharType="separate"/>
            </w:r>
            <w:r w:rsidR="00776040">
              <w:rPr>
                <w:noProof/>
                <w:webHidden/>
              </w:rPr>
              <w:t>54</w:t>
            </w:r>
            <w:r w:rsidR="00D72B17">
              <w:rPr>
                <w:noProof/>
                <w:webHidden/>
              </w:rPr>
              <w:fldChar w:fldCharType="end"/>
            </w:r>
          </w:hyperlink>
        </w:p>
        <w:p w14:paraId="0E50389F" w14:textId="17C0BCB9" w:rsidR="00D72B17" w:rsidRDefault="006F6A41">
          <w:pPr>
            <w:pStyle w:val="TOC2"/>
            <w:tabs>
              <w:tab w:val="left" w:pos="880"/>
              <w:tab w:val="right" w:leader="dot" w:pos="9954"/>
            </w:tabs>
            <w:rPr>
              <w:rFonts w:eastAsiaTheme="minorEastAsia"/>
              <w:noProof/>
            </w:rPr>
          </w:pPr>
          <w:hyperlink w:anchor="_Toc8905249" w:history="1">
            <w:r w:rsidR="00D72B17" w:rsidRPr="0016676F">
              <w:rPr>
                <w:rStyle w:val="Hyperlink"/>
                <w:rFonts w:ascii="Arial" w:hAnsi="Arial" w:cs="Arial"/>
                <w:noProof/>
                <w:lang w:val="es-419"/>
              </w:rPr>
              <w:t>6.4</w:t>
            </w:r>
            <w:r w:rsidR="00D72B17">
              <w:rPr>
                <w:rFonts w:eastAsiaTheme="minorEastAsia"/>
                <w:noProof/>
              </w:rPr>
              <w:tab/>
            </w:r>
            <w:r w:rsidR="00D72B17" w:rsidRPr="0016676F">
              <w:rPr>
                <w:rStyle w:val="Hyperlink"/>
                <w:rFonts w:ascii="Arial" w:hAnsi="Arial" w:cs="Arial"/>
                <w:noProof/>
                <w:lang w:val="es-419"/>
              </w:rPr>
              <w:t>Gasto en TB</w:t>
            </w:r>
            <w:r w:rsidR="00D72B17">
              <w:rPr>
                <w:noProof/>
                <w:webHidden/>
              </w:rPr>
              <w:tab/>
            </w:r>
            <w:r w:rsidR="00D72B17">
              <w:rPr>
                <w:noProof/>
                <w:webHidden/>
              </w:rPr>
              <w:fldChar w:fldCharType="begin"/>
            </w:r>
            <w:r w:rsidR="00D72B17">
              <w:rPr>
                <w:noProof/>
                <w:webHidden/>
              </w:rPr>
              <w:instrText xml:space="preserve"> PAGEREF _Toc8905249 \h </w:instrText>
            </w:r>
            <w:r w:rsidR="00D72B17">
              <w:rPr>
                <w:noProof/>
                <w:webHidden/>
              </w:rPr>
            </w:r>
            <w:r w:rsidR="00D72B17">
              <w:rPr>
                <w:noProof/>
                <w:webHidden/>
              </w:rPr>
              <w:fldChar w:fldCharType="separate"/>
            </w:r>
            <w:r w:rsidR="00776040">
              <w:rPr>
                <w:noProof/>
                <w:webHidden/>
              </w:rPr>
              <w:t>57</w:t>
            </w:r>
            <w:r w:rsidR="00D72B17">
              <w:rPr>
                <w:noProof/>
                <w:webHidden/>
              </w:rPr>
              <w:fldChar w:fldCharType="end"/>
            </w:r>
          </w:hyperlink>
        </w:p>
        <w:p w14:paraId="3698D57F" w14:textId="09C46FD0" w:rsidR="00D72B17" w:rsidRDefault="006F6A41">
          <w:pPr>
            <w:pStyle w:val="TOC2"/>
            <w:tabs>
              <w:tab w:val="left" w:pos="880"/>
              <w:tab w:val="right" w:leader="dot" w:pos="9954"/>
            </w:tabs>
            <w:rPr>
              <w:rFonts w:eastAsiaTheme="minorEastAsia"/>
              <w:noProof/>
            </w:rPr>
          </w:pPr>
          <w:hyperlink w:anchor="_Toc8905250" w:history="1">
            <w:r w:rsidR="00D72B17" w:rsidRPr="0016676F">
              <w:rPr>
                <w:rStyle w:val="Hyperlink"/>
                <w:rFonts w:ascii="Arial" w:hAnsi="Arial" w:cs="Arial"/>
                <w:noProof/>
                <w:lang w:val="es-419"/>
              </w:rPr>
              <w:t>6.5</w:t>
            </w:r>
            <w:r w:rsidR="00D72B17">
              <w:rPr>
                <w:rFonts w:eastAsiaTheme="minorEastAsia"/>
                <w:noProof/>
              </w:rPr>
              <w:tab/>
            </w:r>
            <w:r w:rsidR="00D72B17" w:rsidRPr="0016676F">
              <w:rPr>
                <w:rStyle w:val="Hyperlink"/>
                <w:rFonts w:ascii="Arial" w:hAnsi="Arial" w:cs="Arial"/>
                <w:noProof/>
                <w:lang w:val="es-419"/>
              </w:rPr>
              <w:t>Administración pública y financiera</w:t>
            </w:r>
            <w:r w:rsidR="00D72B17">
              <w:rPr>
                <w:noProof/>
                <w:webHidden/>
              </w:rPr>
              <w:tab/>
            </w:r>
            <w:r w:rsidR="00D72B17">
              <w:rPr>
                <w:noProof/>
                <w:webHidden/>
              </w:rPr>
              <w:fldChar w:fldCharType="begin"/>
            </w:r>
            <w:r w:rsidR="00D72B17">
              <w:rPr>
                <w:noProof/>
                <w:webHidden/>
              </w:rPr>
              <w:instrText xml:space="preserve"> PAGEREF _Toc8905250 \h </w:instrText>
            </w:r>
            <w:r w:rsidR="00D72B17">
              <w:rPr>
                <w:noProof/>
                <w:webHidden/>
              </w:rPr>
            </w:r>
            <w:r w:rsidR="00D72B17">
              <w:rPr>
                <w:noProof/>
                <w:webHidden/>
              </w:rPr>
              <w:fldChar w:fldCharType="separate"/>
            </w:r>
            <w:r w:rsidR="00776040">
              <w:rPr>
                <w:noProof/>
                <w:webHidden/>
              </w:rPr>
              <w:t>59</w:t>
            </w:r>
            <w:r w:rsidR="00D72B17">
              <w:rPr>
                <w:noProof/>
                <w:webHidden/>
              </w:rPr>
              <w:fldChar w:fldCharType="end"/>
            </w:r>
          </w:hyperlink>
        </w:p>
        <w:p w14:paraId="204349A6" w14:textId="3A168457" w:rsidR="00D72B17" w:rsidRDefault="006F6A41">
          <w:pPr>
            <w:pStyle w:val="TOC2"/>
            <w:tabs>
              <w:tab w:val="left" w:pos="880"/>
              <w:tab w:val="right" w:leader="dot" w:pos="9954"/>
            </w:tabs>
            <w:rPr>
              <w:rFonts w:eastAsiaTheme="minorEastAsia"/>
              <w:noProof/>
            </w:rPr>
          </w:pPr>
          <w:hyperlink w:anchor="_Toc8905251" w:history="1">
            <w:r w:rsidR="00D72B17" w:rsidRPr="0016676F">
              <w:rPr>
                <w:rStyle w:val="Hyperlink"/>
                <w:rFonts w:ascii="Arial" w:hAnsi="Arial" w:cs="Arial"/>
                <w:noProof/>
                <w:lang w:val="es-419"/>
              </w:rPr>
              <w:t>6.6</w:t>
            </w:r>
            <w:r w:rsidR="00D72B17">
              <w:rPr>
                <w:rFonts w:eastAsiaTheme="minorEastAsia"/>
                <w:noProof/>
              </w:rPr>
              <w:tab/>
            </w:r>
            <w:r w:rsidR="00D72B17" w:rsidRPr="0016676F">
              <w:rPr>
                <w:rStyle w:val="Hyperlink"/>
                <w:rFonts w:ascii="Arial" w:hAnsi="Arial" w:cs="Arial"/>
                <w:noProof/>
                <w:lang w:val="es-419"/>
              </w:rPr>
              <w:t>Financiamiento necesario proyectado VIH y TB</w:t>
            </w:r>
            <w:r w:rsidR="00D72B17">
              <w:rPr>
                <w:noProof/>
                <w:webHidden/>
              </w:rPr>
              <w:tab/>
            </w:r>
            <w:r w:rsidR="00D72B17">
              <w:rPr>
                <w:noProof/>
                <w:webHidden/>
              </w:rPr>
              <w:fldChar w:fldCharType="begin"/>
            </w:r>
            <w:r w:rsidR="00D72B17">
              <w:rPr>
                <w:noProof/>
                <w:webHidden/>
              </w:rPr>
              <w:instrText xml:space="preserve"> PAGEREF _Toc8905251 \h </w:instrText>
            </w:r>
            <w:r w:rsidR="00D72B17">
              <w:rPr>
                <w:noProof/>
                <w:webHidden/>
              </w:rPr>
            </w:r>
            <w:r w:rsidR="00D72B17">
              <w:rPr>
                <w:noProof/>
                <w:webHidden/>
              </w:rPr>
              <w:fldChar w:fldCharType="separate"/>
            </w:r>
            <w:r w:rsidR="00776040">
              <w:rPr>
                <w:noProof/>
                <w:webHidden/>
              </w:rPr>
              <w:t>60</w:t>
            </w:r>
            <w:r w:rsidR="00D72B17">
              <w:rPr>
                <w:noProof/>
                <w:webHidden/>
              </w:rPr>
              <w:fldChar w:fldCharType="end"/>
            </w:r>
          </w:hyperlink>
        </w:p>
        <w:p w14:paraId="506D16FB" w14:textId="790A5B8A" w:rsidR="00D72B17" w:rsidRDefault="006F6A41">
          <w:pPr>
            <w:pStyle w:val="TOC2"/>
            <w:tabs>
              <w:tab w:val="left" w:pos="880"/>
              <w:tab w:val="right" w:leader="dot" w:pos="9954"/>
            </w:tabs>
            <w:rPr>
              <w:rFonts w:eastAsiaTheme="minorEastAsia"/>
              <w:noProof/>
            </w:rPr>
          </w:pPr>
          <w:hyperlink w:anchor="_Toc8905252" w:history="1">
            <w:r w:rsidR="00D72B17" w:rsidRPr="0016676F">
              <w:rPr>
                <w:rStyle w:val="Hyperlink"/>
                <w:rFonts w:ascii="Arial" w:hAnsi="Arial" w:cs="Arial"/>
                <w:noProof/>
                <w:lang w:val="es-419"/>
              </w:rPr>
              <w:t>6.7</w:t>
            </w:r>
            <w:r w:rsidR="00D72B17">
              <w:rPr>
                <w:rFonts w:eastAsiaTheme="minorEastAsia"/>
                <w:noProof/>
              </w:rPr>
              <w:tab/>
            </w:r>
            <w:r w:rsidR="00D72B17" w:rsidRPr="0016676F">
              <w:rPr>
                <w:rStyle w:val="Hyperlink"/>
                <w:rFonts w:ascii="Arial" w:hAnsi="Arial" w:cs="Arial"/>
                <w:noProof/>
                <w:lang w:val="es-419"/>
              </w:rPr>
              <w:t>Espacio fiscal para VIH y TB</w:t>
            </w:r>
            <w:r w:rsidR="00D72B17">
              <w:rPr>
                <w:noProof/>
                <w:webHidden/>
              </w:rPr>
              <w:tab/>
            </w:r>
            <w:r w:rsidR="00D72B17">
              <w:rPr>
                <w:noProof/>
                <w:webHidden/>
              </w:rPr>
              <w:fldChar w:fldCharType="begin"/>
            </w:r>
            <w:r w:rsidR="00D72B17">
              <w:rPr>
                <w:noProof/>
                <w:webHidden/>
              </w:rPr>
              <w:instrText xml:space="preserve"> PAGEREF _Toc8905252 \h </w:instrText>
            </w:r>
            <w:r w:rsidR="00D72B17">
              <w:rPr>
                <w:noProof/>
                <w:webHidden/>
              </w:rPr>
            </w:r>
            <w:r w:rsidR="00D72B17">
              <w:rPr>
                <w:noProof/>
                <w:webHidden/>
              </w:rPr>
              <w:fldChar w:fldCharType="separate"/>
            </w:r>
            <w:r w:rsidR="00776040">
              <w:rPr>
                <w:noProof/>
                <w:webHidden/>
              </w:rPr>
              <w:t>62</w:t>
            </w:r>
            <w:r w:rsidR="00D72B17">
              <w:rPr>
                <w:noProof/>
                <w:webHidden/>
              </w:rPr>
              <w:fldChar w:fldCharType="end"/>
            </w:r>
          </w:hyperlink>
        </w:p>
        <w:p w14:paraId="04178570" w14:textId="3A616186" w:rsidR="00D72B17" w:rsidRDefault="006F6A41">
          <w:pPr>
            <w:pStyle w:val="TOC2"/>
            <w:tabs>
              <w:tab w:val="left" w:pos="880"/>
              <w:tab w:val="right" w:leader="dot" w:pos="9954"/>
            </w:tabs>
            <w:rPr>
              <w:rFonts w:eastAsiaTheme="minorEastAsia"/>
              <w:noProof/>
            </w:rPr>
          </w:pPr>
          <w:hyperlink w:anchor="_Toc8905253" w:history="1">
            <w:r w:rsidR="00D72B17" w:rsidRPr="0016676F">
              <w:rPr>
                <w:rStyle w:val="Hyperlink"/>
                <w:rFonts w:ascii="Arial" w:hAnsi="Arial" w:cs="Arial"/>
                <w:noProof/>
                <w:lang w:val="es-419"/>
              </w:rPr>
              <w:t>6.8</w:t>
            </w:r>
            <w:r w:rsidR="00D72B17">
              <w:rPr>
                <w:rFonts w:eastAsiaTheme="minorEastAsia"/>
                <w:noProof/>
              </w:rPr>
              <w:tab/>
            </w:r>
            <w:r w:rsidR="00D72B17" w:rsidRPr="0016676F">
              <w:rPr>
                <w:rStyle w:val="Hyperlink"/>
                <w:rFonts w:ascii="Arial" w:hAnsi="Arial" w:cs="Arial"/>
                <w:noProof/>
                <w:lang w:val="es-419"/>
              </w:rPr>
              <w:t>Resumen de riesgos, sus impactos, su probabilidad y severidad, y soluciones potenciales</w:t>
            </w:r>
            <w:r w:rsidR="00D72B17">
              <w:rPr>
                <w:noProof/>
                <w:webHidden/>
              </w:rPr>
              <w:tab/>
            </w:r>
            <w:r w:rsidR="00D72B17">
              <w:rPr>
                <w:noProof/>
                <w:webHidden/>
              </w:rPr>
              <w:fldChar w:fldCharType="begin"/>
            </w:r>
            <w:r w:rsidR="00D72B17">
              <w:rPr>
                <w:noProof/>
                <w:webHidden/>
              </w:rPr>
              <w:instrText xml:space="preserve"> PAGEREF _Toc8905253 \h </w:instrText>
            </w:r>
            <w:r w:rsidR="00D72B17">
              <w:rPr>
                <w:noProof/>
                <w:webHidden/>
              </w:rPr>
            </w:r>
            <w:r w:rsidR="00D72B17">
              <w:rPr>
                <w:noProof/>
                <w:webHidden/>
              </w:rPr>
              <w:fldChar w:fldCharType="separate"/>
            </w:r>
            <w:r w:rsidR="00776040">
              <w:rPr>
                <w:noProof/>
                <w:webHidden/>
              </w:rPr>
              <w:t>63</w:t>
            </w:r>
            <w:r w:rsidR="00D72B17">
              <w:rPr>
                <w:noProof/>
                <w:webHidden/>
              </w:rPr>
              <w:fldChar w:fldCharType="end"/>
            </w:r>
          </w:hyperlink>
        </w:p>
        <w:p w14:paraId="1566BC88" w14:textId="17F25206" w:rsidR="00D72B17" w:rsidRDefault="006F6A41">
          <w:pPr>
            <w:pStyle w:val="TOC1"/>
            <w:tabs>
              <w:tab w:val="right" w:leader="dot" w:pos="9954"/>
            </w:tabs>
            <w:rPr>
              <w:rFonts w:eastAsiaTheme="minorEastAsia"/>
              <w:noProof/>
            </w:rPr>
          </w:pPr>
          <w:hyperlink w:anchor="_Toc8905254" w:history="1">
            <w:r w:rsidR="00D72B17" w:rsidRPr="0016676F">
              <w:rPr>
                <w:rStyle w:val="Hyperlink"/>
                <w:rFonts w:ascii="Arial" w:hAnsi="Arial" w:cs="Arial"/>
                <w:noProof/>
                <w:lang w:val="es-419"/>
              </w:rPr>
              <w:t>7. Derechos humanos y género</w:t>
            </w:r>
            <w:r w:rsidR="00D72B17">
              <w:rPr>
                <w:noProof/>
                <w:webHidden/>
              </w:rPr>
              <w:tab/>
            </w:r>
            <w:r w:rsidR="00D72B17">
              <w:rPr>
                <w:noProof/>
                <w:webHidden/>
              </w:rPr>
              <w:fldChar w:fldCharType="begin"/>
            </w:r>
            <w:r w:rsidR="00D72B17">
              <w:rPr>
                <w:noProof/>
                <w:webHidden/>
              </w:rPr>
              <w:instrText xml:space="preserve"> PAGEREF _Toc8905254 \h </w:instrText>
            </w:r>
            <w:r w:rsidR="00D72B17">
              <w:rPr>
                <w:noProof/>
                <w:webHidden/>
              </w:rPr>
            </w:r>
            <w:r w:rsidR="00D72B17">
              <w:rPr>
                <w:noProof/>
                <w:webHidden/>
              </w:rPr>
              <w:fldChar w:fldCharType="separate"/>
            </w:r>
            <w:r w:rsidR="00776040">
              <w:rPr>
                <w:noProof/>
                <w:webHidden/>
              </w:rPr>
              <w:t>64</w:t>
            </w:r>
            <w:r w:rsidR="00D72B17">
              <w:rPr>
                <w:noProof/>
                <w:webHidden/>
              </w:rPr>
              <w:fldChar w:fldCharType="end"/>
            </w:r>
          </w:hyperlink>
        </w:p>
        <w:p w14:paraId="215B72A4" w14:textId="2EFD2C38" w:rsidR="00D72B17" w:rsidRDefault="006F6A41">
          <w:pPr>
            <w:pStyle w:val="TOC2"/>
            <w:tabs>
              <w:tab w:val="left" w:pos="880"/>
              <w:tab w:val="right" w:leader="dot" w:pos="9954"/>
            </w:tabs>
            <w:rPr>
              <w:rFonts w:eastAsiaTheme="minorEastAsia"/>
              <w:noProof/>
            </w:rPr>
          </w:pPr>
          <w:hyperlink w:anchor="_Toc8905255" w:history="1">
            <w:r w:rsidR="00D72B17" w:rsidRPr="0016676F">
              <w:rPr>
                <w:rStyle w:val="Hyperlink"/>
                <w:rFonts w:ascii="Arial" w:hAnsi="Arial" w:cs="Arial"/>
                <w:noProof/>
                <w:lang w:val="es-419"/>
              </w:rPr>
              <w:t>7.1</w:t>
            </w:r>
            <w:r w:rsidR="00D72B17">
              <w:rPr>
                <w:rFonts w:eastAsiaTheme="minorEastAsia"/>
                <w:noProof/>
              </w:rPr>
              <w:tab/>
            </w:r>
            <w:r w:rsidR="00D72B17" w:rsidRPr="0016676F">
              <w:rPr>
                <w:rStyle w:val="Hyperlink"/>
                <w:rFonts w:ascii="Arial" w:hAnsi="Arial" w:cs="Arial"/>
                <w:noProof/>
                <w:lang w:val="es-419"/>
              </w:rPr>
              <w:t>Derechos humanos y género en el marco político, e institucional</w:t>
            </w:r>
            <w:r w:rsidR="00D72B17">
              <w:rPr>
                <w:noProof/>
                <w:webHidden/>
              </w:rPr>
              <w:tab/>
            </w:r>
            <w:r w:rsidR="00D72B17">
              <w:rPr>
                <w:noProof/>
                <w:webHidden/>
              </w:rPr>
              <w:fldChar w:fldCharType="begin"/>
            </w:r>
            <w:r w:rsidR="00D72B17">
              <w:rPr>
                <w:noProof/>
                <w:webHidden/>
              </w:rPr>
              <w:instrText xml:space="preserve"> PAGEREF _Toc8905255 \h </w:instrText>
            </w:r>
            <w:r w:rsidR="00D72B17">
              <w:rPr>
                <w:noProof/>
                <w:webHidden/>
              </w:rPr>
            </w:r>
            <w:r w:rsidR="00D72B17">
              <w:rPr>
                <w:noProof/>
                <w:webHidden/>
              </w:rPr>
              <w:fldChar w:fldCharType="separate"/>
            </w:r>
            <w:r w:rsidR="00776040">
              <w:rPr>
                <w:noProof/>
                <w:webHidden/>
              </w:rPr>
              <w:t>64</w:t>
            </w:r>
            <w:r w:rsidR="00D72B17">
              <w:rPr>
                <w:noProof/>
                <w:webHidden/>
              </w:rPr>
              <w:fldChar w:fldCharType="end"/>
            </w:r>
          </w:hyperlink>
        </w:p>
        <w:p w14:paraId="4C49D11F" w14:textId="2FAB8BE9" w:rsidR="00D72B17" w:rsidRDefault="006F6A41">
          <w:pPr>
            <w:pStyle w:val="TOC2"/>
            <w:tabs>
              <w:tab w:val="left" w:pos="880"/>
              <w:tab w:val="right" w:leader="dot" w:pos="9954"/>
            </w:tabs>
            <w:rPr>
              <w:rFonts w:eastAsiaTheme="minorEastAsia"/>
              <w:noProof/>
            </w:rPr>
          </w:pPr>
          <w:hyperlink w:anchor="_Toc8905256" w:history="1">
            <w:r w:rsidR="00D72B17" w:rsidRPr="0016676F">
              <w:rPr>
                <w:rStyle w:val="Hyperlink"/>
                <w:rFonts w:ascii="Arial" w:hAnsi="Arial" w:cs="Arial"/>
                <w:noProof/>
                <w:lang w:val="es-419"/>
              </w:rPr>
              <w:t>7.2</w:t>
            </w:r>
            <w:r w:rsidR="00D72B17">
              <w:rPr>
                <w:rFonts w:eastAsiaTheme="minorEastAsia"/>
                <w:noProof/>
              </w:rPr>
              <w:tab/>
            </w:r>
            <w:r w:rsidR="00D72B17" w:rsidRPr="0016676F">
              <w:rPr>
                <w:rStyle w:val="Hyperlink"/>
                <w:rFonts w:ascii="Arial" w:hAnsi="Arial" w:cs="Arial"/>
                <w:noProof/>
                <w:lang w:val="es-419"/>
              </w:rPr>
              <w:t>Resumen de riesgos, su impacto y soluciones potenciales</w:t>
            </w:r>
            <w:r w:rsidR="00D72B17">
              <w:rPr>
                <w:noProof/>
                <w:webHidden/>
              </w:rPr>
              <w:tab/>
            </w:r>
            <w:r w:rsidR="00D72B17">
              <w:rPr>
                <w:noProof/>
                <w:webHidden/>
              </w:rPr>
              <w:fldChar w:fldCharType="begin"/>
            </w:r>
            <w:r w:rsidR="00D72B17">
              <w:rPr>
                <w:noProof/>
                <w:webHidden/>
              </w:rPr>
              <w:instrText xml:space="preserve"> PAGEREF _Toc8905256 \h </w:instrText>
            </w:r>
            <w:r w:rsidR="00D72B17">
              <w:rPr>
                <w:noProof/>
                <w:webHidden/>
              </w:rPr>
            </w:r>
            <w:r w:rsidR="00D72B17">
              <w:rPr>
                <w:noProof/>
                <w:webHidden/>
              </w:rPr>
              <w:fldChar w:fldCharType="separate"/>
            </w:r>
            <w:r w:rsidR="00776040">
              <w:rPr>
                <w:noProof/>
                <w:webHidden/>
              </w:rPr>
              <w:t>68</w:t>
            </w:r>
            <w:r w:rsidR="00D72B17">
              <w:rPr>
                <w:noProof/>
                <w:webHidden/>
              </w:rPr>
              <w:fldChar w:fldCharType="end"/>
            </w:r>
          </w:hyperlink>
        </w:p>
        <w:p w14:paraId="46E88068" w14:textId="653499E3" w:rsidR="00D72B17" w:rsidRDefault="006F6A41">
          <w:pPr>
            <w:pStyle w:val="TOC1"/>
            <w:tabs>
              <w:tab w:val="right" w:leader="dot" w:pos="9954"/>
            </w:tabs>
            <w:rPr>
              <w:rFonts w:eastAsiaTheme="minorEastAsia"/>
              <w:noProof/>
            </w:rPr>
          </w:pPr>
          <w:hyperlink w:anchor="_Toc8905257" w:history="1">
            <w:r w:rsidR="00D72B17" w:rsidRPr="0016676F">
              <w:rPr>
                <w:rStyle w:val="Hyperlink"/>
                <w:rFonts w:ascii="Arial" w:hAnsi="Arial" w:cs="Arial"/>
                <w:noProof/>
                <w:lang w:val="es-419"/>
              </w:rPr>
              <w:t>8. Organizaciones de la Sociedad Civil</w:t>
            </w:r>
            <w:r w:rsidR="00D72B17">
              <w:rPr>
                <w:noProof/>
                <w:webHidden/>
              </w:rPr>
              <w:tab/>
            </w:r>
            <w:r w:rsidR="00D72B17">
              <w:rPr>
                <w:noProof/>
                <w:webHidden/>
              </w:rPr>
              <w:fldChar w:fldCharType="begin"/>
            </w:r>
            <w:r w:rsidR="00D72B17">
              <w:rPr>
                <w:noProof/>
                <w:webHidden/>
              </w:rPr>
              <w:instrText xml:space="preserve"> PAGEREF _Toc8905257 \h </w:instrText>
            </w:r>
            <w:r w:rsidR="00D72B17">
              <w:rPr>
                <w:noProof/>
                <w:webHidden/>
              </w:rPr>
            </w:r>
            <w:r w:rsidR="00D72B17">
              <w:rPr>
                <w:noProof/>
                <w:webHidden/>
              </w:rPr>
              <w:fldChar w:fldCharType="separate"/>
            </w:r>
            <w:r w:rsidR="00776040">
              <w:rPr>
                <w:noProof/>
                <w:webHidden/>
              </w:rPr>
              <w:t>69</w:t>
            </w:r>
            <w:r w:rsidR="00D72B17">
              <w:rPr>
                <w:noProof/>
                <w:webHidden/>
              </w:rPr>
              <w:fldChar w:fldCharType="end"/>
            </w:r>
          </w:hyperlink>
        </w:p>
        <w:p w14:paraId="6092F011" w14:textId="3272ED5D" w:rsidR="00D72B17" w:rsidRDefault="006F6A41">
          <w:pPr>
            <w:pStyle w:val="TOC2"/>
            <w:tabs>
              <w:tab w:val="left" w:pos="880"/>
              <w:tab w:val="right" w:leader="dot" w:pos="9954"/>
            </w:tabs>
            <w:rPr>
              <w:rFonts w:eastAsiaTheme="minorEastAsia"/>
              <w:noProof/>
            </w:rPr>
          </w:pPr>
          <w:hyperlink w:anchor="_Toc8905258" w:history="1">
            <w:r w:rsidR="00D72B17" w:rsidRPr="0016676F">
              <w:rPr>
                <w:rStyle w:val="Hyperlink"/>
                <w:rFonts w:ascii="Arial" w:hAnsi="Arial" w:cs="Arial"/>
                <w:noProof/>
                <w:lang w:val="es-419"/>
              </w:rPr>
              <w:t>8.1</w:t>
            </w:r>
            <w:r w:rsidR="00D72B17">
              <w:rPr>
                <w:rFonts w:eastAsiaTheme="minorEastAsia"/>
                <w:noProof/>
              </w:rPr>
              <w:tab/>
            </w:r>
            <w:r w:rsidR="00D72B17" w:rsidRPr="0016676F">
              <w:rPr>
                <w:rStyle w:val="Hyperlink"/>
                <w:rFonts w:ascii="Arial" w:hAnsi="Arial" w:cs="Arial"/>
                <w:noProof/>
                <w:lang w:val="es-419"/>
              </w:rPr>
              <w:t>Estructura y roles actuales de la sociedad civil</w:t>
            </w:r>
            <w:r w:rsidR="00D72B17">
              <w:rPr>
                <w:noProof/>
                <w:webHidden/>
              </w:rPr>
              <w:tab/>
            </w:r>
            <w:r w:rsidR="00D72B17">
              <w:rPr>
                <w:noProof/>
                <w:webHidden/>
              </w:rPr>
              <w:fldChar w:fldCharType="begin"/>
            </w:r>
            <w:r w:rsidR="00D72B17">
              <w:rPr>
                <w:noProof/>
                <w:webHidden/>
              </w:rPr>
              <w:instrText xml:space="preserve"> PAGEREF _Toc8905258 \h </w:instrText>
            </w:r>
            <w:r w:rsidR="00D72B17">
              <w:rPr>
                <w:noProof/>
                <w:webHidden/>
              </w:rPr>
            </w:r>
            <w:r w:rsidR="00D72B17">
              <w:rPr>
                <w:noProof/>
                <w:webHidden/>
              </w:rPr>
              <w:fldChar w:fldCharType="separate"/>
            </w:r>
            <w:r w:rsidR="00776040">
              <w:rPr>
                <w:noProof/>
                <w:webHidden/>
              </w:rPr>
              <w:t>69</w:t>
            </w:r>
            <w:r w:rsidR="00D72B17">
              <w:rPr>
                <w:noProof/>
                <w:webHidden/>
              </w:rPr>
              <w:fldChar w:fldCharType="end"/>
            </w:r>
          </w:hyperlink>
        </w:p>
        <w:p w14:paraId="0010B7A9" w14:textId="701772C5" w:rsidR="00D72B17" w:rsidRDefault="006F6A41">
          <w:pPr>
            <w:pStyle w:val="TOC2"/>
            <w:tabs>
              <w:tab w:val="left" w:pos="880"/>
              <w:tab w:val="right" w:leader="dot" w:pos="9954"/>
            </w:tabs>
            <w:rPr>
              <w:rFonts w:eastAsiaTheme="minorEastAsia"/>
              <w:noProof/>
            </w:rPr>
          </w:pPr>
          <w:hyperlink w:anchor="_Toc8905259" w:history="1">
            <w:r w:rsidR="00D72B17" w:rsidRPr="0016676F">
              <w:rPr>
                <w:rStyle w:val="Hyperlink"/>
                <w:rFonts w:ascii="Arial" w:hAnsi="Arial" w:cs="Arial"/>
                <w:noProof/>
                <w:lang w:val="es-419"/>
              </w:rPr>
              <w:t>8.2</w:t>
            </w:r>
            <w:r w:rsidR="00D72B17">
              <w:rPr>
                <w:rFonts w:eastAsiaTheme="minorEastAsia"/>
                <w:noProof/>
              </w:rPr>
              <w:tab/>
            </w:r>
            <w:r w:rsidR="00D72B17" w:rsidRPr="0016676F">
              <w:rPr>
                <w:rStyle w:val="Hyperlink"/>
                <w:rFonts w:ascii="Arial" w:hAnsi="Arial" w:cs="Arial"/>
                <w:noProof/>
                <w:lang w:val="es-419"/>
              </w:rPr>
              <w:t>Sostenibilidad y resiliencia de sociedad civil más allá de transición</w:t>
            </w:r>
            <w:r w:rsidR="00D72B17">
              <w:rPr>
                <w:noProof/>
                <w:webHidden/>
              </w:rPr>
              <w:tab/>
            </w:r>
            <w:r w:rsidR="00D72B17">
              <w:rPr>
                <w:noProof/>
                <w:webHidden/>
              </w:rPr>
              <w:fldChar w:fldCharType="begin"/>
            </w:r>
            <w:r w:rsidR="00D72B17">
              <w:rPr>
                <w:noProof/>
                <w:webHidden/>
              </w:rPr>
              <w:instrText xml:space="preserve"> PAGEREF _Toc8905259 \h </w:instrText>
            </w:r>
            <w:r w:rsidR="00D72B17">
              <w:rPr>
                <w:noProof/>
                <w:webHidden/>
              </w:rPr>
            </w:r>
            <w:r w:rsidR="00D72B17">
              <w:rPr>
                <w:noProof/>
                <w:webHidden/>
              </w:rPr>
              <w:fldChar w:fldCharType="separate"/>
            </w:r>
            <w:r w:rsidR="00776040">
              <w:rPr>
                <w:noProof/>
                <w:webHidden/>
              </w:rPr>
              <w:t>71</w:t>
            </w:r>
            <w:r w:rsidR="00D72B17">
              <w:rPr>
                <w:noProof/>
                <w:webHidden/>
              </w:rPr>
              <w:fldChar w:fldCharType="end"/>
            </w:r>
          </w:hyperlink>
        </w:p>
        <w:p w14:paraId="1C628F0F" w14:textId="6B030083" w:rsidR="00D72B17" w:rsidRDefault="006F6A41">
          <w:pPr>
            <w:pStyle w:val="TOC3"/>
            <w:tabs>
              <w:tab w:val="right" w:leader="dot" w:pos="9954"/>
            </w:tabs>
            <w:rPr>
              <w:rFonts w:eastAsiaTheme="minorEastAsia"/>
              <w:noProof/>
            </w:rPr>
          </w:pPr>
          <w:hyperlink w:anchor="_Toc8905260" w:history="1">
            <w:r w:rsidR="00D72B17" w:rsidRPr="0016676F">
              <w:rPr>
                <w:rStyle w:val="Hyperlink"/>
                <w:rFonts w:ascii="Arial" w:hAnsi="Arial" w:cs="Arial"/>
                <w:noProof/>
                <w:lang w:val="es-419"/>
              </w:rPr>
              <w:t>8.2.1 Contratación de las OSC</w:t>
            </w:r>
            <w:r w:rsidR="00D72B17">
              <w:rPr>
                <w:noProof/>
                <w:webHidden/>
              </w:rPr>
              <w:tab/>
            </w:r>
            <w:r w:rsidR="00D72B17">
              <w:rPr>
                <w:noProof/>
                <w:webHidden/>
              </w:rPr>
              <w:fldChar w:fldCharType="begin"/>
            </w:r>
            <w:r w:rsidR="00D72B17">
              <w:rPr>
                <w:noProof/>
                <w:webHidden/>
              </w:rPr>
              <w:instrText xml:space="preserve"> PAGEREF _Toc8905260 \h </w:instrText>
            </w:r>
            <w:r w:rsidR="00D72B17">
              <w:rPr>
                <w:noProof/>
                <w:webHidden/>
              </w:rPr>
            </w:r>
            <w:r w:rsidR="00D72B17">
              <w:rPr>
                <w:noProof/>
                <w:webHidden/>
              </w:rPr>
              <w:fldChar w:fldCharType="separate"/>
            </w:r>
            <w:r w:rsidR="00776040">
              <w:rPr>
                <w:noProof/>
                <w:webHidden/>
              </w:rPr>
              <w:t>71</w:t>
            </w:r>
            <w:r w:rsidR="00D72B17">
              <w:rPr>
                <w:noProof/>
                <w:webHidden/>
              </w:rPr>
              <w:fldChar w:fldCharType="end"/>
            </w:r>
          </w:hyperlink>
        </w:p>
        <w:p w14:paraId="0C1702ED" w14:textId="0994155E" w:rsidR="00D72B17" w:rsidRDefault="006F6A41">
          <w:pPr>
            <w:pStyle w:val="TOC2"/>
            <w:tabs>
              <w:tab w:val="left" w:pos="880"/>
              <w:tab w:val="right" w:leader="dot" w:pos="9954"/>
            </w:tabs>
            <w:rPr>
              <w:rFonts w:eastAsiaTheme="minorEastAsia"/>
              <w:noProof/>
            </w:rPr>
          </w:pPr>
          <w:hyperlink w:anchor="_Toc8905261" w:history="1">
            <w:r w:rsidR="00D72B17" w:rsidRPr="0016676F">
              <w:rPr>
                <w:rStyle w:val="Hyperlink"/>
                <w:rFonts w:ascii="Arial" w:hAnsi="Arial" w:cs="Arial"/>
                <w:noProof/>
                <w:lang w:val="es-419"/>
              </w:rPr>
              <w:t>8.3</w:t>
            </w:r>
            <w:r w:rsidR="00D72B17">
              <w:rPr>
                <w:rFonts w:eastAsiaTheme="minorEastAsia"/>
                <w:noProof/>
              </w:rPr>
              <w:tab/>
            </w:r>
            <w:r w:rsidR="00D72B17" w:rsidRPr="0016676F">
              <w:rPr>
                <w:rStyle w:val="Hyperlink"/>
                <w:rFonts w:ascii="Arial" w:hAnsi="Arial" w:cs="Arial"/>
                <w:noProof/>
                <w:lang w:val="es-419"/>
              </w:rPr>
              <w:t>Oportunidades para un mayor rol de sociedad civil en respuesta a VIH</w:t>
            </w:r>
            <w:r w:rsidR="00D72B17">
              <w:rPr>
                <w:noProof/>
                <w:webHidden/>
              </w:rPr>
              <w:tab/>
            </w:r>
            <w:r w:rsidR="00D72B17">
              <w:rPr>
                <w:noProof/>
                <w:webHidden/>
              </w:rPr>
              <w:fldChar w:fldCharType="begin"/>
            </w:r>
            <w:r w:rsidR="00D72B17">
              <w:rPr>
                <w:noProof/>
                <w:webHidden/>
              </w:rPr>
              <w:instrText xml:space="preserve"> PAGEREF _Toc8905261 \h </w:instrText>
            </w:r>
            <w:r w:rsidR="00D72B17">
              <w:rPr>
                <w:noProof/>
                <w:webHidden/>
              </w:rPr>
            </w:r>
            <w:r w:rsidR="00D72B17">
              <w:rPr>
                <w:noProof/>
                <w:webHidden/>
              </w:rPr>
              <w:fldChar w:fldCharType="separate"/>
            </w:r>
            <w:r w:rsidR="00776040">
              <w:rPr>
                <w:noProof/>
                <w:webHidden/>
              </w:rPr>
              <w:t>73</w:t>
            </w:r>
            <w:r w:rsidR="00D72B17">
              <w:rPr>
                <w:noProof/>
                <w:webHidden/>
              </w:rPr>
              <w:fldChar w:fldCharType="end"/>
            </w:r>
          </w:hyperlink>
        </w:p>
        <w:p w14:paraId="69D8025B" w14:textId="3BF7C514" w:rsidR="00D72B17" w:rsidRDefault="006F6A41">
          <w:pPr>
            <w:pStyle w:val="TOC2"/>
            <w:tabs>
              <w:tab w:val="left" w:pos="880"/>
              <w:tab w:val="right" w:leader="dot" w:pos="9954"/>
            </w:tabs>
            <w:rPr>
              <w:rFonts w:eastAsiaTheme="minorEastAsia"/>
              <w:noProof/>
            </w:rPr>
          </w:pPr>
          <w:hyperlink w:anchor="_Toc8905262" w:history="1">
            <w:r w:rsidR="00D72B17" w:rsidRPr="0016676F">
              <w:rPr>
                <w:rStyle w:val="Hyperlink"/>
                <w:rFonts w:ascii="Arial" w:hAnsi="Arial" w:cs="Arial"/>
                <w:noProof/>
                <w:lang w:val="es-419"/>
              </w:rPr>
              <w:t>8.4</w:t>
            </w:r>
            <w:r w:rsidR="00D72B17">
              <w:rPr>
                <w:rFonts w:eastAsiaTheme="minorEastAsia"/>
                <w:noProof/>
              </w:rPr>
              <w:tab/>
            </w:r>
            <w:r w:rsidR="00D72B17" w:rsidRPr="0016676F">
              <w:rPr>
                <w:rStyle w:val="Hyperlink"/>
                <w:rFonts w:ascii="Arial" w:hAnsi="Arial" w:cs="Arial"/>
                <w:noProof/>
                <w:lang w:val="es-419"/>
              </w:rPr>
              <w:t>Resumen de riesgos, su impacto y soluciones potenciales</w:t>
            </w:r>
            <w:r w:rsidR="00D72B17">
              <w:rPr>
                <w:noProof/>
                <w:webHidden/>
              </w:rPr>
              <w:tab/>
            </w:r>
            <w:r w:rsidR="00D72B17">
              <w:rPr>
                <w:noProof/>
                <w:webHidden/>
              </w:rPr>
              <w:fldChar w:fldCharType="begin"/>
            </w:r>
            <w:r w:rsidR="00D72B17">
              <w:rPr>
                <w:noProof/>
                <w:webHidden/>
              </w:rPr>
              <w:instrText xml:space="preserve"> PAGEREF _Toc8905262 \h </w:instrText>
            </w:r>
            <w:r w:rsidR="00D72B17">
              <w:rPr>
                <w:noProof/>
                <w:webHidden/>
              </w:rPr>
            </w:r>
            <w:r w:rsidR="00D72B17">
              <w:rPr>
                <w:noProof/>
                <w:webHidden/>
              </w:rPr>
              <w:fldChar w:fldCharType="separate"/>
            </w:r>
            <w:r w:rsidR="00776040">
              <w:rPr>
                <w:noProof/>
                <w:webHidden/>
              </w:rPr>
              <w:t>74</w:t>
            </w:r>
            <w:r w:rsidR="00D72B17">
              <w:rPr>
                <w:noProof/>
                <w:webHidden/>
              </w:rPr>
              <w:fldChar w:fldCharType="end"/>
            </w:r>
          </w:hyperlink>
        </w:p>
        <w:p w14:paraId="1EDF491C" w14:textId="7F3E64B1" w:rsidR="00D72B17" w:rsidRDefault="006F6A41">
          <w:pPr>
            <w:pStyle w:val="TOC1"/>
            <w:tabs>
              <w:tab w:val="right" w:leader="dot" w:pos="9954"/>
            </w:tabs>
            <w:rPr>
              <w:rFonts w:eastAsiaTheme="minorEastAsia"/>
              <w:noProof/>
            </w:rPr>
          </w:pPr>
          <w:hyperlink w:anchor="_Toc8905263" w:history="1">
            <w:r w:rsidR="00D72B17" w:rsidRPr="0016676F">
              <w:rPr>
                <w:rStyle w:val="Hyperlink"/>
                <w:rFonts w:ascii="Arial" w:hAnsi="Arial" w:cs="Arial"/>
                <w:noProof/>
                <w:lang w:val="es-419"/>
              </w:rPr>
              <w:t>9. Entorno institucional, político y de gobernanza</w:t>
            </w:r>
            <w:r w:rsidR="00D72B17">
              <w:rPr>
                <w:noProof/>
                <w:webHidden/>
              </w:rPr>
              <w:tab/>
            </w:r>
            <w:r w:rsidR="00D72B17">
              <w:rPr>
                <w:noProof/>
                <w:webHidden/>
              </w:rPr>
              <w:fldChar w:fldCharType="begin"/>
            </w:r>
            <w:r w:rsidR="00D72B17">
              <w:rPr>
                <w:noProof/>
                <w:webHidden/>
              </w:rPr>
              <w:instrText xml:space="preserve"> PAGEREF _Toc8905263 \h </w:instrText>
            </w:r>
            <w:r w:rsidR="00D72B17">
              <w:rPr>
                <w:noProof/>
                <w:webHidden/>
              </w:rPr>
            </w:r>
            <w:r w:rsidR="00D72B17">
              <w:rPr>
                <w:noProof/>
                <w:webHidden/>
              </w:rPr>
              <w:fldChar w:fldCharType="separate"/>
            </w:r>
            <w:r w:rsidR="00776040">
              <w:rPr>
                <w:noProof/>
                <w:webHidden/>
              </w:rPr>
              <w:t>75</w:t>
            </w:r>
            <w:r w:rsidR="00D72B17">
              <w:rPr>
                <w:noProof/>
                <w:webHidden/>
              </w:rPr>
              <w:fldChar w:fldCharType="end"/>
            </w:r>
          </w:hyperlink>
        </w:p>
        <w:p w14:paraId="770467CC" w14:textId="1AED043D" w:rsidR="00D72B17" w:rsidRDefault="006F6A41">
          <w:pPr>
            <w:pStyle w:val="TOC2"/>
            <w:tabs>
              <w:tab w:val="left" w:pos="880"/>
              <w:tab w:val="right" w:leader="dot" w:pos="9954"/>
            </w:tabs>
            <w:rPr>
              <w:rFonts w:eastAsiaTheme="minorEastAsia"/>
              <w:noProof/>
            </w:rPr>
          </w:pPr>
          <w:hyperlink w:anchor="_Toc8905264" w:history="1">
            <w:r w:rsidR="00D72B17" w:rsidRPr="0016676F">
              <w:rPr>
                <w:rStyle w:val="Hyperlink"/>
                <w:rFonts w:ascii="Arial" w:hAnsi="Arial" w:cs="Arial"/>
                <w:noProof/>
                <w:lang w:val="es-419"/>
              </w:rPr>
              <w:t>9.1</w:t>
            </w:r>
            <w:r w:rsidR="00D72B17">
              <w:rPr>
                <w:rFonts w:eastAsiaTheme="minorEastAsia"/>
                <w:noProof/>
              </w:rPr>
              <w:tab/>
            </w:r>
            <w:r w:rsidR="00D72B17" w:rsidRPr="0016676F">
              <w:rPr>
                <w:rStyle w:val="Hyperlink"/>
                <w:rFonts w:ascii="Arial" w:hAnsi="Arial" w:cs="Arial"/>
                <w:noProof/>
                <w:lang w:val="es-419"/>
              </w:rPr>
              <w:t>Entorno institucional</w:t>
            </w:r>
            <w:r w:rsidR="00D72B17">
              <w:rPr>
                <w:noProof/>
                <w:webHidden/>
              </w:rPr>
              <w:tab/>
            </w:r>
            <w:r w:rsidR="00D72B17">
              <w:rPr>
                <w:noProof/>
                <w:webHidden/>
              </w:rPr>
              <w:fldChar w:fldCharType="begin"/>
            </w:r>
            <w:r w:rsidR="00D72B17">
              <w:rPr>
                <w:noProof/>
                <w:webHidden/>
              </w:rPr>
              <w:instrText xml:space="preserve"> PAGEREF _Toc8905264 \h </w:instrText>
            </w:r>
            <w:r w:rsidR="00D72B17">
              <w:rPr>
                <w:noProof/>
                <w:webHidden/>
              </w:rPr>
            </w:r>
            <w:r w:rsidR="00D72B17">
              <w:rPr>
                <w:noProof/>
                <w:webHidden/>
              </w:rPr>
              <w:fldChar w:fldCharType="separate"/>
            </w:r>
            <w:r w:rsidR="00776040">
              <w:rPr>
                <w:noProof/>
                <w:webHidden/>
              </w:rPr>
              <w:t>75</w:t>
            </w:r>
            <w:r w:rsidR="00D72B17">
              <w:rPr>
                <w:noProof/>
                <w:webHidden/>
              </w:rPr>
              <w:fldChar w:fldCharType="end"/>
            </w:r>
          </w:hyperlink>
        </w:p>
        <w:p w14:paraId="7F0EF8E3" w14:textId="4D984932" w:rsidR="00D72B17" w:rsidRDefault="006F6A41">
          <w:pPr>
            <w:pStyle w:val="TOC2"/>
            <w:tabs>
              <w:tab w:val="left" w:pos="880"/>
              <w:tab w:val="right" w:leader="dot" w:pos="9954"/>
            </w:tabs>
            <w:rPr>
              <w:rFonts w:eastAsiaTheme="minorEastAsia"/>
              <w:noProof/>
            </w:rPr>
          </w:pPr>
          <w:hyperlink w:anchor="_Toc8905265" w:history="1">
            <w:r w:rsidR="00D72B17" w:rsidRPr="0016676F">
              <w:rPr>
                <w:rStyle w:val="Hyperlink"/>
                <w:rFonts w:ascii="Arial" w:hAnsi="Arial" w:cs="Arial"/>
                <w:noProof/>
                <w:lang w:val="es-419"/>
              </w:rPr>
              <w:t>9.2</w:t>
            </w:r>
            <w:r w:rsidR="00D72B17">
              <w:rPr>
                <w:rFonts w:eastAsiaTheme="minorEastAsia"/>
                <w:noProof/>
              </w:rPr>
              <w:tab/>
            </w:r>
            <w:r w:rsidR="00D72B17" w:rsidRPr="0016676F">
              <w:rPr>
                <w:rStyle w:val="Hyperlink"/>
                <w:rFonts w:ascii="Arial" w:hAnsi="Arial" w:cs="Arial"/>
                <w:noProof/>
                <w:lang w:val="es-419"/>
              </w:rPr>
              <w:t>Entorno político y de gobernanza</w:t>
            </w:r>
            <w:r w:rsidR="00D72B17">
              <w:rPr>
                <w:noProof/>
                <w:webHidden/>
              </w:rPr>
              <w:tab/>
            </w:r>
            <w:r w:rsidR="00D72B17">
              <w:rPr>
                <w:noProof/>
                <w:webHidden/>
              </w:rPr>
              <w:fldChar w:fldCharType="begin"/>
            </w:r>
            <w:r w:rsidR="00D72B17">
              <w:rPr>
                <w:noProof/>
                <w:webHidden/>
              </w:rPr>
              <w:instrText xml:space="preserve"> PAGEREF _Toc8905265 \h </w:instrText>
            </w:r>
            <w:r w:rsidR="00D72B17">
              <w:rPr>
                <w:noProof/>
                <w:webHidden/>
              </w:rPr>
            </w:r>
            <w:r w:rsidR="00D72B17">
              <w:rPr>
                <w:noProof/>
                <w:webHidden/>
              </w:rPr>
              <w:fldChar w:fldCharType="separate"/>
            </w:r>
            <w:r w:rsidR="00776040">
              <w:rPr>
                <w:noProof/>
                <w:webHidden/>
              </w:rPr>
              <w:t>76</w:t>
            </w:r>
            <w:r w:rsidR="00D72B17">
              <w:rPr>
                <w:noProof/>
                <w:webHidden/>
              </w:rPr>
              <w:fldChar w:fldCharType="end"/>
            </w:r>
          </w:hyperlink>
        </w:p>
        <w:p w14:paraId="7C6F1F5C" w14:textId="4FF48655" w:rsidR="00D72B17" w:rsidRDefault="006F6A41">
          <w:pPr>
            <w:pStyle w:val="TOC2"/>
            <w:tabs>
              <w:tab w:val="left" w:pos="880"/>
              <w:tab w:val="right" w:leader="dot" w:pos="9954"/>
            </w:tabs>
            <w:rPr>
              <w:rFonts w:eastAsiaTheme="minorEastAsia"/>
              <w:noProof/>
            </w:rPr>
          </w:pPr>
          <w:hyperlink w:anchor="_Toc8905266" w:history="1">
            <w:r w:rsidR="00D72B17" w:rsidRPr="0016676F">
              <w:rPr>
                <w:rStyle w:val="Hyperlink"/>
                <w:rFonts w:ascii="Arial" w:hAnsi="Arial" w:cs="Arial"/>
                <w:noProof/>
                <w:lang w:val="es-419"/>
              </w:rPr>
              <w:t>9.3</w:t>
            </w:r>
            <w:r w:rsidR="00D72B17">
              <w:rPr>
                <w:rFonts w:eastAsiaTheme="minorEastAsia"/>
                <w:noProof/>
              </w:rPr>
              <w:tab/>
            </w:r>
            <w:r w:rsidR="00D72B17" w:rsidRPr="0016676F">
              <w:rPr>
                <w:rStyle w:val="Hyperlink"/>
                <w:rFonts w:ascii="Arial" w:hAnsi="Arial" w:cs="Arial"/>
                <w:noProof/>
                <w:lang w:val="es-419"/>
              </w:rPr>
              <w:t>Resumen de riesgos, su impacto y soluciones potenciales</w:t>
            </w:r>
            <w:r w:rsidR="00D72B17">
              <w:rPr>
                <w:noProof/>
                <w:webHidden/>
              </w:rPr>
              <w:tab/>
            </w:r>
            <w:r w:rsidR="00D72B17">
              <w:rPr>
                <w:noProof/>
                <w:webHidden/>
              </w:rPr>
              <w:fldChar w:fldCharType="begin"/>
            </w:r>
            <w:r w:rsidR="00D72B17">
              <w:rPr>
                <w:noProof/>
                <w:webHidden/>
              </w:rPr>
              <w:instrText xml:space="preserve"> PAGEREF _Toc8905266 \h </w:instrText>
            </w:r>
            <w:r w:rsidR="00D72B17">
              <w:rPr>
                <w:noProof/>
                <w:webHidden/>
              </w:rPr>
            </w:r>
            <w:r w:rsidR="00D72B17">
              <w:rPr>
                <w:noProof/>
                <w:webHidden/>
              </w:rPr>
              <w:fldChar w:fldCharType="separate"/>
            </w:r>
            <w:r w:rsidR="00776040">
              <w:rPr>
                <w:noProof/>
                <w:webHidden/>
              </w:rPr>
              <w:t>76</w:t>
            </w:r>
            <w:r w:rsidR="00D72B17">
              <w:rPr>
                <w:noProof/>
                <w:webHidden/>
              </w:rPr>
              <w:fldChar w:fldCharType="end"/>
            </w:r>
          </w:hyperlink>
        </w:p>
        <w:p w14:paraId="4E131936" w14:textId="2072CDD0" w:rsidR="00D72B17" w:rsidRDefault="006F6A41">
          <w:pPr>
            <w:pStyle w:val="TOC1"/>
            <w:tabs>
              <w:tab w:val="right" w:leader="dot" w:pos="9954"/>
            </w:tabs>
            <w:rPr>
              <w:rFonts w:eastAsiaTheme="minorEastAsia"/>
              <w:noProof/>
            </w:rPr>
          </w:pPr>
          <w:hyperlink w:anchor="_Toc8905267" w:history="1">
            <w:r w:rsidR="00D72B17" w:rsidRPr="0016676F">
              <w:rPr>
                <w:rStyle w:val="Hyperlink"/>
                <w:rFonts w:ascii="Arial" w:hAnsi="Arial" w:cs="Arial"/>
                <w:noProof/>
                <w:lang w:val="es-419"/>
              </w:rPr>
              <w:t>10. Conclusión</w:t>
            </w:r>
            <w:r w:rsidR="00D72B17">
              <w:rPr>
                <w:noProof/>
                <w:webHidden/>
              </w:rPr>
              <w:tab/>
            </w:r>
            <w:r w:rsidR="00D72B17">
              <w:rPr>
                <w:noProof/>
                <w:webHidden/>
              </w:rPr>
              <w:fldChar w:fldCharType="begin"/>
            </w:r>
            <w:r w:rsidR="00D72B17">
              <w:rPr>
                <w:noProof/>
                <w:webHidden/>
              </w:rPr>
              <w:instrText xml:space="preserve"> PAGEREF _Toc8905267 \h </w:instrText>
            </w:r>
            <w:r w:rsidR="00D72B17">
              <w:rPr>
                <w:noProof/>
                <w:webHidden/>
              </w:rPr>
            </w:r>
            <w:r w:rsidR="00D72B17">
              <w:rPr>
                <w:noProof/>
                <w:webHidden/>
              </w:rPr>
              <w:fldChar w:fldCharType="separate"/>
            </w:r>
            <w:r w:rsidR="00776040">
              <w:rPr>
                <w:noProof/>
                <w:webHidden/>
              </w:rPr>
              <w:t>77</w:t>
            </w:r>
            <w:r w:rsidR="00D72B17">
              <w:rPr>
                <w:noProof/>
                <w:webHidden/>
              </w:rPr>
              <w:fldChar w:fldCharType="end"/>
            </w:r>
          </w:hyperlink>
        </w:p>
        <w:p w14:paraId="4DBB1225" w14:textId="700C5EFC" w:rsidR="00D72B17" w:rsidRDefault="006F6A41">
          <w:pPr>
            <w:pStyle w:val="TOC1"/>
            <w:tabs>
              <w:tab w:val="right" w:leader="dot" w:pos="9954"/>
            </w:tabs>
            <w:rPr>
              <w:rFonts w:eastAsiaTheme="minorEastAsia"/>
              <w:noProof/>
            </w:rPr>
          </w:pPr>
          <w:hyperlink w:anchor="_Toc8905268" w:history="1">
            <w:r w:rsidR="00D72B17" w:rsidRPr="0016676F">
              <w:rPr>
                <w:rStyle w:val="Hyperlink"/>
                <w:rFonts w:ascii="Arial" w:hAnsi="Arial" w:cs="Arial"/>
                <w:noProof/>
                <w:lang w:val="es-MX"/>
              </w:rPr>
              <w:t>11. Bibliografía</w:t>
            </w:r>
            <w:r w:rsidR="00D72B17">
              <w:rPr>
                <w:noProof/>
                <w:webHidden/>
              </w:rPr>
              <w:tab/>
            </w:r>
            <w:r w:rsidR="00D72B17">
              <w:rPr>
                <w:noProof/>
                <w:webHidden/>
              </w:rPr>
              <w:fldChar w:fldCharType="begin"/>
            </w:r>
            <w:r w:rsidR="00D72B17">
              <w:rPr>
                <w:noProof/>
                <w:webHidden/>
              </w:rPr>
              <w:instrText xml:space="preserve"> PAGEREF _Toc8905268 \h </w:instrText>
            </w:r>
            <w:r w:rsidR="00D72B17">
              <w:rPr>
                <w:noProof/>
                <w:webHidden/>
              </w:rPr>
            </w:r>
            <w:r w:rsidR="00D72B17">
              <w:rPr>
                <w:noProof/>
                <w:webHidden/>
              </w:rPr>
              <w:fldChar w:fldCharType="separate"/>
            </w:r>
            <w:r w:rsidR="00776040">
              <w:rPr>
                <w:noProof/>
                <w:webHidden/>
              </w:rPr>
              <w:t>78</w:t>
            </w:r>
            <w:r w:rsidR="00D72B17">
              <w:rPr>
                <w:noProof/>
                <w:webHidden/>
              </w:rPr>
              <w:fldChar w:fldCharType="end"/>
            </w:r>
          </w:hyperlink>
        </w:p>
        <w:p w14:paraId="1CB3F401" w14:textId="5502A043" w:rsidR="00D72B17" w:rsidRDefault="006F6A41">
          <w:pPr>
            <w:pStyle w:val="TOC1"/>
            <w:tabs>
              <w:tab w:val="right" w:leader="dot" w:pos="9954"/>
            </w:tabs>
            <w:rPr>
              <w:rFonts w:eastAsiaTheme="minorEastAsia"/>
              <w:noProof/>
            </w:rPr>
          </w:pPr>
          <w:hyperlink w:anchor="_Toc8905269" w:history="1">
            <w:r w:rsidR="00D72B17" w:rsidRPr="0016676F">
              <w:rPr>
                <w:rStyle w:val="Hyperlink"/>
                <w:rFonts w:ascii="Arial" w:hAnsi="Arial" w:cs="Arial"/>
                <w:noProof/>
                <w:lang w:val="es-419"/>
              </w:rPr>
              <w:t>12. Anexos</w:t>
            </w:r>
            <w:r w:rsidR="00D72B17">
              <w:rPr>
                <w:noProof/>
                <w:webHidden/>
              </w:rPr>
              <w:tab/>
            </w:r>
            <w:r w:rsidR="00D72B17">
              <w:rPr>
                <w:noProof/>
                <w:webHidden/>
              </w:rPr>
              <w:fldChar w:fldCharType="begin"/>
            </w:r>
            <w:r w:rsidR="00D72B17">
              <w:rPr>
                <w:noProof/>
                <w:webHidden/>
              </w:rPr>
              <w:instrText xml:space="preserve"> PAGEREF _Toc8905269 \h </w:instrText>
            </w:r>
            <w:r w:rsidR="00D72B17">
              <w:rPr>
                <w:noProof/>
                <w:webHidden/>
              </w:rPr>
            </w:r>
            <w:r w:rsidR="00D72B17">
              <w:rPr>
                <w:noProof/>
                <w:webHidden/>
              </w:rPr>
              <w:fldChar w:fldCharType="separate"/>
            </w:r>
            <w:r w:rsidR="00776040">
              <w:rPr>
                <w:noProof/>
                <w:webHidden/>
              </w:rPr>
              <w:t>82</w:t>
            </w:r>
            <w:r w:rsidR="00D72B17">
              <w:rPr>
                <w:noProof/>
                <w:webHidden/>
              </w:rPr>
              <w:fldChar w:fldCharType="end"/>
            </w:r>
          </w:hyperlink>
        </w:p>
        <w:p w14:paraId="324D785D" w14:textId="239E8EAC" w:rsidR="00ED15FE" w:rsidRPr="00D72B17" w:rsidRDefault="00EC31D4" w:rsidP="00D72B17">
          <w:pPr>
            <w:pStyle w:val="TOC1"/>
            <w:tabs>
              <w:tab w:val="right" w:leader="dot" w:pos="9350"/>
            </w:tabs>
            <w:spacing w:after="120" w:line="240" w:lineRule="auto"/>
            <w:rPr>
              <w:rFonts w:ascii="Arial" w:eastAsiaTheme="minorEastAsia" w:hAnsi="Arial" w:cs="Arial"/>
              <w:noProof/>
            </w:rPr>
          </w:pPr>
          <w:r w:rsidRPr="00DD37EC">
            <w:rPr>
              <w:rFonts w:ascii="Arial" w:hAnsi="Arial" w:cs="Arial"/>
              <w:b/>
              <w:bCs/>
              <w:noProof/>
            </w:rPr>
            <w:fldChar w:fldCharType="end"/>
          </w:r>
        </w:p>
      </w:sdtContent>
    </w:sdt>
    <w:p w14:paraId="1E0CF367" w14:textId="3CE633A6" w:rsidR="00950B9D" w:rsidRPr="00B17E68" w:rsidRDefault="003939DB" w:rsidP="00B17E68">
      <w:pPr>
        <w:pStyle w:val="Heading1"/>
        <w:spacing w:before="0" w:after="240" w:line="240" w:lineRule="auto"/>
        <w:rPr>
          <w:rFonts w:ascii="Arial" w:hAnsi="Arial" w:cs="Arial"/>
          <w:sz w:val="22"/>
          <w:szCs w:val="22"/>
          <w:lang w:val="es-419"/>
        </w:rPr>
      </w:pPr>
      <w:bookmarkStart w:id="10" w:name="_Toc8905207"/>
      <w:r w:rsidRPr="00DD37EC">
        <w:rPr>
          <w:rFonts w:ascii="Arial" w:hAnsi="Arial" w:cs="Arial"/>
          <w:sz w:val="22"/>
          <w:szCs w:val="22"/>
          <w:lang w:val="es-419"/>
        </w:rPr>
        <w:lastRenderedPageBreak/>
        <w:t>Lista de Acrónimos</w:t>
      </w:r>
      <w:bookmarkEnd w:id="10"/>
      <w:r w:rsidRPr="00DD37EC">
        <w:rPr>
          <w:rFonts w:ascii="Arial" w:hAnsi="Arial" w:cs="Arial"/>
          <w:sz w:val="22"/>
          <w:szCs w:val="22"/>
          <w:lang w:val="es-419"/>
        </w:rPr>
        <w:t xml:space="preserve"> </w:t>
      </w:r>
    </w:p>
    <w:p w14:paraId="267C225A" w14:textId="2B8A9A31" w:rsidR="00392E34" w:rsidRDefault="00392E34" w:rsidP="00346042">
      <w:pPr>
        <w:spacing w:after="120" w:line="240" w:lineRule="auto"/>
        <w:rPr>
          <w:rFonts w:ascii="Arial" w:hAnsi="Arial" w:cs="Arial"/>
          <w:sz w:val="21"/>
          <w:szCs w:val="21"/>
          <w:lang w:val="es-419"/>
        </w:rPr>
      </w:pPr>
      <w:r w:rsidRPr="00392E34">
        <w:rPr>
          <w:rFonts w:ascii="Arial" w:hAnsi="Arial" w:cs="Arial"/>
          <w:sz w:val="21"/>
          <w:szCs w:val="21"/>
          <w:lang w:val="es-419"/>
        </w:rPr>
        <w:t>AMHON</w:t>
      </w:r>
      <w:r w:rsidRPr="00392E34">
        <w:rPr>
          <w:rFonts w:ascii="Arial" w:hAnsi="Arial" w:cs="Arial"/>
          <w:sz w:val="21"/>
          <w:szCs w:val="21"/>
          <w:lang w:val="es-419"/>
        </w:rPr>
        <w:tab/>
        <w:t>Asociación de Municipios de Honduras</w:t>
      </w:r>
    </w:p>
    <w:p w14:paraId="25BF61F9" w14:textId="4B1EC56F" w:rsidR="00062FFC" w:rsidRDefault="00950B9D" w:rsidP="00346042">
      <w:pPr>
        <w:spacing w:after="120" w:line="240" w:lineRule="auto"/>
        <w:rPr>
          <w:rFonts w:ascii="Arial" w:hAnsi="Arial" w:cs="Arial"/>
          <w:sz w:val="21"/>
          <w:szCs w:val="21"/>
          <w:lang w:val="es-419"/>
        </w:rPr>
      </w:pPr>
      <w:r w:rsidRPr="00293C5D">
        <w:rPr>
          <w:rFonts w:ascii="Arial" w:hAnsi="Arial" w:cs="Arial"/>
          <w:sz w:val="21"/>
          <w:szCs w:val="21"/>
          <w:lang w:val="es-419"/>
        </w:rPr>
        <w:t>ARV</w:t>
      </w:r>
      <w:r w:rsidRPr="00293C5D">
        <w:rPr>
          <w:rFonts w:ascii="Arial" w:hAnsi="Arial" w:cs="Arial"/>
          <w:sz w:val="21"/>
          <w:szCs w:val="21"/>
          <w:lang w:val="es-419"/>
        </w:rPr>
        <w:tab/>
      </w:r>
      <w:r w:rsidRPr="00293C5D">
        <w:rPr>
          <w:rFonts w:ascii="Arial" w:hAnsi="Arial" w:cs="Arial"/>
          <w:sz w:val="21"/>
          <w:szCs w:val="21"/>
          <w:lang w:val="es-419"/>
        </w:rPr>
        <w:tab/>
        <w:t xml:space="preserve">Antirretrovirales </w:t>
      </w:r>
    </w:p>
    <w:p w14:paraId="768908AA" w14:textId="176D17D2" w:rsidR="00AF0D27" w:rsidRPr="00293C5D" w:rsidRDefault="00AF0D27" w:rsidP="00346042">
      <w:pPr>
        <w:spacing w:after="120" w:line="240" w:lineRule="auto"/>
        <w:rPr>
          <w:rFonts w:ascii="Arial" w:hAnsi="Arial" w:cs="Arial"/>
          <w:sz w:val="21"/>
          <w:szCs w:val="21"/>
          <w:lang w:val="es-419"/>
        </w:rPr>
      </w:pPr>
      <w:r>
        <w:rPr>
          <w:rFonts w:ascii="Arial" w:hAnsi="Arial" w:cs="Arial"/>
          <w:sz w:val="21"/>
          <w:szCs w:val="21"/>
          <w:lang w:val="es-419"/>
        </w:rPr>
        <w:t>ByA</w:t>
      </w:r>
      <w:r>
        <w:rPr>
          <w:rFonts w:ascii="Arial" w:hAnsi="Arial" w:cs="Arial"/>
          <w:sz w:val="21"/>
          <w:szCs w:val="21"/>
          <w:lang w:val="es-419"/>
        </w:rPr>
        <w:tab/>
      </w:r>
      <w:r>
        <w:rPr>
          <w:rFonts w:ascii="Arial" w:hAnsi="Arial" w:cs="Arial"/>
          <w:sz w:val="21"/>
          <w:szCs w:val="21"/>
          <w:lang w:val="es-419"/>
        </w:rPr>
        <w:tab/>
        <w:t>Bitrán y Asociados</w:t>
      </w:r>
    </w:p>
    <w:p w14:paraId="03B8E4A2" w14:textId="3BE89F47" w:rsidR="00DF0952" w:rsidRPr="00293C5D" w:rsidRDefault="00DF0952" w:rsidP="00346042">
      <w:pPr>
        <w:spacing w:after="120" w:line="240" w:lineRule="auto"/>
        <w:rPr>
          <w:rFonts w:ascii="Arial" w:hAnsi="Arial" w:cs="Arial"/>
          <w:sz w:val="21"/>
          <w:szCs w:val="21"/>
          <w:lang w:val="es-419"/>
        </w:rPr>
      </w:pPr>
      <w:r w:rsidRPr="00293C5D">
        <w:rPr>
          <w:rFonts w:ascii="Arial" w:hAnsi="Arial" w:cs="Arial"/>
          <w:sz w:val="21"/>
          <w:szCs w:val="21"/>
          <w:lang w:val="es-419"/>
        </w:rPr>
        <w:t xml:space="preserve">CDC </w:t>
      </w:r>
      <w:r w:rsidRPr="00293C5D">
        <w:rPr>
          <w:rFonts w:ascii="Arial" w:hAnsi="Arial" w:cs="Arial"/>
          <w:sz w:val="21"/>
          <w:szCs w:val="21"/>
          <w:lang w:val="es-419"/>
        </w:rPr>
        <w:tab/>
      </w:r>
      <w:r w:rsidRPr="00293C5D">
        <w:rPr>
          <w:rFonts w:ascii="Arial" w:hAnsi="Arial" w:cs="Arial"/>
          <w:sz w:val="21"/>
          <w:szCs w:val="21"/>
          <w:lang w:val="es-419"/>
        </w:rPr>
        <w:tab/>
        <w:t xml:space="preserve">Centros de Control y Prevención de Enfermedades </w:t>
      </w:r>
    </w:p>
    <w:p w14:paraId="1E060705" w14:textId="74733B5A" w:rsidR="00980FD7" w:rsidRPr="00293C5D" w:rsidRDefault="00980FD7" w:rsidP="00346042">
      <w:pPr>
        <w:spacing w:after="120" w:line="240" w:lineRule="auto"/>
        <w:rPr>
          <w:rFonts w:ascii="Arial" w:hAnsi="Arial" w:cs="Arial"/>
          <w:sz w:val="21"/>
          <w:szCs w:val="21"/>
          <w:lang w:val="es-419"/>
        </w:rPr>
      </w:pPr>
      <w:r w:rsidRPr="00293C5D">
        <w:rPr>
          <w:rFonts w:ascii="Arial" w:hAnsi="Arial" w:cs="Arial"/>
          <w:sz w:val="21"/>
          <w:szCs w:val="21"/>
          <w:lang w:val="es-419"/>
        </w:rPr>
        <w:t xml:space="preserve">CESAMO </w:t>
      </w:r>
      <w:r w:rsidRPr="00293C5D">
        <w:rPr>
          <w:rFonts w:ascii="Arial" w:hAnsi="Arial" w:cs="Arial"/>
          <w:sz w:val="21"/>
          <w:szCs w:val="21"/>
          <w:lang w:val="es-419"/>
        </w:rPr>
        <w:tab/>
      </w:r>
      <w:r w:rsidRPr="00293C5D">
        <w:rPr>
          <w:rFonts w:ascii="Arial" w:hAnsi="Arial" w:cs="Arial"/>
          <w:sz w:val="21"/>
          <w:szCs w:val="21"/>
          <w:lang w:val="es-DO"/>
        </w:rPr>
        <w:t>Centros de Salud con Médico y Odontólogo</w:t>
      </w:r>
    </w:p>
    <w:p w14:paraId="2C8D2797" w14:textId="4CBEEB81" w:rsidR="00980FD7" w:rsidRPr="00293C5D" w:rsidRDefault="00980FD7" w:rsidP="00346042">
      <w:pPr>
        <w:spacing w:after="120" w:line="240" w:lineRule="auto"/>
        <w:rPr>
          <w:rFonts w:ascii="Arial" w:hAnsi="Arial" w:cs="Arial"/>
          <w:sz w:val="21"/>
          <w:szCs w:val="21"/>
          <w:lang w:val="es-419"/>
        </w:rPr>
      </w:pPr>
      <w:r w:rsidRPr="00293C5D">
        <w:rPr>
          <w:rFonts w:ascii="Arial" w:hAnsi="Arial" w:cs="Arial"/>
          <w:sz w:val="21"/>
          <w:szCs w:val="21"/>
          <w:lang w:val="es-419"/>
        </w:rPr>
        <w:t xml:space="preserve">CESAR </w:t>
      </w:r>
      <w:r w:rsidRPr="00293C5D">
        <w:rPr>
          <w:rFonts w:ascii="Arial" w:hAnsi="Arial" w:cs="Arial"/>
          <w:sz w:val="21"/>
          <w:szCs w:val="21"/>
          <w:lang w:val="es-419"/>
        </w:rPr>
        <w:tab/>
        <w:t xml:space="preserve">Centros de Salud Rural </w:t>
      </w:r>
    </w:p>
    <w:p w14:paraId="6498AE08" w14:textId="677C7479" w:rsidR="00950B9D" w:rsidRPr="00293C5D" w:rsidRDefault="00950B9D" w:rsidP="00346042">
      <w:pPr>
        <w:spacing w:after="120" w:line="240" w:lineRule="auto"/>
        <w:rPr>
          <w:rFonts w:ascii="Arial" w:hAnsi="Arial" w:cs="Arial"/>
          <w:sz w:val="21"/>
          <w:szCs w:val="21"/>
          <w:lang w:val="es-419"/>
        </w:rPr>
      </w:pPr>
      <w:r w:rsidRPr="00293C5D">
        <w:rPr>
          <w:rFonts w:ascii="Arial" w:hAnsi="Arial" w:cs="Arial"/>
          <w:sz w:val="21"/>
          <w:szCs w:val="21"/>
          <w:lang w:val="es-419"/>
        </w:rPr>
        <w:t xml:space="preserve">CONADEH </w:t>
      </w:r>
      <w:r w:rsidRPr="00293C5D">
        <w:rPr>
          <w:rFonts w:ascii="Arial" w:hAnsi="Arial" w:cs="Arial"/>
          <w:sz w:val="21"/>
          <w:szCs w:val="21"/>
          <w:lang w:val="es-419"/>
        </w:rPr>
        <w:tab/>
        <w:t xml:space="preserve">Comisionado Nacional de los Derechos Humanos </w:t>
      </w:r>
    </w:p>
    <w:p w14:paraId="2F97119F" w14:textId="4F37868A" w:rsidR="00950B9D" w:rsidRDefault="00950B9D" w:rsidP="00346042">
      <w:pPr>
        <w:spacing w:after="120" w:line="240" w:lineRule="auto"/>
        <w:rPr>
          <w:rFonts w:ascii="Arial" w:hAnsi="Arial" w:cs="Arial"/>
          <w:sz w:val="21"/>
          <w:szCs w:val="21"/>
          <w:lang w:val="es-419"/>
        </w:rPr>
      </w:pPr>
      <w:r w:rsidRPr="00293C5D">
        <w:rPr>
          <w:rFonts w:ascii="Arial" w:hAnsi="Arial" w:cs="Arial"/>
          <w:sz w:val="21"/>
          <w:szCs w:val="21"/>
          <w:lang w:val="es-419"/>
        </w:rPr>
        <w:t xml:space="preserve">CONASIDA </w:t>
      </w:r>
      <w:r w:rsidRPr="00293C5D">
        <w:rPr>
          <w:rFonts w:ascii="Arial" w:hAnsi="Arial" w:cs="Arial"/>
          <w:sz w:val="21"/>
          <w:szCs w:val="21"/>
          <w:lang w:val="es-419"/>
        </w:rPr>
        <w:tab/>
        <w:t>Comisión Nacional de Sida</w:t>
      </w:r>
    </w:p>
    <w:p w14:paraId="7FE0007B" w14:textId="77777777" w:rsidR="00AF0D27" w:rsidRPr="00AF0D27" w:rsidRDefault="00AF0D27" w:rsidP="00AF0D27">
      <w:pPr>
        <w:spacing w:after="120" w:line="240" w:lineRule="auto"/>
        <w:rPr>
          <w:rFonts w:ascii="Arial" w:hAnsi="Arial" w:cs="Arial"/>
          <w:sz w:val="21"/>
          <w:szCs w:val="21"/>
          <w:lang w:val="es-419"/>
        </w:rPr>
      </w:pPr>
      <w:r w:rsidRPr="00AF0D27">
        <w:rPr>
          <w:rFonts w:ascii="Arial" w:hAnsi="Arial" w:cs="Arial"/>
          <w:sz w:val="21"/>
          <w:szCs w:val="21"/>
          <w:lang w:val="es-419"/>
        </w:rPr>
        <w:t>CP</w:t>
      </w:r>
      <w:r w:rsidRPr="00AF0D27">
        <w:rPr>
          <w:rFonts w:ascii="Arial" w:hAnsi="Arial" w:cs="Arial"/>
          <w:sz w:val="21"/>
          <w:szCs w:val="21"/>
          <w:lang w:val="es-419"/>
        </w:rPr>
        <w:tab/>
      </w:r>
      <w:r w:rsidRPr="00AF0D27">
        <w:rPr>
          <w:rFonts w:ascii="Arial" w:hAnsi="Arial" w:cs="Arial"/>
          <w:sz w:val="21"/>
          <w:szCs w:val="21"/>
          <w:lang w:val="es-419"/>
        </w:rPr>
        <w:tab/>
        <w:t>Centros Penales</w:t>
      </w:r>
    </w:p>
    <w:p w14:paraId="4F7F7BEC" w14:textId="77777777" w:rsidR="00AF0D27" w:rsidRPr="00AF0D27" w:rsidRDefault="00AF0D27" w:rsidP="00AF0D27">
      <w:pPr>
        <w:spacing w:after="120" w:line="240" w:lineRule="auto"/>
        <w:rPr>
          <w:rFonts w:ascii="Arial" w:hAnsi="Arial" w:cs="Arial"/>
          <w:sz w:val="21"/>
          <w:szCs w:val="21"/>
          <w:lang w:val="es-419"/>
        </w:rPr>
      </w:pPr>
      <w:r w:rsidRPr="00AF0D27">
        <w:rPr>
          <w:rFonts w:ascii="Arial" w:hAnsi="Arial" w:cs="Arial"/>
          <w:sz w:val="21"/>
          <w:szCs w:val="21"/>
          <w:lang w:val="es-419"/>
        </w:rPr>
        <w:t xml:space="preserve">CV </w:t>
      </w:r>
      <w:r w:rsidRPr="00AF0D27">
        <w:rPr>
          <w:rFonts w:ascii="Arial" w:hAnsi="Arial" w:cs="Arial"/>
          <w:sz w:val="21"/>
          <w:szCs w:val="21"/>
          <w:lang w:val="es-419"/>
        </w:rPr>
        <w:tab/>
      </w:r>
      <w:r w:rsidRPr="00AF0D27">
        <w:rPr>
          <w:rFonts w:ascii="Arial" w:hAnsi="Arial" w:cs="Arial"/>
          <w:sz w:val="21"/>
          <w:szCs w:val="21"/>
          <w:lang w:val="es-419"/>
        </w:rPr>
        <w:tab/>
        <w:t xml:space="preserve">Carga viral </w:t>
      </w:r>
    </w:p>
    <w:p w14:paraId="20313F44" w14:textId="68C1F5B5" w:rsidR="00AF0D27" w:rsidRPr="00293C5D" w:rsidRDefault="00AF0D27" w:rsidP="00AF0D27">
      <w:pPr>
        <w:spacing w:after="120" w:line="240" w:lineRule="auto"/>
        <w:rPr>
          <w:rFonts w:ascii="Arial" w:hAnsi="Arial" w:cs="Arial"/>
          <w:sz w:val="21"/>
          <w:szCs w:val="21"/>
          <w:lang w:val="es-419"/>
        </w:rPr>
      </w:pPr>
      <w:r w:rsidRPr="00AF0D27">
        <w:rPr>
          <w:rFonts w:ascii="Arial" w:hAnsi="Arial" w:cs="Arial"/>
          <w:sz w:val="21"/>
          <w:szCs w:val="21"/>
          <w:lang w:val="es-419"/>
        </w:rPr>
        <w:t>DDHH</w:t>
      </w:r>
      <w:r w:rsidRPr="00AF0D27">
        <w:rPr>
          <w:rFonts w:ascii="Arial" w:hAnsi="Arial" w:cs="Arial"/>
          <w:sz w:val="21"/>
          <w:szCs w:val="21"/>
          <w:lang w:val="es-419"/>
        </w:rPr>
        <w:tab/>
      </w:r>
      <w:r w:rsidRPr="00AF0D27">
        <w:rPr>
          <w:rFonts w:ascii="Arial" w:hAnsi="Arial" w:cs="Arial"/>
          <w:sz w:val="21"/>
          <w:szCs w:val="21"/>
          <w:lang w:val="es-419"/>
        </w:rPr>
        <w:tab/>
        <w:t>Derechos Humanos</w:t>
      </w:r>
    </w:p>
    <w:p w14:paraId="4F1AF432" w14:textId="2789AB35" w:rsidR="00571F29" w:rsidRDefault="00571F29" w:rsidP="00346042">
      <w:pPr>
        <w:spacing w:after="120" w:line="240" w:lineRule="auto"/>
        <w:ind w:left="1440" w:hanging="1440"/>
        <w:rPr>
          <w:rFonts w:ascii="Arial" w:hAnsi="Arial" w:cs="Arial"/>
          <w:sz w:val="21"/>
          <w:szCs w:val="21"/>
          <w:lang w:val="es-DO"/>
        </w:rPr>
      </w:pPr>
      <w:r w:rsidRPr="00293C5D">
        <w:rPr>
          <w:rFonts w:ascii="Arial" w:hAnsi="Arial" w:cs="Arial"/>
          <w:sz w:val="21"/>
          <w:szCs w:val="21"/>
          <w:lang w:val="es-DO"/>
        </w:rPr>
        <w:t>ECVC</w:t>
      </w:r>
      <w:r w:rsidRPr="00293C5D">
        <w:rPr>
          <w:rFonts w:ascii="Arial" w:hAnsi="Arial" w:cs="Arial"/>
          <w:sz w:val="21"/>
          <w:szCs w:val="21"/>
          <w:lang w:val="es-DO"/>
        </w:rPr>
        <w:tab/>
        <w:t>Encuesta Centroamericana de Vigilancia del Comportamiento Sexual y Prevalencia del VIH e ITS en poblaciones vulnerables</w:t>
      </w:r>
    </w:p>
    <w:p w14:paraId="6779DD81" w14:textId="60C768CF" w:rsidR="00AF0D27" w:rsidRPr="00293C5D" w:rsidRDefault="00AF0D27" w:rsidP="00346042">
      <w:pPr>
        <w:spacing w:after="120" w:line="240" w:lineRule="auto"/>
        <w:ind w:left="1440" w:hanging="1440"/>
        <w:rPr>
          <w:rFonts w:ascii="Arial" w:hAnsi="Arial" w:cs="Arial"/>
          <w:sz w:val="21"/>
          <w:szCs w:val="21"/>
          <w:lang w:val="es-419"/>
        </w:rPr>
      </w:pPr>
      <w:r w:rsidRPr="00AF0D27">
        <w:rPr>
          <w:rFonts w:ascii="Arial" w:hAnsi="Arial" w:cs="Arial"/>
          <w:sz w:val="21"/>
          <w:szCs w:val="21"/>
          <w:lang w:val="es-419"/>
        </w:rPr>
        <w:t>EFV</w:t>
      </w:r>
      <w:r w:rsidRPr="00AF0D27">
        <w:rPr>
          <w:rFonts w:ascii="Arial" w:hAnsi="Arial" w:cs="Arial"/>
          <w:sz w:val="21"/>
          <w:szCs w:val="21"/>
          <w:lang w:val="es-419"/>
        </w:rPr>
        <w:tab/>
        <w:t>Efavirenz</w:t>
      </w:r>
    </w:p>
    <w:p w14:paraId="1EC91DE4" w14:textId="4E8721B8" w:rsidR="00020F72" w:rsidRDefault="00020F72" w:rsidP="00346042">
      <w:pPr>
        <w:spacing w:after="120" w:line="240" w:lineRule="auto"/>
        <w:rPr>
          <w:rFonts w:ascii="Arial" w:hAnsi="Arial" w:cs="Arial"/>
          <w:sz w:val="21"/>
          <w:szCs w:val="21"/>
          <w:lang w:val="es-419"/>
        </w:rPr>
      </w:pPr>
      <w:r w:rsidRPr="00293C5D">
        <w:rPr>
          <w:rFonts w:ascii="Arial" w:hAnsi="Arial" w:cs="Arial"/>
          <w:sz w:val="21"/>
          <w:szCs w:val="21"/>
          <w:lang w:val="es-419"/>
        </w:rPr>
        <w:t>FM</w:t>
      </w:r>
      <w:r w:rsidRPr="00293C5D">
        <w:rPr>
          <w:rFonts w:ascii="Arial" w:hAnsi="Arial" w:cs="Arial"/>
          <w:sz w:val="21"/>
          <w:szCs w:val="21"/>
          <w:lang w:val="es-419"/>
        </w:rPr>
        <w:tab/>
      </w:r>
      <w:r w:rsidRPr="00293C5D">
        <w:rPr>
          <w:rFonts w:ascii="Arial" w:hAnsi="Arial" w:cs="Arial"/>
          <w:sz w:val="21"/>
          <w:szCs w:val="21"/>
          <w:lang w:val="es-419"/>
        </w:rPr>
        <w:tab/>
        <w:t>Fundo Mundial</w:t>
      </w:r>
    </w:p>
    <w:p w14:paraId="31257632" w14:textId="7ADBA52B" w:rsidR="00AF0D27" w:rsidRPr="00293C5D" w:rsidRDefault="00AF0D27" w:rsidP="00346042">
      <w:pPr>
        <w:spacing w:after="120" w:line="240" w:lineRule="auto"/>
        <w:rPr>
          <w:rFonts w:ascii="Arial" w:hAnsi="Arial" w:cs="Arial"/>
          <w:sz w:val="21"/>
          <w:szCs w:val="21"/>
          <w:lang w:val="es-419"/>
        </w:rPr>
      </w:pPr>
      <w:r w:rsidRPr="00AF0D27">
        <w:rPr>
          <w:rFonts w:ascii="Arial" w:hAnsi="Arial" w:cs="Arial"/>
          <w:sz w:val="21"/>
          <w:szCs w:val="21"/>
          <w:lang w:val="es-419"/>
        </w:rPr>
        <w:t>FTC</w:t>
      </w:r>
      <w:r w:rsidRPr="00AF0D27">
        <w:rPr>
          <w:rFonts w:ascii="Arial" w:hAnsi="Arial" w:cs="Arial"/>
          <w:sz w:val="21"/>
          <w:szCs w:val="21"/>
          <w:lang w:val="es-419"/>
        </w:rPr>
        <w:tab/>
      </w:r>
      <w:r w:rsidRPr="00AF0D27">
        <w:rPr>
          <w:rFonts w:ascii="Arial" w:hAnsi="Arial" w:cs="Arial"/>
          <w:sz w:val="21"/>
          <w:szCs w:val="21"/>
          <w:lang w:val="es-419"/>
        </w:rPr>
        <w:tab/>
        <w:t>Emtricitabina</w:t>
      </w:r>
    </w:p>
    <w:p w14:paraId="0BF2254D" w14:textId="505E4170" w:rsidR="00AF0D27" w:rsidRDefault="00864B58" w:rsidP="00346042">
      <w:pPr>
        <w:spacing w:after="120" w:line="240" w:lineRule="auto"/>
        <w:rPr>
          <w:rFonts w:ascii="Arial" w:hAnsi="Arial" w:cs="Arial"/>
          <w:sz w:val="21"/>
          <w:szCs w:val="21"/>
          <w:lang w:val="es-DO"/>
        </w:rPr>
      </w:pPr>
      <w:r w:rsidRPr="00293C5D">
        <w:rPr>
          <w:rFonts w:ascii="Arial" w:hAnsi="Arial" w:cs="Arial"/>
          <w:sz w:val="21"/>
          <w:szCs w:val="21"/>
          <w:lang w:val="es-419"/>
        </w:rPr>
        <w:t>HSH</w:t>
      </w:r>
      <w:r w:rsidRPr="00293C5D">
        <w:rPr>
          <w:rFonts w:ascii="Arial" w:hAnsi="Arial" w:cs="Arial"/>
          <w:sz w:val="21"/>
          <w:szCs w:val="21"/>
          <w:lang w:val="es-419"/>
        </w:rPr>
        <w:tab/>
      </w:r>
      <w:r w:rsidRPr="00293C5D">
        <w:rPr>
          <w:rFonts w:ascii="Arial" w:hAnsi="Arial" w:cs="Arial"/>
          <w:sz w:val="21"/>
          <w:szCs w:val="21"/>
          <w:lang w:val="es-419"/>
        </w:rPr>
        <w:tab/>
        <w:t>H</w:t>
      </w:r>
      <w:r w:rsidRPr="00293C5D">
        <w:rPr>
          <w:rFonts w:ascii="Arial" w:hAnsi="Arial" w:cs="Arial"/>
          <w:sz w:val="21"/>
          <w:szCs w:val="21"/>
          <w:lang w:val="es-DO"/>
        </w:rPr>
        <w:t>ombres que tienen sexo con hombres</w:t>
      </w:r>
    </w:p>
    <w:p w14:paraId="70B8FA7B" w14:textId="77777777" w:rsidR="00AF0D27" w:rsidRPr="00AF0D27" w:rsidRDefault="00AF0D27" w:rsidP="00AF0D27">
      <w:pPr>
        <w:spacing w:after="120" w:line="240" w:lineRule="auto"/>
        <w:rPr>
          <w:rFonts w:ascii="Arial" w:hAnsi="Arial" w:cs="Arial"/>
          <w:sz w:val="21"/>
          <w:szCs w:val="21"/>
          <w:lang w:val="es-DO"/>
        </w:rPr>
      </w:pPr>
      <w:r w:rsidRPr="00AF0D27">
        <w:rPr>
          <w:rFonts w:ascii="Arial" w:hAnsi="Arial" w:cs="Arial"/>
          <w:sz w:val="21"/>
          <w:szCs w:val="21"/>
          <w:lang w:val="es-DO"/>
        </w:rPr>
        <w:t>IC</w:t>
      </w:r>
      <w:r w:rsidRPr="00AF0D27">
        <w:rPr>
          <w:rFonts w:ascii="Arial" w:hAnsi="Arial" w:cs="Arial"/>
          <w:sz w:val="21"/>
          <w:szCs w:val="21"/>
          <w:lang w:val="es-DO"/>
        </w:rPr>
        <w:tab/>
      </w:r>
      <w:r w:rsidRPr="00AF0D27">
        <w:rPr>
          <w:rFonts w:ascii="Arial" w:hAnsi="Arial" w:cs="Arial"/>
          <w:sz w:val="21"/>
          <w:szCs w:val="21"/>
          <w:lang w:val="es-DO"/>
        </w:rPr>
        <w:tab/>
        <w:t>Intervalo de confianza</w:t>
      </w:r>
    </w:p>
    <w:p w14:paraId="036E38F3" w14:textId="77777777" w:rsidR="00AF0D27" w:rsidRPr="00AF0D27" w:rsidRDefault="00AF0D27" w:rsidP="00AF0D27">
      <w:pPr>
        <w:spacing w:after="120" w:line="240" w:lineRule="auto"/>
        <w:rPr>
          <w:rFonts w:ascii="Arial" w:hAnsi="Arial" w:cs="Arial"/>
          <w:sz w:val="21"/>
          <w:szCs w:val="21"/>
          <w:lang w:val="es-DO"/>
        </w:rPr>
      </w:pPr>
      <w:r w:rsidRPr="00AF0D27">
        <w:rPr>
          <w:rFonts w:ascii="Arial" w:hAnsi="Arial" w:cs="Arial"/>
          <w:sz w:val="21"/>
          <w:szCs w:val="21"/>
          <w:lang w:val="es-DO"/>
        </w:rPr>
        <w:t>INNTI</w:t>
      </w:r>
      <w:r w:rsidRPr="00AF0D27">
        <w:rPr>
          <w:rFonts w:ascii="Arial" w:hAnsi="Arial" w:cs="Arial"/>
          <w:sz w:val="21"/>
          <w:szCs w:val="21"/>
          <w:lang w:val="es-DO"/>
        </w:rPr>
        <w:tab/>
      </w:r>
      <w:r w:rsidRPr="00AF0D27">
        <w:rPr>
          <w:rFonts w:ascii="Arial" w:hAnsi="Arial" w:cs="Arial"/>
          <w:sz w:val="21"/>
          <w:szCs w:val="21"/>
          <w:lang w:val="es-DO"/>
        </w:rPr>
        <w:tab/>
        <w:t>Inhibidores No Nucleosídicos de la Transcriptasa Inversa</w:t>
      </w:r>
    </w:p>
    <w:p w14:paraId="4B013569" w14:textId="368B63EC" w:rsidR="00AF0D27" w:rsidRPr="00293C5D" w:rsidRDefault="00AF0D27" w:rsidP="00AF0D27">
      <w:pPr>
        <w:spacing w:after="120" w:line="240" w:lineRule="auto"/>
        <w:rPr>
          <w:rFonts w:ascii="Arial" w:hAnsi="Arial" w:cs="Arial"/>
          <w:sz w:val="21"/>
          <w:szCs w:val="21"/>
          <w:lang w:val="es-DO"/>
        </w:rPr>
      </w:pPr>
      <w:r w:rsidRPr="00AF0D27">
        <w:rPr>
          <w:rFonts w:ascii="Arial" w:hAnsi="Arial" w:cs="Arial"/>
          <w:sz w:val="21"/>
          <w:szCs w:val="21"/>
          <w:lang w:val="es-DO"/>
        </w:rPr>
        <w:t>IN(t)TI</w:t>
      </w:r>
      <w:r w:rsidRPr="00AF0D27">
        <w:rPr>
          <w:rFonts w:ascii="Arial" w:hAnsi="Arial" w:cs="Arial"/>
          <w:sz w:val="21"/>
          <w:szCs w:val="21"/>
          <w:lang w:val="es-DO"/>
        </w:rPr>
        <w:tab/>
      </w:r>
      <w:r w:rsidRPr="00AF0D27">
        <w:rPr>
          <w:rFonts w:ascii="Arial" w:hAnsi="Arial" w:cs="Arial"/>
          <w:sz w:val="21"/>
          <w:szCs w:val="21"/>
          <w:lang w:val="es-DO"/>
        </w:rPr>
        <w:tab/>
        <w:t>Inhibidores Nucleosídicos e Inhibidores Nucleotídicos de la Transcriptasa Inversa</w:t>
      </w:r>
    </w:p>
    <w:p w14:paraId="6BBD38BF" w14:textId="5B18B355" w:rsidR="00980FD7" w:rsidRDefault="00980FD7" w:rsidP="00346042">
      <w:pPr>
        <w:spacing w:after="120" w:line="240" w:lineRule="auto"/>
        <w:rPr>
          <w:rFonts w:ascii="Arial" w:hAnsi="Arial" w:cs="Arial"/>
          <w:sz w:val="21"/>
          <w:szCs w:val="21"/>
          <w:lang w:val="es-DO"/>
        </w:rPr>
      </w:pPr>
      <w:r w:rsidRPr="00293C5D">
        <w:rPr>
          <w:rFonts w:ascii="Arial" w:hAnsi="Arial" w:cs="Arial"/>
          <w:sz w:val="21"/>
          <w:szCs w:val="21"/>
          <w:lang w:val="es-DO"/>
        </w:rPr>
        <w:t>IHSS</w:t>
      </w:r>
      <w:r w:rsidRPr="00293C5D">
        <w:rPr>
          <w:rFonts w:ascii="Arial" w:hAnsi="Arial" w:cs="Arial"/>
          <w:sz w:val="21"/>
          <w:szCs w:val="21"/>
          <w:lang w:val="es-DO"/>
        </w:rPr>
        <w:tab/>
      </w:r>
      <w:r w:rsidRPr="00293C5D">
        <w:rPr>
          <w:rFonts w:ascii="Arial" w:hAnsi="Arial" w:cs="Arial"/>
          <w:sz w:val="21"/>
          <w:szCs w:val="21"/>
          <w:lang w:val="es-DO"/>
        </w:rPr>
        <w:tab/>
        <w:t>Instituto Hondureño de Seguridad Social</w:t>
      </w:r>
    </w:p>
    <w:p w14:paraId="1FD36155" w14:textId="77777777" w:rsidR="00AF0D27" w:rsidRPr="00AF0D27" w:rsidRDefault="00AF0D27" w:rsidP="00AF0D27">
      <w:pPr>
        <w:spacing w:after="120" w:line="240" w:lineRule="auto"/>
        <w:rPr>
          <w:rFonts w:ascii="Arial" w:hAnsi="Arial" w:cs="Arial"/>
          <w:sz w:val="21"/>
          <w:szCs w:val="21"/>
          <w:lang w:val="es-DO"/>
        </w:rPr>
      </w:pPr>
      <w:r w:rsidRPr="00AF0D27">
        <w:rPr>
          <w:rFonts w:ascii="Arial" w:hAnsi="Arial" w:cs="Arial"/>
          <w:sz w:val="21"/>
          <w:szCs w:val="21"/>
          <w:lang w:val="es-DO"/>
        </w:rPr>
        <w:t xml:space="preserve">IO </w:t>
      </w:r>
      <w:r w:rsidRPr="00AF0D27">
        <w:rPr>
          <w:rFonts w:ascii="Arial" w:hAnsi="Arial" w:cs="Arial"/>
          <w:sz w:val="21"/>
          <w:szCs w:val="21"/>
          <w:lang w:val="es-DO"/>
        </w:rPr>
        <w:tab/>
      </w:r>
      <w:r w:rsidRPr="00AF0D27">
        <w:rPr>
          <w:rFonts w:ascii="Arial" w:hAnsi="Arial" w:cs="Arial"/>
          <w:sz w:val="21"/>
          <w:szCs w:val="21"/>
          <w:lang w:val="es-DO"/>
        </w:rPr>
        <w:tab/>
        <w:t xml:space="preserve">Infección oportunista </w:t>
      </w:r>
    </w:p>
    <w:p w14:paraId="0B49BA3F" w14:textId="77777777" w:rsidR="00AF0D27" w:rsidRPr="00AF0D27" w:rsidRDefault="00AF0D27" w:rsidP="00AF0D27">
      <w:pPr>
        <w:spacing w:after="120" w:line="240" w:lineRule="auto"/>
        <w:rPr>
          <w:rFonts w:ascii="Arial" w:hAnsi="Arial" w:cs="Arial"/>
          <w:sz w:val="21"/>
          <w:szCs w:val="21"/>
          <w:lang w:val="es-DO"/>
        </w:rPr>
      </w:pPr>
      <w:r w:rsidRPr="00AF0D27">
        <w:rPr>
          <w:rFonts w:ascii="Arial" w:hAnsi="Arial" w:cs="Arial"/>
          <w:sz w:val="21"/>
          <w:szCs w:val="21"/>
          <w:lang w:val="es-DO"/>
        </w:rPr>
        <w:t>IP</w:t>
      </w:r>
      <w:r w:rsidRPr="00AF0D27">
        <w:rPr>
          <w:rFonts w:ascii="Arial" w:hAnsi="Arial" w:cs="Arial"/>
          <w:sz w:val="21"/>
          <w:szCs w:val="21"/>
          <w:lang w:val="es-DO"/>
        </w:rPr>
        <w:tab/>
      </w:r>
      <w:r w:rsidRPr="00AF0D27">
        <w:rPr>
          <w:rFonts w:ascii="Arial" w:hAnsi="Arial" w:cs="Arial"/>
          <w:sz w:val="21"/>
          <w:szCs w:val="21"/>
          <w:lang w:val="es-DO"/>
        </w:rPr>
        <w:tab/>
        <w:t>Inhibidores de la Proteasa</w:t>
      </w:r>
    </w:p>
    <w:p w14:paraId="5DA4A18A" w14:textId="7B539940" w:rsidR="00AF0D27" w:rsidRDefault="00AF0D27" w:rsidP="00AF0D27">
      <w:pPr>
        <w:spacing w:after="120" w:line="240" w:lineRule="auto"/>
        <w:rPr>
          <w:rFonts w:ascii="Arial" w:hAnsi="Arial" w:cs="Arial"/>
          <w:sz w:val="21"/>
          <w:szCs w:val="21"/>
          <w:lang w:val="es-DO"/>
        </w:rPr>
      </w:pPr>
      <w:r w:rsidRPr="00AF0D27">
        <w:rPr>
          <w:rFonts w:ascii="Arial" w:hAnsi="Arial" w:cs="Arial"/>
          <w:sz w:val="21"/>
          <w:szCs w:val="21"/>
          <w:lang w:val="es-DO"/>
        </w:rPr>
        <w:t>ITS</w:t>
      </w:r>
      <w:r w:rsidRPr="00AF0D27">
        <w:rPr>
          <w:rFonts w:ascii="Arial" w:hAnsi="Arial" w:cs="Arial"/>
          <w:sz w:val="21"/>
          <w:szCs w:val="21"/>
          <w:lang w:val="es-DO"/>
        </w:rPr>
        <w:tab/>
      </w:r>
      <w:r w:rsidRPr="00AF0D27">
        <w:rPr>
          <w:rFonts w:ascii="Arial" w:hAnsi="Arial" w:cs="Arial"/>
          <w:sz w:val="21"/>
          <w:szCs w:val="21"/>
          <w:lang w:val="es-DO"/>
        </w:rPr>
        <w:tab/>
        <w:t>Infecciones de Transmisión Sexual</w:t>
      </w:r>
    </w:p>
    <w:p w14:paraId="512B2675" w14:textId="4C0F2EAA" w:rsidR="00AF0D27" w:rsidRPr="00293C5D" w:rsidRDefault="00AF0D27" w:rsidP="00AF0D27">
      <w:pPr>
        <w:spacing w:after="120" w:line="240" w:lineRule="auto"/>
        <w:rPr>
          <w:rFonts w:ascii="Arial" w:hAnsi="Arial" w:cs="Arial"/>
          <w:sz w:val="21"/>
          <w:szCs w:val="21"/>
          <w:lang w:val="es-DO"/>
        </w:rPr>
      </w:pPr>
      <w:r w:rsidRPr="00AF0D27">
        <w:rPr>
          <w:rFonts w:ascii="Arial" w:hAnsi="Arial" w:cs="Arial"/>
          <w:sz w:val="21"/>
          <w:szCs w:val="21"/>
          <w:lang w:val="es-DO"/>
        </w:rPr>
        <w:t>LNVTB</w:t>
      </w:r>
      <w:r w:rsidRPr="00AF0D27">
        <w:rPr>
          <w:rFonts w:ascii="Arial" w:hAnsi="Arial" w:cs="Arial"/>
          <w:sz w:val="21"/>
          <w:szCs w:val="21"/>
          <w:lang w:val="es-DO"/>
        </w:rPr>
        <w:tab/>
      </w:r>
      <w:r w:rsidRPr="00AF0D27">
        <w:rPr>
          <w:rFonts w:ascii="Arial" w:hAnsi="Arial" w:cs="Arial"/>
          <w:sz w:val="21"/>
          <w:szCs w:val="21"/>
          <w:lang w:val="es-DO"/>
        </w:rPr>
        <w:tab/>
        <w:t>Laboratorio Nacional de Vigilancia de la TB</w:t>
      </w:r>
    </w:p>
    <w:p w14:paraId="12E1C6CC" w14:textId="77777777" w:rsidR="00AF0D27" w:rsidRDefault="00020F72" w:rsidP="00346042">
      <w:pPr>
        <w:spacing w:after="120" w:line="240" w:lineRule="auto"/>
        <w:rPr>
          <w:rFonts w:ascii="Arial" w:hAnsi="Arial" w:cs="Arial"/>
          <w:sz w:val="21"/>
          <w:szCs w:val="21"/>
          <w:lang w:val="es-DO"/>
        </w:rPr>
      </w:pPr>
      <w:r w:rsidRPr="00293C5D">
        <w:rPr>
          <w:rFonts w:ascii="Arial" w:hAnsi="Arial" w:cs="Arial"/>
          <w:sz w:val="21"/>
          <w:szCs w:val="21"/>
          <w:lang w:val="es-DO"/>
        </w:rPr>
        <w:t>MCP</w:t>
      </w:r>
      <w:r w:rsidR="00864B58" w:rsidRPr="00293C5D">
        <w:rPr>
          <w:rFonts w:ascii="Arial" w:hAnsi="Arial" w:cs="Arial"/>
          <w:sz w:val="21"/>
          <w:szCs w:val="21"/>
          <w:lang w:val="es-DO"/>
        </w:rPr>
        <w:tab/>
        <w:t xml:space="preserve"> </w:t>
      </w:r>
      <w:r w:rsidRPr="00293C5D">
        <w:rPr>
          <w:rFonts w:ascii="Arial" w:hAnsi="Arial" w:cs="Arial"/>
          <w:sz w:val="21"/>
          <w:szCs w:val="21"/>
          <w:lang w:val="es-DO"/>
        </w:rPr>
        <w:tab/>
      </w:r>
      <w:r w:rsidRPr="00293C5D">
        <w:rPr>
          <w:rFonts w:ascii="Arial" w:hAnsi="Arial" w:cs="Arial"/>
          <w:sz w:val="21"/>
          <w:szCs w:val="21"/>
          <w:lang w:val="es-ES"/>
        </w:rPr>
        <w:t>Mecanismo Coordinador del País</w:t>
      </w:r>
    </w:p>
    <w:p w14:paraId="68B6A388" w14:textId="77777777" w:rsidR="00AF0D27" w:rsidRDefault="00AF0D27" w:rsidP="00346042">
      <w:pPr>
        <w:spacing w:after="120" w:line="240" w:lineRule="auto"/>
        <w:rPr>
          <w:rFonts w:ascii="Arial" w:hAnsi="Arial" w:cs="Arial"/>
          <w:sz w:val="21"/>
          <w:szCs w:val="21"/>
          <w:lang w:val="es-DO"/>
        </w:rPr>
      </w:pPr>
      <w:r w:rsidRPr="00AF0D27">
        <w:rPr>
          <w:rFonts w:ascii="Arial" w:hAnsi="Arial" w:cs="Arial"/>
          <w:sz w:val="21"/>
          <w:szCs w:val="21"/>
          <w:lang w:val="es-DO"/>
        </w:rPr>
        <w:t xml:space="preserve">MEGAS </w:t>
      </w:r>
      <w:r w:rsidRPr="00AF0D27">
        <w:rPr>
          <w:rFonts w:ascii="Arial" w:hAnsi="Arial" w:cs="Arial"/>
          <w:sz w:val="21"/>
          <w:szCs w:val="21"/>
          <w:lang w:val="es-DO"/>
        </w:rPr>
        <w:tab/>
        <w:t>Estudio de Medición del Gasto en Sida</w:t>
      </w:r>
    </w:p>
    <w:p w14:paraId="36BEF636" w14:textId="2011DF77" w:rsidR="00062FFC" w:rsidRPr="00293C5D" w:rsidRDefault="00B34837" w:rsidP="00346042">
      <w:pPr>
        <w:spacing w:after="120" w:line="240" w:lineRule="auto"/>
        <w:rPr>
          <w:rFonts w:ascii="Arial" w:hAnsi="Arial" w:cs="Arial"/>
          <w:sz w:val="21"/>
          <w:szCs w:val="21"/>
          <w:lang w:val="es-419"/>
        </w:rPr>
      </w:pPr>
      <w:r w:rsidRPr="00293C5D">
        <w:rPr>
          <w:rFonts w:ascii="Arial" w:hAnsi="Arial" w:cs="Arial"/>
          <w:sz w:val="21"/>
          <w:szCs w:val="21"/>
          <w:lang w:val="es-DO"/>
        </w:rPr>
        <w:t>MTS</w:t>
      </w:r>
      <w:r w:rsidRPr="00293C5D">
        <w:rPr>
          <w:rFonts w:ascii="Arial" w:hAnsi="Arial" w:cs="Arial"/>
          <w:sz w:val="21"/>
          <w:szCs w:val="21"/>
          <w:lang w:val="es-DO"/>
        </w:rPr>
        <w:tab/>
      </w:r>
      <w:r w:rsidRPr="00293C5D">
        <w:rPr>
          <w:rFonts w:ascii="Arial" w:hAnsi="Arial" w:cs="Arial"/>
          <w:sz w:val="21"/>
          <w:szCs w:val="21"/>
          <w:lang w:val="es-DO"/>
        </w:rPr>
        <w:tab/>
        <w:t>M</w:t>
      </w:r>
      <w:r w:rsidR="00864B58" w:rsidRPr="00293C5D">
        <w:rPr>
          <w:rFonts w:ascii="Arial" w:hAnsi="Arial" w:cs="Arial"/>
          <w:sz w:val="21"/>
          <w:szCs w:val="21"/>
          <w:lang w:val="es-DO"/>
        </w:rPr>
        <w:t xml:space="preserve">ujeres trabajadoras sexuales </w:t>
      </w:r>
    </w:p>
    <w:p w14:paraId="577CD5F0" w14:textId="212260BA" w:rsidR="00DF0952" w:rsidRPr="00293C5D" w:rsidRDefault="00DF0952" w:rsidP="00346042">
      <w:pPr>
        <w:spacing w:after="120" w:line="240" w:lineRule="auto"/>
        <w:rPr>
          <w:rFonts w:ascii="Arial" w:hAnsi="Arial" w:cs="Arial"/>
          <w:sz w:val="21"/>
          <w:szCs w:val="21"/>
          <w:lang w:val="es-419"/>
        </w:rPr>
      </w:pPr>
      <w:r w:rsidRPr="00293C5D">
        <w:rPr>
          <w:rFonts w:ascii="Arial" w:hAnsi="Arial" w:cs="Arial"/>
          <w:sz w:val="21"/>
          <w:szCs w:val="21"/>
          <w:lang w:val="es-419"/>
        </w:rPr>
        <w:t>ONUSIDA</w:t>
      </w:r>
      <w:r w:rsidR="00571F29" w:rsidRPr="00293C5D">
        <w:rPr>
          <w:rFonts w:ascii="Arial" w:hAnsi="Arial" w:cs="Arial"/>
          <w:sz w:val="21"/>
          <w:szCs w:val="21"/>
          <w:lang w:val="es-419"/>
        </w:rPr>
        <w:tab/>
        <w:t>Programa Conjunto de las Naciones Unidas sobre el VIH/S</w:t>
      </w:r>
      <w:r w:rsidR="004E6D60" w:rsidRPr="00293C5D">
        <w:rPr>
          <w:rFonts w:ascii="Arial" w:hAnsi="Arial" w:cs="Arial"/>
          <w:sz w:val="21"/>
          <w:szCs w:val="21"/>
          <w:lang w:val="es-419"/>
        </w:rPr>
        <w:t>IDA</w:t>
      </w:r>
    </w:p>
    <w:p w14:paraId="029F5BC1" w14:textId="2B1B68A4" w:rsidR="00DF0952" w:rsidRPr="00293C5D" w:rsidRDefault="00DF0952" w:rsidP="00346042">
      <w:pPr>
        <w:spacing w:after="120" w:line="240" w:lineRule="auto"/>
        <w:rPr>
          <w:rFonts w:ascii="Arial" w:hAnsi="Arial" w:cs="Arial"/>
          <w:sz w:val="21"/>
          <w:szCs w:val="21"/>
          <w:lang w:val="es-419"/>
        </w:rPr>
      </w:pPr>
      <w:r w:rsidRPr="00293C5D">
        <w:rPr>
          <w:rFonts w:ascii="Arial" w:hAnsi="Arial" w:cs="Arial"/>
          <w:sz w:val="21"/>
          <w:szCs w:val="21"/>
          <w:lang w:val="es-419"/>
        </w:rPr>
        <w:t>OMS</w:t>
      </w:r>
      <w:r w:rsidR="00571F29" w:rsidRPr="00293C5D">
        <w:rPr>
          <w:rFonts w:ascii="Arial" w:hAnsi="Arial" w:cs="Arial"/>
          <w:sz w:val="21"/>
          <w:szCs w:val="21"/>
          <w:lang w:val="es-419"/>
        </w:rPr>
        <w:tab/>
      </w:r>
      <w:r w:rsidR="00571F29" w:rsidRPr="00293C5D">
        <w:rPr>
          <w:rFonts w:ascii="Arial" w:hAnsi="Arial" w:cs="Arial"/>
          <w:sz w:val="21"/>
          <w:szCs w:val="21"/>
          <w:lang w:val="es-419"/>
        </w:rPr>
        <w:tab/>
        <w:t xml:space="preserve">Organización Mundial de Salud </w:t>
      </w:r>
    </w:p>
    <w:p w14:paraId="6655765B" w14:textId="4253C1A0" w:rsidR="00DF0952" w:rsidRPr="00293C5D" w:rsidRDefault="00DF0952" w:rsidP="00346042">
      <w:pPr>
        <w:spacing w:after="120" w:line="240" w:lineRule="auto"/>
        <w:rPr>
          <w:rFonts w:ascii="Arial" w:hAnsi="Arial" w:cs="Arial"/>
          <w:sz w:val="21"/>
          <w:szCs w:val="21"/>
          <w:lang w:val="es-419"/>
        </w:rPr>
      </w:pPr>
      <w:r w:rsidRPr="00293C5D">
        <w:rPr>
          <w:rFonts w:ascii="Arial" w:hAnsi="Arial" w:cs="Arial"/>
          <w:sz w:val="21"/>
          <w:szCs w:val="21"/>
          <w:lang w:val="es-419"/>
        </w:rPr>
        <w:t xml:space="preserve">OPS </w:t>
      </w:r>
      <w:r w:rsidR="00571F29" w:rsidRPr="00293C5D">
        <w:rPr>
          <w:rFonts w:ascii="Arial" w:hAnsi="Arial" w:cs="Arial"/>
          <w:sz w:val="21"/>
          <w:szCs w:val="21"/>
          <w:lang w:val="es-419"/>
        </w:rPr>
        <w:tab/>
      </w:r>
      <w:r w:rsidR="00571F29" w:rsidRPr="00293C5D">
        <w:rPr>
          <w:rFonts w:ascii="Arial" w:hAnsi="Arial" w:cs="Arial"/>
          <w:sz w:val="21"/>
          <w:szCs w:val="21"/>
          <w:lang w:val="es-419"/>
        </w:rPr>
        <w:tab/>
        <w:t xml:space="preserve">Organización Panamericana de la Salud </w:t>
      </w:r>
    </w:p>
    <w:p w14:paraId="4D8F3B74" w14:textId="53A0B059" w:rsidR="00DC540F" w:rsidRPr="00293C5D" w:rsidRDefault="00950B9D" w:rsidP="00346042">
      <w:pPr>
        <w:spacing w:after="120" w:line="240" w:lineRule="auto"/>
        <w:rPr>
          <w:rFonts w:ascii="Arial" w:hAnsi="Arial" w:cs="Arial"/>
          <w:sz w:val="21"/>
          <w:szCs w:val="21"/>
          <w:lang w:val="es-419"/>
        </w:rPr>
      </w:pPr>
      <w:r w:rsidRPr="00293C5D">
        <w:rPr>
          <w:rFonts w:ascii="Arial" w:hAnsi="Arial" w:cs="Arial"/>
          <w:sz w:val="21"/>
          <w:szCs w:val="21"/>
          <w:lang w:val="es-419"/>
        </w:rPr>
        <w:t xml:space="preserve">OSC </w:t>
      </w:r>
      <w:r w:rsidRPr="00293C5D">
        <w:rPr>
          <w:rFonts w:ascii="Arial" w:hAnsi="Arial" w:cs="Arial"/>
          <w:sz w:val="21"/>
          <w:szCs w:val="21"/>
          <w:lang w:val="es-419"/>
        </w:rPr>
        <w:tab/>
      </w:r>
      <w:r w:rsidRPr="00293C5D">
        <w:rPr>
          <w:rFonts w:ascii="Arial" w:hAnsi="Arial" w:cs="Arial"/>
          <w:sz w:val="21"/>
          <w:szCs w:val="21"/>
          <w:lang w:val="es-419"/>
        </w:rPr>
        <w:tab/>
        <w:t xml:space="preserve">Organización de sociedad civil </w:t>
      </w:r>
    </w:p>
    <w:p w14:paraId="2F81ECCF" w14:textId="1CC7DC02" w:rsidR="00D5784E" w:rsidRPr="00293C5D" w:rsidRDefault="00D5784E" w:rsidP="00346042">
      <w:pPr>
        <w:spacing w:after="120" w:line="240" w:lineRule="auto"/>
        <w:rPr>
          <w:rFonts w:ascii="Arial" w:hAnsi="Arial" w:cs="Arial"/>
          <w:sz w:val="21"/>
          <w:szCs w:val="21"/>
          <w:lang w:val="es-419"/>
        </w:rPr>
      </w:pPr>
      <w:r w:rsidRPr="00293C5D">
        <w:rPr>
          <w:rFonts w:ascii="Arial" w:hAnsi="Arial" w:cs="Arial"/>
          <w:sz w:val="21"/>
          <w:szCs w:val="21"/>
          <w:lang w:val="es-419"/>
        </w:rPr>
        <w:t>OVC</w:t>
      </w:r>
      <w:r w:rsidRPr="00293C5D">
        <w:rPr>
          <w:rFonts w:ascii="Arial" w:hAnsi="Arial" w:cs="Arial"/>
          <w:sz w:val="21"/>
          <w:szCs w:val="21"/>
          <w:lang w:val="es-419"/>
        </w:rPr>
        <w:tab/>
      </w:r>
      <w:r w:rsidRPr="00293C5D">
        <w:rPr>
          <w:rFonts w:ascii="Arial" w:hAnsi="Arial" w:cs="Arial"/>
          <w:sz w:val="21"/>
          <w:szCs w:val="21"/>
          <w:lang w:val="es-419"/>
        </w:rPr>
        <w:tab/>
      </w:r>
      <w:r w:rsidRPr="00293C5D">
        <w:rPr>
          <w:rFonts w:ascii="Arial" w:hAnsi="Arial" w:cs="Arial"/>
          <w:color w:val="000000" w:themeColor="text1"/>
          <w:sz w:val="21"/>
          <w:szCs w:val="21"/>
          <w:lang w:val="es-DO"/>
        </w:rPr>
        <w:t>Niños huérfanos y vulnerables</w:t>
      </w:r>
    </w:p>
    <w:p w14:paraId="37AEB6DB" w14:textId="16394E6A" w:rsidR="00C66613" w:rsidRPr="00293C5D" w:rsidRDefault="00C66613" w:rsidP="00346042">
      <w:pPr>
        <w:spacing w:after="120" w:line="240" w:lineRule="auto"/>
        <w:rPr>
          <w:rFonts w:ascii="Arial" w:hAnsi="Arial" w:cs="Arial"/>
          <w:sz w:val="21"/>
          <w:szCs w:val="21"/>
          <w:lang w:val="es-419"/>
        </w:rPr>
      </w:pPr>
      <w:r w:rsidRPr="00293C5D">
        <w:rPr>
          <w:rFonts w:ascii="Arial" w:hAnsi="Arial" w:cs="Arial"/>
          <w:sz w:val="21"/>
          <w:szCs w:val="21"/>
          <w:lang w:val="es-419"/>
        </w:rPr>
        <w:t>PDR</w:t>
      </w:r>
      <w:r w:rsidRPr="00293C5D">
        <w:rPr>
          <w:rFonts w:ascii="Arial" w:hAnsi="Arial" w:cs="Arial"/>
          <w:sz w:val="21"/>
          <w:szCs w:val="21"/>
          <w:lang w:val="es-419"/>
        </w:rPr>
        <w:tab/>
      </w:r>
      <w:r w:rsidRPr="00293C5D">
        <w:rPr>
          <w:rFonts w:ascii="Arial" w:hAnsi="Arial" w:cs="Arial"/>
          <w:sz w:val="21"/>
          <w:szCs w:val="21"/>
          <w:lang w:val="es-419"/>
        </w:rPr>
        <w:tab/>
        <w:t xml:space="preserve">Período de reporte </w:t>
      </w:r>
    </w:p>
    <w:p w14:paraId="1CBA595D" w14:textId="6913CD0F" w:rsidR="00DF0952" w:rsidRPr="00293C5D" w:rsidRDefault="00DF0952" w:rsidP="00346042">
      <w:pPr>
        <w:spacing w:after="120" w:line="240" w:lineRule="auto"/>
        <w:rPr>
          <w:rFonts w:ascii="Arial" w:hAnsi="Arial" w:cs="Arial"/>
          <w:sz w:val="21"/>
          <w:szCs w:val="21"/>
          <w:lang w:val="es-419"/>
        </w:rPr>
      </w:pPr>
      <w:r w:rsidRPr="00293C5D">
        <w:rPr>
          <w:rFonts w:ascii="Arial" w:hAnsi="Arial" w:cs="Arial"/>
          <w:sz w:val="21"/>
          <w:szCs w:val="21"/>
          <w:lang w:val="es-419"/>
        </w:rPr>
        <w:t xml:space="preserve">PENSIDA </w:t>
      </w:r>
      <w:r w:rsidRPr="00293C5D">
        <w:rPr>
          <w:rFonts w:ascii="Arial" w:hAnsi="Arial" w:cs="Arial"/>
          <w:sz w:val="21"/>
          <w:szCs w:val="21"/>
          <w:lang w:val="es-419"/>
        </w:rPr>
        <w:tab/>
      </w:r>
      <w:r w:rsidRPr="00293C5D">
        <w:rPr>
          <w:rFonts w:ascii="Arial" w:hAnsi="Arial" w:cs="Arial"/>
          <w:sz w:val="21"/>
          <w:szCs w:val="21"/>
          <w:lang w:val="es-DO"/>
        </w:rPr>
        <w:t>Plan Estratégico Nacional de Respuesta al VIH y al Sida</w:t>
      </w:r>
    </w:p>
    <w:p w14:paraId="703F6204" w14:textId="2517D36F" w:rsidR="00A34D2E" w:rsidRPr="00293C5D" w:rsidRDefault="00A34D2E" w:rsidP="00346042">
      <w:pPr>
        <w:spacing w:after="120" w:line="240" w:lineRule="auto"/>
        <w:rPr>
          <w:rFonts w:ascii="Arial" w:hAnsi="Arial" w:cs="Arial"/>
          <w:sz w:val="21"/>
          <w:szCs w:val="21"/>
          <w:lang w:val="es-DO"/>
        </w:rPr>
      </w:pPr>
      <w:r w:rsidRPr="00293C5D">
        <w:rPr>
          <w:rFonts w:ascii="Arial" w:hAnsi="Arial" w:cs="Arial"/>
          <w:sz w:val="21"/>
          <w:szCs w:val="21"/>
          <w:lang w:val="es-DO"/>
        </w:rPr>
        <w:lastRenderedPageBreak/>
        <w:t>PENTB</w:t>
      </w:r>
      <w:r w:rsidR="00293C5D">
        <w:rPr>
          <w:rFonts w:ascii="Arial" w:hAnsi="Arial" w:cs="Arial"/>
          <w:sz w:val="21"/>
          <w:szCs w:val="21"/>
          <w:lang w:val="es-DO"/>
        </w:rPr>
        <w:tab/>
      </w:r>
      <w:r w:rsidRPr="00293C5D">
        <w:rPr>
          <w:rFonts w:ascii="Arial" w:hAnsi="Arial" w:cs="Arial"/>
          <w:sz w:val="21"/>
          <w:szCs w:val="21"/>
          <w:lang w:val="es-DO"/>
        </w:rPr>
        <w:tab/>
      </w:r>
      <w:r w:rsidRPr="00293C5D">
        <w:rPr>
          <w:rFonts w:ascii="Arial" w:hAnsi="Arial" w:cs="Arial"/>
          <w:sz w:val="21"/>
          <w:szCs w:val="21"/>
          <w:lang w:val="es-419"/>
        </w:rPr>
        <w:t xml:space="preserve">Plan Estratégico Nacional de Tuberculosis </w:t>
      </w:r>
    </w:p>
    <w:p w14:paraId="18EC5A8E" w14:textId="04594882" w:rsidR="00DF0952" w:rsidRPr="00293C5D" w:rsidRDefault="00DF0952" w:rsidP="00346042">
      <w:pPr>
        <w:spacing w:after="120" w:line="240" w:lineRule="auto"/>
        <w:rPr>
          <w:rFonts w:ascii="Arial" w:hAnsi="Arial" w:cs="Arial"/>
          <w:sz w:val="21"/>
          <w:szCs w:val="21"/>
          <w:lang w:val="es-419"/>
        </w:rPr>
      </w:pPr>
      <w:r w:rsidRPr="00293C5D">
        <w:rPr>
          <w:rFonts w:ascii="Arial" w:hAnsi="Arial" w:cs="Arial"/>
          <w:sz w:val="21"/>
          <w:szCs w:val="21"/>
          <w:lang w:val="es-DO"/>
        </w:rPr>
        <w:t>PTMI</w:t>
      </w:r>
      <w:r w:rsidRPr="00293C5D">
        <w:rPr>
          <w:rFonts w:ascii="Arial" w:hAnsi="Arial" w:cs="Arial"/>
          <w:sz w:val="21"/>
          <w:szCs w:val="21"/>
          <w:lang w:val="es-DO"/>
        </w:rPr>
        <w:tab/>
      </w:r>
      <w:r w:rsidRPr="00293C5D">
        <w:rPr>
          <w:rFonts w:ascii="Arial" w:hAnsi="Arial" w:cs="Arial"/>
          <w:sz w:val="21"/>
          <w:szCs w:val="21"/>
          <w:lang w:val="es-DO"/>
        </w:rPr>
        <w:tab/>
        <w:t>Prevención de la Transmisión Materno-Infantil</w:t>
      </w:r>
    </w:p>
    <w:p w14:paraId="6909ED64" w14:textId="0CCEAF78" w:rsidR="00E4535D" w:rsidRPr="00293C5D" w:rsidRDefault="00E4535D" w:rsidP="00346042">
      <w:pPr>
        <w:spacing w:after="120" w:line="240" w:lineRule="auto"/>
        <w:rPr>
          <w:rFonts w:ascii="Arial" w:hAnsi="Arial" w:cs="Arial"/>
          <w:sz w:val="21"/>
          <w:szCs w:val="21"/>
          <w:lang w:val="es-419"/>
        </w:rPr>
      </w:pPr>
      <w:r w:rsidRPr="00293C5D">
        <w:rPr>
          <w:rFonts w:ascii="Arial" w:hAnsi="Arial" w:cs="Arial"/>
          <w:color w:val="000000" w:themeColor="text1"/>
          <w:sz w:val="21"/>
          <w:szCs w:val="21"/>
          <w:lang w:val="es-DO"/>
        </w:rPr>
        <w:t>PVIH</w:t>
      </w:r>
      <w:r w:rsidRPr="00293C5D">
        <w:rPr>
          <w:rFonts w:ascii="Arial" w:hAnsi="Arial" w:cs="Arial"/>
          <w:color w:val="000000" w:themeColor="text1"/>
          <w:sz w:val="21"/>
          <w:szCs w:val="21"/>
          <w:lang w:val="es-DO"/>
        </w:rPr>
        <w:tab/>
      </w:r>
      <w:r w:rsidRPr="00293C5D">
        <w:rPr>
          <w:rFonts w:ascii="Arial" w:hAnsi="Arial" w:cs="Arial"/>
          <w:color w:val="000000" w:themeColor="text1"/>
          <w:sz w:val="21"/>
          <w:szCs w:val="21"/>
          <w:lang w:val="es-DO"/>
        </w:rPr>
        <w:tab/>
        <w:t>Personas con VIH</w:t>
      </w:r>
    </w:p>
    <w:p w14:paraId="1866AC73" w14:textId="21B00CB6" w:rsidR="00950B9D" w:rsidRPr="00293C5D" w:rsidRDefault="00950B9D" w:rsidP="00346042">
      <w:pPr>
        <w:spacing w:after="120" w:line="240" w:lineRule="auto"/>
        <w:rPr>
          <w:rFonts w:ascii="Arial" w:hAnsi="Arial" w:cs="Arial"/>
          <w:sz w:val="21"/>
          <w:szCs w:val="21"/>
          <w:lang w:val="es-419"/>
        </w:rPr>
      </w:pPr>
      <w:r w:rsidRPr="00293C5D">
        <w:rPr>
          <w:rFonts w:ascii="Arial" w:hAnsi="Arial" w:cs="Arial"/>
          <w:sz w:val="21"/>
          <w:szCs w:val="21"/>
          <w:lang w:val="es-419"/>
        </w:rPr>
        <w:t>R</w:t>
      </w:r>
      <w:r w:rsidR="00917D85">
        <w:rPr>
          <w:rFonts w:ascii="Arial" w:hAnsi="Arial" w:cs="Arial"/>
          <w:sz w:val="21"/>
          <w:szCs w:val="21"/>
          <w:lang w:val="es-419"/>
        </w:rPr>
        <w:t>R</w:t>
      </w:r>
      <w:r w:rsidRPr="00293C5D">
        <w:rPr>
          <w:rFonts w:ascii="Arial" w:hAnsi="Arial" w:cs="Arial"/>
          <w:sz w:val="21"/>
          <w:szCs w:val="21"/>
          <w:lang w:val="es-419"/>
        </w:rPr>
        <w:t>H</w:t>
      </w:r>
      <w:r w:rsidR="00917D85">
        <w:rPr>
          <w:rFonts w:ascii="Arial" w:hAnsi="Arial" w:cs="Arial"/>
          <w:sz w:val="21"/>
          <w:szCs w:val="21"/>
          <w:lang w:val="es-419"/>
        </w:rPr>
        <w:t>H</w:t>
      </w:r>
      <w:r w:rsidRPr="00293C5D">
        <w:rPr>
          <w:rFonts w:ascii="Arial" w:hAnsi="Arial" w:cs="Arial"/>
          <w:sz w:val="21"/>
          <w:szCs w:val="21"/>
          <w:lang w:val="es-419"/>
        </w:rPr>
        <w:t xml:space="preserve"> </w:t>
      </w:r>
      <w:r w:rsidRPr="00293C5D">
        <w:rPr>
          <w:rFonts w:ascii="Arial" w:hAnsi="Arial" w:cs="Arial"/>
          <w:sz w:val="21"/>
          <w:szCs w:val="21"/>
          <w:lang w:val="es-419"/>
        </w:rPr>
        <w:tab/>
      </w:r>
      <w:r w:rsidRPr="00293C5D">
        <w:rPr>
          <w:rFonts w:ascii="Arial" w:hAnsi="Arial" w:cs="Arial"/>
          <w:sz w:val="21"/>
          <w:szCs w:val="21"/>
          <w:lang w:val="es-419"/>
        </w:rPr>
        <w:tab/>
        <w:t xml:space="preserve">Recursos humanos </w:t>
      </w:r>
    </w:p>
    <w:p w14:paraId="111B1858" w14:textId="276CA4F4" w:rsidR="00C66613" w:rsidRPr="00293C5D" w:rsidRDefault="00C66613" w:rsidP="00346042">
      <w:pPr>
        <w:spacing w:after="120" w:line="240" w:lineRule="auto"/>
        <w:rPr>
          <w:rFonts w:ascii="Arial" w:hAnsi="Arial" w:cs="Arial"/>
          <w:sz w:val="21"/>
          <w:szCs w:val="21"/>
          <w:lang w:val="es-419"/>
        </w:rPr>
      </w:pPr>
      <w:r w:rsidRPr="00293C5D">
        <w:rPr>
          <w:rFonts w:ascii="Arial" w:hAnsi="Arial" w:cs="Arial"/>
          <w:sz w:val="21"/>
          <w:szCs w:val="21"/>
          <w:lang w:val="es-419"/>
        </w:rPr>
        <w:t xml:space="preserve">RP </w:t>
      </w:r>
      <w:r w:rsidRPr="00293C5D">
        <w:rPr>
          <w:rFonts w:ascii="Arial" w:hAnsi="Arial" w:cs="Arial"/>
          <w:sz w:val="21"/>
          <w:szCs w:val="21"/>
          <w:lang w:val="es-419"/>
        </w:rPr>
        <w:tab/>
      </w:r>
      <w:r w:rsidRPr="00293C5D">
        <w:rPr>
          <w:rFonts w:ascii="Arial" w:hAnsi="Arial" w:cs="Arial"/>
          <w:sz w:val="21"/>
          <w:szCs w:val="21"/>
          <w:lang w:val="es-419"/>
        </w:rPr>
        <w:tab/>
        <w:t xml:space="preserve">Receptor Principal </w:t>
      </w:r>
    </w:p>
    <w:p w14:paraId="4BBFADEE" w14:textId="79E46613" w:rsidR="006407B9" w:rsidRDefault="006407B9" w:rsidP="00346042">
      <w:pPr>
        <w:spacing w:after="120" w:line="240" w:lineRule="auto"/>
        <w:rPr>
          <w:rFonts w:ascii="Arial" w:hAnsi="Arial" w:cs="Arial"/>
          <w:sz w:val="21"/>
          <w:szCs w:val="21"/>
          <w:lang w:val="es-419"/>
        </w:rPr>
      </w:pPr>
      <w:r w:rsidRPr="00293C5D">
        <w:rPr>
          <w:rFonts w:ascii="Arial" w:hAnsi="Arial" w:cs="Arial"/>
          <w:sz w:val="21"/>
          <w:szCs w:val="21"/>
          <w:lang w:val="es-419"/>
        </w:rPr>
        <w:t xml:space="preserve">RS </w:t>
      </w:r>
      <w:r w:rsidRPr="00293C5D">
        <w:rPr>
          <w:rFonts w:ascii="Arial" w:hAnsi="Arial" w:cs="Arial"/>
          <w:sz w:val="21"/>
          <w:szCs w:val="21"/>
          <w:lang w:val="es-419"/>
        </w:rPr>
        <w:tab/>
      </w:r>
      <w:r w:rsidRPr="00293C5D">
        <w:rPr>
          <w:rFonts w:ascii="Arial" w:hAnsi="Arial" w:cs="Arial"/>
          <w:sz w:val="21"/>
          <w:szCs w:val="21"/>
          <w:lang w:val="es-419"/>
        </w:rPr>
        <w:tab/>
        <w:t>Regiones Sanitarias</w:t>
      </w:r>
    </w:p>
    <w:p w14:paraId="4A2CDD70" w14:textId="5633EB86" w:rsidR="00917D85" w:rsidRPr="00917D85" w:rsidRDefault="00917D85" w:rsidP="00346042">
      <w:pPr>
        <w:spacing w:after="120" w:line="240" w:lineRule="auto"/>
        <w:rPr>
          <w:rFonts w:ascii="Arial" w:hAnsi="Arial" w:cs="Arial"/>
          <w:sz w:val="21"/>
          <w:szCs w:val="21"/>
          <w:lang w:val="es-DO"/>
        </w:rPr>
      </w:pPr>
      <w:r w:rsidRPr="00917D85">
        <w:rPr>
          <w:rFonts w:ascii="Arial" w:hAnsi="Arial" w:cs="Arial"/>
          <w:sz w:val="21"/>
          <w:szCs w:val="21"/>
          <w:lang w:val="es-DO"/>
        </w:rPr>
        <w:t xml:space="preserve">SAI </w:t>
      </w:r>
      <w:r w:rsidRPr="00917D85">
        <w:rPr>
          <w:rFonts w:ascii="Arial" w:hAnsi="Arial" w:cs="Arial"/>
          <w:sz w:val="21"/>
          <w:szCs w:val="21"/>
          <w:lang w:val="es-DO"/>
        </w:rPr>
        <w:tab/>
      </w:r>
      <w:r w:rsidRPr="00917D85">
        <w:rPr>
          <w:rFonts w:ascii="Arial" w:hAnsi="Arial" w:cs="Arial"/>
          <w:sz w:val="21"/>
          <w:szCs w:val="21"/>
          <w:lang w:val="es-DO"/>
        </w:rPr>
        <w:tab/>
        <w:t>Servicios de Atención Integral para Personas con VIH</w:t>
      </w:r>
    </w:p>
    <w:p w14:paraId="612A0CBC" w14:textId="21CDB252" w:rsidR="00B17E68" w:rsidRDefault="00B17E68" w:rsidP="00346042">
      <w:pPr>
        <w:spacing w:after="120" w:line="240" w:lineRule="auto"/>
        <w:rPr>
          <w:rFonts w:ascii="Arial" w:hAnsi="Arial" w:cs="Arial"/>
          <w:sz w:val="21"/>
          <w:szCs w:val="21"/>
          <w:lang w:val="es-419"/>
        </w:rPr>
      </w:pPr>
      <w:r w:rsidRPr="00293C5D">
        <w:rPr>
          <w:rFonts w:ascii="Arial" w:hAnsi="Arial" w:cs="Arial"/>
          <w:sz w:val="21"/>
          <w:szCs w:val="21"/>
          <w:lang w:val="es-419"/>
        </w:rPr>
        <w:t>SCGG</w:t>
      </w:r>
      <w:r w:rsidRPr="00293C5D">
        <w:rPr>
          <w:rFonts w:ascii="Arial" w:hAnsi="Arial" w:cs="Arial"/>
          <w:sz w:val="21"/>
          <w:szCs w:val="21"/>
          <w:lang w:val="es-419"/>
        </w:rPr>
        <w:tab/>
      </w:r>
      <w:r w:rsidRPr="00293C5D">
        <w:rPr>
          <w:rFonts w:ascii="Arial" w:hAnsi="Arial" w:cs="Arial"/>
          <w:sz w:val="21"/>
          <w:szCs w:val="21"/>
          <w:lang w:val="es-419"/>
        </w:rPr>
        <w:tab/>
        <w:t>Secretaría de Coordinación General de Gobierno</w:t>
      </w:r>
    </w:p>
    <w:p w14:paraId="6B3EB786" w14:textId="586B0FBC" w:rsidR="006A0A13" w:rsidRPr="00293C5D" w:rsidRDefault="006A0A13" w:rsidP="00346042">
      <w:pPr>
        <w:spacing w:after="120" w:line="240" w:lineRule="auto"/>
        <w:rPr>
          <w:rFonts w:ascii="Arial" w:hAnsi="Arial" w:cs="Arial"/>
          <w:sz w:val="21"/>
          <w:szCs w:val="21"/>
          <w:lang w:val="es-419"/>
        </w:rPr>
      </w:pPr>
      <w:r>
        <w:rPr>
          <w:rFonts w:ascii="Arial" w:hAnsi="Arial" w:cs="Arial"/>
          <w:sz w:val="21"/>
          <w:szCs w:val="21"/>
          <w:lang w:val="es-419"/>
        </w:rPr>
        <w:t>SEFIN</w:t>
      </w:r>
      <w:r>
        <w:rPr>
          <w:rFonts w:ascii="Arial" w:hAnsi="Arial" w:cs="Arial"/>
          <w:sz w:val="21"/>
          <w:szCs w:val="21"/>
          <w:lang w:val="es-419"/>
        </w:rPr>
        <w:tab/>
      </w:r>
      <w:r>
        <w:rPr>
          <w:rFonts w:ascii="Arial" w:hAnsi="Arial" w:cs="Arial"/>
          <w:sz w:val="21"/>
          <w:szCs w:val="21"/>
          <w:lang w:val="es-419"/>
        </w:rPr>
        <w:tab/>
        <w:t>Secretaría de Finanzas</w:t>
      </w:r>
    </w:p>
    <w:p w14:paraId="043D97B2" w14:textId="535D859C" w:rsidR="00020F72" w:rsidRPr="00293C5D" w:rsidRDefault="00020F72" w:rsidP="00346042">
      <w:pPr>
        <w:spacing w:after="120" w:line="240" w:lineRule="auto"/>
        <w:rPr>
          <w:rFonts w:ascii="Arial" w:hAnsi="Arial" w:cs="Arial"/>
          <w:sz w:val="21"/>
          <w:szCs w:val="21"/>
          <w:lang w:val="es-419"/>
        </w:rPr>
      </w:pPr>
      <w:r w:rsidRPr="00293C5D">
        <w:rPr>
          <w:rFonts w:ascii="Arial" w:hAnsi="Arial" w:cs="Arial"/>
          <w:sz w:val="21"/>
          <w:szCs w:val="21"/>
          <w:lang w:val="es-419"/>
        </w:rPr>
        <w:t xml:space="preserve">SESAL </w:t>
      </w:r>
      <w:r w:rsidRPr="00293C5D">
        <w:rPr>
          <w:rFonts w:ascii="Arial" w:hAnsi="Arial" w:cs="Arial"/>
          <w:sz w:val="21"/>
          <w:szCs w:val="21"/>
          <w:lang w:val="es-419"/>
        </w:rPr>
        <w:tab/>
        <w:t xml:space="preserve">Secretaría de Salud de Honduras </w:t>
      </w:r>
    </w:p>
    <w:p w14:paraId="6590F789" w14:textId="0C8C587E" w:rsidR="00C66613" w:rsidRPr="00293C5D" w:rsidRDefault="00C66613" w:rsidP="00346042">
      <w:pPr>
        <w:spacing w:after="120" w:line="240" w:lineRule="auto"/>
        <w:rPr>
          <w:rFonts w:ascii="Arial" w:hAnsi="Arial" w:cs="Arial"/>
          <w:sz w:val="21"/>
          <w:szCs w:val="21"/>
          <w:lang w:val="es-419"/>
        </w:rPr>
      </w:pPr>
      <w:r w:rsidRPr="00293C5D">
        <w:rPr>
          <w:rFonts w:ascii="Arial" w:hAnsi="Arial" w:cs="Arial"/>
          <w:sz w:val="21"/>
          <w:szCs w:val="21"/>
          <w:lang w:val="es-419"/>
        </w:rPr>
        <w:t>SIIS</w:t>
      </w:r>
      <w:r w:rsidRPr="00293C5D">
        <w:rPr>
          <w:rFonts w:ascii="Arial" w:hAnsi="Arial" w:cs="Arial"/>
          <w:sz w:val="21"/>
          <w:szCs w:val="21"/>
          <w:lang w:val="es-419"/>
        </w:rPr>
        <w:tab/>
      </w:r>
      <w:r w:rsidRPr="00293C5D">
        <w:rPr>
          <w:rFonts w:ascii="Arial" w:hAnsi="Arial" w:cs="Arial"/>
          <w:sz w:val="21"/>
          <w:szCs w:val="21"/>
          <w:lang w:val="es-419"/>
        </w:rPr>
        <w:tab/>
        <w:t xml:space="preserve">Sistema Integrado de Información en Salud </w:t>
      </w:r>
    </w:p>
    <w:p w14:paraId="455E97F1" w14:textId="082889C0" w:rsidR="00D5784E" w:rsidRPr="00293C5D" w:rsidRDefault="00D5784E" w:rsidP="00346042">
      <w:pPr>
        <w:spacing w:after="120" w:line="240" w:lineRule="auto"/>
        <w:rPr>
          <w:rFonts w:ascii="Arial" w:hAnsi="Arial" w:cs="Arial"/>
          <w:sz w:val="21"/>
          <w:szCs w:val="21"/>
          <w:lang w:val="es-419"/>
        </w:rPr>
      </w:pPr>
      <w:r w:rsidRPr="00293C5D">
        <w:rPr>
          <w:rFonts w:ascii="Arial" w:hAnsi="Arial" w:cs="Arial"/>
          <w:sz w:val="21"/>
          <w:szCs w:val="21"/>
          <w:lang w:val="es-419"/>
        </w:rPr>
        <w:t>TAR</w:t>
      </w:r>
      <w:r w:rsidRPr="00293C5D">
        <w:rPr>
          <w:rFonts w:ascii="Arial" w:hAnsi="Arial" w:cs="Arial"/>
          <w:sz w:val="21"/>
          <w:szCs w:val="21"/>
          <w:lang w:val="es-419"/>
        </w:rPr>
        <w:tab/>
      </w:r>
      <w:r w:rsidRPr="00293C5D">
        <w:rPr>
          <w:rFonts w:ascii="Arial" w:hAnsi="Arial" w:cs="Arial"/>
          <w:sz w:val="21"/>
          <w:szCs w:val="21"/>
          <w:lang w:val="es-419"/>
        </w:rPr>
        <w:tab/>
        <w:t xml:space="preserve">Tratamiento antirretroviral </w:t>
      </w:r>
    </w:p>
    <w:p w14:paraId="5F2B99B1" w14:textId="1E1710CF" w:rsidR="00020F72" w:rsidRDefault="00020F72" w:rsidP="00346042">
      <w:pPr>
        <w:spacing w:after="120" w:line="240" w:lineRule="auto"/>
        <w:rPr>
          <w:rFonts w:ascii="Arial" w:hAnsi="Arial" w:cs="Arial"/>
          <w:sz w:val="21"/>
          <w:szCs w:val="21"/>
          <w:lang w:val="es-419"/>
        </w:rPr>
      </w:pPr>
      <w:r w:rsidRPr="00293C5D">
        <w:rPr>
          <w:rFonts w:ascii="Arial" w:hAnsi="Arial" w:cs="Arial"/>
          <w:sz w:val="21"/>
          <w:szCs w:val="21"/>
          <w:lang w:val="es-419"/>
        </w:rPr>
        <w:t>TB</w:t>
      </w:r>
      <w:r w:rsidRPr="00293C5D">
        <w:rPr>
          <w:rFonts w:ascii="Arial" w:hAnsi="Arial" w:cs="Arial"/>
          <w:sz w:val="21"/>
          <w:szCs w:val="21"/>
          <w:lang w:val="es-419"/>
        </w:rPr>
        <w:tab/>
      </w:r>
      <w:r w:rsidRPr="00293C5D">
        <w:rPr>
          <w:rFonts w:ascii="Arial" w:hAnsi="Arial" w:cs="Arial"/>
          <w:sz w:val="21"/>
          <w:szCs w:val="21"/>
          <w:lang w:val="es-419"/>
        </w:rPr>
        <w:tab/>
        <w:t xml:space="preserve">Tuberculosis </w:t>
      </w:r>
    </w:p>
    <w:p w14:paraId="75EC939D" w14:textId="51D68599" w:rsidR="00293C5D" w:rsidRDefault="00293C5D" w:rsidP="00346042">
      <w:pPr>
        <w:spacing w:after="120" w:line="240" w:lineRule="auto"/>
        <w:rPr>
          <w:rFonts w:ascii="Arial" w:hAnsi="Arial" w:cs="Arial"/>
          <w:sz w:val="21"/>
          <w:szCs w:val="21"/>
          <w:lang w:val="es-419"/>
        </w:rPr>
      </w:pPr>
      <w:r>
        <w:rPr>
          <w:rFonts w:ascii="Arial" w:hAnsi="Arial" w:cs="Arial"/>
          <w:sz w:val="21"/>
          <w:szCs w:val="21"/>
          <w:lang w:val="es-419"/>
        </w:rPr>
        <w:t>TB-MDR</w:t>
      </w:r>
      <w:r>
        <w:rPr>
          <w:rFonts w:ascii="Arial" w:hAnsi="Arial" w:cs="Arial"/>
          <w:sz w:val="21"/>
          <w:szCs w:val="21"/>
          <w:lang w:val="es-419"/>
        </w:rPr>
        <w:tab/>
        <w:t>Tuberculosis Mulidrogoresistente</w:t>
      </w:r>
    </w:p>
    <w:p w14:paraId="2DD01068" w14:textId="47FC7919" w:rsidR="004E12AD" w:rsidRPr="00293C5D" w:rsidRDefault="004E12AD" w:rsidP="00346042">
      <w:pPr>
        <w:spacing w:after="120" w:line="240" w:lineRule="auto"/>
        <w:rPr>
          <w:rFonts w:ascii="Arial" w:hAnsi="Arial" w:cs="Arial"/>
          <w:sz w:val="21"/>
          <w:szCs w:val="21"/>
          <w:lang w:val="es-419"/>
        </w:rPr>
      </w:pPr>
      <w:bookmarkStart w:id="11" w:name="_Hlk10549324"/>
      <w:r>
        <w:rPr>
          <w:rFonts w:ascii="Arial" w:hAnsi="Arial" w:cs="Arial"/>
          <w:sz w:val="21"/>
          <w:szCs w:val="21"/>
          <w:lang w:val="es-419"/>
        </w:rPr>
        <w:t>TB-RR</w:t>
      </w:r>
      <w:r>
        <w:rPr>
          <w:rFonts w:ascii="Arial" w:hAnsi="Arial" w:cs="Arial"/>
          <w:sz w:val="21"/>
          <w:szCs w:val="21"/>
          <w:lang w:val="es-419"/>
        </w:rPr>
        <w:tab/>
      </w:r>
      <w:r>
        <w:rPr>
          <w:rFonts w:ascii="Arial" w:hAnsi="Arial" w:cs="Arial"/>
          <w:sz w:val="21"/>
          <w:szCs w:val="21"/>
          <w:lang w:val="es-419"/>
        </w:rPr>
        <w:tab/>
      </w:r>
      <w:r w:rsidRPr="004E12AD">
        <w:rPr>
          <w:rFonts w:ascii="Arial" w:hAnsi="Arial" w:cs="Arial"/>
          <w:sz w:val="21"/>
          <w:szCs w:val="21"/>
          <w:lang w:val="es-419"/>
        </w:rPr>
        <w:t>Tuberculosis resistente a la rifampicina</w:t>
      </w:r>
    </w:p>
    <w:bookmarkEnd w:id="11"/>
    <w:p w14:paraId="126E7535" w14:textId="4FAF8337" w:rsidR="00C91A7D" w:rsidRDefault="00C91A7D" w:rsidP="00346042">
      <w:pPr>
        <w:spacing w:after="120" w:line="240" w:lineRule="auto"/>
        <w:rPr>
          <w:rFonts w:ascii="Arial" w:hAnsi="Arial" w:cs="Arial"/>
          <w:sz w:val="21"/>
          <w:szCs w:val="21"/>
          <w:lang w:val="es-419"/>
        </w:rPr>
      </w:pPr>
      <w:r w:rsidRPr="00293C5D">
        <w:rPr>
          <w:rFonts w:ascii="Arial" w:hAnsi="Arial" w:cs="Arial"/>
          <w:sz w:val="21"/>
          <w:szCs w:val="21"/>
          <w:lang w:val="es-419"/>
        </w:rPr>
        <w:t xml:space="preserve">TBTF </w:t>
      </w:r>
      <w:r w:rsidRPr="00293C5D">
        <w:rPr>
          <w:rFonts w:ascii="Arial" w:hAnsi="Arial" w:cs="Arial"/>
          <w:sz w:val="21"/>
          <w:szCs w:val="21"/>
          <w:lang w:val="es-419"/>
        </w:rPr>
        <w:tab/>
      </w:r>
      <w:r w:rsidRPr="00293C5D">
        <w:rPr>
          <w:rFonts w:ascii="Arial" w:hAnsi="Arial" w:cs="Arial"/>
          <w:sz w:val="21"/>
          <w:szCs w:val="21"/>
          <w:lang w:val="es-419"/>
        </w:rPr>
        <w:tab/>
        <w:t>TB todas las formas</w:t>
      </w:r>
    </w:p>
    <w:p w14:paraId="012AD497" w14:textId="77777777" w:rsidR="00917D85" w:rsidRPr="00917D85" w:rsidRDefault="00917D85" w:rsidP="00917D85">
      <w:pPr>
        <w:spacing w:after="120" w:line="240" w:lineRule="auto"/>
        <w:rPr>
          <w:rFonts w:ascii="Arial" w:hAnsi="Arial" w:cs="Arial"/>
          <w:sz w:val="21"/>
          <w:szCs w:val="21"/>
          <w:lang w:val="es-419"/>
        </w:rPr>
      </w:pPr>
      <w:r w:rsidRPr="00917D85">
        <w:rPr>
          <w:rFonts w:ascii="Arial" w:hAnsi="Arial" w:cs="Arial"/>
          <w:sz w:val="21"/>
          <w:szCs w:val="21"/>
          <w:lang w:val="es-419"/>
        </w:rPr>
        <w:t xml:space="preserve">TB-XDR </w:t>
      </w:r>
      <w:r w:rsidRPr="00917D85">
        <w:rPr>
          <w:rFonts w:ascii="Arial" w:hAnsi="Arial" w:cs="Arial"/>
          <w:sz w:val="21"/>
          <w:szCs w:val="21"/>
          <w:lang w:val="es-419"/>
        </w:rPr>
        <w:tab/>
        <w:t>Tuberculosis resistente a isoniazida y rifampicina</w:t>
      </w:r>
    </w:p>
    <w:p w14:paraId="632A5F39" w14:textId="77777777" w:rsidR="00917D85" w:rsidRPr="00917D85" w:rsidRDefault="00917D85" w:rsidP="00917D85">
      <w:pPr>
        <w:spacing w:after="120" w:line="240" w:lineRule="auto"/>
        <w:rPr>
          <w:rFonts w:ascii="Arial" w:hAnsi="Arial" w:cs="Arial"/>
          <w:sz w:val="21"/>
          <w:szCs w:val="21"/>
          <w:lang w:val="es-419"/>
        </w:rPr>
      </w:pPr>
      <w:r w:rsidRPr="00917D85">
        <w:rPr>
          <w:rFonts w:ascii="Arial" w:hAnsi="Arial" w:cs="Arial"/>
          <w:sz w:val="21"/>
          <w:szCs w:val="21"/>
          <w:lang w:val="es-419"/>
        </w:rPr>
        <w:t>TDF</w:t>
      </w:r>
      <w:r w:rsidRPr="00917D85">
        <w:rPr>
          <w:rFonts w:ascii="Arial" w:hAnsi="Arial" w:cs="Arial"/>
          <w:sz w:val="21"/>
          <w:szCs w:val="21"/>
          <w:lang w:val="es-419"/>
        </w:rPr>
        <w:tab/>
      </w:r>
      <w:r w:rsidRPr="00917D85">
        <w:rPr>
          <w:rFonts w:ascii="Arial" w:hAnsi="Arial" w:cs="Arial"/>
          <w:sz w:val="21"/>
          <w:szCs w:val="21"/>
          <w:lang w:val="es-419"/>
        </w:rPr>
        <w:tab/>
        <w:t xml:space="preserve">Tenofovir </w:t>
      </w:r>
    </w:p>
    <w:p w14:paraId="1B49C1A1" w14:textId="6B93FAA7" w:rsidR="00917D85" w:rsidRPr="00293C5D" w:rsidRDefault="00917D85" w:rsidP="00917D85">
      <w:pPr>
        <w:spacing w:after="120" w:line="240" w:lineRule="auto"/>
        <w:rPr>
          <w:rFonts w:ascii="Arial" w:hAnsi="Arial" w:cs="Arial"/>
          <w:sz w:val="21"/>
          <w:szCs w:val="21"/>
          <w:lang w:val="es-419"/>
        </w:rPr>
      </w:pPr>
      <w:r w:rsidRPr="00917D85">
        <w:rPr>
          <w:rFonts w:ascii="Arial" w:hAnsi="Arial" w:cs="Arial"/>
          <w:sz w:val="21"/>
          <w:szCs w:val="21"/>
          <w:lang w:val="es-419"/>
        </w:rPr>
        <w:t>TLD</w:t>
      </w:r>
      <w:r w:rsidRPr="00917D85">
        <w:rPr>
          <w:rFonts w:ascii="Arial" w:hAnsi="Arial" w:cs="Arial"/>
          <w:sz w:val="21"/>
          <w:szCs w:val="21"/>
          <w:lang w:val="es-419"/>
        </w:rPr>
        <w:tab/>
      </w:r>
      <w:r w:rsidRPr="00917D85">
        <w:rPr>
          <w:rFonts w:ascii="Arial" w:hAnsi="Arial" w:cs="Arial"/>
          <w:sz w:val="21"/>
          <w:szCs w:val="21"/>
          <w:lang w:val="es-419"/>
        </w:rPr>
        <w:tab/>
        <w:t>Dosis diaria fija que combina Tenofovir, Disoproxilo fumarato, Lamivudina y Dolutegravir</w:t>
      </w:r>
    </w:p>
    <w:p w14:paraId="61757211" w14:textId="0E491784" w:rsidR="00020F72" w:rsidRPr="00293C5D" w:rsidRDefault="00020F72" w:rsidP="00346042">
      <w:pPr>
        <w:spacing w:after="120" w:line="240" w:lineRule="auto"/>
        <w:rPr>
          <w:rFonts w:ascii="Arial" w:hAnsi="Arial" w:cs="Arial"/>
          <w:sz w:val="21"/>
          <w:szCs w:val="21"/>
          <w:lang w:val="es-419"/>
        </w:rPr>
      </w:pPr>
      <w:r w:rsidRPr="00293C5D">
        <w:rPr>
          <w:rFonts w:ascii="Arial" w:hAnsi="Arial" w:cs="Arial"/>
          <w:sz w:val="21"/>
          <w:szCs w:val="21"/>
          <w:lang w:val="es-419"/>
        </w:rPr>
        <w:t>TRANS</w:t>
      </w:r>
      <w:r w:rsidR="00293C5D">
        <w:rPr>
          <w:rFonts w:ascii="Arial" w:hAnsi="Arial" w:cs="Arial"/>
          <w:sz w:val="21"/>
          <w:szCs w:val="21"/>
          <w:lang w:val="es-419"/>
        </w:rPr>
        <w:tab/>
      </w:r>
      <w:r w:rsidRPr="00293C5D">
        <w:rPr>
          <w:rFonts w:ascii="Arial" w:hAnsi="Arial" w:cs="Arial"/>
          <w:sz w:val="21"/>
          <w:szCs w:val="21"/>
          <w:lang w:val="es-419"/>
        </w:rPr>
        <w:tab/>
        <w:t xml:space="preserve">Mujeres trans </w:t>
      </w:r>
    </w:p>
    <w:p w14:paraId="30DC9EBD" w14:textId="128946F6" w:rsidR="00746C32" w:rsidRDefault="00746C32" w:rsidP="00346042">
      <w:pPr>
        <w:spacing w:after="120" w:line="240" w:lineRule="auto"/>
        <w:rPr>
          <w:rFonts w:ascii="Arial" w:hAnsi="Arial" w:cs="Arial"/>
          <w:sz w:val="21"/>
          <w:szCs w:val="21"/>
          <w:shd w:val="clear" w:color="auto" w:fill="FFFFFF"/>
          <w:lang w:val="es-419"/>
        </w:rPr>
      </w:pPr>
      <w:r w:rsidRPr="00293C5D">
        <w:rPr>
          <w:rFonts w:ascii="Arial" w:hAnsi="Arial" w:cs="Arial"/>
          <w:sz w:val="21"/>
          <w:szCs w:val="21"/>
          <w:lang w:val="es-DO"/>
        </w:rPr>
        <w:t xml:space="preserve">UAFCE </w:t>
      </w:r>
      <w:r w:rsidRPr="00293C5D">
        <w:rPr>
          <w:rFonts w:ascii="Arial" w:hAnsi="Arial" w:cs="Arial"/>
          <w:sz w:val="21"/>
          <w:szCs w:val="21"/>
          <w:lang w:val="es-DO"/>
        </w:rPr>
        <w:tab/>
      </w:r>
      <w:r w:rsidRPr="00293C5D">
        <w:rPr>
          <w:rFonts w:ascii="Arial" w:hAnsi="Arial" w:cs="Arial"/>
          <w:sz w:val="21"/>
          <w:szCs w:val="21"/>
          <w:shd w:val="clear" w:color="auto" w:fill="FFFFFF"/>
          <w:lang w:val="es-419"/>
        </w:rPr>
        <w:t>Unidad Administradora de Fondos de Cooperación Externos</w:t>
      </w:r>
    </w:p>
    <w:p w14:paraId="2AD6E769" w14:textId="77777777" w:rsidR="005F5066" w:rsidRPr="005F5066" w:rsidRDefault="005F5066" w:rsidP="005F5066">
      <w:pPr>
        <w:spacing w:after="120" w:line="240" w:lineRule="auto"/>
        <w:rPr>
          <w:rFonts w:ascii="Arial" w:hAnsi="Arial" w:cs="Arial"/>
          <w:sz w:val="21"/>
          <w:szCs w:val="21"/>
          <w:lang w:val="es-419"/>
        </w:rPr>
      </w:pPr>
      <w:r w:rsidRPr="005F5066">
        <w:rPr>
          <w:rFonts w:ascii="Arial" w:hAnsi="Arial" w:cs="Arial"/>
          <w:sz w:val="21"/>
          <w:szCs w:val="21"/>
          <w:lang w:val="es-419"/>
        </w:rPr>
        <w:t>UGI</w:t>
      </w:r>
      <w:r w:rsidRPr="005F5066">
        <w:rPr>
          <w:rFonts w:ascii="Arial" w:hAnsi="Arial" w:cs="Arial"/>
          <w:sz w:val="21"/>
          <w:szCs w:val="21"/>
          <w:lang w:val="es-419"/>
        </w:rPr>
        <w:tab/>
      </w:r>
      <w:r w:rsidRPr="005F5066">
        <w:rPr>
          <w:rFonts w:ascii="Arial" w:hAnsi="Arial" w:cs="Arial"/>
          <w:sz w:val="21"/>
          <w:szCs w:val="21"/>
          <w:lang w:val="es-419"/>
        </w:rPr>
        <w:tab/>
        <w:t>Unidad de Gestión de la Información</w:t>
      </w:r>
    </w:p>
    <w:p w14:paraId="117861D1" w14:textId="77777777" w:rsidR="005F5066" w:rsidRPr="005F5066" w:rsidRDefault="005F5066" w:rsidP="005F5066">
      <w:pPr>
        <w:spacing w:after="120" w:line="240" w:lineRule="auto"/>
        <w:rPr>
          <w:rFonts w:ascii="Arial" w:hAnsi="Arial" w:cs="Arial"/>
          <w:sz w:val="21"/>
          <w:szCs w:val="21"/>
          <w:lang w:val="es-419"/>
        </w:rPr>
      </w:pPr>
      <w:r w:rsidRPr="005F5066">
        <w:rPr>
          <w:rFonts w:ascii="Arial" w:hAnsi="Arial" w:cs="Arial"/>
          <w:sz w:val="21"/>
          <w:szCs w:val="21"/>
          <w:lang w:val="es-419"/>
        </w:rPr>
        <w:t xml:space="preserve">ULMIE </w:t>
      </w:r>
      <w:r w:rsidRPr="005F5066">
        <w:rPr>
          <w:rFonts w:ascii="Arial" w:hAnsi="Arial" w:cs="Arial"/>
          <w:sz w:val="21"/>
          <w:szCs w:val="21"/>
          <w:lang w:val="es-419"/>
        </w:rPr>
        <w:tab/>
      </w:r>
      <w:r w:rsidRPr="005F5066">
        <w:rPr>
          <w:rFonts w:ascii="Arial" w:hAnsi="Arial" w:cs="Arial"/>
          <w:sz w:val="21"/>
          <w:szCs w:val="21"/>
          <w:lang w:val="es-419"/>
        </w:rPr>
        <w:tab/>
        <w:t xml:space="preserve">Unidad de Logística de Medicamentos, Insumos y Equipamiento </w:t>
      </w:r>
    </w:p>
    <w:p w14:paraId="3774018B" w14:textId="524D4B04" w:rsidR="005F5066" w:rsidRPr="00293C5D" w:rsidRDefault="005F5066" w:rsidP="005F5066">
      <w:pPr>
        <w:spacing w:after="120" w:line="240" w:lineRule="auto"/>
        <w:rPr>
          <w:rFonts w:ascii="Arial" w:hAnsi="Arial" w:cs="Arial"/>
          <w:sz w:val="21"/>
          <w:szCs w:val="21"/>
          <w:lang w:val="es-419"/>
        </w:rPr>
      </w:pPr>
      <w:r w:rsidRPr="005F5066">
        <w:rPr>
          <w:rFonts w:ascii="Arial" w:hAnsi="Arial" w:cs="Arial"/>
          <w:sz w:val="21"/>
          <w:szCs w:val="21"/>
          <w:lang w:val="es-419"/>
        </w:rPr>
        <w:t xml:space="preserve">UPEG </w:t>
      </w:r>
      <w:r w:rsidRPr="005F5066">
        <w:rPr>
          <w:rFonts w:ascii="Arial" w:hAnsi="Arial" w:cs="Arial"/>
          <w:sz w:val="21"/>
          <w:szCs w:val="21"/>
          <w:lang w:val="es-419"/>
        </w:rPr>
        <w:tab/>
      </w:r>
      <w:r w:rsidRPr="005F5066">
        <w:rPr>
          <w:rFonts w:ascii="Arial" w:hAnsi="Arial" w:cs="Arial"/>
          <w:sz w:val="21"/>
          <w:szCs w:val="21"/>
          <w:lang w:val="es-419"/>
        </w:rPr>
        <w:tab/>
        <w:t>Unidad de Planeamiento y Evaluación de Gestión</w:t>
      </w:r>
    </w:p>
    <w:p w14:paraId="42ABFE62" w14:textId="09BFB53A" w:rsidR="00DF0952" w:rsidRDefault="00DF0952" w:rsidP="00346042">
      <w:pPr>
        <w:spacing w:after="120" w:line="240" w:lineRule="auto"/>
        <w:rPr>
          <w:rFonts w:ascii="Arial" w:hAnsi="Arial" w:cs="Arial"/>
          <w:sz w:val="21"/>
          <w:szCs w:val="21"/>
          <w:lang w:val="es-DO"/>
        </w:rPr>
      </w:pPr>
      <w:r w:rsidRPr="00293C5D">
        <w:rPr>
          <w:rFonts w:ascii="Arial" w:hAnsi="Arial" w:cs="Arial"/>
          <w:sz w:val="21"/>
          <w:szCs w:val="21"/>
          <w:lang w:val="es-419"/>
        </w:rPr>
        <w:t xml:space="preserve">USAID </w:t>
      </w:r>
      <w:r w:rsidR="00917D85">
        <w:rPr>
          <w:rFonts w:ascii="Arial" w:hAnsi="Arial" w:cs="Arial"/>
          <w:sz w:val="21"/>
          <w:szCs w:val="21"/>
          <w:lang w:val="es-419"/>
        </w:rPr>
        <w:tab/>
      </w:r>
      <w:r w:rsidRPr="00293C5D">
        <w:rPr>
          <w:rFonts w:ascii="Arial" w:hAnsi="Arial" w:cs="Arial"/>
          <w:sz w:val="21"/>
          <w:szCs w:val="21"/>
          <w:lang w:val="es-419"/>
        </w:rPr>
        <w:tab/>
        <w:t xml:space="preserve">Agencia de </w:t>
      </w:r>
      <w:r w:rsidRPr="00293C5D">
        <w:rPr>
          <w:rFonts w:ascii="Arial" w:hAnsi="Arial" w:cs="Arial"/>
          <w:sz w:val="21"/>
          <w:szCs w:val="21"/>
          <w:lang w:val="es-DO"/>
        </w:rPr>
        <w:t>los Estados Unidos para Desarrollo Internacional</w:t>
      </w:r>
    </w:p>
    <w:p w14:paraId="3B9AF875" w14:textId="77777777" w:rsidR="005F5066" w:rsidRPr="005F5066" w:rsidRDefault="005F5066" w:rsidP="005F5066">
      <w:pPr>
        <w:spacing w:after="120" w:line="240" w:lineRule="auto"/>
        <w:rPr>
          <w:rFonts w:ascii="Arial" w:hAnsi="Arial" w:cs="Arial"/>
          <w:sz w:val="21"/>
          <w:szCs w:val="21"/>
          <w:lang w:val="es-419"/>
        </w:rPr>
      </w:pPr>
      <w:r w:rsidRPr="005F5066">
        <w:rPr>
          <w:rFonts w:ascii="Arial" w:hAnsi="Arial" w:cs="Arial"/>
          <w:sz w:val="21"/>
          <w:szCs w:val="21"/>
          <w:lang w:val="es-419"/>
        </w:rPr>
        <w:t>UVS</w:t>
      </w:r>
      <w:r w:rsidRPr="005F5066">
        <w:rPr>
          <w:rFonts w:ascii="Arial" w:hAnsi="Arial" w:cs="Arial"/>
          <w:sz w:val="21"/>
          <w:szCs w:val="21"/>
          <w:lang w:val="es-419"/>
        </w:rPr>
        <w:tab/>
      </w:r>
      <w:r w:rsidRPr="005F5066">
        <w:rPr>
          <w:rFonts w:ascii="Arial" w:hAnsi="Arial" w:cs="Arial"/>
          <w:sz w:val="21"/>
          <w:szCs w:val="21"/>
          <w:lang w:val="es-419"/>
        </w:rPr>
        <w:tab/>
        <w:t>Unidad de Vigilancia en Salud</w:t>
      </w:r>
    </w:p>
    <w:p w14:paraId="1A98209A" w14:textId="3723803E" w:rsidR="005F5066" w:rsidRPr="00293C5D" w:rsidRDefault="005F5066" w:rsidP="005F5066">
      <w:pPr>
        <w:spacing w:after="120" w:line="240" w:lineRule="auto"/>
        <w:rPr>
          <w:rFonts w:ascii="Arial" w:hAnsi="Arial" w:cs="Arial"/>
          <w:sz w:val="21"/>
          <w:szCs w:val="21"/>
          <w:lang w:val="es-419"/>
        </w:rPr>
      </w:pPr>
      <w:r w:rsidRPr="005F5066">
        <w:rPr>
          <w:rFonts w:ascii="Arial" w:hAnsi="Arial" w:cs="Arial"/>
          <w:sz w:val="21"/>
          <w:szCs w:val="21"/>
          <w:lang w:val="es-419"/>
        </w:rPr>
        <w:t xml:space="preserve">VICITS </w:t>
      </w:r>
      <w:r w:rsidRPr="005F5066">
        <w:rPr>
          <w:rFonts w:ascii="Arial" w:hAnsi="Arial" w:cs="Arial"/>
          <w:sz w:val="21"/>
          <w:szCs w:val="21"/>
          <w:lang w:val="es-419"/>
        </w:rPr>
        <w:tab/>
        <w:t>Vigilancia Centinela de las Infecciones de Transmisión Sexual</w:t>
      </w:r>
    </w:p>
    <w:p w14:paraId="276F8E4E" w14:textId="0ADD0A62" w:rsidR="00DC4E01" w:rsidRDefault="00020F72" w:rsidP="00346042">
      <w:pPr>
        <w:spacing w:after="120" w:line="240" w:lineRule="auto"/>
        <w:rPr>
          <w:rFonts w:ascii="Arial" w:hAnsi="Arial" w:cs="Arial"/>
          <w:sz w:val="21"/>
          <w:szCs w:val="21"/>
          <w:lang w:val="es-419"/>
        </w:rPr>
      </w:pPr>
      <w:r w:rsidRPr="00293C5D">
        <w:rPr>
          <w:rFonts w:ascii="Arial" w:hAnsi="Arial" w:cs="Arial"/>
          <w:sz w:val="21"/>
          <w:szCs w:val="21"/>
          <w:lang w:val="es-419"/>
        </w:rPr>
        <w:t>VIH</w:t>
      </w:r>
      <w:r w:rsidR="00AE6AE7" w:rsidRPr="00293C5D">
        <w:rPr>
          <w:rFonts w:ascii="Arial" w:hAnsi="Arial" w:cs="Arial"/>
          <w:sz w:val="21"/>
          <w:szCs w:val="21"/>
          <w:lang w:val="es-419"/>
        </w:rPr>
        <w:t>/Sida</w:t>
      </w:r>
      <w:r w:rsidRPr="00293C5D">
        <w:rPr>
          <w:rFonts w:ascii="Arial" w:hAnsi="Arial" w:cs="Arial"/>
          <w:sz w:val="21"/>
          <w:szCs w:val="21"/>
          <w:lang w:val="es-419"/>
        </w:rPr>
        <w:tab/>
        <w:t>Virus de inmunodeficiencia humana</w:t>
      </w:r>
      <w:r w:rsidR="00AE6AE7" w:rsidRPr="00293C5D">
        <w:rPr>
          <w:rFonts w:ascii="Arial" w:hAnsi="Arial" w:cs="Arial"/>
          <w:sz w:val="21"/>
          <w:szCs w:val="21"/>
          <w:lang w:val="es-419"/>
        </w:rPr>
        <w:t>/Síndrome de inmunodeficiencia adquirida</w:t>
      </w:r>
    </w:p>
    <w:p w14:paraId="3B1E0CC7" w14:textId="33FF724A" w:rsidR="00DC540F" w:rsidRPr="00293C5D" w:rsidRDefault="00DC4E01" w:rsidP="00DC4E01">
      <w:pPr>
        <w:rPr>
          <w:rFonts w:ascii="Arial" w:hAnsi="Arial" w:cs="Arial"/>
          <w:sz w:val="21"/>
          <w:szCs w:val="21"/>
          <w:lang w:val="es-419"/>
        </w:rPr>
      </w:pPr>
      <w:r>
        <w:rPr>
          <w:rFonts w:ascii="Arial" w:hAnsi="Arial" w:cs="Arial"/>
          <w:sz w:val="21"/>
          <w:szCs w:val="21"/>
          <w:lang w:val="es-419"/>
        </w:rPr>
        <w:br w:type="page"/>
      </w:r>
    </w:p>
    <w:p w14:paraId="44DC47A4" w14:textId="77777777" w:rsidR="002C57D4" w:rsidRPr="004E12AD" w:rsidRDefault="002C57D4" w:rsidP="00DD37EC">
      <w:pPr>
        <w:spacing w:after="240" w:line="240" w:lineRule="auto"/>
        <w:rPr>
          <w:rFonts w:ascii="Arial" w:hAnsi="Arial" w:cs="Arial"/>
          <w:sz w:val="2"/>
          <w:szCs w:val="2"/>
          <w:lang w:val="es-419"/>
        </w:rPr>
      </w:pPr>
    </w:p>
    <w:p w14:paraId="755F510D" w14:textId="3F6868F1" w:rsidR="00DC540F" w:rsidRPr="00DD37EC" w:rsidRDefault="00C83A91" w:rsidP="00DD37EC">
      <w:pPr>
        <w:pStyle w:val="Heading1"/>
        <w:spacing w:before="0" w:after="240" w:line="240" w:lineRule="auto"/>
        <w:rPr>
          <w:rFonts w:ascii="Arial" w:hAnsi="Arial" w:cs="Arial"/>
          <w:sz w:val="22"/>
          <w:szCs w:val="22"/>
          <w:lang w:val="es-419"/>
        </w:rPr>
      </w:pPr>
      <w:bookmarkStart w:id="12" w:name="_Toc8905208"/>
      <w:r w:rsidRPr="00DD37EC">
        <w:rPr>
          <w:rFonts w:ascii="Arial" w:hAnsi="Arial" w:cs="Arial"/>
          <w:sz w:val="22"/>
          <w:szCs w:val="22"/>
          <w:lang w:val="es-419"/>
        </w:rPr>
        <w:t>Lista de Figuras</w:t>
      </w:r>
      <w:r w:rsidR="00ED7282">
        <w:rPr>
          <w:rFonts w:ascii="Arial" w:hAnsi="Arial" w:cs="Arial"/>
          <w:sz w:val="22"/>
          <w:szCs w:val="22"/>
          <w:lang w:val="es-419"/>
        </w:rPr>
        <w:t xml:space="preserve"> y Tablas</w:t>
      </w:r>
      <w:bookmarkEnd w:id="12"/>
      <w:r w:rsidR="00ED7282">
        <w:rPr>
          <w:rFonts w:ascii="Arial" w:hAnsi="Arial" w:cs="Arial"/>
          <w:sz w:val="22"/>
          <w:szCs w:val="22"/>
          <w:lang w:val="es-419"/>
        </w:rPr>
        <w:t xml:space="preserve"> </w:t>
      </w:r>
    </w:p>
    <w:p w14:paraId="09225F8E" w14:textId="1409984B" w:rsidR="00ED15FE" w:rsidRPr="00ED15FE" w:rsidRDefault="00004563">
      <w:pPr>
        <w:pStyle w:val="TableofFigures"/>
        <w:tabs>
          <w:tab w:val="right" w:leader="dot" w:pos="9954"/>
        </w:tabs>
        <w:rPr>
          <w:rFonts w:ascii="Arial" w:eastAsiaTheme="minorEastAsia" w:hAnsi="Arial" w:cs="Arial"/>
          <w:noProof/>
        </w:rPr>
      </w:pPr>
      <w:r w:rsidRPr="00ED15FE">
        <w:rPr>
          <w:rFonts w:ascii="Arial" w:hAnsi="Arial" w:cs="Arial"/>
          <w:sz w:val="20"/>
          <w:szCs w:val="20"/>
          <w:lang w:val="es-419"/>
        </w:rPr>
        <w:fldChar w:fldCharType="begin"/>
      </w:r>
      <w:r w:rsidRPr="00ED15FE">
        <w:rPr>
          <w:rFonts w:ascii="Arial" w:hAnsi="Arial" w:cs="Arial"/>
          <w:sz w:val="20"/>
          <w:szCs w:val="20"/>
          <w:lang w:val="es-419"/>
        </w:rPr>
        <w:instrText xml:space="preserve"> TOC \h \z \c "Tabla" </w:instrText>
      </w:r>
      <w:r w:rsidRPr="00ED15FE">
        <w:rPr>
          <w:rFonts w:ascii="Arial" w:hAnsi="Arial" w:cs="Arial"/>
          <w:sz w:val="20"/>
          <w:szCs w:val="20"/>
          <w:lang w:val="es-419"/>
        </w:rPr>
        <w:fldChar w:fldCharType="separate"/>
      </w:r>
      <w:hyperlink w:anchor="_Toc8904503" w:history="1">
        <w:r w:rsidR="00ED15FE" w:rsidRPr="00ED15FE">
          <w:rPr>
            <w:rStyle w:val="Hyperlink"/>
            <w:rFonts w:ascii="Arial" w:hAnsi="Arial" w:cs="Arial"/>
            <w:noProof/>
          </w:rPr>
          <w:t>Tabla 1. Prevalencias en grupos clave</w:t>
        </w:r>
        <w:r w:rsidR="00ED15FE" w:rsidRPr="00ED15FE">
          <w:rPr>
            <w:rFonts w:ascii="Arial" w:hAnsi="Arial" w:cs="Arial"/>
            <w:noProof/>
            <w:webHidden/>
          </w:rPr>
          <w:tab/>
        </w:r>
        <w:r w:rsidR="00ED15FE" w:rsidRPr="00ED15FE">
          <w:rPr>
            <w:rFonts w:ascii="Arial" w:hAnsi="Arial" w:cs="Arial"/>
            <w:noProof/>
            <w:webHidden/>
          </w:rPr>
          <w:fldChar w:fldCharType="begin"/>
        </w:r>
        <w:r w:rsidR="00ED15FE" w:rsidRPr="00ED15FE">
          <w:rPr>
            <w:rFonts w:ascii="Arial" w:hAnsi="Arial" w:cs="Arial"/>
            <w:noProof/>
            <w:webHidden/>
          </w:rPr>
          <w:instrText xml:space="preserve"> PAGEREF _Toc8904503 \h </w:instrText>
        </w:r>
        <w:r w:rsidR="00ED15FE" w:rsidRPr="00ED15FE">
          <w:rPr>
            <w:rFonts w:ascii="Arial" w:hAnsi="Arial" w:cs="Arial"/>
            <w:noProof/>
            <w:webHidden/>
          </w:rPr>
        </w:r>
        <w:r w:rsidR="00ED15FE" w:rsidRPr="00ED15FE">
          <w:rPr>
            <w:rFonts w:ascii="Arial" w:hAnsi="Arial" w:cs="Arial"/>
            <w:noProof/>
            <w:webHidden/>
          </w:rPr>
          <w:fldChar w:fldCharType="separate"/>
        </w:r>
        <w:r w:rsidR="00ED15FE" w:rsidRPr="00ED15FE">
          <w:rPr>
            <w:rFonts w:ascii="Arial" w:hAnsi="Arial" w:cs="Arial"/>
            <w:noProof/>
            <w:webHidden/>
          </w:rPr>
          <w:t>22</w:t>
        </w:r>
        <w:r w:rsidR="00ED15FE" w:rsidRPr="00ED15FE">
          <w:rPr>
            <w:rFonts w:ascii="Arial" w:hAnsi="Arial" w:cs="Arial"/>
            <w:noProof/>
            <w:webHidden/>
          </w:rPr>
          <w:fldChar w:fldCharType="end"/>
        </w:r>
      </w:hyperlink>
    </w:p>
    <w:p w14:paraId="06B88017" w14:textId="250F4644" w:rsidR="00ED15FE" w:rsidRPr="00ED15FE" w:rsidRDefault="006F6A41">
      <w:pPr>
        <w:pStyle w:val="TableofFigures"/>
        <w:tabs>
          <w:tab w:val="right" w:leader="dot" w:pos="9954"/>
        </w:tabs>
        <w:rPr>
          <w:rFonts w:ascii="Arial" w:eastAsiaTheme="minorEastAsia" w:hAnsi="Arial" w:cs="Arial"/>
          <w:noProof/>
        </w:rPr>
      </w:pPr>
      <w:hyperlink w:anchor="_Toc8904504" w:history="1">
        <w:r w:rsidR="00ED15FE" w:rsidRPr="00ED15FE">
          <w:rPr>
            <w:rStyle w:val="Hyperlink"/>
            <w:rFonts w:ascii="Arial" w:hAnsi="Arial" w:cs="Arial"/>
            <w:noProof/>
          </w:rPr>
          <w:t>Tabla 2. Prevalencias del VIH en población clave, 2006-2017</w:t>
        </w:r>
        <w:r w:rsidR="00ED15FE" w:rsidRPr="00ED15FE">
          <w:rPr>
            <w:rFonts w:ascii="Arial" w:hAnsi="Arial" w:cs="Arial"/>
            <w:noProof/>
            <w:webHidden/>
          </w:rPr>
          <w:tab/>
        </w:r>
        <w:r w:rsidR="00ED15FE" w:rsidRPr="00ED15FE">
          <w:rPr>
            <w:rFonts w:ascii="Arial" w:hAnsi="Arial" w:cs="Arial"/>
            <w:noProof/>
            <w:webHidden/>
          </w:rPr>
          <w:fldChar w:fldCharType="begin"/>
        </w:r>
        <w:r w:rsidR="00ED15FE" w:rsidRPr="00ED15FE">
          <w:rPr>
            <w:rFonts w:ascii="Arial" w:hAnsi="Arial" w:cs="Arial"/>
            <w:noProof/>
            <w:webHidden/>
          </w:rPr>
          <w:instrText xml:space="preserve"> PAGEREF _Toc8904504 \h </w:instrText>
        </w:r>
        <w:r w:rsidR="00ED15FE" w:rsidRPr="00ED15FE">
          <w:rPr>
            <w:rFonts w:ascii="Arial" w:hAnsi="Arial" w:cs="Arial"/>
            <w:noProof/>
            <w:webHidden/>
          </w:rPr>
        </w:r>
        <w:r w:rsidR="00ED15FE" w:rsidRPr="00ED15FE">
          <w:rPr>
            <w:rFonts w:ascii="Arial" w:hAnsi="Arial" w:cs="Arial"/>
            <w:noProof/>
            <w:webHidden/>
          </w:rPr>
          <w:fldChar w:fldCharType="separate"/>
        </w:r>
        <w:r w:rsidR="00ED15FE" w:rsidRPr="00ED15FE">
          <w:rPr>
            <w:rFonts w:ascii="Arial" w:hAnsi="Arial" w:cs="Arial"/>
            <w:noProof/>
            <w:webHidden/>
          </w:rPr>
          <w:t>23</w:t>
        </w:r>
        <w:r w:rsidR="00ED15FE" w:rsidRPr="00ED15FE">
          <w:rPr>
            <w:rFonts w:ascii="Arial" w:hAnsi="Arial" w:cs="Arial"/>
            <w:noProof/>
            <w:webHidden/>
          </w:rPr>
          <w:fldChar w:fldCharType="end"/>
        </w:r>
      </w:hyperlink>
    </w:p>
    <w:p w14:paraId="6F1699FD" w14:textId="24AA01F2" w:rsidR="00ED15FE" w:rsidRPr="00ED15FE" w:rsidRDefault="006F6A41">
      <w:pPr>
        <w:pStyle w:val="TableofFigures"/>
        <w:tabs>
          <w:tab w:val="right" w:leader="dot" w:pos="9954"/>
        </w:tabs>
        <w:rPr>
          <w:rFonts w:ascii="Arial" w:eastAsiaTheme="minorEastAsia" w:hAnsi="Arial" w:cs="Arial"/>
          <w:noProof/>
        </w:rPr>
      </w:pPr>
      <w:hyperlink w:anchor="_Toc8904505" w:history="1">
        <w:r w:rsidR="00ED15FE" w:rsidRPr="00ED15FE">
          <w:rPr>
            <w:rStyle w:val="Hyperlink"/>
            <w:rFonts w:ascii="Arial" w:hAnsi="Arial" w:cs="Arial"/>
            <w:noProof/>
          </w:rPr>
          <w:t>Tabla 3. Total de personas con VIH por líneas de tratamiento 2018</w:t>
        </w:r>
        <w:r w:rsidR="00ED15FE" w:rsidRPr="00ED15FE">
          <w:rPr>
            <w:rFonts w:ascii="Arial" w:hAnsi="Arial" w:cs="Arial"/>
            <w:noProof/>
            <w:webHidden/>
          </w:rPr>
          <w:tab/>
        </w:r>
        <w:r w:rsidR="00ED15FE" w:rsidRPr="00ED15FE">
          <w:rPr>
            <w:rFonts w:ascii="Arial" w:hAnsi="Arial" w:cs="Arial"/>
            <w:noProof/>
            <w:webHidden/>
          </w:rPr>
          <w:fldChar w:fldCharType="begin"/>
        </w:r>
        <w:r w:rsidR="00ED15FE" w:rsidRPr="00ED15FE">
          <w:rPr>
            <w:rFonts w:ascii="Arial" w:hAnsi="Arial" w:cs="Arial"/>
            <w:noProof/>
            <w:webHidden/>
          </w:rPr>
          <w:instrText xml:space="preserve"> PAGEREF _Toc8904505 \h </w:instrText>
        </w:r>
        <w:r w:rsidR="00ED15FE" w:rsidRPr="00ED15FE">
          <w:rPr>
            <w:rFonts w:ascii="Arial" w:hAnsi="Arial" w:cs="Arial"/>
            <w:noProof/>
            <w:webHidden/>
          </w:rPr>
        </w:r>
        <w:r w:rsidR="00ED15FE" w:rsidRPr="00ED15FE">
          <w:rPr>
            <w:rFonts w:ascii="Arial" w:hAnsi="Arial" w:cs="Arial"/>
            <w:noProof/>
            <w:webHidden/>
          </w:rPr>
          <w:fldChar w:fldCharType="separate"/>
        </w:r>
        <w:r w:rsidR="00ED15FE" w:rsidRPr="00ED15FE">
          <w:rPr>
            <w:rFonts w:ascii="Arial" w:hAnsi="Arial" w:cs="Arial"/>
            <w:noProof/>
            <w:webHidden/>
          </w:rPr>
          <w:t>32</w:t>
        </w:r>
        <w:r w:rsidR="00ED15FE" w:rsidRPr="00ED15FE">
          <w:rPr>
            <w:rFonts w:ascii="Arial" w:hAnsi="Arial" w:cs="Arial"/>
            <w:noProof/>
            <w:webHidden/>
          </w:rPr>
          <w:fldChar w:fldCharType="end"/>
        </w:r>
      </w:hyperlink>
    </w:p>
    <w:p w14:paraId="511E827C" w14:textId="42639E97" w:rsidR="00ED15FE" w:rsidRPr="00ED15FE" w:rsidRDefault="006F6A41">
      <w:pPr>
        <w:pStyle w:val="TableofFigures"/>
        <w:tabs>
          <w:tab w:val="right" w:leader="dot" w:pos="9954"/>
        </w:tabs>
        <w:rPr>
          <w:rFonts w:ascii="Arial" w:eastAsiaTheme="minorEastAsia" w:hAnsi="Arial" w:cs="Arial"/>
          <w:noProof/>
        </w:rPr>
      </w:pPr>
      <w:hyperlink w:anchor="_Toc8904506" w:history="1">
        <w:r w:rsidR="00ED15FE" w:rsidRPr="00ED15FE">
          <w:rPr>
            <w:rStyle w:val="Hyperlink"/>
            <w:rFonts w:ascii="Arial" w:hAnsi="Arial" w:cs="Arial"/>
            <w:noProof/>
          </w:rPr>
          <w:t>Tabla 4. Comparación de precios de medicamentos ARV de 1er, 2a y 3a línea</w:t>
        </w:r>
        <w:r w:rsidR="00ED15FE" w:rsidRPr="00ED15FE">
          <w:rPr>
            <w:rFonts w:ascii="Arial" w:hAnsi="Arial" w:cs="Arial"/>
            <w:noProof/>
            <w:webHidden/>
          </w:rPr>
          <w:tab/>
        </w:r>
        <w:r w:rsidR="00ED15FE" w:rsidRPr="00ED15FE">
          <w:rPr>
            <w:rFonts w:ascii="Arial" w:hAnsi="Arial" w:cs="Arial"/>
            <w:noProof/>
            <w:webHidden/>
          </w:rPr>
          <w:fldChar w:fldCharType="begin"/>
        </w:r>
        <w:r w:rsidR="00ED15FE" w:rsidRPr="00ED15FE">
          <w:rPr>
            <w:rFonts w:ascii="Arial" w:hAnsi="Arial" w:cs="Arial"/>
            <w:noProof/>
            <w:webHidden/>
          </w:rPr>
          <w:instrText xml:space="preserve"> PAGEREF _Toc8904506 \h </w:instrText>
        </w:r>
        <w:r w:rsidR="00ED15FE" w:rsidRPr="00ED15FE">
          <w:rPr>
            <w:rFonts w:ascii="Arial" w:hAnsi="Arial" w:cs="Arial"/>
            <w:noProof/>
            <w:webHidden/>
          </w:rPr>
        </w:r>
        <w:r w:rsidR="00ED15FE" w:rsidRPr="00ED15FE">
          <w:rPr>
            <w:rFonts w:ascii="Arial" w:hAnsi="Arial" w:cs="Arial"/>
            <w:noProof/>
            <w:webHidden/>
          </w:rPr>
          <w:fldChar w:fldCharType="separate"/>
        </w:r>
        <w:r w:rsidR="00ED15FE" w:rsidRPr="00ED15FE">
          <w:rPr>
            <w:rFonts w:ascii="Arial" w:hAnsi="Arial" w:cs="Arial"/>
            <w:noProof/>
            <w:webHidden/>
          </w:rPr>
          <w:t>34</w:t>
        </w:r>
        <w:r w:rsidR="00ED15FE" w:rsidRPr="00ED15FE">
          <w:rPr>
            <w:rFonts w:ascii="Arial" w:hAnsi="Arial" w:cs="Arial"/>
            <w:noProof/>
            <w:webHidden/>
          </w:rPr>
          <w:fldChar w:fldCharType="end"/>
        </w:r>
      </w:hyperlink>
    </w:p>
    <w:p w14:paraId="1A80A764" w14:textId="3282D9D0" w:rsidR="00ED15FE" w:rsidRPr="00ED15FE" w:rsidRDefault="006F6A41">
      <w:pPr>
        <w:pStyle w:val="TableofFigures"/>
        <w:tabs>
          <w:tab w:val="right" w:leader="dot" w:pos="9954"/>
        </w:tabs>
        <w:rPr>
          <w:rFonts w:ascii="Arial" w:eastAsiaTheme="minorEastAsia" w:hAnsi="Arial" w:cs="Arial"/>
          <w:noProof/>
        </w:rPr>
      </w:pPr>
      <w:hyperlink w:anchor="_Toc8904507" w:history="1">
        <w:r w:rsidR="00ED15FE" w:rsidRPr="00ED15FE">
          <w:rPr>
            <w:rStyle w:val="Hyperlink"/>
            <w:rFonts w:ascii="Arial" w:hAnsi="Arial" w:cs="Arial"/>
            <w:noProof/>
          </w:rPr>
          <w:t>Tabla 5. Estimaciones de requerimientos de medicamentos para 2019 por fuente de financiamiento</w:t>
        </w:r>
        <w:r w:rsidR="00ED15FE" w:rsidRPr="00ED15FE">
          <w:rPr>
            <w:rFonts w:ascii="Arial" w:hAnsi="Arial" w:cs="Arial"/>
            <w:noProof/>
            <w:webHidden/>
          </w:rPr>
          <w:tab/>
        </w:r>
        <w:r w:rsidR="00ED15FE" w:rsidRPr="00ED15FE">
          <w:rPr>
            <w:rFonts w:ascii="Arial" w:hAnsi="Arial" w:cs="Arial"/>
            <w:noProof/>
            <w:webHidden/>
          </w:rPr>
          <w:fldChar w:fldCharType="begin"/>
        </w:r>
        <w:r w:rsidR="00ED15FE" w:rsidRPr="00ED15FE">
          <w:rPr>
            <w:rFonts w:ascii="Arial" w:hAnsi="Arial" w:cs="Arial"/>
            <w:noProof/>
            <w:webHidden/>
          </w:rPr>
          <w:instrText xml:space="preserve"> PAGEREF _Toc8904507 \h </w:instrText>
        </w:r>
        <w:r w:rsidR="00ED15FE" w:rsidRPr="00ED15FE">
          <w:rPr>
            <w:rFonts w:ascii="Arial" w:hAnsi="Arial" w:cs="Arial"/>
            <w:noProof/>
            <w:webHidden/>
          </w:rPr>
        </w:r>
        <w:r w:rsidR="00ED15FE" w:rsidRPr="00ED15FE">
          <w:rPr>
            <w:rFonts w:ascii="Arial" w:hAnsi="Arial" w:cs="Arial"/>
            <w:noProof/>
            <w:webHidden/>
          </w:rPr>
          <w:fldChar w:fldCharType="separate"/>
        </w:r>
        <w:r w:rsidR="00ED15FE" w:rsidRPr="00ED15FE">
          <w:rPr>
            <w:rFonts w:ascii="Arial" w:hAnsi="Arial" w:cs="Arial"/>
            <w:noProof/>
            <w:webHidden/>
          </w:rPr>
          <w:t>34</w:t>
        </w:r>
        <w:r w:rsidR="00ED15FE" w:rsidRPr="00ED15FE">
          <w:rPr>
            <w:rFonts w:ascii="Arial" w:hAnsi="Arial" w:cs="Arial"/>
            <w:noProof/>
            <w:webHidden/>
          </w:rPr>
          <w:fldChar w:fldCharType="end"/>
        </w:r>
      </w:hyperlink>
    </w:p>
    <w:p w14:paraId="54A260B9" w14:textId="50AA5A13" w:rsidR="00ED15FE" w:rsidRPr="00ED15FE" w:rsidRDefault="006F6A41">
      <w:pPr>
        <w:pStyle w:val="TableofFigures"/>
        <w:tabs>
          <w:tab w:val="right" w:leader="dot" w:pos="9954"/>
        </w:tabs>
        <w:rPr>
          <w:rFonts w:ascii="Arial" w:eastAsiaTheme="minorEastAsia" w:hAnsi="Arial" w:cs="Arial"/>
          <w:noProof/>
        </w:rPr>
      </w:pPr>
      <w:hyperlink w:anchor="_Toc8904508" w:history="1">
        <w:r w:rsidR="00ED15FE" w:rsidRPr="00ED15FE">
          <w:rPr>
            <w:rStyle w:val="Hyperlink"/>
            <w:rFonts w:ascii="Arial" w:hAnsi="Arial" w:cs="Arial"/>
            <w:noProof/>
          </w:rPr>
          <w:t>Tabla 6. Eficiencias en compras de pruebas diagnóstico de VIH</w:t>
        </w:r>
        <w:r w:rsidR="00ED15FE" w:rsidRPr="00ED15FE">
          <w:rPr>
            <w:rFonts w:ascii="Arial" w:hAnsi="Arial" w:cs="Arial"/>
            <w:noProof/>
            <w:webHidden/>
          </w:rPr>
          <w:tab/>
        </w:r>
        <w:r w:rsidR="00ED15FE" w:rsidRPr="00ED15FE">
          <w:rPr>
            <w:rFonts w:ascii="Arial" w:hAnsi="Arial" w:cs="Arial"/>
            <w:noProof/>
            <w:webHidden/>
          </w:rPr>
          <w:fldChar w:fldCharType="begin"/>
        </w:r>
        <w:r w:rsidR="00ED15FE" w:rsidRPr="00ED15FE">
          <w:rPr>
            <w:rFonts w:ascii="Arial" w:hAnsi="Arial" w:cs="Arial"/>
            <w:noProof/>
            <w:webHidden/>
          </w:rPr>
          <w:instrText xml:space="preserve"> PAGEREF _Toc8904508 \h </w:instrText>
        </w:r>
        <w:r w:rsidR="00ED15FE" w:rsidRPr="00ED15FE">
          <w:rPr>
            <w:rFonts w:ascii="Arial" w:hAnsi="Arial" w:cs="Arial"/>
            <w:noProof/>
            <w:webHidden/>
          </w:rPr>
        </w:r>
        <w:r w:rsidR="00ED15FE" w:rsidRPr="00ED15FE">
          <w:rPr>
            <w:rFonts w:ascii="Arial" w:hAnsi="Arial" w:cs="Arial"/>
            <w:noProof/>
            <w:webHidden/>
          </w:rPr>
          <w:fldChar w:fldCharType="separate"/>
        </w:r>
        <w:r w:rsidR="00ED15FE" w:rsidRPr="00ED15FE">
          <w:rPr>
            <w:rFonts w:ascii="Arial" w:hAnsi="Arial" w:cs="Arial"/>
            <w:noProof/>
            <w:webHidden/>
          </w:rPr>
          <w:t>35</w:t>
        </w:r>
        <w:r w:rsidR="00ED15FE" w:rsidRPr="00ED15FE">
          <w:rPr>
            <w:rFonts w:ascii="Arial" w:hAnsi="Arial" w:cs="Arial"/>
            <w:noProof/>
            <w:webHidden/>
          </w:rPr>
          <w:fldChar w:fldCharType="end"/>
        </w:r>
      </w:hyperlink>
    </w:p>
    <w:p w14:paraId="7465784A" w14:textId="26606D40" w:rsidR="00ED15FE" w:rsidRPr="00ED15FE" w:rsidRDefault="006F6A41">
      <w:pPr>
        <w:pStyle w:val="TableofFigures"/>
        <w:tabs>
          <w:tab w:val="right" w:leader="dot" w:pos="9954"/>
        </w:tabs>
        <w:rPr>
          <w:rFonts w:ascii="Arial" w:eastAsiaTheme="minorEastAsia" w:hAnsi="Arial" w:cs="Arial"/>
          <w:noProof/>
        </w:rPr>
      </w:pPr>
      <w:hyperlink w:anchor="_Toc8904509" w:history="1">
        <w:r w:rsidR="00ED15FE" w:rsidRPr="00ED15FE">
          <w:rPr>
            <w:rStyle w:val="Hyperlink"/>
            <w:rFonts w:ascii="Arial" w:hAnsi="Arial" w:cs="Arial"/>
            <w:noProof/>
          </w:rPr>
          <w:t>Tabla 7. Comparación Guías Clínicas OMS del 2011-2017 y las del 2018</w:t>
        </w:r>
        <w:r w:rsidR="00ED15FE" w:rsidRPr="00ED15FE">
          <w:rPr>
            <w:rFonts w:ascii="Arial" w:hAnsi="Arial" w:cs="Arial"/>
            <w:noProof/>
            <w:webHidden/>
          </w:rPr>
          <w:tab/>
        </w:r>
        <w:r w:rsidR="00ED15FE" w:rsidRPr="00ED15FE">
          <w:rPr>
            <w:rFonts w:ascii="Arial" w:hAnsi="Arial" w:cs="Arial"/>
            <w:noProof/>
            <w:webHidden/>
          </w:rPr>
          <w:fldChar w:fldCharType="begin"/>
        </w:r>
        <w:r w:rsidR="00ED15FE" w:rsidRPr="00ED15FE">
          <w:rPr>
            <w:rFonts w:ascii="Arial" w:hAnsi="Arial" w:cs="Arial"/>
            <w:noProof/>
            <w:webHidden/>
          </w:rPr>
          <w:instrText xml:space="preserve"> PAGEREF _Toc8904509 \h </w:instrText>
        </w:r>
        <w:r w:rsidR="00ED15FE" w:rsidRPr="00ED15FE">
          <w:rPr>
            <w:rFonts w:ascii="Arial" w:hAnsi="Arial" w:cs="Arial"/>
            <w:noProof/>
            <w:webHidden/>
          </w:rPr>
        </w:r>
        <w:r w:rsidR="00ED15FE" w:rsidRPr="00ED15FE">
          <w:rPr>
            <w:rFonts w:ascii="Arial" w:hAnsi="Arial" w:cs="Arial"/>
            <w:noProof/>
            <w:webHidden/>
          </w:rPr>
          <w:fldChar w:fldCharType="separate"/>
        </w:r>
        <w:r w:rsidR="00ED15FE" w:rsidRPr="00ED15FE">
          <w:rPr>
            <w:rFonts w:ascii="Arial" w:hAnsi="Arial" w:cs="Arial"/>
            <w:noProof/>
            <w:webHidden/>
          </w:rPr>
          <w:t>47</w:t>
        </w:r>
        <w:r w:rsidR="00ED15FE" w:rsidRPr="00ED15FE">
          <w:rPr>
            <w:rFonts w:ascii="Arial" w:hAnsi="Arial" w:cs="Arial"/>
            <w:noProof/>
            <w:webHidden/>
          </w:rPr>
          <w:fldChar w:fldCharType="end"/>
        </w:r>
      </w:hyperlink>
    </w:p>
    <w:p w14:paraId="73C49BFA" w14:textId="650ED338" w:rsidR="00ED15FE" w:rsidRPr="00ED15FE" w:rsidRDefault="006F6A41">
      <w:pPr>
        <w:pStyle w:val="TableofFigures"/>
        <w:tabs>
          <w:tab w:val="right" w:leader="dot" w:pos="9954"/>
        </w:tabs>
        <w:rPr>
          <w:rFonts w:ascii="Arial" w:eastAsiaTheme="minorEastAsia" w:hAnsi="Arial" w:cs="Arial"/>
          <w:noProof/>
        </w:rPr>
      </w:pPr>
      <w:hyperlink w:anchor="_Toc8904510" w:history="1">
        <w:r w:rsidR="00ED15FE" w:rsidRPr="00ED15FE">
          <w:rPr>
            <w:rStyle w:val="Hyperlink"/>
            <w:rFonts w:ascii="Arial" w:hAnsi="Arial" w:cs="Arial"/>
            <w:noProof/>
          </w:rPr>
          <w:t>Tabla 8. Indicadores de gobernanza, 2017 – percentil</w:t>
        </w:r>
        <w:r w:rsidR="00ED15FE" w:rsidRPr="00ED15FE">
          <w:rPr>
            <w:rFonts w:ascii="Arial" w:hAnsi="Arial" w:cs="Arial"/>
            <w:noProof/>
            <w:webHidden/>
          </w:rPr>
          <w:tab/>
        </w:r>
        <w:r w:rsidR="00ED15FE" w:rsidRPr="00ED15FE">
          <w:rPr>
            <w:rFonts w:ascii="Arial" w:hAnsi="Arial" w:cs="Arial"/>
            <w:noProof/>
            <w:webHidden/>
          </w:rPr>
          <w:fldChar w:fldCharType="begin"/>
        </w:r>
        <w:r w:rsidR="00ED15FE" w:rsidRPr="00ED15FE">
          <w:rPr>
            <w:rFonts w:ascii="Arial" w:hAnsi="Arial" w:cs="Arial"/>
            <w:noProof/>
            <w:webHidden/>
          </w:rPr>
          <w:instrText xml:space="preserve"> PAGEREF _Toc8904510 \h </w:instrText>
        </w:r>
        <w:r w:rsidR="00ED15FE" w:rsidRPr="00ED15FE">
          <w:rPr>
            <w:rFonts w:ascii="Arial" w:hAnsi="Arial" w:cs="Arial"/>
            <w:noProof/>
            <w:webHidden/>
          </w:rPr>
        </w:r>
        <w:r w:rsidR="00ED15FE" w:rsidRPr="00ED15FE">
          <w:rPr>
            <w:rFonts w:ascii="Arial" w:hAnsi="Arial" w:cs="Arial"/>
            <w:noProof/>
            <w:webHidden/>
          </w:rPr>
          <w:fldChar w:fldCharType="separate"/>
        </w:r>
        <w:r w:rsidR="00ED15FE" w:rsidRPr="00ED15FE">
          <w:rPr>
            <w:rFonts w:ascii="Arial" w:hAnsi="Arial" w:cs="Arial"/>
            <w:noProof/>
            <w:webHidden/>
          </w:rPr>
          <w:t>53</w:t>
        </w:r>
        <w:r w:rsidR="00ED15FE" w:rsidRPr="00ED15FE">
          <w:rPr>
            <w:rFonts w:ascii="Arial" w:hAnsi="Arial" w:cs="Arial"/>
            <w:noProof/>
            <w:webHidden/>
          </w:rPr>
          <w:fldChar w:fldCharType="end"/>
        </w:r>
      </w:hyperlink>
    </w:p>
    <w:p w14:paraId="58A0B1A4" w14:textId="1264F617" w:rsidR="00ED15FE" w:rsidRPr="00ED15FE" w:rsidRDefault="006F6A41">
      <w:pPr>
        <w:pStyle w:val="TableofFigures"/>
        <w:tabs>
          <w:tab w:val="right" w:leader="dot" w:pos="9954"/>
        </w:tabs>
        <w:rPr>
          <w:rFonts w:ascii="Arial" w:eastAsiaTheme="minorEastAsia" w:hAnsi="Arial" w:cs="Arial"/>
          <w:noProof/>
        </w:rPr>
      </w:pPr>
      <w:hyperlink w:anchor="_Toc8904511" w:history="1">
        <w:r w:rsidR="00ED15FE" w:rsidRPr="00ED15FE">
          <w:rPr>
            <w:rStyle w:val="Hyperlink"/>
            <w:rFonts w:ascii="Arial" w:hAnsi="Arial" w:cs="Arial"/>
            <w:noProof/>
          </w:rPr>
          <w:t>Tabla 9. Indicadores en financiamiento de la salud</w:t>
        </w:r>
        <w:r w:rsidR="00ED15FE" w:rsidRPr="00ED15FE">
          <w:rPr>
            <w:rFonts w:ascii="Arial" w:hAnsi="Arial" w:cs="Arial"/>
            <w:noProof/>
            <w:webHidden/>
          </w:rPr>
          <w:tab/>
        </w:r>
        <w:r w:rsidR="00ED15FE" w:rsidRPr="00ED15FE">
          <w:rPr>
            <w:rFonts w:ascii="Arial" w:hAnsi="Arial" w:cs="Arial"/>
            <w:noProof/>
            <w:webHidden/>
          </w:rPr>
          <w:fldChar w:fldCharType="begin"/>
        </w:r>
        <w:r w:rsidR="00ED15FE" w:rsidRPr="00ED15FE">
          <w:rPr>
            <w:rFonts w:ascii="Arial" w:hAnsi="Arial" w:cs="Arial"/>
            <w:noProof/>
            <w:webHidden/>
          </w:rPr>
          <w:instrText xml:space="preserve"> PAGEREF _Toc8904511 \h </w:instrText>
        </w:r>
        <w:r w:rsidR="00ED15FE" w:rsidRPr="00ED15FE">
          <w:rPr>
            <w:rFonts w:ascii="Arial" w:hAnsi="Arial" w:cs="Arial"/>
            <w:noProof/>
            <w:webHidden/>
          </w:rPr>
        </w:r>
        <w:r w:rsidR="00ED15FE" w:rsidRPr="00ED15FE">
          <w:rPr>
            <w:rFonts w:ascii="Arial" w:hAnsi="Arial" w:cs="Arial"/>
            <w:noProof/>
            <w:webHidden/>
          </w:rPr>
          <w:fldChar w:fldCharType="separate"/>
        </w:r>
        <w:r w:rsidR="00ED15FE" w:rsidRPr="00ED15FE">
          <w:rPr>
            <w:rFonts w:ascii="Arial" w:hAnsi="Arial" w:cs="Arial"/>
            <w:noProof/>
            <w:webHidden/>
          </w:rPr>
          <w:t>54</w:t>
        </w:r>
        <w:r w:rsidR="00ED15FE" w:rsidRPr="00ED15FE">
          <w:rPr>
            <w:rFonts w:ascii="Arial" w:hAnsi="Arial" w:cs="Arial"/>
            <w:noProof/>
            <w:webHidden/>
          </w:rPr>
          <w:fldChar w:fldCharType="end"/>
        </w:r>
      </w:hyperlink>
    </w:p>
    <w:p w14:paraId="27CBC91B" w14:textId="2ECB96B4" w:rsidR="00ED15FE" w:rsidRPr="00ED15FE" w:rsidRDefault="006F6A41">
      <w:pPr>
        <w:pStyle w:val="TableofFigures"/>
        <w:tabs>
          <w:tab w:val="right" w:leader="dot" w:pos="9954"/>
        </w:tabs>
        <w:rPr>
          <w:rFonts w:ascii="Arial" w:eastAsiaTheme="minorEastAsia" w:hAnsi="Arial" w:cs="Arial"/>
          <w:noProof/>
        </w:rPr>
      </w:pPr>
      <w:hyperlink w:anchor="_Toc8904512" w:history="1">
        <w:r w:rsidR="00ED15FE" w:rsidRPr="00ED15FE">
          <w:rPr>
            <w:rStyle w:val="Hyperlink"/>
            <w:rFonts w:ascii="Arial" w:hAnsi="Arial" w:cs="Arial"/>
            <w:noProof/>
          </w:rPr>
          <w:t>Tabla 10. Gasto en VIH/Sida como porcentaje del gasto en salud</w:t>
        </w:r>
        <w:r w:rsidR="00ED15FE" w:rsidRPr="00ED15FE">
          <w:rPr>
            <w:rFonts w:ascii="Arial" w:hAnsi="Arial" w:cs="Arial"/>
            <w:noProof/>
            <w:webHidden/>
          </w:rPr>
          <w:tab/>
        </w:r>
        <w:r w:rsidR="00ED15FE" w:rsidRPr="00ED15FE">
          <w:rPr>
            <w:rFonts w:ascii="Arial" w:hAnsi="Arial" w:cs="Arial"/>
            <w:noProof/>
            <w:webHidden/>
          </w:rPr>
          <w:fldChar w:fldCharType="begin"/>
        </w:r>
        <w:r w:rsidR="00ED15FE" w:rsidRPr="00ED15FE">
          <w:rPr>
            <w:rFonts w:ascii="Arial" w:hAnsi="Arial" w:cs="Arial"/>
            <w:noProof/>
            <w:webHidden/>
          </w:rPr>
          <w:instrText xml:space="preserve"> PAGEREF _Toc8904512 \h </w:instrText>
        </w:r>
        <w:r w:rsidR="00ED15FE" w:rsidRPr="00ED15FE">
          <w:rPr>
            <w:rFonts w:ascii="Arial" w:hAnsi="Arial" w:cs="Arial"/>
            <w:noProof/>
            <w:webHidden/>
          </w:rPr>
        </w:r>
        <w:r w:rsidR="00ED15FE" w:rsidRPr="00ED15FE">
          <w:rPr>
            <w:rFonts w:ascii="Arial" w:hAnsi="Arial" w:cs="Arial"/>
            <w:noProof/>
            <w:webHidden/>
          </w:rPr>
          <w:fldChar w:fldCharType="separate"/>
        </w:r>
        <w:r w:rsidR="00ED15FE" w:rsidRPr="00ED15FE">
          <w:rPr>
            <w:rFonts w:ascii="Arial" w:hAnsi="Arial" w:cs="Arial"/>
            <w:noProof/>
            <w:webHidden/>
          </w:rPr>
          <w:t>55</w:t>
        </w:r>
        <w:r w:rsidR="00ED15FE" w:rsidRPr="00ED15FE">
          <w:rPr>
            <w:rFonts w:ascii="Arial" w:hAnsi="Arial" w:cs="Arial"/>
            <w:noProof/>
            <w:webHidden/>
          </w:rPr>
          <w:fldChar w:fldCharType="end"/>
        </w:r>
      </w:hyperlink>
    </w:p>
    <w:p w14:paraId="4FEED332" w14:textId="1D9FF5B0" w:rsidR="00ED15FE" w:rsidRPr="00ED15FE" w:rsidRDefault="006F6A41">
      <w:pPr>
        <w:pStyle w:val="TableofFigures"/>
        <w:tabs>
          <w:tab w:val="right" w:leader="dot" w:pos="9954"/>
        </w:tabs>
        <w:rPr>
          <w:rFonts w:ascii="Arial" w:eastAsiaTheme="minorEastAsia" w:hAnsi="Arial" w:cs="Arial"/>
          <w:noProof/>
        </w:rPr>
      </w:pPr>
      <w:hyperlink w:anchor="_Toc8904513" w:history="1">
        <w:r w:rsidR="00ED15FE" w:rsidRPr="00ED15FE">
          <w:rPr>
            <w:rStyle w:val="Hyperlink"/>
            <w:rFonts w:ascii="Arial" w:hAnsi="Arial" w:cs="Arial"/>
            <w:noProof/>
          </w:rPr>
          <w:t>Tabla 11. Brecha en gasto en VIH/sida 2016</w:t>
        </w:r>
        <w:r w:rsidR="00ED15FE" w:rsidRPr="00ED15FE">
          <w:rPr>
            <w:rFonts w:ascii="Arial" w:hAnsi="Arial" w:cs="Arial"/>
            <w:noProof/>
            <w:webHidden/>
          </w:rPr>
          <w:tab/>
        </w:r>
        <w:r w:rsidR="00ED15FE" w:rsidRPr="00ED15FE">
          <w:rPr>
            <w:rFonts w:ascii="Arial" w:hAnsi="Arial" w:cs="Arial"/>
            <w:noProof/>
            <w:webHidden/>
          </w:rPr>
          <w:fldChar w:fldCharType="begin"/>
        </w:r>
        <w:r w:rsidR="00ED15FE" w:rsidRPr="00ED15FE">
          <w:rPr>
            <w:rFonts w:ascii="Arial" w:hAnsi="Arial" w:cs="Arial"/>
            <w:noProof/>
            <w:webHidden/>
          </w:rPr>
          <w:instrText xml:space="preserve"> PAGEREF _Toc8904513 \h </w:instrText>
        </w:r>
        <w:r w:rsidR="00ED15FE" w:rsidRPr="00ED15FE">
          <w:rPr>
            <w:rFonts w:ascii="Arial" w:hAnsi="Arial" w:cs="Arial"/>
            <w:noProof/>
            <w:webHidden/>
          </w:rPr>
        </w:r>
        <w:r w:rsidR="00ED15FE" w:rsidRPr="00ED15FE">
          <w:rPr>
            <w:rFonts w:ascii="Arial" w:hAnsi="Arial" w:cs="Arial"/>
            <w:noProof/>
            <w:webHidden/>
          </w:rPr>
          <w:fldChar w:fldCharType="separate"/>
        </w:r>
        <w:r w:rsidR="00ED15FE" w:rsidRPr="00ED15FE">
          <w:rPr>
            <w:rFonts w:ascii="Arial" w:hAnsi="Arial" w:cs="Arial"/>
            <w:noProof/>
            <w:webHidden/>
          </w:rPr>
          <w:t>56</w:t>
        </w:r>
        <w:r w:rsidR="00ED15FE" w:rsidRPr="00ED15FE">
          <w:rPr>
            <w:rFonts w:ascii="Arial" w:hAnsi="Arial" w:cs="Arial"/>
            <w:noProof/>
            <w:webHidden/>
          </w:rPr>
          <w:fldChar w:fldCharType="end"/>
        </w:r>
      </w:hyperlink>
    </w:p>
    <w:p w14:paraId="1828FC75" w14:textId="3737D0F0" w:rsidR="00ED15FE" w:rsidRPr="00ED15FE" w:rsidRDefault="006F6A41">
      <w:pPr>
        <w:pStyle w:val="TableofFigures"/>
        <w:tabs>
          <w:tab w:val="right" w:leader="dot" w:pos="9954"/>
        </w:tabs>
        <w:rPr>
          <w:rFonts w:ascii="Arial" w:eastAsiaTheme="minorEastAsia" w:hAnsi="Arial" w:cs="Arial"/>
          <w:noProof/>
        </w:rPr>
      </w:pPr>
      <w:hyperlink w:anchor="_Toc8904514" w:history="1">
        <w:r w:rsidR="00ED15FE" w:rsidRPr="00ED15FE">
          <w:rPr>
            <w:rStyle w:val="Hyperlink"/>
            <w:rFonts w:ascii="Arial" w:hAnsi="Arial" w:cs="Arial"/>
            <w:noProof/>
          </w:rPr>
          <w:t>Tabla 12. Gasto en VIH por área programática y fuente de financiamiento (US$)</w:t>
        </w:r>
        <w:r w:rsidR="00ED15FE" w:rsidRPr="00ED15FE">
          <w:rPr>
            <w:rFonts w:ascii="Arial" w:hAnsi="Arial" w:cs="Arial"/>
            <w:noProof/>
            <w:webHidden/>
          </w:rPr>
          <w:tab/>
        </w:r>
        <w:r w:rsidR="00ED15FE" w:rsidRPr="00ED15FE">
          <w:rPr>
            <w:rFonts w:ascii="Arial" w:hAnsi="Arial" w:cs="Arial"/>
            <w:noProof/>
            <w:webHidden/>
          </w:rPr>
          <w:fldChar w:fldCharType="begin"/>
        </w:r>
        <w:r w:rsidR="00ED15FE" w:rsidRPr="00ED15FE">
          <w:rPr>
            <w:rFonts w:ascii="Arial" w:hAnsi="Arial" w:cs="Arial"/>
            <w:noProof/>
            <w:webHidden/>
          </w:rPr>
          <w:instrText xml:space="preserve"> PAGEREF _Toc8904514 \h </w:instrText>
        </w:r>
        <w:r w:rsidR="00ED15FE" w:rsidRPr="00ED15FE">
          <w:rPr>
            <w:rFonts w:ascii="Arial" w:hAnsi="Arial" w:cs="Arial"/>
            <w:noProof/>
            <w:webHidden/>
          </w:rPr>
        </w:r>
        <w:r w:rsidR="00ED15FE" w:rsidRPr="00ED15FE">
          <w:rPr>
            <w:rFonts w:ascii="Arial" w:hAnsi="Arial" w:cs="Arial"/>
            <w:noProof/>
            <w:webHidden/>
          </w:rPr>
          <w:fldChar w:fldCharType="separate"/>
        </w:r>
        <w:r w:rsidR="00ED15FE" w:rsidRPr="00ED15FE">
          <w:rPr>
            <w:rFonts w:ascii="Arial" w:hAnsi="Arial" w:cs="Arial"/>
            <w:noProof/>
            <w:webHidden/>
          </w:rPr>
          <w:t>58</w:t>
        </w:r>
        <w:r w:rsidR="00ED15FE" w:rsidRPr="00ED15FE">
          <w:rPr>
            <w:rFonts w:ascii="Arial" w:hAnsi="Arial" w:cs="Arial"/>
            <w:noProof/>
            <w:webHidden/>
          </w:rPr>
          <w:fldChar w:fldCharType="end"/>
        </w:r>
      </w:hyperlink>
    </w:p>
    <w:p w14:paraId="7769DF6E" w14:textId="272D9449" w:rsidR="00ED15FE" w:rsidRPr="00ED15FE" w:rsidRDefault="006F6A41">
      <w:pPr>
        <w:pStyle w:val="TableofFigures"/>
        <w:tabs>
          <w:tab w:val="right" w:leader="dot" w:pos="9954"/>
        </w:tabs>
        <w:rPr>
          <w:rFonts w:ascii="Arial" w:eastAsiaTheme="minorEastAsia" w:hAnsi="Arial" w:cs="Arial"/>
          <w:noProof/>
        </w:rPr>
      </w:pPr>
      <w:hyperlink w:anchor="_Toc8904515" w:history="1">
        <w:r w:rsidR="00ED15FE" w:rsidRPr="00ED15FE">
          <w:rPr>
            <w:rStyle w:val="Hyperlink"/>
            <w:rFonts w:ascii="Arial" w:hAnsi="Arial" w:cs="Arial"/>
            <w:noProof/>
          </w:rPr>
          <w:t>Tabla 13. Gasto en TB como porcentaje del gasto en salud (US$, L$)</w:t>
        </w:r>
        <w:r w:rsidR="00ED15FE" w:rsidRPr="00ED15FE">
          <w:rPr>
            <w:rFonts w:ascii="Arial" w:hAnsi="Arial" w:cs="Arial"/>
            <w:noProof/>
            <w:webHidden/>
          </w:rPr>
          <w:tab/>
        </w:r>
        <w:r w:rsidR="00ED15FE" w:rsidRPr="00ED15FE">
          <w:rPr>
            <w:rFonts w:ascii="Arial" w:hAnsi="Arial" w:cs="Arial"/>
            <w:noProof/>
            <w:webHidden/>
          </w:rPr>
          <w:fldChar w:fldCharType="begin"/>
        </w:r>
        <w:r w:rsidR="00ED15FE" w:rsidRPr="00ED15FE">
          <w:rPr>
            <w:rFonts w:ascii="Arial" w:hAnsi="Arial" w:cs="Arial"/>
            <w:noProof/>
            <w:webHidden/>
          </w:rPr>
          <w:instrText xml:space="preserve"> PAGEREF _Toc8904515 \h </w:instrText>
        </w:r>
        <w:r w:rsidR="00ED15FE" w:rsidRPr="00ED15FE">
          <w:rPr>
            <w:rFonts w:ascii="Arial" w:hAnsi="Arial" w:cs="Arial"/>
            <w:noProof/>
            <w:webHidden/>
          </w:rPr>
        </w:r>
        <w:r w:rsidR="00ED15FE" w:rsidRPr="00ED15FE">
          <w:rPr>
            <w:rFonts w:ascii="Arial" w:hAnsi="Arial" w:cs="Arial"/>
            <w:noProof/>
            <w:webHidden/>
          </w:rPr>
          <w:fldChar w:fldCharType="separate"/>
        </w:r>
        <w:r w:rsidR="00ED15FE" w:rsidRPr="00ED15FE">
          <w:rPr>
            <w:rFonts w:ascii="Arial" w:hAnsi="Arial" w:cs="Arial"/>
            <w:noProof/>
            <w:webHidden/>
          </w:rPr>
          <w:t>59</w:t>
        </w:r>
        <w:r w:rsidR="00ED15FE" w:rsidRPr="00ED15FE">
          <w:rPr>
            <w:rFonts w:ascii="Arial" w:hAnsi="Arial" w:cs="Arial"/>
            <w:noProof/>
            <w:webHidden/>
          </w:rPr>
          <w:fldChar w:fldCharType="end"/>
        </w:r>
      </w:hyperlink>
    </w:p>
    <w:p w14:paraId="33AD7161" w14:textId="6B6D1440" w:rsidR="00ED15FE" w:rsidRPr="00ED15FE" w:rsidRDefault="006F6A41">
      <w:pPr>
        <w:pStyle w:val="TableofFigures"/>
        <w:tabs>
          <w:tab w:val="right" w:leader="dot" w:pos="9954"/>
        </w:tabs>
        <w:rPr>
          <w:rFonts w:ascii="Arial" w:eastAsiaTheme="minorEastAsia" w:hAnsi="Arial" w:cs="Arial"/>
          <w:noProof/>
        </w:rPr>
      </w:pPr>
      <w:hyperlink w:anchor="_Toc8904516" w:history="1">
        <w:r w:rsidR="00ED15FE" w:rsidRPr="00ED15FE">
          <w:rPr>
            <w:rStyle w:val="Hyperlink"/>
            <w:rFonts w:ascii="Arial" w:hAnsi="Arial" w:cs="Arial"/>
            <w:noProof/>
          </w:rPr>
          <w:t>Tabla 14. Estimación de brecha VIH (US$)</w:t>
        </w:r>
        <w:r w:rsidR="00ED15FE" w:rsidRPr="00ED15FE">
          <w:rPr>
            <w:rFonts w:ascii="Arial" w:hAnsi="Arial" w:cs="Arial"/>
            <w:noProof/>
            <w:webHidden/>
          </w:rPr>
          <w:tab/>
        </w:r>
        <w:r w:rsidR="00ED15FE" w:rsidRPr="00ED15FE">
          <w:rPr>
            <w:rFonts w:ascii="Arial" w:hAnsi="Arial" w:cs="Arial"/>
            <w:noProof/>
            <w:webHidden/>
          </w:rPr>
          <w:fldChar w:fldCharType="begin"/>
        </w:r>
        <w:r w:rsidR="00ED15FE" w:rsidRPr="00ED15FE">
          <w:rPr>
            <w:rFonts w:ascii="Arial" w:hAnsi="Arial" w:cs="Arial"/>
            <w:noProof/>
            <w:webHidden/>
          </w:rPr>
          <w:instrText xml:space="preserve"> PAGEREF _Toc8904516 \h </w:instrText>
        </w:r>
        <w:r w:rsidR="00ED15FE" w:rsidRPr="00ED15FE">
          <w:rPr>
            <w:rFonts w:ascii="Arial" w:hAnsi="Arial" w:cs="Arial"/>
            <w:noProof/>
            <w:webHidden/>
          </w:rPr>
        </w:r>
        <w:r w:rsidR="00ED15FE" w:rsidRPr="00ED15FE">
          <w:rPr>
            <w:rFonts w:ascii="Arial" w:hAnsi="Arial" w:cs="Arial"/>
            <w:noProof/>
            <w:webHidden/>
          </w:rPr>
          <w:fldChar w:fldCharType="separate"/>
        </w:r>
        <w:r w:rsidR="00ED15FE" w:rsidRPr="00ED15FE">
          <w:rPr>
            <w:rFonts w:ascii="Arial" w:hAnsi="Arial" w:cs="Arial"/>
            <w:noProof/>
            <w:webHidden/>
          </w:rPr>
          <w:t>61</w:t>
        </w:r>
        <w:r w:rsidR="00ED15FE" w:rsidRPr="00ED15FE">
          <w:rPr>
            <w:rFonts w:ascii="Arial" w:hAnsi="Arial" w:cs="Arial"/>
            <w:noProof/>
            <w:webHidden/>
          </w:rPr>
          <w:fldChar w:fldCharType="end"/>
        </w:r>
      </w:hyperlink>
    </w:p>
    <w:p w14:paraId="1FE357CE" w14:textId="7FF7DCCF" w:rsidR="00ED15FE" w:rsidRPr="00ED15FE" w:rsidRDefault="006F6A41">
      <w:pPr>
        <w:pStyle w:val="TableofFigures"/>
        <w:tabs>
          <w:tab w:val="right" w:leader="dot" w:pos="9954"/>
        </w:tabs>
        <w:rPr>
          <w:rFonts w:ascii="Arial" w:eastAsiaTheme="minorEastAsia" w:hAnsi="Arial" w:cs="Arial"/>
          <w:noProof/>
        </w:rPr>
      </w:pPr>
      <w:hyperlink w:anchor="_Toc8904517" w:history="1">
        <w:r w:rsidR="00ED15FE" w:rsidRPr="00ED15FE">
          <w:rPr>
            <w:rStyle w:val="Hyperlink"/>
            <w:rFonts w:ascii="Arial" w:hAnsi="Arial" w:cs="Arial"/>
            <w:noProof/>
          </w:rPr>
          <w:t>Tabla 15. Estimación de brecha TB (US$)</w:t>
        </w:r>
        <w:r w:rsidR="00ED15FE" w:rsidRPr="00ED15FE">
          <w:rPr>
            <w:rFonts w:ascii="Arial" w:hAnsi="Arial" w:cs="Arial"/>
            <w:noProof/>
            <w:webHidden/>
          </w:rPr>
          <w:tab/>
        </w:r>
        <w:r w:rsidR="00ED15FE" w:rsidRPr="00ED15FE">
          <w:rPr>
            <w:rFonts w:ascii="Arial" w:hAnsi="Arial" w:cs="Arial"/>
            <w:noProof/>
            <w:webHidden/>
          </w:rPr>
          <w:fldChar w:fldCharType="begin"/>
        </w:r>
        <w:r w:rsidR="00ED15FE" w:rsidRPr="00ED15FE">
          <w:rPr>
            <w:rFonts w:ascii="Arial" w:hAnsi="Arial" w:cs="Arial"/>
            <w:noProof/>
            <w:webHidden/>
          </w:rPr>
          <w:instrText xml:space="preserve"> PAGEREF _Toc8904517 \h </w:instrText>
        </w:r>
        <w:r w:rsidR="00ED15FE" w:rsidRPr="00ED15FE">
          <w:rPr>
            <w:rFonts w:ascii="Arial" w:hAnsi="Arial" w:cs="Arial"/>
            <w:noProof/>
            <w:webHidden/>
          </w:rPr>
        </w:r>
        <w:r w:rsidR="00ED15FE" w:rsidRPr="00ED15FE">
          <w:rPr>
            <w:rFonts w:ascii="Arial" w:hAnsi="Arial" w:cs="Arial"/>
            <w:noProof/>
            <w:webHidden/>
          </w:rPr>
          <w:fldChar w:fldCharType="separate"/>
        </w:r>
        <w:r w:rsidR="00ED15FE" w:rsidRPr="00ED15FE">
          <w:rPr>
            <w:rFonts w:ascii="Arial" w:hAnsi="Arial" w:cs="Arial"/>
            <w:noProof/>
            <w:webHidden/>
          </w:rPr>
          <w:t>62</w:t>
        </w:r>
        <w:r w:rsidR="00ED15FE" w:rsidRPr="00ED15FE">
          <w:rPr>
            <w:rFonts w:ascii="Arial" w:hAnsi="Arial" w:cs="Arial"/>
            <w:noProof/>
            <w:webHidden/>
          </w:rPr>
          <w:fldChar w:fldCharType="end"/>
        </w:r>
      </w:hyperlink>
    </w:p>
    <w:p w14:paraId="6FAC2AD6" w14:textId="487BA371" w:rsidR="00ED15FE" w:rsidRPr="00ED15FE" w:rsidRDefault="006F6A41">
      <w:pPr>
        <w:pStyle w:val="TableofFigures"/>
        <w:tabs>
          <w:tab w:val="right" w:leader="dot" w:pos="9954"/>
        </w:tabs>
        <w:rPr>
          <w:rFonts w:ascii="Arial" w:eastAsiaTheme="minorEastAsia" w:hAnsi="Arial" w:cs="Arial"/>
          <w:noProof/>
        </w:rPr>
      </w:pPr>
      <w:hyperlink w:anchor="_Toc8904518" w:history="1">
        <w:r w:rsidR="00ED15FE" w:rsidRPr="00ED15FE">
          <w:rPr>
            <w:rStyle w:val="Hyperlink"/>
            <w:rFonts w:ascii="Arial" w:hAnsi="Arial" w:cs="Arial"/>
            <w:noProof/>
          </w:rPr>
          <w:t>Tabla 16. Desafíos enfrentados por las OSC</w:t>
        </w:r>
        <w:r w:rsidR="00ED15FE" w:rsidRPr="00ED15FE">
          <w:rPr>
            <w:rFonts w:ascii="Arial" w:hAnsi="Arial" w:cs="Arial"/>
            <w:noProof/>
            <w:webHidden/>
          </w:rPr>
          <w:tab/>
        </w:r>
        <w:r w:rsidR="00ED15FE" w:rsidRPr="00ED15FE">
          <w:rPr>
            <w:rFonts w:ascii="Arial" w:hAnsi="Arial" w:cs="Arial"/>
            <w:noProof/>
            <w:webHidden/>
          </w:rPr>
          <w:fldChar w:fldCharType="begin"/>
        </w:r>
        <w:r w:rsidR="00ED15FE" w:rsidRPr="00ED15FE">
          <w:rPr>
            <w:rFonts w:ascii="Arial" w:hAnsi="Arial" w:cs="Arial"/>
            <w:noProof/>
            <w:webHidden/>
          </w:rPr>
          <w:instrText xml:space="preserve"> PAGEREF _Toc8904518 \h </w:instrText>
        </w:r>
        <w:r w:rsidR="00ED15FE" w:rsidRPr="00ED15FE">
          <w:rPr>
            <w:rFonts w:ascii="Arial" w:hAnsi="Arial" w:cs="Arial"/>
            <w:noProof/>
            <w:webHidden/>
          </w:rPr>
        </w:r>
        <w:r w:rsidR="00ED15FE" w:rsidRPr="00ED15FE">
          <w:rPr>
            <w:rFonts w:ascii="Arial" w:hAnsi="Arial" w:cs="Arial"/>
            <w:noProof/>
            <w:webHidden/>
          </w:rPr>
          <w:fldChar w:fldCharType="separate"/>
        </w:r>
        <w:r w:rsidR="00ED15FE" w:rsidRPr="00ED15FE">
          <w:rPr>
            <w:rFonts w:ascii="Arial" w:hAnsi="Arial" w:cs="Arial"/>
            <w:noProof/>
            <w:webHidden/>
          </w:rPr>
          <w:t>71</w:t>
        </w:r>
        <w:r w:rsidR="00ED15FE" w:rsidRPr="00ED15FE">
          <w:rPr>
            <w:rFonts w:ascii="Arial" w:hAnsi="Arial" w:cs="Arial"/>
            <w:noProof/>
            <w:webHidden/>
          </w:rPr>
          <w:fldChar w:fldCharType="end"/>
        </w:r>
      </w:hyperlink>
    </w:p>
    <w:p w14:paraId="3AF44C01" w14:textId="168EC45E" w:rsidR="00ED15FE" w:rsidRPr="00ED15FE" w:rsidRDefault="006F6A41">
      <w:pPr>
        <w:pStyle w:val="TableofFigures"/>
        <w:tabs>
          <w:tab w:val="right" w:leader="dot" w:pos="9954"/>
        </w:tabs>
        <w:rPr>
          <w:rFonts w:ascii="Arial" w:eastAsiaTheme="minorEastAsia" w:hAnsi="Arial" w:cs="Arial"/>
          <w:noProof/>
        </w:rPr>
      </w:pPr>
      <w:hyperlink w:anchor="_Toc8904519" w:history="1">
        <w:r w:rsidR="00ED15FE" w:rsidRPr="00ED15FE">
          <w:rPr>
            <w:rStyle w:val="Hyperlink"/>
            <w:rFonts w:ascii="Arial" w:hAnsi="Arial" w:cs="Arial"/>
            <w:noProof/>
          </w:rPr>
          <w:t>Tabla 17. Subvenciones del FM en Honduras</w:t>
        </w:r>
        <w:r w:rsidR="00ED15FE" w:rsidRPr="00ED15FE">
          <w:rPr>
            <w:rFonts w:ascii="Arial" w:hAnsi="Arial" w:cs="Arial"/>
            <w:noProof/>
            <w:webHidden/>
          </w:rPr>
          <w:tab/>
        </w:r>
        <w:r w:rsidR="00ED15FE" w:rsidRPr="00ED15FE">
          <w:rPr>
            <w:rFonts w:ascii="Arial" w:hAnsi="Arial" w:cs="Arial"/>
            <w:noProof/>
            <w:webHidden/>
          </w:rPr>
          <w:fldChar w:fldCharType="begin"/>
        </w:r>
        <w:r w:rsidR="00ED15FE" w:rsidRPr="00ED15FE">
          <w:rPr>
            <w:rFonts w:ascii="Arial" w:hAnsi="Arial" w:cs="Arial"/>
            <w:noProof/>
            <w:webHidden/>
          </w:rPr>
          <w:instrText xml:space="preserve"> PAGEREF _Toc8904519 \h </w:instrText>
        </w:r>
        <w:r w:rsidR="00ED15FE" w:rsidRPr="00ED15FE">
          <w:rPr>
            <w:rFonts w:ascii="Arial" w:hAnsi="Arial" w:cs="Arial"/>
            <w:noProof/>
            <w:webHidden/>
          </w:rPr>
        </w:r>
        <w:r w:rsidR="00ED15FE" w:rsidRPr="00ED15FE">
          <w:rPr>
            <w:rFonts w:ascii="Arial" w:hAnsi="Arial" w:cs="Arial"/>
            <w:noProof/>
            <w:webHidden/>
          </w:rPr>
          <w:fldChar w:fldCharType="separate"/>
        </w:r>
        <w:r w:rsidR="00ED15FE" w:rsidRPr="00ED15FE">
          <w:rPr>
            <w:rFonts w:ascii="Arial" w:hAnsi="Arial" w:cs="Arial"/>
            <w:noProof/>
            <w:webHidden/>
          </w:rPr>
          <w:t>91</w:t>
        </w:r>
        <w:r w:rsidR="00ED15FE" w:rsidRPr="00ED15FE">
          <w:rPr>
            <w:rFonts w:ascii="Arial" w:hAnsi="Arial" w:cs="Arial"/>
            <w:noProof/>
            <w:webHidden/>
          </w:rPr>
          <w:fldChar w:fldCharType="end"/>
        </w:r>
      </w:hyperlink>
    </w:p>
    <w:p w14:paraId="49148A5F" w14:textId="4D5320FA" w:rsidR="00ED15FE" w:rsidRPr="00ED15FE" w:rsidRDefault="006F6A41">
      <w:pPr>
        <w:pStyle w:val="TableofFigures"/>
        <w:tabs>
          <w:tab w:val="right" w:leader="dot" w:pos="9954"/>
        </w:tabs>
        <w:rPr>
          <w:rFonts w:ascii="Arial" w:eastAsiaTheme="minorEastAsia" w:hAnsi="Arial" w:cs="Arial"/>
          <w:noProof/>
        </w:rPr>
      </w:pPr>
      <w:hyperlink w:anchor="_Toc8904520" w:history="1">
        <w:r w:rsidR="00ED15FE" w:rsidRPr="00ED15FE">
          <w:rPr>
            <w:rStyle w:val="Hyperlink"/>
            <w:rFonts w:ascii="Arial" w:hAnsi="Arial" w:cs="Arial"/>
            <w:noProof/>
          </w:rPr>
          <w:t>Tabla 18. Carga de enfermedad medida por mortalidad en Honduras 1990-2017</w:t>
        </w:r>
        <w:r w:rsidR="00ED15FE" w:rsidRPr="00ED15FE">
          <w:rPr>
            <w:rFonts w:ascii="Arial" w:hAnsi="Arial" w:cs="Arial"/>
            <w:noProof/>
            <w:webHidden/>
          </w:rPr>
          <w:tab/>
        </w:r>
        <w:r w:rsidR="00ED15FE" w:rsidRPr="00ED15FE">
          <w:rPr>
            <w:rFonts w:ascii="Arial" w:hAnsi="Arial" w:cs="Arial"/>
            <w:noProof/>
            <w:webHidden/>
          </w:rPr>
          <w:fldChar w:fldCharType="begin"/>
        </w:r>
        <w:r w:rsidR="00ED15FE" w:rsidRPr="00ED15FE">
          <w:rPr>
            <w:rFonts w:ascii="Arial" w:hAnsi="Arial" w:cs="Arial"/>
            <w:noProof/>
            <w:webHidden/>
          </w:rPr>
          <w:instrText xml:space="preserve"> PAGEREF _Toc8904520 \h </w:instrText>
        </w:r>
        <w:r w:rsidR="00ED15FE" w:rsidRPr="00ED15FE">
          <w:rPr>
            <w:rFonts w:ascii="Arial" w:hAnsi="Arial" w:cs="Arial"/>
            <w:noProof/>
            <w:webHidden/>
          </w:rPr>
        </w:r>
        <w:r w:rsidR="00ED15FE" w:rsidRPr="00ED15FE">
          <w:rPr>
            <w:rFonts w:ascii="Arial" w:hAnsi="Arial" w:cs="Arial"/>
            <w:noProof/>
            <w:webHidden/>
          </w:rPr>
          <w:fldChar w:fldCharType="separate"/>
        </w:r>
        <w:r w:rsidR="00ED15FE" w:rsidRPr="00ED15FE">
          <w:rPr>
            <w:rFonts w:ascii="Arial" w:hAnsi="Arial" w:cs="Arial"/>
            <w:noProof/>
            <w:webHidden/>
          </w:rPr>
          <w:t>94</w:t>
        </w:r>
        <w:r w:rsidR="00ED15FE" w:rsidRPr="00ED15FE">
          <w:rPr>
            <w:rFonts w:ascii="Arial" w:hAnsi="Arial" w:cs="Arial"/>
            <w:noProof/>
            <w:webHidden/>
          </w:rPr>
          <w:fldChar w:fldCharType="end"/>
        </w:r>
      </w:hyperlink>
    </w:p>
    <w:p w14:paraId="340D2758" w14:textId="0F5A28A5" w:rsidR="00ED15FE" w:rsidRPr="00ED15FE" w:rsidRDefault="006F6A41">
      <w:pPr>
        <w:pStyle w:val="TableofFigures"/>
        <w:tabs>
          <w:tab w:val="right" w:leader="dot" w:pos="9954"/>
        </w:tabs>
        <w:rPr>
          <w:rFonts w:ascii="Arial" w:eastAsiaTheme="minorEastAsia" w:hAnsi="Arial" w:cs="Arial"/>
          <w:noProof/>
          <w:sz w:val="20"/>
          <w:szCs w:val="20"/>
        </w:rPr>
      </w:pPr>
      <w:hyperlink w:anchor="_Toc8904521" w:history="1">
        <w:r w:rsidR="00ED15FE" w:rsidRPr="00ED15FE">
          <w:rPr>
            <w:rStyle w:val="Hyperlink"/>
            <w:rFonts w:ascii="Arial" w:hAnsi="Arial" w:cs="Arial"/>
            <w:noProof/>
          </w:rPr>
          <w:t>Tabla 19. Incidencia, prevalencia y mortalidad</w:t>
        </w:r>
        <w:r w:rsidR="00ED15FE" w:rsidRPr="00ED15FE">
          <w:rPr>
            <w:rFonts w:ascii="Arial" w:hAnsi="Arial" w:cs="Arial"/>
            <w:noProof/>
            <w:webHidden/>
          </w:rPr>
          <w:tab/>
        </w:r>
        <w:r w:rsidR="00ED15FE" w:rsidRPr="00ED15FE">
          <w:rPr>
            <w:rFonts w:ascii="Arial" w:hAnsi="Arial" w:cs="Arial"/>
            <w:noProof/>
            <w:webHidden/>
          </w:rPr>
          <w:fldChar w:fldCharType="begin"/>
        </w:r>
        <w:r w:rsidR="00ED15FE" w:rsidRPr="00ED15FE">
          <w:rPr>
            <w:rFonts w:ascii="Arial" w:hAnsi="Arial" w:cs="Arial"/>
            <w:noProof/>
            <w:webHidden/>
          </w:rPr>
          <w:instrText xml:space="preserve"> PAGEREF _Toc8904521 \h </w:instrText>
        </w:r>
        <w:r w:rsidR="00ED15FE" w:rsidRPr="00ED15FE">
          <w:rPr>
            <w:rFonts w:ascii="Arial" w:hAnsi="Arial" w:cs="Arial"/>
            <w:noProof/>
            <w:webHidden/>
          </w:rPr>
        </w:r>
        <w:r w:rsidR="00ED15FE" w:rsidRPr="00ED15FE">
          <w:rPr>
            <w:rFonts w:ascii="Arial" w:hAnsi="Arial" w:cs="Arial"/>
            <w:noProof/>
            <w:webHidden/>
          </w:rPr>
          <w:fldChar w:fldCharType="separate"/>
        </w:r>
        <w:r w:rsidR="00ED15FE" w:rsidRPr="00ED15FE">
          <w:rPr>
            <w:rFonts w:ascii="Arial" w:hAnsi="Arial" w:cs="Arial"/>
            <w:noProof/>
            <w:webHidden/>
          </w:rPr>
          <w:t>95</w:t>
        </w:r>
        <w:r w:rsidR="00ED15FE" w:rsidRPr="00ED15FE">
          <w:rPr>
            <w:rFonts w:ascii="Arial" w:hAnsi="Arial" w:cs="Arial"/>
            <w:noProof/>
            <w:webHidden/>
          </w:rPr>
          <w:fldChar w:fldCharType="end"/>
        </w:r>
      </w:hyperlink>
    </w:p>
    <w:p w14:paraId="360FC89C" w14:textId="24451424" w:rsidR="00ED7282" w:rsidRPr="004E12AD" w:rsidRDefault="00004563" w:rsidP="00ED7282">
      <w:pPr>
        <w:spacing w:after="240" w:line="240" w:lineRule="auto"/>
        <w:rPr>
          <w:rFonts w:ascii="Arial" w:hAnsi="Arial" w:cs="Arial"/>
          <w:sz w:val="2"/>
          <w:szCs w:val="2"/>
          <w:lang w:val="es-419"/>
        </w:rPr>
      </w:pPr>
      <w:r w:rsidRPr="00ED15FE">
        <w:rPr>
          <w:rFonts w:ascii="Arial" w:hAnsi="Arial" w:cs="Arial"/>
          <w:sz w:val="20"/>
          <w:szCs w:val="20"/>
          <w:lang w:val="es-419"/>
        </w:rPr>
        <w:fldChar w:fldCharType="end"/>
      </w:r>
    </w:p>
    <w:p w14:paraId="632BBAE6" w14:textId="78773216" w:rsidR="00004563" w:rsidRPr="00ED15FE" w:rsidRDefault="00004563">
      <w:pPr>
        <w:pStyle w:val="TableofFigures"/>
        <w:tabs>
          <w:tab w:val="right" w:leader="dot" w:pos="9954"/>
        </w:tabs>
        <w:rPr>
          <w:rFonts w:ascii="Arial" w:eastAsiaTheme="minorEastAsia" w:hAnsi="Arial" w:cs="Arial"/>
          <w:noProof/>
        </w:rPr>
      </w:pPr>
      <w:r w:rsidRPr="00ED15FE">
        <w:rPr>
          <w:rFonts w:ascii="Arial" w:hAnsi="Arial" w:cs="Arial"/>
          <w:lang w:val="es-419"/>
        </w:rPr>
        <w:fldChar w:fldCharType="begin"/>
      </w:r>
      <w:r w:rsidRPr="00ED15FE">
        <w:rPr>
          <w:rFonts w:ascii="Arial" w:hAnsi="Arial" w:cs="Arial"/>
          <w:lang w:val="es-419"/>
        </w:rPr>
        <w:instrText xml:space="preserve"> TOC \h \z \c "Figura" </w:instrText>
      </w:r>
      <w:r w:rsidRPr="00ED15FE">
        <w:rPr>
          <w:rFonts w:ascii="Arial" w:hAnsi="Arial" w:cs="Arial"/>
          <w:lang w:val="es-419"/>
        </w:rPr>
        <w:fldChar w:fldCharType="separate"/>
      </w:r>
      <w:hyperlink w:anchor="_Toc8904098" w:history="1">
        <w:r w:rsidRPr="00ED15FE">
          <w:rPr>
            <w:rStyle w:val="Hyperlink"/>
            <w:rFonts w:ascii="Arial" w:hAnsi="Arial" w:cs="Arial"/>
            <w:noProof/>
          </w:rPr>
          <w:t>Figura 1. Evolución de recursos externos por cooperante</w:t>
        </w:r>
        <w:r w:rsidRPr="00ED15FE">
          <w:rPr>
            <w:rFonts w:ascii="Arial" w:hAnsi="Arial" w:cs="Arial"/>
            <w:noProof/>
            <w:webHidden/>
          </w:rPr>
          <w:tab/>
        </w:r>
        <w:r w:rsidRPr="00ED15FE">
          <w:rPr>
            <w:rFonts w:ascii="Arial" w:hAnsi="Arial" w:cs="Arial"/>
            <w:noProof/>
            <w:webHidden/>
          </w:rPr>
          <w:fldChar w:fldCharType="begin"/>
        </w:r>
        <w:r w:rsidRPr="00ED15FE">
          <w:rPr>
            <w:rFonts w:ascii="Arial" w:hAnsi="Arial" w:cs="Arial"/>
            <w:noProof/>
            <w:webHidden/>
          </w:rPr>
          <w:instrText xml:space="preserve"> PAGEREF _Toc8904098 \h </w:instrText>
        </w:r>
        <w:r w:rsidRPr="00ED15FE">
          <w:rPr>
            <w:rFonts w:ascii="Arial" w:hAnsi="Arial" w:cs="Arial"/>
            <w:noProof/>
            <w:webHidden/>
          </w:rPr>
        </w:r>
        <w:r w:rsidRPr="00ED15FE">
          <w:rPr>
            <w:rFonts w:ascii="Arial" w:hAnsi="Arial" w:cs="Arial"/>
            <w:noProof/>
            <w:webHidden/>
          </w:rPr>
          <w:fldChar w:fldCharType="separate"/>
        </w:r>
        <w:r w:rsidRPr="00ED15FE">
          <w:rPr>
            <w:rFonts w:ascii="Arial" w:hAnsi="Arial" w:cs="Arial"/>
            <w:noProof/>
            <w:webHidden/>
          </w:rPr>
          <w:t>16</w:t>
        </w:r>
        <w:r w:rsidRPr="00ED15FE">
          <w:rPr>
            <w:rFonts w:ascii="Arial" w:hAnsi="Arial" w:cs="Arial"/>
            <w:noProof/>
            <w:webHidden/>
          </w:rPr>
          <w:fldChar w:fldCharType="end"/>
        </w:r>
      </w:hyperlink>
    </w:p>
    <w:p w14:paraId="1FADFB99" w14:textId="111394A5" w:rsidR="00004563" w:rsidRPr="00ED15FE" w:rsidRDefault="006F6A41">
      <w:pPr>
        <w:pStyle w:val="TableofFigures"/>
        <w:tabs>
          <w:tab w:val="right" w:leader="dot" w:pos="9954"/>
        </w:tabs>
        <w:rPr>
          <w:rFonts w:ascii="Arial" w:eastAsiaTheme="minorEastAsia" w:hAnsi="Arial" w:cs="Arial"/>
          <w:noProof/>
        </w:rPr>
      </w:pPr>
      <w:hyperlink w:anchor="_Toc8904099" w:history="1">
        <w:r w:rsidR="00004563" w:rsidRPr="00ED15FE">
          <w:rPr>
            <w:rStyle w:val="Hyperlink"/>
            <w:rFonts w:ascii="Arial" w:hAnsi="Arial" w:cs="Arial"/>
            <w:noProof/>
          </w:rPr>
          <w:t>Figura 2. Tasa de notificación de casos VIH, según departamento, Honduras 2010-2014</w:t>
        </w:r>
        <w:r w:rsidR="00004563" w:rsidRPr="00ED15FE">
          <w:rPr>
            <w:rFonts w:ascii="Arial" w:hAnsi="Arial" w:cs="Arial"/>
            <w:noProof/>
            <w:webHidden/>
          </w:rPr>
          <w:tab/>
        </w:r>
        <w:r w:rsidR="00004563" w:rsidRPr="00ED15FE">
          <w:rPr>
            <w:rFonts w:ascii="Arial" w:hAnsi="Arial" w:cs="Arial"/>
            <w:noProof/>
            <w:webHidden/>
          </w:rPr>
          <w:fldChar w:fldCharType="begin"/>
        </w:r>
        <w:r w:rsidR="00004563" w:rsidRPr="00ED15FE">
          <w:rPr>
            <w:rFonts w:ascii="Arial" w:hAnsi="Arial" w:cs="Arial"/>
            <w:noProof/>
            <w:webHidden/>
          </w:rPr>
          <w:instrText xml:space="preserve"> PAGEREF _Toc8904099 \h </w:instrText>
        </w:r>
        <w:r w:rsidR="00004563" w:rsidRPr="00ED15FE">
          <w:rPr>
            <w:rFonts w:ascii="Arial" w:hAnsi="Arial" w:cs="Arial"/>
            <w:noProof/>
            <w:webHidden/>
          </w:rPr>
        </w:r>
        <w:r w:rsidR="00004563" w:rsidRPr="00ED15FE">
          <w:rPr>
            <w:rFonts w:ascii="Arial" w:hAnsi="Arial" w:cs="Arial"/>
            <w:noProof/>
            <w:webHidden/>
          </w:rPr>
          <w:fldChar w:fldCharType="separate"/>
        </w:r>
        <w:r w:rsidR="00004563" w:rsidRPr="00ED15FE">
          <w:rPr>
            <w:rFonts w:ascii="Arial" w:hAnsi="Arial" w:cs="Arial"/>
            <w:noProof/>
            <w:webHidden/>
          </w:rPr>
          <w:t>22</w:t>
        </w:r>
        <w:r w:rsidR="00004563" w:rsidRPr="00ED15FE">
          <w:rPr>
            <w:rFonts w:ascii="Arial" w:hAnsi="Arial" w:cs="Arial"/>
            <w:noProof/>
            <w:webHidden/>
          </w:rPr>
          <w:fldChar w:fldCharType="end"/>
        </w:r>
      </w:hyperlink>
    </w:p>
    <w:p w14:paraId="7099E197" w14:textId="34B02279" w:rsidR="00004563" w:rsidRPr="00ED15FE" w:rsidRDefault="006F6A41">
      <w:pPr>
        <w:pStyle w:val="TableofFigures"/>
        <w:tabs>
          <w:tab w:val="right" w:leader="dot" w:pos="9954"/>
        </w:tabs>
        <w:rPr>
          <w:rFonts w:ascii="Arial" w:eastAsiaTheme="minorEastAsia" w:hAnsi="Arial" w:cs="Arial"/>
          <w:noProof/>
        </w:rPr>
      </w:pPr>
      <w:hyperlink w:anchor="_Toc8904100" w:history="1">
        <w:r w:rsidR="00004563" w:rsidRPr="00ED15FE">
          <w:rPr>
            <w:rStyle w:val="Hyperlink"/>
            <w:rFonts w:ascii="Arial" w:hAnsi="Arial" w:cs="Arial"/>
            <w:noProof/>
          </w:rPr>
          <w:t>Figura 3. La cascada del continuo de la atención en VIH, Honduras</w:t>
        </w:r>
        <w:r w:rsidR="00004563" w:rsidRPr="00ED15FE">
          <w:rPr>
            <w:rFonts w:ascii="Arial" w:hAnsi="Arial" w:cs="Arial"/>
            <w:noProof/>
            <w:webHidden/>
          </w:rPr>
          <w:tab/>
        </w:r>
        <w:r w:rsidR="00004563" w:rsidRPr="00ED15FE">
          <w:rPr>
            <w:rFonts w:ascii="Arial" w:hAnsi="Arial" w:cs="Arial"/>
            <w:noProof/>
            <w:webHidden/>
          </w:rPr>
          <w:fldChar w:fldCharType="begin"/>
        </w:r>
        <w:r w:rsidR="00004563" w:rsidRPr="00ED15FE">
          <w:rPr>
            <w:rFonts w:ascii="Arial" w:hAnsi="Arial" w:cs="Arial"/>
            <w:noProof/>
            <w:webHidden/>
          </w:rPr>
          <w:instrText xml:space="preserve"> PAGEREF _Toc8904100 \h </w:instrText>
        </w:r>
        <w:r w:rsidR="00004563" w:rsidRPr="00ED15FE">
          <w:rPr>
            <w:rFonts w:ascii="Arial" w:hAnsi="Arial" w:cs="Arial"/>
            <w:noProof/>
            <w:webHidden/>
          </w:rPr>
        </w:r>
        <w:r w:rsidR="00004563" w:rsidRPr="00ED15FE">
          <w:rPr>
            <w:rFonts w:ascii="Arial" w:hAnsi="Arial" w:cs="Arial"/>
            <w:noProof/>
            <w:webHidden/>
          </w:rPr>
          <w:fldChar w:fldCharType="separate"/>
        </w:r>
        <w:r w:rsidR="00004563" w:rsidRPr="00ED15FE">
          <w:rPr>
            <w:rFonts w:ascii="Arial" w:hAnsi="Arial" w:cs="Arial"/>
            <w:noProof/>
            <w:webHidden/>
          </w:rPr>
          <w:t>25</w:t>
        </w:r>
        <w:r w:rsidR="00004563" w:rsidRPr="00ED15FE">
          <w:rPr>
            <w:rFonts w:ascii="Arial" w:hAnsi="Arial" w:cs="Arial"/>
            <w:noProof/>
            <w:webHidden/>
          </w:rPr>
          <w:fldChar w:fldCharType="end"/>
        </w:r>
      </w:hyperlink>
    </w:p>
    <w:p w14:paraId="5A7042DC" w14:textId="72E59ADD" w:rsidR="00004563" w:rsidRPr="00ED15FE" w:rsidRDefault="006F6A41">
      <w:pPr>
        <w:pStyle w:val="TableofFigures"/>
        <w:tabs>
          <w:tab w:val="right" w:leader="dot" w:pos="9954"/>
        </w:tabs>
        <w:rPr>
          <w:rFonts w:ascii="Arial" w:eastAsiaTheme="minorEastAsia" w:hAnsi="Arial" w:cs="Arial"/>
          <w:noProof/>
        </w:rPr>
      </w:pPr>
      <w:hyperlink w:anchor="_Toc8904101" w:history="1">
        <w:r w:rsidR="00004563" w:rsidRPr="00ED15FE">
          <w:rPr>
            <w:rStyle w:val="Hyperlink"/>
            <w:rFonts w:ascii="Arial" w:hAnsi="Arial" w:cs="Arial"/>
            <w:noProof/>
          </w:rPr>
          <w:t>Figura 4. Porcentaje de PVIH en las distintas líneas de tratamiento vs el porcentaje de recursos requeridos por cada línea para el 2019</w:t>
        </w:r>
        <w:r w:rsidR="00004563" w:rsidRPr="00ED15FE">
          <w:rPr>
            <w:rFonts w:ascii="Arial" w:hAnsi="Arial" w:cs="Arial"/>
            <w:noProof/>
            <w:webHidden/>
          </w:rPr>
          <w:tab/>
        </w:r>
        <w:r w:rsidR="00004563" w:rsidRPr="00ED15FE">
          <w:rPr>
            <w:rFonts w:ascii="Arial" w:hAnsi="Arial" w:cs="Arial"/>
            <w:noProof/>
            <w:webHidden/>
          </w:rPr>
          <w:fldChar w:fldCharType="begin"/>
        </w:r>
        <w:r w:rsidR="00004563" w:rsidRPr="00ED15FE">
          <w:rPr>
            <w:rFonts w:ascii="Arial" w:hAnsi="Arial" w:cs="Arial"/>
            <w:noProof/>
            <w:webHidden/>
          </w:rPr>
          <w:instrText xml:space="preserve"> PAGEREF _Toc8904101 \h </w:instrText>
        </w:r>
        <w:r w:rsidR="00004563" w:rsidRPr="00ED15FE">
          <w:rPr>
            <w:rFonts w:ascii="Arial" w:hAnsi="Arial" w:cs="Arial"/>
            <w:noProof/>
            <w:webHidden/>
          </w:rPr>
        </w:r>
        <w:r w:rsidR="00004563" w:rsidRPr="00ED15FE">
          <w:rPr>
            <w:rFonts w:ascii="Arial" w:hAnsi="Arial" w:cs="Arial"/>
            <w:noProof/>
            <w:webHidden/>
          </w:rPr>
          <w:fldChar w:fldCharType="separate"/>
        </w:r>
        <w:r w:rsidR="00004563" w:rsidRPr="00ED15FE">
          <w:rPr>
            <w:rFonts w:ascii="Arial" w:hAnsi="Arial" w:cs="Arial"/>
            <w:noProof/>
            <w:webHidden/>
          </w:rPr>
          <w:t>33</w:t>
        </w:r>
        <w:r w:rsidR="00004563" w:rsidRPr="00ED15FE">
          <w:rPr>
            <w:rFonts w:ascii="Arial" w:hAnsi="Arial" w:cs="Arial"/>
            <w:noProof/>
            <w:webHidden/>
          </w:rPr>
          <w:fldChar w:fldCharType="end"/>
        </w:r>
      </w:hyperlink>
    </w:p>
    <w:p w14:paraId="1FC1C612" w14:textId="0CBE49F3" w:rsidR="00004563" w:rsidRPr="00ED15FE" w:rsidRDefault="006F6A41">
      <w:pPr>
        <w:pStyle w:val="TableofFigures"/>
        <w:tabs>
          <w:tab w:val="right" w:leader="dot" w:pos="9954"/>
        </w:tabs>
        <w:rPr>
          <w:rFonts w:ascii="Arial" w:eastAsiaTheme="minorEastAsia" w:hAnsi="Arial" w:cs="Arial"/>
          <w:noProof/>
        </w:rPr>
      </w:pPr>
      <w:hyperlink w:anchor="_Toc8904102" w:history="1">
        <w:r w:rsidR="00004563" w:rsidRPr="00ED15FE">
          <w:rPr>
            <w:rStyle w:val="Hyperlink"/>
            <w:rFonts w:ascii="Arial" w:hAnsi="Arial" w:cs="Arial"/>
            <w:noProof/>
          </w:rPr>
          <w:t>Figura 5. La cascada de TB para Honduras</w:t>
        </w:r>
        <w:r w:rsidR="00004563" w:rsidRPr="00ED15FE">
          <w:rPr>
            <w:rFonts w:ascii="Arial" w:hAnsi="Arial" w:cs="Arial"/>
            <w:noProof/>
            <w:webHidden/>
          </w:rPr>
          <w:tab/>
        </w:r>
        <w:r w:rsidR="00004563" w:rsidRPr="00ED15FE">
          <w:rPr>
            <w:rFonts w:ascii="Arial" w:hAnsi="Arial" w:cs="Arial"/>
            <w:noProof/>
            <w:webHidden/>
          </w:rPr>
          <w:fldChar w:fldCharType="begin"/>
        </w:r>
        <w:r w:rsidR="00004563" w:rsidRPr="00ED15FE">
          <w:rPr>
            <w:rFonts w:ascii="Arial" w:hAnsi="Arial" w:cs="Arial"/>
            <w:noProof/>
            <w:webHidden/>
          </w:rPr>
          <w:instrText xml:space="preserve"> PAGEREF _Toc8904102 \h </w:instrText>
        </w:r>
        <w:r w:rsidR="00004563" w:rsidRPr="00ED15FE">
          <w:rPr>
            <w:rFonts w:ascii="Arial" w:hAnsi="Arial" w:cs="Arial"/>
            <w:noProof/>
            <w:webHidden/>
          </w:rPr>
        </w:r>
        <w:r w:rsidR="00004563" w:rsidRPr="00ED15FE">
          <w:rPr>
            <w:rFonts w:ascii="Arial" w:hAnsi="Arial" w:cs="Arial"/>
            <w:noProof/>
            <w:webHidden/>
          </w:rPr>
          <w:fldChar w:fldCharType="separate"/>
        </w:r>
        <w:r w:rsidR="00004563" w:rsidRPr="00ED15FE">
          <w:rPr>
            <w:rFonts w:ascii="Arial" w:hAnsi="Arial" w:cs="Arial"/>
            <w:noProof/>
            <w:webHidden/>
          </w:rPr>
          <w:t>39</w:t>
        </w:r>
        <w:r w:rsidR="00004563" w:rsidRPr="00ED15FE">
          <w:rPr>
            <w:rFonts w:ascii="Arial" w:hAnsi="Arial" w:cs="Arial"/>
            <w:noProof/>
            <w:webHidden/>
          </w:rPr>
          <w:fldChar w:fldCharType="end"/>
        </w:r>
      </w:hyperlink>
    </w:p>
    <w:p w14:paraId="67D85357" w14:textId="68E89FD4" w:rsidR="00004563" w:rsidRPr="00ED15FE" w:rsidRDefault="006F6A41">
      <w:pPr>
        <w:pStyle w:val="TableofFigures"/>
        <w:tabs>
          <w:tab w:val="right" w:leader="dot" w:pos="9954"/>
        </w:tabs>
        <w:rPr>
          <w:rFonts w:ascii="Arial" w:eastAsiaTheme="minorEastAsia" w:hAnsi="Arial" w:cs="Arial"/>
          <w:noProof/>
        </w:rPr>
      </w:pPr>
      <w:hyperlink w:anchor="_Toc8904103" w:history="1">
        <w:r w:rsidR="00004563" w:rsidRPr="00ED15FE">
          <w:rPr>
            <w:rStyle w:val="Hyperlink"/>
            <w:rFonts w:ascii="Arial" w:hAnsi="Arial" w:cs="Arial"/>
            <w:noProof/>
          </w:rPr>
          <w:t>Figura 6. Casos incidentes de TB (estimados y notificados) Honduras, 2000-2017</w:t>
        </w:r>
        <w:r w:rsidR="00004563" w:rsidRPr="00ED15FE">
          <w:rPr>
            <w:rFonts w:ascii="Arial" w:hAnsi="Arial" w:cs="Arial"/>
            <w:noProof/>
            <w:webHidden/>
          </w:rPr>
          <w:tab/>
        </w:r>
        <w:r w:rsidR="00004563" w:rsidRPr="00ED15FE">
          <w:rPr>
            <w:rFonts w:ascii="Arial" w:hAnsi="Arial" w:cs="Arial"/>
            <w:noProof/>
            <w:webHidden/>
          </w:rPr>
          <w:fldChar w:fldCharType="begin"/>
        </w:r>
        <w:r w:rsidR="00004563" w:rsidRPr="00ED15FE">
          <w:rPr>
            <w:rFonts w:ascii="Arial" w:hAnsi="Arial" w:cs="Arial"/>
            <w:noProof/>
            <w:webHidden/>
          </w:rPr>
          <w:instrText xml:space="preserve"> PAGEREF _Toc8904103 \h </w:instrText>
        </w:r>
        <w:r w:rsidR="00004563" w:rsidRPr="00ED15FE">
          <w:rPr>
            <w:rFonts w:ascii="Arial" w:hAnsi="Arial" w:cs="Arial"/>
            <w:noProof/>
            <w:webHidden/>
          </w:rPr>
        </w:r>
        <w:r w:rsidR="00004563" w:rsidRPr="00ED15FE">
          <w:rPr>
            <w:rFonts w:ascii="Arial" w:hAnsi="Arial" w:cs="Arial"/>
            <w:noProof/>
            <w:webHidden/>
          </w:rPr>
          <w:fldChar w:fldCharType="separate"/>
        </w:r>
        <w:r w:rsidR="00004563" w:rsidRPr="00ED15FE">
          <w:rPr>
            <w:rFonts w:ascii="Arial" w:hAnsi="Arial" w:cs="Arial"/>
            <w:noProof/>
            <w:webHidden/>
          </w:rPr>
          <w:t>41</w:t>
        </w:r>
        <w:r w:rsidR="00004563" w:rsidRPr="00ED15FE">
          <w:rPr>
            <w:rFonts w:ascii="Arial" w:hAnsi="Arial" w:cs="Arial"/>
            <w:noProof/>
            <w:webHidden/>
          </w:rPr>
          <w:fldChar w:fldCharType="end"/>
        </w:r>
      </w:hyperlink>
    </w:p>
    <w:p w14:paraId="71021049" w14:textId="4561F67F" w:rsidR="00004563" w:rsidRPr="00ED15FE" w:rsidRDefault="006F6A41">
      <w:pPr>
        <w:pStyle w:val="TableofFigures"/>
        <w:tabs>
          <w:tab w:val="right" w:leader="dot" w:pos="9954"/>
        </w:tabs>
        <w:rPr>
          <w:rFonts w:ascii="Arial" w:eastAsiaTheme="minorEastAsia" w:hAnsi="Arial" w:cs="Arial"/>
          <w:noProof/>
        </w:rPr>
      </w:pPr>
      <w:hyperlink w:anchor="_Toc8904104" w:history="1">
        <w:r w:rsidR="00004563" w:rsidRPr="00ED15FE">
          <w:rPr>
            <w:rStyle w:val="Hyperlink"/>
            <w:rFonts w:ascii="Arial" w:hAnsi="Arial" w:cs="Arial"/>
            <w:noProof/>
          </w:rPr>
          <w:t>Figura 7. Distribución de casos de TB por factores de riesgo</w:t>
        </w:r>
        <w:r w:rsidR="00004563" w:rsidRPr="00ED15FE">
          <w:rPr>
            <w:rFonts w:ascii="Arial" w:hAnsi="Arial" w:cs="Arial"/>
            <w:noProof/>
            <w:webHidden/>
          </w:rPr>
          <w:tab/>
        </w:r>
        <w:r w:rsidR="00004563" w:rsidRPr="00ED15FE">
          <w:rPr>
            <w:rFonts w:ascii="Arial" w:hAnsi="Arial" w:cs="Arial"/>
            <w:noProof/>
            <w:webHidden/>
          </w:rPr>
          <w:fldChar w:fldCharType="begin"/>
        </w:r>
        <w:r w:rsidR="00004563" w:rsidRPr="00ED15FE">
          <w:rPr>
            <w:rFonts w:ascii="Arial" w:hAnsi="Arial" w:cs="Arial"/>
            <w:noProof/>
            <w:webHidden/>
          </w:rPr>
          <w:instrText xml:space="preserve"> PAGEREF _Toc8904104 \h </w:instrText>
        </w:r>
        <w:r w:rsidR="00004563" w:rsidRPr="00ED15FE">
          <w:rPr>
            <w:rFonts w:ascii="Arial" w:hAnsi="Arial" w:cs="Arial"/>
            <w:noProof/>
            <w:webHidden/>
          </w:rPr>
        </w:r>
        <w:r w:rsidR="00004563" w:rsidRPr="00ED15FE">
          <w:rPr>
            <w:rFonts w:ascii="Arial" w:hAnsi="Arial" w:cs="Arial"/>
            <w:noProof/>
            <w:webHidden/>
          </w:rPr>
          <w:fldChar w:fldCharType="separate"/>
        </w:r>
        <w:r w:rsidR="00004563" w:rsidRPr="00ED15FE">
          <w:rPr>
            <w:rFonts w:ascii="Arial" w:hAnsi="Arial" w:cs="Arial"/>
            <w:noProof/>
            <w:webHidden/>
          </w:rPr>
          <w:t>41</w:t>
        </w:r>
        <w:r w:rsidR="00004563" w:rsidRPr="00ED15FE">
          <w:rPr>
            <w:rFonts w:ascii="Arial" w:hAnsi="Arial" w:cs="Arial"/>
            <w:noProof/>
            <w:webHidden/>
          </w:rPr>
          <w:fldChar w:fldCharType="end"/>
        </w:r>
      </w:hyperlink>
    </w:p>
    <w:p w14:paraId="7737BEFF" w14:textId="57A86993" w:rsidR="00004563" w:rsidRPr="00ED15FE" w:rsidRDefault="006F6A41">
      <w:pPr>
        <w:pStyle w:val="TableofFigures"/>
        <w:tabs>
          <w:tab w:val="right" w:leader="dot" w:pos="9954"/>
        </w:tabs>
        <w:rPr>
          <w:rFonts w:ascii="Arial" w:eastAsiaTheme="minorEastAsia" w:hAnsi="Arial" w:cs="Arial"/>
          <w:noProof/>
        </w:rPr>
      </w:pPr>
      <w:hyperlink w:anchor="_Toc8904105" w:history="1">
        <w:r w:rsidR="00004563" w:rsidRPr="00ED15FE">
          <w:rPr>
            <w:rStyle w:val="Hyperlink"/>
            <w:rFonts w:ascii="Arial" w:hAnsi="Arial" w:cs="Arial"/>
            <w:noProof/>
          </w:rPr>
          <w:t>Figura 8. Incidencia de TB por Región Sanitaria, Honduras 2017</w:t>
        </w:r>
        <w:r w:rsidR="00004563" w:rsidRPr="00ED15FE">
          <w:rPr>
            <w:rFonts w:ascii="Arial" w:hAnsi="Arial" w:cs="Arial"/>
            <w:noProof/>
            <w:webHidden/>
          </w:rPr>
          <w:tab/>
        </w:r>
        <w:r w:rsidR="00004563" w:rsidRPr="00ED15FE">
          <w:rPr>
            <w:rFonts w:ascii="Arial" w:hAnsi="Arial" w:cs="Arial"/>
            <w:noProof/>
            <w:webHidden/>
          </w:rPr>
          <w:fldChar w:fldCharType="begin"/>
        </w:r>
        <w:r w:rsidR="00004563" w:rsidRPr="00ED15FE">
          <w:rPr>
            <w:rFonts w:ascii="Arial" w:hAnsi="Arial" w:cs="Arial"/>
            <w:noProof/>
            <w:webHidden/>
          </w:rPr>
          <w:instrText xml:space="preserve"> PAGEREF _Toc8904105 \h </w:instrText>
        </w:r>
        <w:r w:rsidR="00004563" w:rsidRPr="00ED15FE">
          <w:rPr>
            <w:rFonts w:ascii="Arial" w:hAnsi="Arial" w:cs="Arial"/>
            <w:noProof/>
            <w:webHidden/>
          </w:rPr>
        </w:r>
        <w:r w:rsidR="00004563" w:rsidRPr="00ED15FE">
          <w:rPr>
            <w:rFonts w:ascii="Arial" w:hAnsi="Arial" w:cs="Arial"/>
            <w:noProof/>
            <w:webHidden/>
          </w:rPr>
          <w:fldChar w:fldCharType="separate"/>
        </w:r>
        <w:r w:rsidR="00004563" w:rsidRPr="00ED15FE">
          <w:rPr>
            <w:rFonts w:ascii="Arial" w:hAnsi="Arial" w:cs="Arial"/>
            <w:noProof/>
            <w:webHidden/>
          </w:rPr>
          <w:t>42</w:t>
        </w:r>
        <w:r w:rsidR="00004563" w:rsidRPr="00ED15FE">
          <w:rPr>
            <w:rFonts w:ascii="Arial" w:hAnsi="Arial" w:cs="Arial"/>
            <w:noProof/>
            <w:webHidden/>
          </w:rPr>
          <w:fldChar w:fldCharType="end"/>
        </w:r>
      </w:hyperlink>
    </w:p>
    <w:p w14:paraId="30A72DDB" w14:textId="5727D0A7" w:rsidR="00004563" w:rsidRPr="00ED15FE" w:rsidRDefault="006F6A41">
      <w:pPr>
        <w:pStyle w:val="TableofFigures"/>
        <w:tabs>
          <w:tab w:val="right" w:leader="dot" w:pos="9954"/>
        </w:tabs>
        <w:rPr>
          <w:rFonts w:ascii="Arial" w:eastAsiaTheme="minorEastAsia" w:hAnsi="Arial" w:cs="Arial"/>
          <w:noProof/>
        </w:rPr>
      </w:pPr>
      <w:hyperlink w:anchor="_Toc8904106" w:history="1">
        <w:r w:rsidR="00004563" w:rsidRPr="00ED15FE">
          <w:rPr>
            <w:rStyle w:val="Hyperlink"/>
            <w:rFonts w:ascii="Arial" w:hAnsi="Arial" w:cs="Arial"/>
            <w:noProof/>
          </w:rPr>
          <w:t>Figura 9. Vigilancia de la resistencia a medicamentos anti-TB. Solicitud de pruebas de sensibilidad diagnóstica a casos nuevos y antes tratados. Honduras, 2011-2017</w:t>
        </w:r>
        <w:r w:rsidR="00004563" w:rsidRPr="00ED15FE">
          <w:rPr>
            <w:rFonts w:ascii="Arial" w:hAnsi="Arial" w:cs="Arial"/>
            <w:noProof/>
            <w:webHidden/>
          </w:rPr>
          <w:tab/>
        </w:r>
        <w:r w:rsidR="00004563" w:rsidRPr="00ED15FE">
          <w:rPr>
            <w:rFonts w:ascii="Arial" w:hAnsi="Arial" w:cs="Arial"/>
            <w:noProof/>
            <w:webHidden/>
          </w:rPr>
          <w:fldChar w:fldCharType="begin"/>
        </w:r>
        <w:r w:rsidR="00004563" w:rsidRPr="00ED15FE">
          <w:rPr>
            <w:rFonts w:ascii="Arial" w:hAnsi="Arial" w:cs="Arial"/>
            <w:noProof/>
            <w:webHidden/>
          </w:rPr>
          <w:instrText xml:space="preserve"> PAGEREF _Toc8904106 \h </w:instrText>
        </w:r>
        <w:r w:rsidR="00004563" w:rsidRPr="00ED15FE">
          <w:rPr>
            <w:rFonts w:ascii="Arial" w:hAnsi="Arial" w:cs="Arial"/>
            <w:noProof/>
            <w:webHidden/>
          </w:rPr>
        </w:r>
        <w:r w:rsidR="00004563" w:rsidRPr="00ED15FE">
          <w:rPr>
            <w:rFonts w:ascii="Arial" w:hAnsi="Arial" w:cs="Arial"/>
            <w:noProof/>
            <w:webHidden/>
          </w:rPr>
          <w:fldChar w:fldCharType="separate"/>
        </w:r>
        <w:r w:rsidR="00004563" w:rsidRPr="00ED15FE">
          <w:rPr>
            <w:rFonts w:ascii="Arial" w:hAnsi="Arial" w:cs="Arial"/>
            <w:noProof/>
            <w:webHidden/>
          </w:rPr>
          <w:t>43</w:t>
        </w:r>
        <w:r w:rsidR="00004563" w:rsidRPr="00ED15FE">
          <w:rPr>
            <w:rFonts w:ascii="Arial" w:hAnsi="Arial" w:cs="Arial"/>
            <w:noProof/>
            <w:webHidden/>
          </w:rPr>
          <w:fldChar w:fldCharType="end"/>
        </w:r>
      </w:hyperlink>
    </w:p>
    <w:p w14:paraId="1896EFB8" w14:textId="7776427A" w:rsidR="00004563" w:rsidRPr="00ED15FE" w:rsidRDefault="006F6A41">
      <w:pPr>
        <w:pStyle w:val="TableofFigures"/>
        <w:tabs>
          <w:tab w:val="right" w:leader="dot" w:pos="9954"/>
        </w:tabs>
        <w:rPr>
          <w:rFonts w:ascii="Arial" w:eastAsiaTheme="minorEastAsia" w:hAnsi="Arial" w:cs="Arial"/>
          <w:noProof/>
        </w:rPr>
      </w:pPr>
      <w:hyperlink w:anchor="_Toc8904107" w:history="1">
        <w:r w:rsidR="00004563" w:rsidRPr="00ED15FE">
          <w:rPr>
            <w:rStyle w:val="Hyperlink"/>
            <w:rFonts w:ascii="Arial" w:hAnsi="Arial" w:cs="Arial"/>
            <w:noProof/>
          </w:rPr>
          <w:t>Figura 10. Gasto público en salud como porcentaje del gasto público total</w:t>
        </w:r>
        <w:r w:rsidR="00004563" w:rsidRPr="00ED15FE">
          <w:rPr>
            <w:rFonts w:ascii="Arial" w:hAnsi="Arial" w:cs="Arial"/>
            <w:noProof/>
            <w:webHidden/>
          </w:rPr>
          <w:tab/>
        </w:r>
        <w:r w:rsidR="00004563" w:rsidRPr="00ED15FE">
          <w:rPr>
            <w:rFonts w:ascii="Arial" w:hAnsi="Arial" w:cs="Arial"/>
            <w:noProof/>
            <w:webHidden/>
          </w:rPr>
          <w:fldChar w:fldCharType="begin"/>
        </w:r>
        <w:r w:rsidR="00004563" w:rsidRPr="00ED15FE">
          <w:rPr>
            <w:rFonts w:ascii="Arial" w:hAnsi="Arial" w:cs="Arial"/>
            <w:noProof/>
            <w:webHidden/>
          </w:rPr>
          <w:instrText xml:space="preserve"> PAGEREF _Toc8904107 \h </w:instrText>
        </w:r>
        <w:r w:rsidR="00004563" w:rsidRPr="00ED15FE">
          <w:rPr>
            <w:rFonts w:ascii="Arial" w:hAnsi="Arial" w:cs="Arial"/>
            <w:noProof/>
            <w:webHidden/>
          </w:rPr>
        </w:r>
        <w:r w:rsidR="00004563" w:rsidRPr="00ED15FE">
          <w:rPr>
            <w:rFonts w:ascii="Arial" w:hAnsi="Arial" w:cs="Arial"/>
            <w:noProof/>
            <w:webHidden/>
          </w:rPr>
          <w:fldChar w:fldCharType="separate"/>
        </w:r>
        <w:r w:rsidR="00004563" w:rsidRPr="00ED15FE">
          <w:rPr>
            <w:rFonts w:ascii="Arial" w:hAnsi="Arial" w:cs="Arial"/>
            <w:noProof/>
            <w:webHidden/>
          </w:rPr>
          <w:t>54</w:t>
        </w:r>
        <w:r w:rsidR="00004563" w:rsidRPr="00ED15FE">
          <w:rPr>
            <w:rFonts w:ascii="Arial" w:hAnsi="Arial" w:cs="Arial"/>
            <w:noProof/>
            <w:webHidden/>
          </w:rPr>
          <w:fldChar w:fldCharType="end"/>
        </w:r>
      </w:hyperlink>
    </w:p>
    <w:p w14:paraId="7177326B" w14:textId="65FA299F" w:rsidR="00004563" w:rsidRPr="00ED15FE" w:rsidRDefault="006F6A41">
      <w:pPr>
        <w:pStyle w:val="TableofFigures"/>
        <w:tabs>
          <w:tab w:val="right" w:leader="dot" w:pos="9954"/>
        </w:tabs>
        <w:rPr>
          <w:rFonts w:ascii="Arial" w:eastAsiaTheme="minorEastAsia" w:hAnsi="Arial" w:cs="Arial"/>
          <w:noProof/>
        </w:rPr>
      </w:pPr>
      <w:hyperlink w:anchor="_Toc8904108" w:history="1">
        <w:r w:rsidR="00004563" w:rsidRPr="00ED15FE">
          <w:rPr>
            <w:rStyle w:val="Hyperlink"/>
            <w:rFonts w:ascii="Arial" w:hAnsi="Arial" w:cs="Arial"/>
            <w:noProof/>
          </w:rPr>
          <w:t>Figura 11. Evolución del gasto en VIH en Honduras por fuente de financiamiento, 2006-2016 (millones US$)</w:t>
        </w:r>
        <w:r w:rsidR="00004563" w:rsidRPr="00ED15FE">
          <w:rPr>
            <w:rFonts w:ascii="Arial" w:hAnsi="Arial" w:cs="Arial"/>
            <w:noProof/>
            <w:webHidden/>
          </w:rPr>
          <w:tab/>
        </w:r>
        <w:r w:rsidR="00004563" w:rsidRPr="00ED15FE">
          <w:rPr>
            <w:rFonts w:ascii="Arial" w:hAnsi="Arial" w:cs="Arial"/>
            <w:noProof/>
            <w:webHidden/>
          </w:rPr>
          <w:fldChar w:fldCharType="begin"/>
        </w:r>
        <w:r w:rsidR="00004563" w:rsidRPr="00ED15FE">
          <w:rPr>
            <w:rFonts w:ascii="Arial" w:hAnsi="Arial" w:cs="Arial"/>
            <w:noProof/>
            <w:webHidden/>
          </w:rPr>
          <w:instrText xml:space="preserve"> PAGEREF _Toc8904108 \h </w:instrText>
        </w:r>
        <w:r w:rsidR="00004563" w:rsidRPr="00ED15FE">
          <w:rPr>
            <w:rFonts w:ascii="Arial" w:hAnsi="Arial" w:cs="Arial"/>
            <w:noProof/>
            <w:webHidden/>
          </w:rPr>
        </w:r>
        <w:r w:rsidR="00004563" w:rsidRPr="00ED15FE">
          <w:rPr>
            <w:rFonts w:ascii="Arial" w:hAnsi="Arial" w:cs="Arial"/>
            <w:noProof/>
            <w:webHidden/>
          </w:rPr>
          <w:fldChar w:fldCharType="separate"/>
        </w:r>
        <w:r w:rsidR="00004563" w:rsidRPr="00ED15FE">
          <w:rPr>
            <w:rFonts w:ascii="Arial" w:hAnsi="Arial" w:cs="Arial"/>
            <w:noProof/>
            <w:webHidden/>
          </w:rPr>
          <w:t>56</w:t>
        </w:r>
        <w:r w:rsidR="00004563" w:rsidRPr="00ED15FE">
          <w:rPr>
            <w:rFonts w:ascii="Arial" w:hAnsi="Arial" w:cs="Arial"/>
            <w:noProof/>
            <w:webHidden/>
          </w:rPr>
          <w:fldChar w:fldCharType="end"/>
        </w:r>
      </w:hyperlink>
    </w:p>
    <w:p w14:paraId="04D62524" w14:textId="1FD800A4" w:rsidR="00004563" w:rsidRPr="00ED15FE" w:rsidRDefault="006F6A41">
      <w:pPr>
        <w:pStyle w:val="TableofFigures"/>
        <w:tabs>
          <w:tab w:val="right" w:leader="dot" w:pos="9954"/>
        </w:tabs>
        <w:rPr>
          <w:rFonts w:ascii="Arial" w:eastAsiaTheme="minorEastAsia" w:hAnsi="Arial" w:cs="Arial"/>
          <w:noProof/>
        </w:rPr>
      </w:pPr>
      <w:hyperlink w:anchor="_Toc8904109" w:history="1">
        <w:r w:rsidR="00004563" w:rsidRPr="00ED15FE">
          <w:rPr>
            <w:rStyle w:val="Hyperlink"/>
            <w:rFonts w:ascii="Arial" w:hAnsi="Arial" w:cs="Arial"/>
            <w:noProof/>
          </w:rPr>
          <w:t>Figura 12. Gasto en VIH por categoría, 2016 (porcentaje del gasto total en VIH)</w:t>
        </w:r>
        <w:r w:rsidR="00004563" w:rsidRPr="00ED15FE">
          <w:rPr>
            <w:rFonts w:ascii="Arial" w:hAnsi="Arial" w:cs="Arial"/>
            <w:noProof/>
            <w:webHidden/>
          </w:rPr>
          <w:tab/>
        </w:r>
        <w:r w:rsidR="00004563" w:rsidRPr="00ED15FE">
          <w:rPr>
            <w:rFonts w:ascii="Arial" w:hAnsi="Arial" w:cs="Arial"/>
            <w:noProof/>
            <w:webHidden/>
          </w:rPr>
          <w:fldChar w:fldCharType="begin"/>
        </w:r>
        <w:r w:rsidR="00004563" w:rsidRPr="00ED15FE">
          <w:rPr>
            <w:rFonts w:ascii="Arial" w:hAnsi="Arial" w:cs="Arial"/>
            <w:noProof/>
            <w:webHidden/>
          </w:rPr>
          <w:instrText xml:space="preserve"> PAGEREF _Toc8904109 \h </w:instrText>
        </w:r>
        <w:r w:rsidR="00004563" w:rsidRPr="00ED15FE">
          <w:rPr>
            <w:rFonts w:ascii="Arial" w:hAnsi="Arial" w:cs="Arial"/>
            <w:noProof/>
            <w:webHidden/>
          </w:rPr>
        </w:r>
        <w:r w:rsidR="00004563" w:rsidRPr="00ED15FE">
          <w:rPr>
            <w:rFonts w:ascii="Arial" w:hAnsi="Arial" w:cs="Arial"/>
            <w:noProof/>
            <w:webHidden/>
          </w:rPr>
          <w:fldChar w:fldCharType="separate"/>
        </w:r>
        <w:r w:rsidR="00004563" w:rsidRPr="00ED15FE">
          <w:rPr>
            <w:rFonts w:ascii="Arial" w:hAnsi="Arial" w:cs="Arial"/>
            <w:noProof/>
            <w:webHidden/>
          </w:rPr>
          <w:t>57</w:t>
        </w:r>
        <w:r w:rsidR="00004563" w:rsidRPr="00ED15FE">
          <w:rPr>
            <w:rFonts w:ascii="Arial" w:hAnsi="Arial" w:cs="Arial"/>
            <w:noProof/>
            <w:webHidden/>
          </w:rPr>
          <w:fldChar w:fldCharType="end"/>
        </w:r>
      </w:hyperlink>
    </w:p>
    <w:p w14:paraId="265B89B5" w14:textId="2788DBF8" w:rsidR="00004563" w:rsidRPr="00ED15FE" w:rsidRDefault="006F6A41">
      <w:pPr>
        <w:pStyle w:val="TableofFigures"/>
        <w:tabs>
          <w:tab w:val="right" w:leader="dot" w:pos="9954"/>
        </w:tabs>
        <w:rPr>
          <w:rFonts w:ascii="Arial" w:eastAsiaTheme="minorEastAsia" w:hAnsi="Arial" w:cs="Arial"/>
          <w:noProof/>
        </w:rPr>
      </w:pPr>
      <w:hyperlink w:anchor="_Toc8904110" w:history="1">
        <w:r w:rsidR="00004563" w:rsidRPr="00ED15FE">
          <w:rPr>
            <w:rStyle w:val="Hyperlink"/>
            <w:rFonts w:ascii="Arial" w:hAnsi="Arial" w:cs="Arial"/>
            <w:noProof/>
          </w:rPr>
          <w:t>Figura 13. Financiamiento previsto para TB (2016-2020) por fuente de financiamiento</w:t>
        </w:r>
        <w:r w:rsidR="00004563" w:rsidRPr="00ED15FE">
          <w:rPr>
            <w:rFonts w:ascii="Arial" w:hAnsi="Arial" w:cs="Arial"/>
            <w:noProof/>
            <w:webHidden/>
          </w:rPr>
          <w:tab/>
        </w:r>
        <w:r w:rsidR="00004563" w:rsidRPr="00ED15FE">
          <w:rPr>
            <w:rFonts w:ascii="Arial" w:hAnsi="Arial" w:cs="Arial"/>
            <w:noProof/>
            <w:webHidden/>
          </w:rPr>
          <w:fldChar w:fldCharType="begin"/>
        </w:r>
        <w:r w:rsidR="00004563" w:rsidRPr="00ED15FE">
          <w:rPr>
            <w:rFonts w:ascii="Arial" w:hAnsi="Arial" w:cs="Arial"/>
            <w:noProof/>
            <w:webHidden/>
          </w:rPr>
          <w:instrText xml:space="preserve"> PAGEREF _Toc8904110 \h </w:instrText>
        </w:r>
        <w:r w:rsidR="00004563" w:rsidRPr="00ED15FE">
          <w:rPr>
            <w:rFonts w:ascii="Arial" w:hAnsi="Arial" w:cs="Arial"/>
            <w:noProof/>
            <w:webHidden/>
          </w:rPr>
        </w:r>
        <w:r w:rsidR="00004563" w:rsidRPr="00ED15FE">
          <w:rPr>
            <w:rFonts w:ascii="Arial" w:hAnsi="Arial" w:cs="Arial"/>
            <w:noProof/>
            <w:webHidden/>
          </w:rPr>
          <w:fldChar w:fldCharType="separate"/>
        </w:r>
        <w:r w:rsidR="00004563" w:rsidRPr="00ED15FE">
          <w:rPr>
            <w:rFonts w:ascii="Arial" w:hAnsi="Arial" w:cs="Arial"/>
            <w:noProof/>
            <w:webHidden/>
          </w:rPr>
          <w:t>59</w:t>
        </w:r>
        <w:r w:rsidR="00004563" w:rsidRPr="00ED15FE">
          <w:rPr>
            <w:rFonts w:ascii="Arial" w:hAnsi="Arial" w:cs="Arial"/>
            <w:noProof/>
            <w:webHidden/>
          </w:rPr>
          <w:fldChar w:fldCharType="end"/>
        </w:r>
      </w:hyperlink>
    </w:p>
    <w:p w14:paraId="20BE9E00" w14:textId="06E84AB1" w:rsidR="00004563" w:rsidRPr="00ED15FE" w:rsidRDefault="006F6A41">
      <w:pPr>
        <w:pStyle w:val="TableofFigures"/>
        <w:tabs>
          <w:tab w:val="right" w:leader="dot" w:pos="9954"/>
        </w:tabs>
        <w:rPr>
          <w:rFonts w:ascii="Arial" w:eastAsiaTheme="minorEastAsia" w:hAnsi="Arial" w:cs="Arial"/>
          <w:noProof/>
        </w:rPr>
      </w:pPr>
      <w:hyperlink w:anchor="_Toc8904111" w:history="1">
        <w:r w:rsidR="00004563" w:rsidRPr="00ED15FE">
          <w:rPr>
            <w:rStyle w:val="Hyperlink"/>
            <w:rFonts w:ascii="Arial" w:hAnsi="Arial" w:cs="Arial"/>
            <w:noProof/>
          </w:rPr>
          <w:t>Figura 14. Recursos asignados por la Secretaría de Finanzas a la SESAL vs lo ejecutado para medicamentos ARV 2015-2018</w:t>
        </w:r>
        <w:r w:rsidR="00004563" w:rsidRPr="00ED15FE">
          <w:rPr>
            <w:rFonts w:ascii="Arial" w:hAnsi="Arial" w:cs="Arial"/>
            <w:noProof/>
            <w:webHidden/>
          </w:rPr>
          <w:tab/>
        </w:r>
        <w:r w:rsidR="00004563" w:rsidRPr="00ED15FE">
          <w:rPr>
            <w:rFonts w:ascii="Arial" w:hAnsi="Arial" w:cs="Arial"/>
            <w:noProof/>
            <w:webHidden/>
          </w:rPr>
          <w:fldChar w:fldCharType="begin"/>
        </w:r>
        <w:r w:rsidR="00004563" w:rsidRPr="00ED15FE">
          <w:rPr>
            <w:rFonts w:ascii="Arial" w:hAnsi="Arial" w:cs="Arial"/>
            <w:noProof/>
            <w:webHidden/>
          </w:rPr>
          <w:instrText xml:space="preserve"> PAGEREF _Toc8904111 \h </w:instrText>
        </w:r>
        <w:r w:rsidR="00004563" w:rsidRPr="00ED15FE">
          <w:rPr>
            <w:rFonts w:ascii="Arial" w:hAnsi="Arial" w:cs="Arial"/>
            <w:noProof/>
            <w:webHidden/>
          </w:rPr>
        </w:r>
        <w:r w:rsidR="00004563" w:rsidRPr="00ED15FE">
          <w:rPr>
            <w:rFonts w:ascii="Arial" w:hAnsi="Arial" w:cs="Arial"/>
            <w:noProof/>
            <w:webHidden/>
          </w:rPr>
          <w:fldChar w:fldCharType="separate"/>
        </w:r>
        <w:r w:rsidR="00004563" w:rsidRPr="00ED15FE">
          <w:rPr>
            <w:rFonts w:ascii="Arial" w:hAnsi="Arial" w:cs="Arial"/>
            <w:noProof/>
            <w:webHidden/>
          </w:rPr>
          <w:t>61</w:t>
        </w:r>
        <w:r w:rsidR="00004563" w:rsidRPr="00ED15FE">
          <w:rPr>
            <w:rFonts w:ascii="Arial" w:hAnsi="Arial" w:cs="Arial"/>
            <w:noProof/>
            <w:webHidden/>
          </w:rPr>
          <w:fldChar w:fldCharType="end"/>
        </w:r>
      </w:hyperlink>
    </w:p>
    <w:p w14:paraId="4BC03726" w14:textId="03178215" w:rsidR="00004563" w:rsidRPr="00ED15FE" w:rsidRDefault="006F6A41">
      <w:pPr>
        <w:pStyle w:val="TableofFigures"/>
        <w:tabs>
          <w:tab w:val="right" w:leader="dot" w:pos="9954"/>
        </w:tabs>
        <w:rPr>
          <w:rFonts w:ascii="Arial" w:eastAsiaTheme="minorEastAsia" w:hAnsi="Arial" w:cs="Arial"/>
          <w:noProof/>
        </w:rPr>
      </w:pPr>
      <w:hyperlink w:anchor="_Toc8904112" w:history="1">
        <w:r w:rsidR="00004563" w:rsidRPr="00ED15FE">
          <w:rPr>
            <w:rStyle w:val="Hyperlink"/>
            <w:rFonts w:ascii="Arial" w:hAnsi="Arial" w:cs="Arial"/>
            <w:noProof/>
          </w:rPr>
          <w:t>Figura 15. Financiamiento necesario proyectado para VIH (US$)</w:t>
        </w:r>
        <w:r w:rsidR="00004563" w:rsidRPr="00ED15FE">
          <w:rPr>
            <w:rFonts w:ascii="Arial" w:hAnsi="Arial" w:cs="Arial"/>
            <w:noProof/>
            <w:webHidden/>
          </w:rPr>
          <w:tab/>
        </w:r>
        <w:r w:rsidR="00004563" w:rsidRPr="00ED15FE">
          <w:rPr>
            <w:rFonts w:ascii="Arial" w:hAnsi="Arial" w:cs="Arial"/>
            <w:noProof/>
            <w:webHidden/>
          </w:rPr>
          <w:fldChar w:fldCharType="begin"/>
        </w:r>
        <w:r w:rsidR="00004563" w:rsidRPr="00ED15FE">
          <w:rPr>
            <w:rFonts w:ascii="Arial" w:hAnsi="Arial" w:cs="Arial"/>
            <w:noProof/>
            <w:webHidden/>
          </w:rPr>
          <w:instrText xml:space="preserve"> PAGEREF _Toc8904112 \h </w:instrText>
        </w:r>
        <w:r w:rsidR="00004563" w:rsidRPr="00ED15FE">
          <w:rPr>
            <w:rFonts w:ascii="Arial" w:hAnsi="Arial" w:cs="Arial"/>
            <w:noProof/>
            <w:webHidden/>
          </w:rPr>
        </w:r>
        <w:r w:rsidR="00004563" w:rsidRPr="00ED15FE">
          <w:rPr>
            <w:rFonts w:ascii="Arial" w:hAnsi="Arial" w:cs="Arial"/>
            <w:noProof/>
            <w:webHidden/>
          </w:rPr>
          <w:fldChar w:fldCharType="separate"/>
        </w:r>
        <w:r w:rsidR="00004563" w:rsidRPr="00ED15FE">
          <w:rPr>
            <w:rFonts w:ascii="Arial" w:hAnsi="Arial" w:cs="Arial"/>
            <w:noProof/>
            <w:webHidden/>
          </w:rPr>
          <w:t>62</w:t>
        </w:r>
        <w:r w:rsidR="00004563" w:rsidRPr="00ED15FE">
          <w:rPr>
            <w:rFonts w:ascii="Arial" w:hAnsi="Arial" w:cs="Arial"/>
            <w:noProof/>
            <w:webHidden/>
          </w:rPr>
          <w:fldChar w:fldCharType="end"/>
        </w:r>
      </w:hyperlink>
    </w:p>
    <w:p w14:paraId="28107BC8" w14:textId="4858B542" w:rsidR="00004563" w:rsidRPr="00ED15FE" w:rsidRDefault="006F6A41">
      <w:pPr>
        <w:pStyle w:val="TableofFigures"/>
        <w:tabs>
          <w:tab w:val="right" w:leader="dot" w:pos="9954"/>
        </w:tabs>
        <w:rPr>
          <w:rFonts w:ascii="Arial" w:eastAsiaTheme="minorEastAsia" w:hAnsi="Arial" w:cs="Arial"/>
          <w:noProof/>
        </w:rPr>
      </w:pPr>
      <w:hyperlink w:anchor="_Toc8904113" w:history="1">
        <w:r w:rsidR="00004563" w:rsidRPr="00ED15FE">
          <w:rPr>
            <w:rStyle w:val="Hyperlink"/>
            <w:rFonts w:ascii="Arial" w:hAnsi="Arial" w:cs="Arial"/>
            <w:noProof/>
          </w:rPr>
          <w:t>Figura 16. Prestaciones de servicios y financiamiento del sector salud en Honduras</w:t>
        </w:r>
        <w:r w:rsidR="00004563" w:rsidRPr="00ED15FE">
          <w:rPr>
            <w:rFonts w:ascii="Arial" w:hAnsi="Arial" w:cs="Arial"/>
            <w:noProof/>
            <w:webHidden/>
          </w:rPr>
          <w:tab/>
        </w:r>
        <w:r w:rsidR="00004563" w:rsidRPr="00ED15FE">
          <w:rPr>
            <w:rFonts w:ascii="Arial" w:hAnsi="Arial" w:cs="Arial"/>
            <w:noProof/>
            <w:webHidden/>
          </w:rPr>
          <w:fldChar w:fldCharType="begin"/>
        </w:r>
        <w:r w:rsidR="00004563" w:rsidRPr="00ED15FE">
          <w:rPr>
            <w:rFonts w:ascii="Arial" w:hAnsi="Arial" w:cs="Arial"/>
            <w:noProof/>
            <w:webHidden/>
          </w:rPr>
          <w:instrText xml:space="preserve"> PAGEREF _Toc8904113 \h </w:instrText>
        </w:r>
        <w:r w:rsidR="00004563" w:rsidRPr="00ED15FE">
          <w:rPr>
            <w:rFonts w:ascii="Arial" w:hAnsi="Arial" w:cs="Arial"/>
            <w:noProof/>
            <w:webHidden/>
          </w:rPr>
        </w:r>
        <w:r w:rsidR="00004563" w:rsidRPr="00ED15FE">
          <w:rPr>
            <w:rFonts w:ascii="Arial" w:hAnsi="Arial" w:cs="Arial"/>
            <w:noProof/>
            <w:webHidden/>
          </w:rPr>
          <w:fldChar w:fldCharType="separate"/>
        </w:r>
        <w:r w:rsidR="00004563" w:rsidRPr="00ED15FE">
          <w:rPr>
            <w:rFonts w:ascii="Arial" w:hAnsi="Arial" w:cs="Arial"/>
            <w:noProof/>
            <w:webHidden/>
          </w:rPr>
          <w:t>96</w:t>
        </w:r>
        <w:r w:rsidR="00004563" w:rsidRPr="00ED15FE">
          <w:rPr>
            <w:rFonts w:ascii="Arial" w:hAnsi="Arial" w:cs="Arial"/>
            <w:noProof/>
            <w:webHidden/>
          </w:rPr>
          <w:fldChar w:fldCharType="end"/>
        </w:r>
      </w:hyperlink>
    </w:p>
    <w:p w14:paraId="6D65D677" w14:textId="77777777" w:rsidR="00DC4E01" w:rsidRDefault="00004563" w:rsidP="00DC4E01">
      <w:pPr>
        <w:rPr>
          <w:lang w:val="es-419"/>
        </w:rPr>
      </w:pPr>
      <w:r w:rsidRPr="00ED15FE">
        <w:rPr>
          <w:lang w:val="es-419"/>
        </w:rPr>
        <w:fldChar w:fldCharType="end"/>
      </w:r>
      <w:bookmarkStart w:id="13" w:name="_Toc8905209"/>
    </w:p>
    <w:p w14:paraId="5D2AFC32" w14:textId="77777777" w:rsidR="00DC4E01" w:rsidRDefault="00DC4E01" w:rsidP="00DC4E01">
      <w:pPr>
        <w:rPr>
          <w:lang w:val="es-419"/>
        </w:rPr>
      </w:pPr>
    </w:p>
    <w:p w14:paraId="5CBD1280" w14:textId="77777777" w:rsidR="00DC4E01" w:rsidRDefault="00DC4E01">
      <w:pPr>
        <w:rPr>
          <w:rFonts w:ascii="Arial" w:eastAsiaTheme="majorEastAsia" w:hAnsi="Arial" w:cs="Arial"/>
          <w:color w:val="2F5496" w:themeColor="accent1" w:themeShade="BF"/>
          <w:lang w:val="es-419"/>
        </w:rPr>
      </w:pPr>
      <w:r>
        <w:rPr>
          <w:rFonts w:ascii="Arial" w:hAnsi="Arial" w:cs="Arial"/>
          <w:lang w:val="es-419"/>
        </w:rPr>
        <w:br w:type="page"/>
      </w:r>
    </w:p>
    <w:p w14:paraId="49A43B05" w14:textId="5519E041" w:rsidR="003939DB" w:rsidRPr="00DD37EC" w:rsidRDefault="002D2F20" w:rsidP="00ED15FE">
      <w:pPr>
        <w:pStyle w:val="Heading1"/>
        <w:spacing w:before="0" w:after="240" w:line="240" w:lineRule="auto"/>
        <w:rPr>
          <w:rFonts w:ascii="Arial" w:hAnsi="Arial" w:cs="Arial"/>
          <w:sz w:val="22"/>
          <w:szCs w:val="22"/>
          <w:lang w:val="es-419"/>
        </w:rPr>
      </w:pPr>
      <w:r w:rsidRPr="00DD37EC">
        <w:rPr>
          <w:rFonts w:ascii="Arial" w:hAnsi="Arial" w:cs="Arial"/>
          <w:sz w:val="22"/>
          <w:szCs w:val="22"/>
          <w:lang w:val="es-419"/>
        </w:rPr>
        <w:lastRenderedPageBreak/>
        <w:t xml:space="preserve">1. </w:t>
      </w:r>
      <w:r w:rsidR="003939DB" w:rsidRPr="00DD37EC">
        <w:rPr>
          <w:rFonts w:ascii="Arial" w:hAnsi="Arial" w:cs="Arial"/>
          <w:sz w:val="22"/>
          <w:szCs w:val="22"/>
          <w:lang w:val="es-419"/>
        </w:rPr>
        <w:t>Resumen Ejecutivo</w:t>
      </w:r>
      <w:bookmarkEnd w:id="13"/>
      <w:r w:rsidR="003939DB" w:rsidRPr="00DD37EC">
        <w:rPr>
          <w:rFonts w:ascii="Arial" w:hAnsi="Arial" w:cs="Arial"/>
          <w:sz w:val="22"/>
          <w:szCs w:val="22"/>
          <w:lang w:val="es-419"/>
        </w:rPr>
        <w:t xml:space="preserve"> </w:t>
      </w:r>
    </w:p>
    <w:p w14:paraId="7640AAAC" w14:textId="0C3BFAE0" w:rsidR="00380407" w:rsidRPr="00DD37EC" w:rsidRDefault="00E16AF1" w:rsidP="00DD37EC">
      <w:pPr>
        <w:pStyle w:val="Heading2"/>
        <w:numPr>
          <w:ilvl w:val="1"/>
          <w:numId w:val="1"/>
        </w:numPr>
        <w:spacing w:before="0" w:after="240" w:line="240" w:lineRule="auto"/>
        <w:rPr>
          <w:rFonts w:ascii="Arial" w:hAnsi="Arial" w:cs="Arial"/>
          <w:sz w:val="22"/>
          <w:szCs w:val="22"/>
          <w:lang w:val="es-419"/>
        </w:rPr>
      </w:pPr>
      <w:bookmarkStart w:id="14" w:name="_Toc8905210"/>
      <w:r w:rsidRPr="00DD37EC">
        <w:rPr>
          <w:rFonts w:ascii="Arial" w:hAnsi="Arial" w:cs="Arial"/>
          <w:sz w:val="22"/>
          <w:szCs w:val="22"/>
          <w:lang w:val="es-419"/>
        </w:rPr>
        <w:t xml:space="preserve">Motivación </w:t>
      </w:r>
      <w:r w:rsidR="00380407" w:rsidRPr="00DD37EC">
        <w:rPr>
          <w:rFonts w:ascii="Arial" w:hAnsi="Arial" w:cs="Arial"/>
          <w:sz w:val="22"/>
          <w:szCs w:val="22"/>
          <w:lang w:val="es-419"/>
        </w:rPr>
        <w:t>de la E</w:t>
      </w:r>
      <w:r w:rsidR="009F69C3">
        <w:rPr>
          <w:rFonts w:ascii="Arial" w:hAnsi="Arial" w:cs="Arial"/>
          <w:sz w:val="22"/>
          <w:szCs w:val="22"/>
          <w:lang w:val="es-419"/>
        </w:rPr>
        <w:t>strategia</w:t>
      </w:r>
      <w:r w:rsidR="00380407" w:rsidRPr="00DD37EC">
        <w:rPr>
          <w:rFonts w:ascii="Arial" w:hAnsi="Arial" w:cs="Arial"/>
          <w:sz w:val="22"/>
          <w:szCs w:val="22"/>
          <w:lang w:val="es-419"/>
        </w:rPr>
        <w:t xml:space="preserve"> de la Sostenibilidad </w:t>
      </w:r>
      <w:r w:rsidR="00D83BCF">
        <w:rPr>
          <w:rFonts w:ascii="Arial" w:hAnsi="Arial" w:cs="Arial"/>
          <w:sz w:val="22"/>
          <w:szCs w:val="22"/>
          <w:lang w:val="es-419"/>
        </w:rPr>
        <w:t>de VIH y TB</w:t>
      </w:r>
      <w:bookmarkEnd w:id="14"/>
    </w:p>
    <w:p w14:paraId="1B8D8C82" w14:textId="19FBBF4F" w:rsidR="00EF5216" w:rsidRPr="00EF5216" w:rsidRDefault="00EF5216" w:rsidP="00EF5216">
      <w:pPr>
        <w:spacing w:after="240" w:line="240" w:lineRule="auto"/>
        <w:jc w:val="both"/>
        <w:rPr>
          <w:rFonts w:ascii="Arial" w:hAnsi="Arial" w:cs="Arial"/>
          <w:lang w:val="es-419"/>
        </w:rPr>
      </w:pPr>
      <w:r w:rsidRPr="00EF5216">
        <w:rPr>
          <w:rFonts w:ascii="Arial" w:hAnsi="Arial" w:cs="Arial"/>
          <w:lang w:val="es-419"/>
        </w:rPr>
        <w:t>Durante los últimos años Honduras ha logrado fortalecer múltiples aspectos de las Respuestas Nacionales al VIH y a la TB provocando una disminución gradual en la prevalencia e incidencia de ambas enfermedades. Al mismo tiempo el ingreso del país se ha logrado recuperar de la crisis económica del 2008 y observa una tendencia de crecimiento estable.</w:t>
      </w:r>
    </w:p>
    <w:p w14:paraId="76C29BF6" w14:textId="584C9999" w:rsidR="00F11928" w:rsidRDefault="00EF5216" w:rsidP="00EF5216">
      <w:pPr>
        <w:spacing w:after="240" w:line="240" w:lineRule="auto"/>
        <w:jc w:val="both"/>
        <w:rPr>
          <w:rFonts w:ascii="Arial" w:hAnsi="Arial" w:cs="Arial"/>
          <w:lang w:val="es-419"/>
        </w:rPr>
      </w:pPr>
      <w:r w:rsidRPr="00EF5216">
        <w:rPr>
          <w:rFonts w:ascii="Arial" w:hAnsi="Arial" w:cs="Arial"/>
          <w:lang w:val="es-419"/>
        </w:rPr>
        <w:t>Desde aproximadamente dos décadas Honduras ha contado con el apoyo de cooperantes internacionales, como el Fondo Mundial, PEPFAR y Gavi, para el fortalecimiento de programas de enfermedad específicos o de vacunación. Sin embargo, debido al crecimiento económico de Honduras y a la transición epidemiológica observados en los últimos años, Honduras ha comenzado a observar una tendencia decreciente en los recursos externos asignados a estas enfermedades y programas.</w:t>
      </w:r>
    </w:p>
    <w:p w14:paraId="48E46FF5" w14:textId="5189B4F1" w:rsidR="00EF5216" w:rsidRPr="00DD37EC" w:rsidRDefault="00EF5216" w:rsidP="00EF5216">
      <w:pPr>
        <w:spacing w:after="240" w:line="240" w:lineRule="auto"/>
        <w:jc w:val="both"/>
        <w:rPr>
          <w:rFonts w:ascii="Arial" w:hAnsi="Arial" w:cs="Arial"/>
          <w:lang w:val="es-419"/>
        </w:rPr>
      </w:pPr>
      <w:r w:rsidRPr="00DD37EC">
        <w:rPr>
          <w:rFonts w:ascii="Arial" w:hAnsi="Arial" w:cs="Arial"/>
          <w:lang w:val="es-419"/>
        </w:rPr>
        <w:t xml:space="preserve">Ante la necesidad de fortalecer los programas para el alcance de metas globales y la creciente presión en el financiamiento, el FM a través su </w:t>
      </w:r>
      <w:r w:rsidRPr="00DD37EC">
        <w:rPr>
          <w:rFonts w:ascii="Arial" w:hAnsi="Arial" w:cs="Arial"/>
          <w:lang w:val="es-ES"/>
        </w:rPr>
        <w:t xml:space="preserve">Mecanismo Coordinador de País (MCP) de Honduras </w:t>
      </w:r>
      <w:r w:rsidRPr="00DD37EC">
        <w:rPr>
          <w:rFonts w:ascii="Arial" w:hAnsi="Arial" w:cs="Arial"/>
          <w:lang w:val="es-419"/>
        </w:rPr>
        <w:t xml:space="preserve">solicitó a las firmas </w:t>
      </w:r>
      <w:r w:rsidRPr="00407A6E">
        <w:rPr>
          <w:rFonts w:ascii="Arial" w:hAnsi="Arial" w:cs="Arial"/>
          <w:i/>
          <w:lang w:val="es-419"/>
        </w:rPr>
        <w:t>Pharos Global Health Advisors</w:t>
      </w:r>
      <w:r w:rsidR="00392E34">
        <w:rPr>
          <w:rFonts w:ascii="Arial" w:hAnsi="Arial" w:cs="Arial"/>
          <w:i/>
          <w:lang w:val="es-419"/>
        </w:rPr>
        <w:t xml:space="preserve"> </w:t>
      </w:r>
      <w:r w:rsidR="00392E34">
        <w:rPr>
          <w:rFonts w:ascii="Arial" w:hAnsi="Arial" w:cs="Arial"/>
          <w:iCs/>
          <w:lang w:val="es-419"/>
        </w:rPr>
        <w:t>(Pharos)</w:t>
      </w:r>
      <w:r w:rsidR="008E2BA5">
        <w:rPr>
          <w:rFonts w:ascii="Arial" w:hAnsi="Arial" w:cs="Arial"/>
          <w:iCs/>
          <w:lang w:val="es-419"/>
        </w:rPr>
        <w:t xml:space="preserve"> y</w:t>
      </w:r>
      <w:r w:rsidR="006F67B0">
        <w:rPr>
          <w:rFonts w:ascii="Arial" w:hAnsi="Arial" w:cs="Arial"/>
          <w:i/>
          <w:lang w:val="es-419"/>
        </w:rPr>
        <w:t xml:space="preserve"> </w:t>
      </w:r>
      <w:r w:rsidRPr="00407A6E">
        <w:rPr>
          <w:rFonts w:ascii="Arial" w:hAnsi="Arial" w:cs="Arial"/>
          <w:i/>
          <w:lang w:val="es-419"/>
        </w:rPr>
        <w:t>Bitrán y Asociados</w:t>
      </w:r>
      <w:r w:rsidR="00392E34">
        <w:rPr>
          <w:rFonts w:ascii="Arial" w:hAnsi="Arial" w:cs="Arial"/>
          <w:i/>
          <w:lang w:val="es-419"/>
        </w:rPr>
        <w:t xml:space="preserve"> </w:t>
      </w:r>
      <w:r w:rsidR="00392E34">
        <w:rPr>
          <w:rFonts w:ascii="Arial" w:hAnsi="Arial" w:cs="Arial"/>
          <w:iCs/>
          <w:lang w:val="es-419"/>
        </w:rPr>
        <w:t>(ByA)</w:t>
      </w:r>
      <w:r w:rsidRPr="00DD37EC">
        <w:rPr>
          <w:rFonts w:ascii="Arial" w:hAnsi="Arial" w:cs="Arial"/>
          <w:lang w:val="es-419"/>
        </w:rPr>
        <w:t xml:space="preserve">, facilitar la elaboración </w:t>
      </w:r>
      <w:r w:rsidR="00407A6E">
        <w:rPr>
          <w:rFonts w:ascii="Arial" w:hAnsi="Arial" w:cs="Arial"/>
          <w:lang w:val="es-419"/>
        </w:rPr>
        <w:t>la</w:t>
      </w:r>
      <w:r w:rsidRPr="00DD37EC">
        <w:rPr>
          <w:rFonts w:ascii="Arial" w:hAnsi="Arial" w:cs="Arial"/>
          <w:lang w:val="es-419"/>
        </w:rPr>
        <w:t xml:space="preserve"> Estrategia Nacional de</w:t>
      </w:r>
      <w:r w:rsidR="00407A6E">
        <w:rPr>
          <w:rFonts w:ascii="Arial" w:hAnsi="Arial" w:cs="Arial"/>
          <w:lang w:val="es-419"/>
        </w:rPr>
        <w:t xml:space="preserve"> la</w:t>
      </w:r>
      <w:r w:rsidRPr="00DD37EC">
        <w:rPr>
          <w:rFonts w:ascii="Arial" w:hAnsi="Arial" w:cs="Arial"/>
          <w:lang w:val="es-419"/>
        </w:rPr>
        <w:t xml:space="preserve"> Sostenibilidad</w:t>
      </w:r>
      <w:r w:rsidR="00407A6E">
        <w:rPr>
          <w:rFonts w:ascii="Arial" w:hAnsi="Arial" w:cs="Arial"/>
          <w:lang w:val="es-419"/>
        </w:rPr>
        <w:t xml:space="preserve"> de la Respuesta Nacional al VIH/sida y a la Tuberculosis</w:t>
      </w:r>
      <w:r w:rsidRPr="00DD37EC">
        <w:rPr>
          <w:rFonts w:ascii="Arial" w:hAnsi="Arial" w:cs="Arial"/>
          <w:lang w:val="es-419"/>
        </w:rPr>
        <w:t xml:space="preserve"> </w:t>
      </w:r>
      <w:r>
        <w:rPr>
          <w:rFonts w:ascii="Arial" w:hAnsi="Arial" w:cs="Arial"/>
          <w:lang w:val="es-419"/>
        </w:rPr>
        <w:t>(ES)</w:t>
      </w:r>
      <w:r w:rsidRPr="00DD37EC">
        <w:rPr>
          <w:rFonts w:ascii="Arial" w:hAnsi="Arial" w:cs="Arial"/>
          <w:lang w:val="es-419"/>
        </w:rPr>
        <w:t>. Para ello fue pertinente hacer un análisis de las actividades con mayor dependencia de fondos externos, así como de aquellas intervenciones clave que es necesario mantener o fortalecer para el alcance de las metas.</w:t>
      </w:r>
    </w:p>
    <w:p w14:paraId="6BD8CC47" w14:textId="724749C9" w:rsidR="00380407" w:rsidRPr="00DD37EC" w:rsidRDefault="00380407" w:rsidP="00CA6F72">
      <w:pPr>
        <w:pStyle w:val="Heading2"/>
        <w:numPr>
          <w:ilvl w:val="1"/>
          <w:numId w:val="1"/>
        </w:numPr>
        <w:spacing w:before="0" w:after="240" w:line="240" w:lineRule="auto"/>
        <w:jc w:val="both"/>
        <w:rPr>
          <w:rFonts w:ascii="Arial" w:hAnsi="Arial" w:cs="Arial"/>
          <w:sz w:val="22"/>
          <w:szCs w:val="22"/>
          <w:lang w:val="es-419"/>
        </w:rPr>
      </w:pPr>
      <w:bookmarkStart w:id="15" w:name="_Toc8905211"/>
      <w:r w:rsidRPr="00DD37EC">
        <w:rPr>
          <w:rFonts w:ascii="Arial" w:hAnsi="Arial" w:cs="Arial"/>
          <w:sz w:val="22"/>
          <w:szCs w:val="22"/>
          <w:lang w:val="es-419"/>
        </w:rPr>
        <w:t>Metodología</w:t>
      </w:r>
      <w:bookmarkEnd w:id="15"/>
    </w:p>
    <w:p w14:paraId="24BAF33B" w14:textId="77777777" w:rsidR="00DD1CAF" w:rsidRPr="00DD1CAF" w:rsidRDefault="00DD1CAF" w:rsidP="00DD1CAF">
      <w:pPr>
        <w:spacing w:after="240" w:line="240" w:lineRule="auto"/>
        <w:jc w:val="both"/>
        <w:rPr>
          <w:rFonts w:ascii="Arial" w:hAnsi="Arial" w:cs="Arial"/>
          <w:lang w:val="es-MX"/>
        </w:rPr>
      </w:pPr>
      <w:r w:rsidRPr="00DD1CAF">
        <w:rPr>
          <w:rFonts w:ascii="Arial" w:hAnsi="Arial" w:cs="Arial"/>
          <w:lang w:val="es-MX"/>
        </w:rPr>
        <w:t xml:space="preserve">Además de usar la guía para la transición elaborada por Aceso Global y APMG Health, los consultores desarrollaron y utilizaron para este trabajo un marco conceptual que les permitió definir los 7 principales riesgos de sostenibilidad planteando sus causas y posibles acciones de política para su mitigación.  </w:t>
      </w:r>
    </w:p>
    <w:p w14:paraId="3311D548" w14:textId="0EB1C4F1" w:rsidR="00DD1CAF" w:rsidRPr="00DD1CAF" w:rsidRDefault="00DD1CAF" w:rsidP="00DD1CAF">
      <w:pPr>
        <w:spacing w:after="240" w:line="240" w:lineRule="auto"/>
        <w:jc w:val="both"/>
        <w:rPr>
          <w:rFonts w:ascii="Arial" w:hAnsi="Arial" w:cs="Arial"/>
          <w:lang w:val="es-MX"/>
        </w:rPr>
      </w:pPr>
      <w:r w:rsidRPr="00DD1CAF">
        <w:rPr>
          <w:rFonts w:ascii="Arial" w:hAnsi="Arial" w:cs="Arial"/>
          <w:lang w:val="es-MX"/>
        </w:rPr>
        <w:t xml:space="preserve">Los </w:t>
      </w:r>
      <w:r w:rsidRPr="00DD1CAF">
        <w:rPr>
          <w:rFonts w:ascii="Arial" w:hAnsi="Arial" w:cs="Arial"/>
          <w:b/>
          <w:i/>
          <w:lang w:val="es-MX"/>
        </w:rPr>
        <w:t>objetivos últimos</w:t>
      </w:r>
      <w:r w:rsidRPr="00DD1CAF">
        <w:rPr>
          <w:rFonts w:ascii="Arial" w:hAnsi="Arial" w:cs="Arial"/>
          <w:lang w:val="es-MX"/>
        </w:rPr>
        <w:t xml:space="preserve"> del país en materia de VIH son alcanzar en el 2020 las metas 90-90-90 impulsadas por Naciones Unidas y suscritas por el Estado de Honduras, lo cual permitirá alcanzar la eliminación de la transmisión del VIH o, al menos, una tasa de transmisión cercana a cero en el año 2030. Para ello, se debe lograr reducir la cantidad de nuevos casos, disminuir la mortalidad por el VIH y minimizar la transmisión de madre a hijo. </w:t>
      </w:r>
    </w:p>
    <w:p w14:paraId="4E30037F" w14:textId="77777777" w:rsidR="00DD1CAF" w:rsidRPr="00DD1CAF" w:rsidRDefault="00DD1CAF" w:rsidP="00DD1CAF">
      <w:pPr>
        <w:spacing w:after="240" w:line="240" w:lineRule="auto"/>
        <w:jc w:val="both"/>
        <w:rPr>
          <w:rFonts w:ascii="Arial" w:hAnsi="Arial" w:cs="Arial"/>
          <w:lang w:val="es-MX"/>
        </w:rPr>
      </w:pPr>
      <w:r w:rsidRPr="00DD1CAF">
        <w:rPr>
          <w:rFonts w:ascii="Arial" w:hAnsi="Arial" w:cs="Arial"/>
          <w:lang w:val="es-MX"/>
        </w:rPr>
        <w:t xml:space="preserve">En materia de TB los </w:t>
      </w:r>
      <w:r w:rsidRPr="00DD1CAF">
        <w:rPr>
          <w:rFonts w:ascii="Arial" w:hAnsi="Arial" w:cs="Arial"/>
          <w:b/>
          <w:i/>
          <w:lang w:val="es-MX"/>
        </w:rPr>
        <w:t>objetivos últimos</w:t>
      </w:r>
      <w:r w:rsidRPr="00DD1CAF">
        <w:rPr>
          <w:rFonts w:ascii="Arial" w:hAnsi="Arial" w:cs="Arial"/>
          <w:lang w:val="es-MX"/>
        </w:rPr>
        <w:t xml:space="preserve"> son aquellos de la Estrategia “Fin a la Tuberculosis” que consiste en reducir la mortalidad por tuberculosis en un 90%, y disminuir su incidencia en un 80% a 2030, en comparación con las cifras de 2015. Estas metas deben guiar las acciones de los diversos actores involucrados en la respuesta nacional al VIH y a la TB. </w:t>
      </w:r>
    </w:p>
    <w:p w14:paraId="2302FEE6" w14:textId="77777777" w:rsidR="00DD1CAF" w:rsidRPr="00DD1CAF" w:rsidRDefault="00DD1CAF" w:rsidP="00DD1CAF">
      <w:pPr>
        <w:spacing w:after="240" w:line="240" w:lineRule="auto"/>
        <w:jc w:val="both"/>
        <w:rPr>
          <w:rFonts w:ascii="Arial" w:hAnsi="Arial" w:cs="Arial"/>
          <w:lang w:val="es-MX"/>
        </w:rPr>
      </w:pPr>
      <w:r w:rsidRPr="00DD1CAF">
        <w:rPr>
          <w:rFonts w:ascii="Arial" w:hAnsi="Arial" w:cs="Arial"/>
          <w:lang w:val="es-MX"/>
        </w:rPr>
        <w:t xml:space="preserve">El marco conceptual también contempla el logro de </w:t>
      </w:r>
      <w:r w:rsidRPr="00DD1CAF">
        <w:rPr>
          <w:rFonts w:ascii="Arial" w:hAnsi="Arial" w:cs="Arial"/>
          <w:b/>
          <w:i/>
          <w:lang w:val="es-MX"/>
        </w:rPr>
        <w:t>objetivos intermedios</w:t>
      </w:r>
      <w:r w:rsidRPr="00DD1CAF">
        <w:rPr>
          <w:rFonts w:ascii="Arial" w:hAnsi="Arial" w:cs="Arial"/>
          <w:lang w:val="es-MX"/>
        </w:rPr>
        <w:t xml:space="preserve"> que son la mejora de la eficiencia, la calidad y el acceso a la atención, y la reducción del estigma y la discriminación.  </w:t>
      </w:r>
    </w:p>
    <w:p w14:paraId="44F97647" w14:textId="77777777" w:rsidR="00DD1CAF" w:rsidRPr="00DD1CAF" w:rsidRDefault="00DD1CAF" w:rsidP="00DD1CAF">
      <w:pPr>
        <w:spacing w:after="240" w:line="240" w:lineRule="auto"/>
        <w:jc w:val="both"/>
        <w:rPr>
          <w:rFonts w:ascii="Arial" w:hAnsi="Arial" w:cs="Arial"/>
          <w:lang w:val="es-MX"/>
        </w:rPr>
      </w:pPr>
      <w:r w:rsidRPr="00DD1CAF">
        <w:rPr>
          <w:rFonts w:ascii="Arial" w:hAnsi="Arial" w:cs="Arial"/>
          <w:lang w:val="es-MX"/>
        </w:rPr>
        <w:t xml:space="preserve">En el contexto de este estudio, se define como </w:t>
      </w:r>
      <w:r w:rsidRPr="00DD1CAF">
        <w:rPr>
          <w:rFonts w:ascii="Arial" w:hAnsi="Arial" w:cs="Arial"/>
          <w:b/>
          <w:i/>
          <w:lang w:val="es-MX"/>
        </w:rPr>
        <w:t>riesgo de sostenibilidad</w:t>
      </w:r>
      <w:r w:rsidRPr="00DD1CAF">
        <w:rPr>
          <w:rFonts w:ascii="Arial" w:hAnsi="Arial" w:cs="Arial"/>
          <w:lang w:val="es-MX"/>
        </w:rPr>
        <w:t xml:space="preserve"> a todo evento que interfiera con la capacidad del país para identificar y resolver las causas de uno o más problemas de desempeño en el ámbito del VIH/sida y TB. Para la identificación de riesgos de sostenibilidad hemos profundizado el análisis en cuatro áreas principales: provisión de servicios, financiamiento, organizaciones de la sociedad civil y derechos humanos, y gobernanza e instituciones. La identificación de riesgos se utilizaron herramientas como la “Guía para el análisis de la preparación para la transición del Fondo Mundial”.  Más adelante en este resumen se presentan los riesgos identificados durante el trabajo y las acciones que deberían ayudar a mitigarlos.</w:t>
      </w:r>
    </w:p>
    <w:p w14:paraId="313B4887" w14:textId="77777777" w:rsidR="00DD1CAF" w:rsidRPr="00DD1CAF" w:rsidRDefault="00DD1CAF" w:rsidP="00DD1CAF">
      <w:pPr>
        <w:spacing w:after="240" w:line="240" w:lineRule="auto"/>
        <w:jc w:val="both"/>
        <w:rPr>
          <w:rFonts w:ascii="Arial" w:hAnsi="Arial" w:cs="Arial"/>
          <w:lang w:val="es-MX"/>
        </w:rPr>
      </w:pPr>
      <w:r w:rsidRPr="00DD1CAF">
        <w:rPr>
          <w:rFonts w:ascii="Arial" w:hAnsi="Arial" w:cs="Arial"/>
          <w:lang w:val="es-MX"/>
        </w:rPr>
        <w:lastRenderedPageBreak/>
        <w:t>La primera fase del estudio se concentró en la recopilación y revisión de fuentes bibliográficas sobre la respuesta nacional al VIH/sida y TB en Honduras; y en la formulación de preguntas para orientar las entrevistas en profundidad y las discusiones con informantes calificados a fin de obtener datos sobre las áreas de interés para la sostenibilidad.</w:t>
      </w:r>
    </w:p>
    <w:p w14:paraId="4A5A2880" w14:textId="3B89A450" w:rsidR="00DD1CAF" w:rsidRPr="00DD1CAF" w:rsidRDefault="00C4017A" w:rsidP="00DD1CAF">
      <w:pPr>
        <w:spacing w:after="240" w:line="240" w:lineRule="auto"/>
        <w:jc w:val="both"/>
        <w:rPr>
          <w:rFonts w:ascii="Arial" w:hAnsi="Arial" w:cs="Arial"/>
          <w:lang w:val="es-MX"/>
        </w:rPr>
      </w:pPr>
      <w:r>
        <w:rPr>
          <w:rFonts w:ascii="Arial" w:hAnsi="Arial" w:cs="Arial"/>
          <w:lang w:val="es-MX"/>
        </w:rPr>
        <w:t>Posteriormente</w:t>
      </w:r>
      <w:r w:rsidR="00DD1CAF" w:rsidRPr="00DD1CAF">
        <w:rPr>
          <w:rFonts w:ascii="Arial" w:hAnsi="Arial" w:cs="Arial"/>
          <w:lang w:val="es-MX"/>
        </w:rPr>
        <w:t xml:space="preserve">, los consultores viajaron al país y participaron en entrevistas y talleres con un conjunto amplio de actores vinculados con el VIH/sida y TB. Durante esa visita, presentaron sus hallazgos preliminares frente a los miembros del Mecanismo de Coordinación País (MCP) y a representantes de otras instituciones vinculadas con el VIH y la TB, incluyendo a la Secretaría de Salud </w:t>
      </w:r>
      <w:r w:rsidR="0017225C">
        <w:rPr>
          <w:rFonts w:ascii="Arial" w:hAnsi="Arial" w:cs="Arial"/>
          <w:lang w:val="es-MX"/>
        </w:rPr>
        <w:t>de Honduras</w:t>
      </w:r>
      <w:r w:rsidR="00DD1CAF" w:rsidRPr="00DD1CAF">
        <w:rPr>
          <w:rFonts w:ascii="Arial" w:hAnsi="Arial" w:cs="Arial"/>
          <w:lang w:val="es-MX"/>
        </w:rPr>
        <w:t xml:space="preserve"> y organizaciones nacionales e internacionales de cooperación. </w:t>
      </w:r>
    </w:p>
    <w:p w14:paraId="68BFCF1B" w14:textId="7FD09EF2" w:rsidR="00DD1CAF" w:rsidRDefault="00DD1CAF" w:rsidP="00DD1CAF">
      <w:pPr>
        <w:spacing w:after="240" w:line="240" w:lineRule="auto"/>
        <w:jc w:val="both"/>
        <w:rPr>
          <w:rFonts w:ascii="Arial" w:hAnsi="Arial" w:cs="Arial"/>
          <w:lang w:val="es-MX"/>
        </w:rPr>
      </w:pPr>
      <w:r w:rsidRPr="00DD1CAF">
        <w:rPr>
          <w:rFonts w:ascii="Arial" w:hAnsi="Arial" w:cs="Arial"/>
          <w:lang w:val="es-MX"/>
        </w:rPr>
        <w:t>Por último, en una segunda visita al país, los autores sometieron los resultados preliminares de su trabajo a una validación con los principales actores de la respuesta nacional, especialmente con representantes de la sociedad civil en la Ceiba, San Pedro Sula y Tegucigalpa, e incorporaron los aportes recopilados durante los talleres y reuniones con dichos actores para producir la presente versión del documento.</w:t>
      </w:r>
    </w:p>
    <w:p w14:paraId="20199700" w14:textId="129B3EAB" w:rsidR="00952BCC" w:rsidRPr="00DD37EC" w:rsidRDefault="00952BCC" w:rsidP="00952BCC">
      <w:pPr>
        <w:spacing w:after="240" w:line="240" w:lineRule="auto"/>
        <w:jc w:val="both"/>
        <w:rPr>
          <w:rFonts w:ascii="Arial" w:hAnsi="Arial" w:cs="Arial"/>
          <w:lang w:val="es-ES"/>
        </w:rPr>
      </w:pPr>
      <w:r>
        <w:rPr>
          <w:rFonts w:ascii="Arial" w:hAnsi="Arial" w:cs="Arial"/>
          <w:lang w:val="es-ES"/>
        </w:rPr>
        <w:t>Este</w:t>
      </w:r>
      <w:r w:rsidRPr="00DD37EC">
        <w:rPr>
          <w:rFonts w:ascii="Arial" w:hAnsi="Arial" w:cs="Arial"/>
          <w:lang w:val="es-ES"/>
        </w:rPr>
        <w:t xml:space="preserve"> proyecto se construirá a partir a lo largo de las siguientes fases:</w:t>
      </w:r>
    </w:p>
    <w:p w14:paraId="6BF70BDE" w14:textId="7DB3257A" w:rsidR="00A45A15" w:rsidRDefault="00952BCC" w:rsidP="00952BCC">
      <w:pPr>
        <w:spacing w:after="240" w:line="240" w:lineRule="auto"/>
        <w:jc w:val="center"/>
        <w:rPr>
          <w:rFonts w:ascii="Arial" w:hAnsi="Arial" w:cs="Arial"/>
          <w:lang w:val="es-419"/>
        </w:rPr>
      </w:pPr>
      <w:r>
        <w:rPr>
          <w:rFonts w:ascii="Arial" w:hAnsi="Arial" w:cs="Arial"/>
          <w:noProof/>
          <w:lang w:val="es-MX"/>
        </w:rPr>
        <w:drawing>
          <wp:inline distT="0" distB="0" distL="0" distR="0" wp14:anchorId="5CD423D0" wp14:editId="516EC4A5">
            <wp:extent cx="4856018" cy="3613273"/>
            <wp:effectExtent l="0" t="0" r="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90996" cy="3639300"/>
                    </a:xfrm>
                    <a:prstGeom prst="rect">
                      <a:avLst/>
                    </a:prstGeom>
                    <a:noFill/>
                  </pic:spPr>
                </pic:pic>
              </a:graphicData>
            </a:graphic>
          </wp:inline>
        </w:drawing>
      </w:r>
    </w:p>
    <w:p w14:paraId="5CB1BCAB" w14:textId="62EBC8FE" w:rsidR="00446366" w:rsidRPr="00446366" w:rsidRDefault="00446366" w:rsidP="00446366">
      <w:pPr>
        <w:spacing w:after="240" w:line="240" w:lineRule="auto"/>
        <w:jc w:val="both"/>
        <w:rPr>
          <w:rFonts w:ascii="Arial" w:hAnsi="Arial" w:cs="Arial"/>
          <w:lang w:val="es-ES"/>
        </w:rPr>
      </w:pPr>
      <w:r w:rsidRPr="00DD37EC">
        <w:rPr>
          <w:rFonts w:ascii="Arial" w:hAnsi="Arial" w:cs="Arial"/>
          <w:lang w:val="es-ES"/>
        </w:rPr>
        <w:t>A partir de la información obtenida durante la segunda misión, se elabor</w:t>
      </w:r>
      <w:r w:rsidR="005B17CB">
        <w:rPr>
          <w:rFonts w:ascii="Arial" w:hAnsi="Arial" w:cs="Arial"/>
          <w:lang w:val="es-ES"/>
        </w:rPr>
        <w:t>ó</w:t>
      </w:r>
      <w:r w:rsidRPr="00DD37EC">
        <w:rPr>
          <w:rFonts w:ascii="Arial" w:hAnsi="Arial" w:cs="Arial"/>
          <w:lang w:val="es-ES"/>
        </w:rPr>
        <w:t xml:space="preserve"> un reporte final que inclu</w:t>
      </w:r>
      <w:r w:rsidR="005B17CB">
        <w:rPr>
          <w:rFonts w:ascii="Arial" w:hAnsi="Arial" w:cs="Arial"/>
          <w:lang w:val="es-ES"/>
        </w:rPr>
        <w:t>ye</w:t>
      </w:r>
      <w:r w:rsidRPr="00DD37EC">
        <w:rPr>
          <w:rFonts w:ascii="Arial" w:hAnsi="Arial" w:cs="Arial"/>
          <w:lang w:val="es-ES"/>
        </w:rPr>
        <w:t xml:space="preserve"> la descripción detallada de riesgos y acciones principales</w:t>
      </w:r>
      <w:r>
        <w:rPr>
          <w:rFonts w:ascii="Arial" w:hAnsi="Arial" w:cs="Arial"/>
          <w:lang w:val="es-ES"/>
        </w:rPr>
        <w:t xml:space="preserve"> y el</w:t>
      </w:r>
      <w:r w:rsidRPr="00DD37EC">
        <w:rPr>
          <w:rFonts w:ascii="Arial" w:hAnsi="Arial" w:cs="Arial"/>
          <w:lang w:val="es-ES"/>
        </w:rPr>
        <w:t xml:space="preserve"> plan</w:t>
      </w:r>
      <w:r>
        <w:rPr>
          <w:rFonts w:ascii="Arial" w:hAnsi="Arial" w:cs="Arial"/>
          <w:lang w:val="es-ES"/>
        </w:rPr>
        <w:t xml:space="preserve"> </w:t>
      </w:r>
      <w:r w:rsidRPr="00DD37EC">
        <w:rPr>
          <w:rFonts w:ascii="Arial" w:hAnsi="Arial" w:cs="Arial"/>
          <w:lang w:val="es-ES"/>
        </w:rPr>
        <w:t xml:space="preserve">de </w:t>
      </w:r>
      <w:r>
        <w:rPr>
          <w:rFonts w:ascii="Arial" w:hAnsi="Arial" w:cs="Arial"/>
          <w:lang w:val="es-ES"/>
        </w:rPr>
        <w:t>trabajo</w:t>
      </w:r>
      <w:r w:rsidRPr="00DD37EC">
        <w:rPr>
          <w:rFonts w:ascii="Arial" w:hAnsi="Arial" w:cs="Arial"/>
          <w:lang w:val="es-ES"/>
        </w:rPr>
        <w:t xml:space="preserve"> detallados</w:t>
      </w:r>
      <w:r>
        <w:rPr>
          <w:rFonts w:ascii="Arial" w:hAnsi="Arial" w:cs="Arial"/>
          <w:lang w:val="es-ES"/>
        </w:rPr>
        <w:t xml:space="preserve"> </w:t>
      </w:r>
      <w:r w:rsidRPr="00DD37EC">
        <w:rPr>
          <w:rFonts w:ascii="Arial" w:hAnsi="Arial" w:cs="Arial"/>
          <w:lang w:val="es-ES"/>
        </w:rPr>
        <w:t>para VIH y TB,</w:t>
      </w:r>
      <w:r>
        <w:rPr>
          <w:rFonts w:ascii="Arial" w:hAnsi="Arial" w:cs="Arial"/>
          <w:lang w:val="es-ES"/>
        </w:rPr>
        <w:t xml:space="preserve"> incl</w:t>
      </w:r>
      <w:r w:rsidRPr="00DD37EC">
        <w:rPr>
          <w:rFonts w:ascii="Arial" w:hAnsi="Arial" w:cs="Arial"/>
          <w:lang w:val="es-ES"/>
        </w:rPr>
        <w:t>u</w:t>
      </w:r>
      <w:r>
        <w:rPr>
          <w:rFonts w:ascii="Arial" w:hAnsi="Arial" w:cs="Arial"/>
          <w:lang w:val="es-ES"/>
        </w:rPr>
        <w:t>yendo el</w:t>
      </w:r>
      <w:r w:rsidRPr="00DD37EC">
        <w:rPr>
          <w:rFonts w:ascii="Arial" w:hAnsi="Arial" w:cs="Arial"/>
          <w:lang w:val="es-ES"/>
        </w:rPr>
        <w:t xml:space="preserve"> costo estimado de las actividades con mayor impacto</w:t>
      </w:r>
      <w:r>
        <w:rPr>
          <w:rFonts w:ascii="Arial" w:hAnsi="Arial" w:cs="Arial"/>
          <w:lang w:val="es-ES"/>
        </w:rPr>
        <w:t xml:space="preserve"> e indicadores para su monitoreo.</w:t>
      </w:r>
    </w:p>
    <w:p w14:paraId="7B61858C" w14:textId="44B5CF8F" w:rsidR="00F37AFA" w:rsidRPr="008F4DC3" w:rsidRDefault="00380407" w:rsidP="00DD37EC">
      <w:pPr>
        <w:pStyle w:val="Heading2"/>
        <w:numPr>
          <w:ilvl w:val="1"/>
          <w:numId w:val="1"/>
        </w:numPr>
        <w:spacing w:before="0" w:after="240" w:line="240" w:lineRule="auto"/>
        <w:rPr>
          <w:rFonts w:ascii="Arial" w:hAnsi="Arial" w:cs="Arial"/>
          <w:sz w:val="22"/>
          <w:szCs w:val="22"/>
          <w:lang w:val="es-419"/>
        </w:rPr>
      </w:pPr>
      <w:bookmarkStart w:id="16" w:name="_Toc8905212"/>
      <w:r w:rsidRPr="00DD37EC">
        <w:rPr>
          <w:rFonts w:ascii="Arial" w:hAnsi="Arial" w:cs="Arial"/>
          <w:sz w:val="22"/>
          <w:szCs w:val="22"/>
          <w:lang w:val="es-419"/>
        </w:rPr>
        <w:t>Contexto del país y hallazgos preliminares</w:t>
      </w:r>
      <w:bookmarkEnd w:id="16"/>
      <w:r w:rsidRPr="00DD37EC">
        <w:rPr>
          <w:rFonts w:ascii="Arial" w:hAnsi="Arial" w:cs="Arial"/>
          <w:sz w:val="22"/>
          <w:szCs w:val="22"/>
          <w:lang w:val="es-419"/>
        </w:rPr>
        <w:t xml:space="preserve"> </w:t>
      </w:r>
    </w:p>
    <w:p w14:paraId="21E3CA88" w14:textId="5DC96679" w:rsidR="00020962" w:rsidRPr="00DD37EC" w:rsidRDefault="003702A0" w:rsidP="00DD37EC">
      <w:pPr>
        <w:spacing w:after="240" w:line="240" w:lineRule="auto"/>
        <w:jc w:val="both"/>
        <w:rPr>
          <w:rFonts w:ascii="Arial" w:hAnsi="Arial" w:cs="Arial"/>
          <w:lang w:val="es-MX"/>
        </w:rPr>
      </w:pPr>
      <w:r w:rsidRPr="00DD37EC">
        <w:rPr>
          <w:rFonts w:ascii="Arial" w:hAnsi="Arial" w:cs="Arial"/>
          <w:lang w:val="es-ES"/>
        </w:rPr>
        <w:t>Siguiendo</w:t>
      </w:r>
      <w:r w:rsidR="00E751B9" w:rsidRPr="00DD37EC">
        <w:rPr>
          <w:rFonts w:ascii="Arial" w:hAnsi="Arial" w:cs="Arial"/>
          <w:lang w:val="es-ES"/>
        </w:rPr>
        <w:t xml:space="preserve"> la metodología descrita</w:t>
      </w:r>
      <w:r w:rsidRPr="00DD37EC">
        <w:rPr>
          <w:rFonts w:ascii="Arial" w:hAnsi="Arial" w:cs="Arial"/>
          <w:lang w:val="es-ES"/>
        </w:rPr>
        <w:t xml:space="preserve">, </w:t>
      </w:r>
      <w:r w:rsidR="00DD2C32">
        <w:rPr>
          <w:rFonts w:ascii="Arial" w:hAnsi="Arial" w:cs="Arial"/>
          <w:lang w:val="es-ES"/>
        </w:rPr>
        <w:t xml:space="preserve">durante la primera misión </w:t>
      </w:r>
      <w:r w:rsidRPr="00DD37EC">
        <w:rPr>
          <w:rFonts w:ascii="Arial" w:hAnsi="Arial" w:cs="Arial"/>
          <w:lang w:val="es-ES"/>
        </w:rPr>
        <w:t xml:space="preserve">en </w:t>
      </w:r>
      <w:r w:rsidR="00E751B9" w:rsidRPr="00DD37EC">
        <w:rPr>
          <w:rFonts w:ascii="Arial" w:hAnsi="Arial" w:cs="Arial"/>
          <w:lang w:val="es-ES"/>
        </w:rPr>
        <w:t>Honduras se lograron identificar 19 riesgos p</w:t>
      </w:r>
      <w:r w:rsidR="00DD2C32">
        <w:rPr>
          <w:rFonts w:ascii="Arial" w:hAnsi="Arial" w:cs="Arial"/>
          <w:lang w:val="es-ES"/>
        </w:rPr>
        <w:t>reliminares</w:t>
      </w:r>
      <w:r w:rsidR="00E751B9" w:rsidRPr="00DD37EC">
        <w:rPr>
          <w:rFonts w:ascii="Arial" w:hAnsi="Arial" w:cs="Arial"/>
          <w:lang w:val="es-ES"/>
        </w:rPr>
        <w:t xml:space="preserve">, los cuales surgieron del análisis de las cuatro áreas claves en que se organizó el análisis y este reporte (provisión de servicios, </w:t>
      </w:r>
      <w:r w:rsidR="00502165" w:rsidRPr="00DD37EC">
        <w:rPr>
          <w:rFonts w:ascii="Arial" w:hAnsi="Arial" w:cs="Arial"/>
          <w:lang w:val="es-ES"/>
        </w:rPr>
        <w:t xml:space="preserve">financiamiento, </w:t>
      </w:r>
      <w:r w:rsidR="00E751B9" w:rsidRPr="00DD37EC">
        <w:rPr>
          <w:rFonts w:ascii="Arial" w:hAnsi="Arial" w:cs="Arial"/>
          <w:lang w:val="es-ES"/>
        </w:rPr>
        <w:t xml:space="preserve">derechos humanos y sociedad </w:t>
      </w:r>
      <w:r w:rsidR="00502165" w:rsidRPr="00DD37EC">
        <w:rPr>
          <w:rFonts w:ascii="Arial" w:hAnsi="Arial" w:cs="Arial"/>
          <w:lang w:val="es-ES"/>
        </w:rPr>
        <w:t>civil</w:t>
      </w:r>
      <w:r w:rsidR="00816784" w:rsidRPr="00DD37EC">
        <w:rPr>
          <w:rFonts w:ascii="Arial" w:hAnsi="Arial" w:cs="Arial"/>
          <w:lang w:val="es-ES"/>
        </w:rPr>
        <w:t xml:space="preserve">, y </w:t>
      </w:r>
      <w:r w:rsidR="002D59E4">
        <w:rPr>
          <w:rFonts w:ascii="Arial" w:hAnsi="Arial" w:cs="Arial"/>
          <w:lang w:val="es-ES"/>
        </w:rPr>
        <w:lastRenderedPageBreak/>
        <w:t>gobernanza</w:t>
      </w:r>
      <w:r w:rsidR="00816784" w:rsidRPr="00DD37EC">
        <w:rPr>
          <w:rFonts w:ascii="Arial" w:hAnsi="Arial" w:cs="Arial"/>
          <w:lang w:val="es-ES"/>
        </w:rPr>
        <w:t xml:space="preserve"> e instituciones</w:t>
      </w:r>
      <w:r w:rsidR="00E751B9" w:rsidRPr="00DD37EC">
        <w:rPr>
          <w:rFonts w:ascii="Arial" w:hAnsi="Arial" w:cs="Arial"/>
          <w:lang w:val="es-ES"/>
        </w:rPr>
        <w:t>).</w:t>
      </w:r>
      <w:r w:rsidR="005B3AF5" w:rsidRPr="00DD37EC">
        <w:rPr>
          <w:rFonts w:ascii="Arial" w:hAnsi="Arial" w:cs="Arial"/>
          <w:lang w:val="es-ES"/>
        </w:rPr>
        <w:t xml:space="preserve"> En </w:t>
      </w:r>
      <w:r w:rsidR="00740093">
        <w:rPr>
          <w:rFonts w:ascii="Arial" w:hAnsi="Arial" w:cs="Arial"/>
          <w:lang w:val="es-ES"/>
        </w:rPr>
        <w:t>el Anexo 2</w:t>
      </w:r>
      <w:r w:rsidR="005B3AF5" w:rsidRPr="00DD37EC">
        <w:rPr>
          <w:rFonts w:ascii="Arial" w:hAnsi="Arial" w:cs="Arial"/>
          <w:lang w:val="es-ES"/>
        </w:rPr>
        <w:t xml:space="preserve"> se presentan los resultados del ejercicio de priorización realizado con la Asamblea del </w:t>
      </w:r>
      <w:r w:rsidR="00202035">
        <w:rPr>
          <w:rFonts w:ascii="Arial" w:hAnsi="Arial" w:cs="Arial"/>
          <w:lang w:val="es-ES"/>
        </w:rPr>
        <w:t>MCP</w:t>
      </w:r>
      <w:r w:rsidR="005B3AF5" w:rsidRPr="00DD37EC">
        <w:rPr>
          <w:rFonts w:ascii="Arial" w:hAnsi="Arial" w:cs="Arial"/>
          <w:lang w:val="es-ES"/>
        </w:rPr>
        <w:t xml:space="preserve"> el </w:t>
      </w:r>
      <w:r w:rsidR="00146CC8" w:rsidRPr="00DD37EC">
        <w:rPr>
          <w:rFonts w:ascii="Arial" w:hAnsi="Arial" w:cs="Arial"/>
          <w:lang w:val="es-ES"/>
        </w:rPr>
        <w:t xml:space="preserve">pasado </w:t>
      </w:r>
      <w:r w:rsidR="005B3AF5" w:rsidRPr="00DD37EC">
        <w:rPr>
          <w:rFonts w:ascii="Arial" w:hAnsi="Arial" w:cs="Arial"/>
          <w:lang w:val="es-ES"/>
        </w:rPr>
        <w:t xml:space="preserve">30 de noviembre de 2019. </w:t>
      </w:r>
      <w:r w:rsidRPr="00DD37EC">
        <w:rPr>
          <w:rFonts w:ascii="Arial" w:hAnsi="Arial" w:cs="Arial"/>
          <w:lang w:val="es-ES"/>
        </w:rPr>
        <w:t>Los</w:t>
      </w:r>
      <w:r w:rsidR="005B3AF5" w:rsidRPr="00DD37EC">
        <w:rPr>
          <w:rFonts w:ascii="Arial" w:hAnsi="Arial" w:cs="Arial"/>
          <w:lang w:val="es-ES"/>
        </w:rPr>
        <w:t xml:space="preserve"> 6 riesgos prioritarios que </w:t>
      </w:r>
      <w:r w:rsidRPr="00DD37EC">
        <w:rPr>
          <w:rFonts w:ascii="Arial" w:hAnsi="Arial" w:cs="Arial"/>
          <w:lang w:val="es-ES"/>
        </w:rPr>
        <w:t>surgieron de este ejercicio</w:t>
      </w:r>
      <w:r w:rsidR="00741E40" w:rsidRPr="00DD37EC">
        <w:rPr>
          <w:rFonts w:ascii="Arial" w:hAnsi="Arial" w:cs="Arial"/>
          <w:lang w:val="es-ES"/>
        </w:rPr>
        <w:t xml:space="preserve"> </w:t>
      </w:r>
      <w:r w:rsidR="00740093">
        <w:rPr>
          <w:rFonts w:ascii="Arial" w:hAnsi="Arial" w:cs="Arial"/>
          <w:lang w:val="es-ES"/>
        </w:rPr>
        <w:t>fueron</w:t>
      </w:r>
      <w:r w:rsidR="005B3AF5" w:rsidRPr="00DD37EC">
        <w:rPr>
          <w:rFonts w:ascii="Arial" w:hAnsi="Arial" w:cs="Arial"/>
          <w:lang w:val="es-ES"/>
        </w:rPr>
        <w:t>: 1</w:t>
      </w:r>
      <w:r w:rsidR="008B786E">
        <w:rPr>
          <w:rFonts w:ascii="Arial" w:hAnsi="Arial" w:cs="Arial"/>
          <w:lang w:val="es-ES"/>
        </w:rPr>
        <w:t>)</w:t>
      </w:r>
      <w:r w:rsidR="008B786E" w:rsidRPr="008B786E">
        <w:rPr>
          <w:lang w:val="es-MX"/>
        </w:rPr>
        <w:t xml:space="preserve"> </w:t>
      </w:r>
      <w:r w:rsidR="008B786E">
        <w:rPr>
          <w:rFonts w:ascii="Arial" w:hAnsi="Arial" w:cs="Arial"/>
          <w:lang w:val="es-ES"/>
        </w:rPr>
        <w:t>la</w:t>
      </w:r>
      <w:r w:rsidR="008B786E" w:rsidRPr="008B786E">
        <w:rPr>
          <w:rFonts w:ascii="Arial" w:hAnsi="Arial" w:cs="Arial"/>
          <w:lang w:val="es-ES"/>
        </w:rPr>
        <w:t xml:space="preserve"> resistencia a los ARV</w:t>
      </w:r>
      <w:r w:rsidR="008B786E">
        <w:rPr>
          <w:rFonts w:ascii="Arial" w:hAnsi="Arial" w:cs="Arial"/>
          <w:lang w:val="es-ES"/>
        </w:rPr>
        <w:t xml:space="preserve"> y la </w:t>
      </w:r>
      <w:r w:rsidR="00293C5D">
        <w:rPr>
          <w:rFonts w:ascii="Arial" w:hAnsi="Arial" w:cs="Arial"/>
          <w:lang w:val="es-ES"/>
        </w:rPr>
        <w:t>Tuberculosis Multidrogorresistente (</w:t>
      </w:r>
      <w:r w:rsidR="008B786E">
        <w:rPr>
          <w:rFonts w:ascii="Arial" w:hAnsi="Arial" w:cs="Arial"/>
          <w:lang w:val="es-ES"/>
        </w:rPr>
        <w:t>TB-MDR</w:t>
      </w:r>
      <w:r w:rsidR="00293C5D">
        <w:rPr>
          <w:rFonts w:ascii="Arial" w:hAnsi="Arial" w:cs="Arial"/>
          <w:lang w:val="es-ES"/>
        </w:rPr>
        <w:t>)</w:t>
      </w:r>
      <w:r w:rsidR="008B786E">
        <w:rPr>
          <w:rFonts w:ascii="Arial" w:hAnsi="Arial" w:cs="Arial"/>
          <w:lang w:val="es-ES"/>
        </w:rPr>
        <w:t>; 2) la sostenibilidad de los RRHH; 3) la a</w:t>
      </w:r>
      <w:r w:rsidR="008B786E" w:rsidRPr="008B786E">
        <w:rPr>
          <w:rFonts w:ascii="Arial" w:hAnsi="Arial" w:cs="Arial"/>
          <w:lang w:val="es-ES"/>
        </w:rPr>
        <w:t>dquisición de medicamentos e insumos esenciales con recursos externos;</w:t>
      </w:r>
      <w:r w:rsidR="008B786E">
        <w:rPr>
          <w:rFonts w:ascii="Arial" w:hAnsi="Arial" w:cs="Arial"/>
          <w:lang w:val="es-ES"/>
        </w:rPr>
        <w:t xml:space="preserve"> 4) </w:t>
      </w:r>
      <w:r w:rsidR="008B786E" w:rsidRPr="008B786E">
        <w:rPr>
          <w:rFonts w:ascii="Arial" w:hAnsi="Arial" w:cs="Arial"/>
          <w:lang w:val="es-ES"/>
        </w:rPr>
        <w:t xml:space="preserve">El financiamiento en prevención de VIH en población clave financiado por la cooperación externa y el trabajo de prevención combinada para grupos clave </w:t>
      </w:r>
      <w:r w:rsidR="008B786E">
        <w:rPr>
          <w:rFonts w:ascii="Arial" w:hAnsi="Arial" w:cs="Arial"/>
          <w:lang w:val="es-ES"/>
        </w:rPr>
        <w:t>r</w:t>
      </w:r>
      <w:r w:rsidR="008B786E" w:rsidRPr="008B786E">
        <w:rPr>
          <w:rFonts w:ascii="Arial" w:hAnsi="Arial" w:cs="Arial"/>
          <w:lang w:val="es-ES"/>
        </w:rPr>
        <w:t>ealizado por las OSC</w:t>
      </w:r>
      <w:r w:rsidR="008B786E">
        <w:rPr>
          <w:rFonts w:ascii="Arial" w:hAnsi="Arial" w:cs="Arial"/>
          <w:lang w:val="es-ES"/>
        </w:rPr>
        <w:t xml:space="preserve">; 5) la falta </w:t>
      </w:r>
      <w:r w:rsidR="008B786E" w:rsidRPr="008B786E">
        <w:rPr>
          <w:rFonts w:ascii="Arial" w:hAnsi="Arial" w:cs="Arial"/>
          <w:lang w:val="es-ES"/>
        </w:rPr>
        <w:t xml:space="preserve">de toma de decisión y responsabilidad política para el respeto de los </w:t>
      </w:r>
      <w:r w:rsidR="00FE4D9F">
        <w:rPr>
          <w:rFonts w:ascii="Arial" w:hAnsi="Arial" w:cs="Arial"/>
          <w:lang w:val="es-ES"/>
        </w:rPr>
        <w:t>DDHH</w:t>
      </w:r>
      <w:r w:rsidR="008B786E">
        <w:rPr>
          <w:rFonts w:ascii="Arial" w:hAnsi="Arial" w:cs="Arial"/>
          <w:lang w:val="es-ES"/>
        </w:rPr>
        <w:t xml:space="preserve">; 6) la sostenibilidad financiera y operativa de las OSCs; y 7) </w:t>
      </w:r>
      <w:r w:rsidR="00FE4D9F">
        <w:rPr>
          <w:rFonts w:ascii="Arial" w:hAnsi="Arial" w:cs="Arial"/>
          <w:lang w:val="es-ES"/>
        </w:rPr>
        <w:t xml:space="preserve">el incumplimiento en la rendición de </w:t>
      </w:r>
      <w:r w:rsidR="00DC4A59">
        <w:rPr>
          <w:rFonts w:ascii="Arial" w:hAnsi="Arial" w:cs="Arial"/>
          <w:lang w:val="es-ES"/>
        </w:rPr>
        <w:t>cuen</w:t>
      </w:r>
      <w:r w:rsidR="00FE4D9F">
        <w:rPr>
          <w:rFonts w:ascii="Arial" w:hAnsi="Arial" w:cs="Arial"/>
          <w:lang w:val="es-ES"/>
        </w:rPr>
        <w:t>tas.</w:t>
      </w:r>
    </w:p>
    <w:p w14:paraId="60160C5E" w14:textId="6FADBE7E" w:rsidR="00175E49" w:rsidRPr="00286560" w:rsidRDefault="00B65C35" w:rsidP="00286560">
      <w:pPr>
        <w:spacing w:after="240" w:line="240" w:lineRule="auto"/>
        <w:jc w:val="both"/>
        <w:rPr>
          <w:rFonts w:ascii="Arial" w:hAnsi="Arial" w:cs="Arial"/>
          <w:lang w:val="es-ES"/>
        </w:rPr>
      </w:pPr>
      <w:r w:rsidRPr="00DD37EC">
        <w:rPr>
          <w:rFonts w:ascii="Arial" w:hAnsi="Arial" w:cs="Arial"/>
          <w:lang w:val="es-ES"/>
        </w:rPr>
        <w:t>Los riesgos identificados tienen variación en su nivel de impacto potencial en la sostenibilidad de los programas y en su factibilidad, estos matices serán identificados por los principales actores de las Respuestas Nacionales durante la construcción de</w:t>
      </w:r>
      <w:r w:rsidR="00740093">
        <w:rPr>
          <w:rFonts w:ascii="Arial" w:hAnsi="Arial" w:cs="Arial"/>
          <w:lang w:val="es-ES"/>
        </w:rPr>
        <w:t xml:space="preserve">l plan de trabajo </w:t>
      </w:r>
      <w:r w:rsidRPr="00DD37EC">
        <w:rPr>
          <w:rFonts w:ascii="Arial" w:hAnsi="Arial" w:cs="Arial"/>
          <w:lang w:val="es-ES"/>
        </w:rPr>
        <w:t xml:space="preserve">de Sostenibilidad </w:t>
      </w:r>
      <w:r w:rsidR="006D7272" w:rsidRPr="00DD37EC">
        <w:rPr>
          <w:rFonts w:ascii="Arial" w:hAnsi="Arial" w:cs="Arial"/>
          <w:lang w:val="es-ES"/>
        </w:rPr>
        <w:t xml:space="preserve">para VIH y TB </w:t>
      </w:r>
      <w:r w:rsidRPr="00DD37EC">
        <w:rPr>
          <w:rFonts w:ascii="Arial" w:hAnsi="Arial" w:cs="Arial"/>
          <w:lang w:val="es-ES"/>
        </w:rPr>
        <w:t>correspondiente a esta Estrategia.</w:t>
      </w:r>
    </w:p>
    <w:p w14:paraId="754CC38E" w14:textId="48E55C52" w:rsidR="00E24297" w:rsidRPr="00DD37EC" w:rsidRDefault="00AF423B" w:rsidP="00175E49">
      <w:pPr>
        <w:pStyle w:val="Heading3"/>
        <w:spacing w:before="0" w:after="240" w:line="240" w:lineRule="auto"/>
        <w:rPr>
          <w:rFonts w:ascii="Arial" w:hAnsi="Arial" w:cs="Arial"/>
          <w:sz w:val="22"/>
          <w:szCs w:val="22"/>
          <w:lang w:val="es-419"/>
        </w:rPr>
      </w:pPr>
      <w:bookmarkStart w:id="17" w:name="_Toc8905213"/>
      <w:bookmarkStart w:id="18" w:name="_Hlk529812575"/>
      <w:r w:rsidRPr="00DD37EC">
        <w:rPr>
          <w:rFonts w:ascii="Arial" w:hAnsi="Arial" w:cs="Arial"/>
          <w:sz w:val="22"/>
          <w:szCs w:val="22"/>
          <w:lang w:val="es-419"/>
        </w:rPr>
        <w:t>1.3.1</w:t>
      </w:r>
      <w:r w:rsidR="009161E4" w:rsidRPr="00DD37EC">
        <w:rPr>
          <w:rFonts w:ascii="Arial" w:hAnsi="Arial" w:cs="Arial"/>
          <w:sz w:val="22"/>
          <w:szCs w:val="22"/>
          <w:lang w:val="es-419"/>
        </w:rPr>
        <w:t xml:space="preserve"> </w:t>
      </w:r>
      <w:r w:rsidR="000E4ECF" w:rsidRPr="00DD37EC">
        <w:rPr>
          <w:rFonts w:ascii="Arial" w:hAnsi="Arial" w:cs="Arial"/>
          <w:sz w:val="22"/>
          <w:szCs w:val="22"/>
          <w:lang w:val="es-419"/>
        </w:rPr>
        <w:t>Riesgos a la sostenibilidad priorizados por el país</w:t>
      </w:r>
      <w:bookmarkEnd w:id="17"/>
    </w:p>
    <w:p w14:paraId="3E820E9A" w14:textId="40DFFD65" w:rsidR="003E4F4B" w:rsidRPr="000222E8" w:rsidRDefault="005209A7" w:rsidP="000222E8">
      <w:pPr>
        <w:spacing w:after="240" w:line="240" w:lineRule="auto"/>
        <w:jc w:val="both"/>
        <w:rPr>
          <w:rFonts w:ascii="Arial" w:hAnsi="Arial" w:cs="Arial"/>
          <w:lang w:val="es-ES"/>
        </w:rPr>
      </w:pPr>
      <w:r w:rsidRPr="00DD37EC">
        <w:rPr>
          <w:rFonts w:ascii="Arial" w:hAnsi="Arial" w:cs="Arial"/>
          <w:lang w:val="es-ES"/>
        </w:rPr>
        <w:t>A continuación</w:t>
      </w:r>
      <w:r w:rsidR="00A03826" w:rsidRPr="00DD37EC">
        <w:rPr>
          <w:rFonts w:ascii="Arial" w:hAnsi="Arial" w:cs="Arial"/>
          <w:lang w:val="es-ES"/>
        </w:rPr>
        <w:t>,</w:t>
      </w:r>
      <w:r w:rsidRPr="00DD37EC">
        <w:rPr>
          <w:rFonts w:ascii="Arial" w:hAnsi="Arial" w:cs="Arial"/>
          <w:lang w:val="es-ES"/>
        </w:rPr>
        <w:t xml:space="preserve"> se describen brevemente l</w:t>
      </w:r>
      <w:r w:rsidR="00B13B0E" w:rsidRPr="00DD37EC">
        <w:rPr>
          <w:rFonts w:ascii="Arial" w:hAnsi="Arial" w:cs="Arial"/>
          <w:lang w:val="es-ES"/>
        </w:rPr>
        <w:t>a versión revisada de los</w:t>
      </w:r>
      <w:r w:rsidRPr="00DD37EC">
        <w:rPr>
          <w:rFonts w:ascii="Arial" w:hAnsi="Arial" w:cs="Arial"/>
          <w:lang w:val="es-ES"/>
        </w:rPr>
        <w:t xml:space="preserve"> </w:t>
      </w:r>
      <w:r w:rsidR="000222E8">
        <w:rPr>
          <w:rFonts w:ascii="Arial" w:hAnsi="Arial" w:cs="Arial"/>
          <w:lang w:val="es-ES"/>
        </w:rPr>
        <w:t>7 riesgos prioritarios</w:t>
      </w:r>
      <w:r w:rsidRPr="00DD37EC">
        <w:rPr>
          <w:rFonts w:ascii="Arial" w:hAnsi="Arial" w:cs="Arial"/>
          <w:lang w:val="es-ES"/>
        </w:rPr>
        <w:t xml:space="preserve"> junto con su impacto en el control de las epidemias, y se enlistan </w:t>
      </w:r>
      <w:r w:rsidR="000222E8">
        <w:rPr>
          <w:rFonts w:ascii="Arial" w:hAnsi="Arial" w:cs="Arial"/>
          <w:lang w:val="es-ES"/>
        </w:rPr>
        <w:t xml:space="preserve">las </w:t>
      </w:r>
      <w:r w:rsidRPr="00DD37EC">
        <w:rPr>
          <w:rFonts w:ascii="Arial" w:hAnsi="Arial" w:cs="Arial"/>
          <w:lang w:val="es-ES"/>
        </w:rPr>
        <w:t>soluciones</w:t>
      </w:r>
      <w:r w:rsidR="000222E8">
        <w:rPr>
          <w:rFonts w:ascii="Arial" w:hAnsi="Arial" w:cs="Arial"/>
          <w:lang w:val="es-ES"/>
        </w:rPr>
        <w:t xml:space="preserve"> de mitigación de riesgo que fueron discutidos y consensuados durante el taller multisectorial de Tegucigalpa.</w:t>
      </w:r>
    </w:p>
    <w:tbl>
      <w:tblPr>
        <w:tblStyle w:val="TableGrid"/>
        <w:tblW w:w="9985" w:type="dxa"/>
        <w:tblLayout w:type="fixed"/>
        <w:tblLook w:val="04A0" w:firstRow="1" w:lastRow="0" w:firstColumn="1" w:lastColumn="0" w:noHBand="0" w:noVBand="1"/>
      </w:tblPr>
      <w:tblGrid>
        <w:gridCol w:w="1536"/>
        <w:gridCol w:w="8449"/>
      </w:tblGrid>
      <w:tr w:rsidR="009576A5" w:rsidRPr="00A22FF1" w14:paraId="552CBB0D" w14:textId="77777777" w:rsidTr="00560DAF">
        <w:trPr>
          <w:trHeight w:val="2546"/>
        </w:trPr>
        <w:tc>
          <w:tcPr>
            <w:tcW w:w="1536" w:type="dxa"/>
            <w:shd w:val="clear" w:color="auto" w:fill="E7E6E6" w:themeFill="background2"/>
          </w:tcPr>
          <w:p w14:paraId="3B7B15D4" w14:textId="3A0A8F2D" w:rsidR="009576A5" w:rsidRPr="00DD37EC" w:rsidRDefault="009576A5" w:rsidP="009576A5">
            <w:pPr>
              <w:spacing w:after="240"/>
              <w:rPr>
                <w:rFonts w:ascii="Arial" w:hAnsi="Arial" w:cs="Arial"/>
                <w:b/>
                <w:lang w:val="es-MX"/>
              </w:rPr>
            </w:pPr>
            <w:r w:rsidRPr="00DD37EC">
              <w:rPr>
                <w:rFonts w:ascii="Arial" w:hAnsi="Arial" w:cs="Arial"/>
                <w:b/>
                <w:lang w:val="es-MX"/>
              </w:rPr>
              <w:t xml:space="preserve">RIESGO </w:t>
            </w:r>
            <w:r w:rsidR="00B83508">
              <w:rPr>
                <w:rFonts w:ascii="Arial" w:hAnsi="Arial" w:cs="Arial"/>
                <w:b/>
                <w:lang w:val="es-MX"/>
              </w:rPr>
              <w:t>1</w:t>
            </w:r>
            <w:r w:rsidR="00AB3191">
              <w:rPr>
                <w:rFonts w:ascii="Arial" w:hAnsi="Arial" w:cs="Arial"/>
                <w:b/>
                <w:lang w:val="es-MX"/>
              </w:rPr>
              <w:t>a</w:t>
            </w:r>
          </w:p>
        </w:tc>
        <w:tc>
          <w:tcPr>
            <w:tcW w:w="8449" w:type="dxa"/>
            <w:shd w:val="clear" w:color="auto" w:fill="E7E6E6" w:themeFill="background2"/>
          </w:tcPr>
          <w:p w14:paraId="1F23A082" w14:textId="77777777" w:rsidR="00D91690" w:rsidRPr="00D91690" w:rsidRDefault="00D91690" w:rsidP="00D91690">
            <w:pPr>
              <w:tabs>
                <w:tab w:val="left" w:pos="337"/>
                <w:tab w:val="left" w:pos="1486"/>
              </w:tabs>
              <w:spacing w:after="240"/>
              <w:rPr>
                <w:rFonts w:ascii="Arial" w:hAnsi="Arial" w:cs="Arial"/>
                <w:b/>
                <w:lang w:val="es-MX"/>
              </w:rPr>
            </w:pPr>
            <w:r w:rsidRPr="00D91690">
              <w:rPr>
                <w:rFonts w:ascii="Arial" w:hAnsi="Arial" w:cs="Arial"/>
                <w:b/>
                <w:lang w:val="es-MX"/>
              </w:rPr>
              <w:t>La resistencia a medicamentos representa un riesgo financiero y epidemiológico para las respuestas de VIH y TB.</w:t>
            </w:r>
          </w:p>
          <w:p w14:paraId="34D168C7" w14:textId="77777777" w:rsidR="00D91690" w:rsidRPr="00D91690" w:rsidRDefault="00D91690" w:rsidP="00D91690">
            <w:pPr>
              <w:tabs>
                <w:tab w:val="left" w:pos="337"/>
                <w:tab w:val="left" w:pos="1486"/>
              </w:tabs>
              <w:spacing w:after="240"/>
              <w:rPr>
                <w:rFonts w:ascii="Arial" w:hAnsi="Arial" w:cs="Arial"/>
                <w:b/>
                <w:lang w:val="es-MX"/>
              </w:rPr>
            </w:pPr>
            <w:r w:rsidRPr="00D91690">
              <w:rPr>
                <w:rFonts w:ascii="Arial" w:hAnsi="Arial" w:cs="Arial"/>
                <w:b/>
                <w:lang w:val="es-MX"/>
              </w:rPr>
              <w:t>a)</w:t>
            </w:r>
            <w:r w:rsidRPr="00D91690">
              <w:rPr>
                <w:rFonts w:ascii="Arial" w:hAnsi="Arial" w:cs="Arial"/>
                <w:b/>
                <w:lang w:val="es-MX"/>
              </w:rPr>
              <w:tab/>
              <w:t>La resistencia a los antirretrovirales (ARV) promueve la dispensación de nuevos medicamentos y migración a productos de alto costo (2da y 3era línea)</w:t>
            </w:r>
          </w:p>
          <w:p w14:paraId="7C0133CA" w14:textId="60AD740E" w:rsidR="00560791" w:rsidRPr="00DD37EC" w:rsidRDefault="00D91690" w:rsidP="00D91690">
            <w:pPr>
              <w:tabs>
                <w:tab w:val="left" w:pos="337"/>
                <w:tab w:val="left" w:pos="1486"/>
              </w:tabs>
              <w:spacing w:after="240"/>
              <w:rPr>
                <w:rFonts w:ascii="Arial" w:hAnsi="Arial" w:cs="Arial"/>
                <w:b/>
                <w:lang w:val="es-MX"/>
              </w:rPr>
            </w:pPr>
            <w:r w:rsidRPr="00D91690">
              <w:rPr>
                <w:rFonts w:ascii="Arial" w:hAnsi="Arial" w:cs="Arial"/>
                <w:b/>
                <w:lang w:val="es-MX"/>
              </w:rPr>
              <w:t>b)</w:t>
            </w:r>
            <w:r w:rsidRPr="00D91690">
              <w:rPr>
                <w:rFonts w:ascii="Arial" w:hAnsi="Arial" w:cs="Arial"/>
                <w:b/>
                <w:lang w:val="es-MX"/>
              </w:rPr>
              <w:tab/>
              <w:t>La Tuberculosis Multidrogorresistente (TB-MDR) refleja un débil apego al tratamiento de TB sensible y es un riesgo para la sostenibilidad de la atención de TB</w:t>
            </w:r>
          </w:p>
        </w:tc>
      </w:tr>
      <w:tr w:rsidR="009576A5" w:rsidRPr="00A22FF1" w14:paraId="1E0ED6BC" w14:textId="77777777" w:rsidTr="00864D29">
        <w:trPr>
          <w:trHeight w:val="802"/>
        </w:trPr>
        <w:tc>
          <w:tcPr>
            <w:tcW w:w="1536" w:type="dxa"/>
          </w:tcPr>
          <w:p w14:paraId="565FCF4F" w14:textId="42457299" w:rsidR="009576A5" w:rsidRPr="00DD37EC" w:rsidRDefault="00D91690" w:rsidP="009576A5">
            <w:pPr>
              <w:spacing w:after="240"/>
              <w:rPr>
                <w:rFonts w:ascii="Arial" w:hAnsi="Arial" w:cs="Arial"/>
                <w:b/>
                <w:lang w:val="es-MX"/>
              </w:rPr>
            </w:pPr>
            <w:r>
              <w:rPr>
                <w:rFonts w:ascii="Arial" w:hAnsi="Arial" w:cs="Arial"/>
                <w:b/>
                <w:lang w:val="es-MX"/>
              </w:rPr>
              <w:t>Descripción (VIH)</w:t>
            </w:r>
          </w:p>
        </w:tc>
        <w:tc>
          <w:tcPr>
            <w:tcW w:w="8449" w:type="dxa"/>
          </w:tcPr>
          <w:p w14:paraId="28A05CD4" w14:textId="318B503F" w:rsidR="00146D27" w:rsidRPr="00146D27" w:rsidRDefault="00146D27" w:rsidP="00146D27">
            <w:pPr>
              <w:spacing w:after="120"/>
              <w:rPr>
                <w:rFonts w:ascii="Arial" w:hAnsi="Arial" w:cs="Arial"/>
                <w:lang w:val="es-MX"/>
              </w:rPr>
            </w:pPr>
            <w:r w:rsidRPr="00146D27">
              <w:rPr>
                <w:rFonts w:ascii="Arial" w:hAnsi="Arial" w:cs="Arial"/>
                <w:lang w:val="es-MX"/>
              </w:rPr>
              <w:t>La información de la vigilancia de la resistencia permite evaluar el desempeño de las intervenciones nacionales para la supresión virológica en</w:t>
            </w:r>
            <w:r w:rsidR="00402B17">
              <w:rPr>
                <w:rFonts w:ascii="Arial" w:hAnsi="Arial" w:cs="Arial"/>
                <w:lang w:val="es-MX"/>
              </w:rPr>
              <w:t xml:space="preserve"> personas con VIH</w:t>
            </w:r>
            <w:r w:rsidRPr="00146D27">
              <w:rPr>
                <w:rFonts w:ascii="Arial" w:hAnsi="Arial" w:cs="Arial"/>
                <w:lang w:val="es-MX"/>
              </w:rPr>
              <w:t xml:space="preserve"> </w:t>
            </w:r>
            <w:r w:rsidR="00402B17">
              <w:rPr>
                <w:rFonts w:ascii="Arial" w:hAnsi="Arial" w:cs="Arial"/>
                <w:lang w:val="es-MX"/>
              </w:rPr>
              <w:t>(</w:t>
            </w:r>
            <w:r w:rsidRPr="00146D27">
              <w:rPr>
                <w:rFonts w:ascii="Arial" w:hAnsi="Arial" w:cs="Arial"/>
                <w:lang w:val="es-MX"/>
              </w:rPr>
              <w:t>PVIH</w:t>
            </w:r>
            <w:r w:rsidR="00402B17">
              <w:rPr>
                <w:rFonts w:ascii="Arial" w:hAnsi="Arial" w:cs="Arial"/>
                <w:lang w:val="es-MX"/>
              </w:rPr>
              <w:t>)</w:t>
            </w:r>
            <w:r w:rsidRPr="00146D27">
              <w:rPr>
                <w:rFonts w:ascii="Arial" w:hAnsi="Arial" w:cs="Arial"/>
                <w:lang w:val="es-MX"/>
              </w:rPr>
              <w:t>, así como evaluar la migración a esquemas de alto impacto financiero y la mejora de la calidad de vida de las personas.</w:t>
            </w:r>
          </w:p>
          <w:p w14:paraId="34A0F61F" w14:textId="1A5F914D" w:rsidR="009576A5" w:rsidRPr="00DD37EC" w:rsidRDefault="00146D27" w:rsidP="00146D27">
            <w:pPr>
              <w:spacing w:after="240"/>
              <w:rPr>
                <w:rFonts w:ascii="Arial" w:eastAsia="Times New Roman" w:hAnsi="Arial" w:cs="Arial"/>
                <w:color w:val="000000"/>
                <w:lang w:val="es-MX"/>
              </w:rPr>
            </w:pPr>
            <w:r w:rsidRPr="00146D27">
              <w:rPr>
                <w:rFonts w:ascii="Arial" w:hAnsi="Arial" w:cs="Arial"/>
                <w:lang w:val="es-MX"/>
              </w:rPr>
              <w:t>La migración a esquemas de alto costo (2da y 3era línea)</w:t>
            </w:r>
            <w:r w:rsidR="00402B17">
              <w:rPr>
                <w:rFonts w:ascii="Arial" w:hAnsi="Arial" w:cs="Arial"/>
                <w:lang w:val="es-MX"/>
              </w:rPr>
              <w:t>,</w:t>
            </w:r>
            <w:r w:rsidR="00402B17" w:rsidRPr="00402B17">
              <w:rPr>
                <w:rFonts w:ascii="Arial" w:hAnsi="Arial" w:cs="Arial"/>
                <w:lang w:val="es-MX"/>
              </w:rPr>
              <w:t xml:space="preserve"> con costos de US$375 y US$4,568 por paciente por año vs US$74 de la 1ª línea</w:t>
            </w:r>
            <w:r w:rsidR="00402B17">
              <w:rPr>
                <w:rStyle w:val="FootnoteReference"/>
                <w:rFonts w:ascii="Arial" w:hAnsi="Arial" w:cs="Arial"/>
                <w:lang w:val="es-MX"/>
              </w:rPr>
              <w:footnoteReference w:id="1"/>
            </w:r>
            <w:r w:rsidR="00402B17" w:rsidRPr="00402B17">
              <w:rPr>
                <w:rFonts w:ascii="Arial" w:hAnsi="Arial" w:cs="Arial"/>
                <w:lang w:val="es-MX"/>
              </w:rPr>
              <w:t xml:space="preserve">, </w:t>
            </w:r>
            <w:r w:rsidRPr="00146D27">
              <w:rPr>
                <w:rFonts w:ascii="Arial" w:hAnsi="Arial" w:cs="Arial"/>
                <w:lang w:val="es-MX"/>
              </w:rPr>
              <w:t xml:space="preserve">pone en riesgo la continuidad del financiamiento por fuente </w:t>
            </w:r>
            <w:r w:rsidR="00402B17">
              <w:rPr>
                <w:rFonts w:ascii="Arial" w:hAnsi="Arial" w:cs="Arial"/>
                <w:lang w:val="es-MX"/>
              </w:rPr>
              <w:t>pública</w:t>
            </w:r>
            <w:r w:rsidRPr="00146D27">
              <w:rPr>
                <w:rFonts w:ascii="Arial" w:hAnsi="Arial" w:cs="Arial"/>
                <w:lang w:val="es-MX"/>
              </w:rPr>
              <w:t>, agotando las opciones terapéuticas que el país tiene en su cuadro básico y normas.</w:t>
            </w:r>
          </w:p>
        </w:tc>
      </w:tr>
      <w:tr w:rsidR="009576A5" w:rsidRPr="00A22FF1" w14:paraId="120984FA" w14:textId="77777777" w:rsidTr="00B91C5F">
        <w:trPr>
          <w:trHeight w:val="890"/>
        </w:trPr>
        <w:tc>
          <w:tcPr>
            <w:tcW w:w="1536" w:type="dxa"/>
          </w:tcPr>
          <w:p w14:paraId="728CD8D3" w14:textId="77777777" w:rsidR="00D91690" w:rsidRDefault="009576A5" w:rsidP="0008055F">
            <w:pPr>
              <w:rPr>
                <w:rFonts w:ascii="Arial" w:hAnsi="Arial" w:cs="Arial"/>
                <w:b/>
                <w:lang w:val="es-MX"/>
              </w:rPr>
            </w:pPr>
            <w:r w:rsidRPr="00DD37EC">
              <w:rPr>
                <w:rFonts w:ascii="Arial" w:hAnsi="Arial" w:cs="Arial"/>
                <w:b/>
                <w:lang w:val="es-MX"/>
              </w:rPr>
              <w:t>Soluciones Potenciales</w:t>
            </w:r>
          </w:p>
          <w:p w14:paraId="3010C681" w14:textId="7C765F94" w:rsidR="00D91690" w:rsidRPr="00DD37EC" w:rsidRDefault="00D91690" w:rsidP="0008055F">
            <w:pPr>
              <w:rPr>
                <w:rFonts w:ascii="Arial" w:hAnsi="Arial" w:cs="Arial"/>
                <w:b/>
                <w:lang w:val="es-MX"/>
              </w:rPr>
            </w:pPr>
            <w:r>
              <w:rPr>
                <w:rFonts w:ascii="Arial" w:hAnsi="Arial" w:cs="Arial"/>
                <w:b/>
                <w:lang w:val="es-MX"/>
              </w:rPr>
              <w:t>(VIH)</w:t>
            </w:r>
          </w:p>
        </w:tc>
        <w:tc>
          <w:tcPr>
            <w:tcW w:w="8449" w:type="dxa"/>
          </w:tcPr>
          <w:p w14:paraId="42AE3B40" w14:textId="77777777" w:rsidR="006F5EBF" w:rsidRDefault="006F5EBF" w:rsidP="0068285B">
            <w:pPr>
              <w:pStyle w:val="ListParagraph"/>
              <w:numPr>
                <w:ilvl w:val="0"/>
                <w:numId w:val="26"/>
              </w:numPr>
              <w:spacing w:after="240"/>
              <w:rPr>
                <w:rFonts w:ascii="Arial" w:hAnsi="Arial" w:cs="Arial"/>
                <w:bCs/>
                <w:lang w:val="es-ES"/>
              </w:rPr>
            </w:pPr>
            <w:r w:rsidRPr="006F5EBF">
              <w:rPr>
                <w:rFonts w:ascii="Arial" w:hAnsi="Arial" w:cs="Arial"/>
                <w:bCs/>
                <w:lang w:val="es-ES"/>
              </w:rPr>
              <w:t>Elaborar el “Plan nacional de abordaje a la resistencia de los ARV en Honduras” que aborda las siguientes acciones (b-d).</w:t>
            </w:r>
          </w:p>
          <w:p w14:paraId="6A0E70A0" w14:textId="707031D5" w:rsidR="006F5EBF" w:rsidRDefault="006F5EBF" w:rsidP="0068285B">
            <w:pPr>
              <w:pStyle w:val="ListParagraph"/>
              <w:numPr>
                <w:ilvl w:val="0"/>
                <w:numId w:val="26"/>
              </w:numPr>
              <w:spacing w:after="240"/>
              <w:rPr>
                <w:rFonts w:ascii="Arial" w:hAnsi="Arial" w:cs="Arial"/>
                <w:bCs/>
                <w:lang w:val="es-ES"/>
              </w:rPr>
            </w:pPr>
            <w:r w:rsidRPr="006F5EBF">
              <w:rPr>
                <w:rFonts w:ascii="Arial" w:hAnsi="Arial" w:cs="Arial"/>
                <w:bCs/>
                <w:lang w:val="es-ES"/>
              </w:rPr>
              <w:t>Establecer un sistema de vigilancia a la resistencia a los ARV</w:t>
            </w:r>
            <w:r w:rsidR="00AC7DEC">
              <w:rPr>
                <w:rFonts w:ascii="Arial" w:hAnsi="Arial" w:cs="Arial"/>
                <w:bCs/>
                <w:lang w:val="es-ES"/>
              </w:rPr>
              <w:t>.</w:t>
            </w:r>
          </w:p>
          <w:p w14:paraId="49EF5E5A" w14:textId="1B34A075" w:rsidR="006F5EBF" w:rsidRDefault="006F5EBF" w:rsidP="0068285B">
            <w:pPr>
              <w:pStyle w:val="ListParagraph"/>
              <w:numPr>
                <w:ilvl w:val="0"/>
                <w:numId w:val="26"/>
              </w:numPr>
              <w:spacing w:after="240"/>
              <w:rPr>
                <w:rFonts w:ascii="Arial" w:hAnsi="Arial" w:cs="Arial"/>
                <w:bCs/>
                <w:lang w:val="es-ES"/>
              </w:rPr>
            </w:pPr>
            <w:r w:rsidRPr="006F5EBF">
              <w:rPr>
                <w:rFonts w:ascii="Arial" w:hAnsi="Arial" w:cs="Arial"/>
                <w:bCs/>
                <w:lang w:val="es-ES"/>
              </w:rPr>
              <w:t>Actualizar normas, guías y protocolos nacionales en función al perfil de resistencia a los ARV</w:t>
            </w:r>
            <w:r w:rsidR="00AC7DEC">
              <w:rPr>
                <w:rFonts w:ascii="Arial" w:hAnsi="Arial" w:cs="Arial"/>
                <w:bCs/>
                <w:lang w:val="es-ES"/>
              </w:rPr>
              <w:t>.</w:t>
            </w:r>
          </w:p>
          <w:p w14:paraId="0E9C021B" w14:textId="4CFC6785" w:rsidR="00E079C8" w:rsidRPr="006F5EBF" w:rsidRDefault="006F5EBF" w:rsidP="0068285B">
            <w:pPr>
              <w:pStyle w:val="ListParagraph"/>
              <w:numPr>
                <w:ilvl w:val="0"/>
                <w:numId w:val="26"/>
              </w:numPr>
              <w:spacing w:after="240"/>
              <w:rPr>
                <w:rFonts w:ascii="Arial" w:hAnsi="Arial" w:cs="Arial"/>
                <w:bCs/>
                <w:lang w:val="es-ES"/>
              </w:rPr>
            </w:pPr>
            <w:r w:rsidRPr="006F5EBF">
              <w:rPr>
                <w:rFonts w:ascii="Arial" w:hAnsi="Arial" w:cs="Arial"/>
                <w:bCs/>
                <w:lang w:val="es-ES"/>
              </w:rPr>
              <w:lastRenderedPageBreak/>
              <w:t>Elaborar un “Plan de migración de pacientes a un nuevo esquema de tratamiento basado en TLD (dosis diaria fija que combina Tenofovir, Disoproxilo fumarato, Lamivudina y Dolutegravir)”</w:t>
            </w:r>
            <w:r w:rsidR="00AC7DEC">
              <w:rPr>
                <w:rFonts w:ascii="Arial" w:hAnsi="Arial" w:cs="Arial"/>
                <w:bCs/>
                <w:lang w:val="es-ES"/>
              </w:rPr>
              <w:t>.</w:t>
            </w:r>
          </w:p>
        </w:tc>
      </w:tr>
      <w:tr w:rsidR="00D91690" w:rsidRPr="00A22FF1" w14:paraId="01F4192D" w14:textId="77777777" w:rsidTr="00864D29">
        <w:trPr>
          <w:trHeight w:val="802"/>
        </w:trPr>
        <w:tc>
          <w:tcPr>
            <w:tcW w:w="1536" w:type="dxa"/>
          </w:tcPr>
          <w:p w14:paraId="72DBDA43" w14:textId="2D07AFF6" w:rsidR="00D91690" w:rsidRPr="00DD37EC" w:rsidRDefault="00D91690" w:rsidP="009576A5">
            <w:pPr>
              <w:spacing w:after="240"/>
              <w:rPr>
                <w:rFonts w:ascii="Arial" w:hAnsi="Arial" w:cs="Arial"/>
                <w:b/>
                <w:lang w:val="es-MX"/>
              </w:rPr>
            </w:pPr>
            <w:r>
              <w:rPr>
                <w:rFonts w:ascii="Arial" w:hAnsi="Arial" w:cs="Arial"/>
                <w:b/>
                <w:lang w:val="es-MX"/>
              </w:rPr>
              <w:lastRenderedPageBreak/>
              <w:t>Descripción (TB)</w:t>
            </w:r>
          </w:p>
        </w:tc>
        <w:tc>
          <w:tcPr>
            <w:tcW w:w="8449" w:type="dxa"/>
          </w:tcPr>
          <w:p w14:paraId="5D02E747" w14:textId="76530CE2" w:rsidR="0008055F" w:rsidRPr="00CC3198" w:rsidRDefault="0008055F" w:rsidP="0008055F">
            <w:pPr>
              <w:tabs>
                <w:tab w:val="left" w:pos="337"/>
                <w:tab w:val="left" w:pos="1486"/>
              </w:tabs>
              <w:spacing w:after="240"/>
              <w:rPr>
                <w:rFonts w:ascii="Arial" w:eastAsia="Times New Roman" w:hAnsi="Arial" w:cs="Arial"/>
                <w:color w:val="000000"/>
                <w:lang w:val="es-ES_tradnl"/>
              </w:rPr>
            </w:pPr>
            <w:r w:rsidRPr="008369A5">
              <w:rPr>
                <w:rFonts w:ascii="Arial" w:eastAsia="Times New Roman" w:hAnsi="Arial" w:cs="Arial"/>
                <w:color w:val="000000"/>
                <w:lang w:val="es-MX"/>
              </w:rPr>
              <w:t>La TB-MDR produce mayor mortalidad que los casos de TB sensible al tratamiento antituberculoso.</w:t>
            </w:r>
            <w:r>
              <w:rPr>
                <w:rFonts w:ascii="Arial" w:eastAsia="Times New Roman" w:hAnsi="Arial" w:cs="Arial"/>
                <w:color w:val="000000"/>
                <w:lang w:val="es-MX"/>
              </w:rPr>
              <w:t xml:space="preserve"> </w:t>
            </w:r>
            <w:r w:rsidR="00CC3198" w:rsidRPr="00CC3198">
              <w:rPr>
                <w:rFonts w:ascii="Arial" w:eastAsia="Times New Roman" w:hAnsi="Arial" w:cs="Arial"/>
                <w:color w:val="000000"/>
                <w:lang w:val="es-MX"/>
              </w:rPr>
              <w:t>Asimismo, el mayor costo del tratamiento de TB-MDR (US$1,850 por paciente vs US$26 de la primera línea), representa un riesgo financiero para la sostenibilidad del programa. Se estiman un total de 103 pacientes con TB-MDR, por lo que los 85 pacientes no tratados representan una necesidad de recursos de al menos US$ 157 mil.</w:t>
            </w:r>
            <w:r w:rsidR="00CC3198">
              <w:rPr>
                <w:rStyle w:val="FootnoteReference"/>
                <w:rFonts w:ascii="Arial" w:eastAsia="Times New Roman" w:hAnsi="Arial" w:cs="Arial"/>
                <w:color w:val="000000"/>
                <w:lang w:val="es-MX"/>
              </w:rPr>
              <w:footnoteReference w:id="2"/>
            </w:r>
          </w:p>
          <w:p w14:paraId="77513891" w14:textId="126C128A" w:rsidR="00D91690" w:rsidRPr="006F5EBF" w:rsidRDefault="0008055F" w:rsidP="0008055F">
            <w:pPr>
              <w:spacing w:after="240"/>
              <w:rPr>
                <w:rFonts w:ascii="Arial" w:hAnsi="Arial" w:cs="Arial"/>
                <w:bCs/>
                <w:lang w:val="es-ES"/>
              </w:rPr>
            </w:pPr>
            <w:r w:rsidRPr="008369A5">
              <w:rPr>
                <w:rFonts w:ascii="Arial" w:eastAsia="Times New Roman" w:hAnsi="Arial" w:cs="Arial"/>
                <w:color w:val="000000"/>
                <w:lang w:val="es-MX"/>
              </w:rPr>
              <w:t xml:space="preserve">Las principales causas del incremento de casos de TB-MDR detectadas por el país </w:t>
            </w:r>
            <w:r>
              <w:rPr>
                <w:rFonts w:ascii="Arial" w:eastAsia="Times New Roman" w:hAnsi="Arial" w:cs="Arial"/>
                <w:color w:val="000000"/>
                <w:lang w:val="es-MX"/>
              </w:rPr>
              <w:t>son: (1) la f</w:t>
            </w:r>
            <w:r w:rsidRPr="008369A5">
              <w:rPr>
                <w:rFonts w:ascii="Arial" w:eastAsia="Times New Roman" w:hAnsi="Arial" w:cs="Arial"/>
                <w:color w:val="000000"/>
                <w:lang w:val="es-MX"/>
              </w:rPr>
              <w:t>alta de personal para la detección y seguimiento de pacientes por falta de recursos financieros</w:t>
            </w:r>
            <w:r>
              <w:rPr>
                <w:rFonts w:ascii="Arial" w:eastAsia="Times New Roman" w:hAnsi="Arial" w:cs="Arial"/>
                <w:color w:val="000000"/>
                <w:lang w:val="es-MX"/>
              </w:rPr>
              <w:t xml:space="preserve"> y (2) la dificultad de acceso a los casos por la in</w:t>
            </w:r>
            <w:r w:rsidRPr="008369A5">
              <w:rPr>
                <w:rFonts w:ascii="Arial" w:eastAsia="Times New Roman" w:hAnsi="Arial" w:cs="Arial"/>
                <w:color w:val="000000"/>
                <w:lang w:val="es-MX"/>
              </w:rPr>
              <w:t xml:space="preserve">seguridad </w:t>
            </w:r>
            <w:r>
              <w:rPr>
                <w:rFonts w:ascii="Arial" w:eastAsia="Times New Roman" w:hAnsi="Arial" w:cs="Arial"/>
                <w:color w:val="000000"/>
                <w:lang w:val="es-MX"/>
              </w:rPr>
              <w:t xml:space="preserve">que enfrenta el </w:t>
            </w:r>
            <w:r w:rsidRPr="008369A5">
              <w:rPr>
                <w:rFonts w:ascii="Arial" w:eastAsia="Times New Roman" w:hAnsi="Arial" w:cs="Arial"/>
                <w:color w:val="000000"/>
                <w:lang w:val="es-MX"/>
              </w:rPr>
              <w:t xml:space="preserve">personal de salud </w:t>
            </w:r>
            <w:r>
              <w:rPr>
                <w:rFonts w:ascii="Arial" w:eastAsia="Times New Roman" w:hAnsi="Arial" w:cs="Arial"/>
                <w:color w:val="000000"/>
                <w:lang w:val="es-MX"/>
              </w:rPr>
              <w:t xml:space="preserve">asociada </w:t>
            </w:r>
            <w:r w:rsidR="00975A78">
              <w:rPr>
                <w:rFonts w:ascii="Arial" w:eastAsia="Times New Roman" w:hAnsi="Arial" w:cs="Arial"/>
                <w:color w:val="000000"/>
                <w:lang w:val="es-MX"/>
              </w:rPr>
              <w:t>a</w:t>
            </w:r>
            <w:r>
              <w:rPr>
                <w:rFonts w:ascii="Arial" w:eastAsia="Times New Roman" w:hAnsi="Arial" w:cs="Arial"/>
                <w:color w:val="000000"/>
                <w:lang w:val="es-MX"/>
              </w:rPr>
              <w:t xml:space="preserve"> la</w:t>
            </w:r>
            <w:r w:rsidRPr="008369A5">
              <w:rPr>
                <w:rFonts w:ascii="Arial" w:eastAsia="Times New Roman" w:hAnsi="Arial" w:cs="Arial"/>
                <w:color w:val="000000"/>
                <w:lang w:val="es-MX"/>
              </w:rPr>
              <w:t xml:space="preserve"> violencia</w:t>
            </w:r>
            <w:r>
              <w:rPr>
                <w:rFonts w:ascii="Arial" w:eastAsia="Times New Roman" w:hAnsi="Arial" w:cs="Arial"/>
                <w:color w:val="000000"/>
                <w:lang w:val="es-MX"/>
              </w:rPr>
              <w:t xml:space="preserve"> social.</w:t>
            </w:r>
          </w:p>
        </w:tc>
      </w:tr>
      <w:tr w:rsidR="00D91690" w:rsidRPr="00A22FF1" w14:paraId="58F2920F" w14:textId="77777777" w:rsidTr="001E528E">
        <w:trPr>
          <w:trHeight w:val="1565"/>
        </w:trPr>
        <w:tc>
          <w:tcPr>
            <w:tcW w:w="1536" w:type="dxa"/>
          </w:tcPr>
          <w:p w14:paraId="2D7533EA" w14:textId="67590432" w:rsidR="00D91690" w:rsidRPr="00DD37EC" w:rsidRDefault="0008055F" w:rsidP="009576A5">
            <w:pPr>
              <w:spacing w:after="240"/>
              <w:rPr>
                <w:rFonts w:ascii="Arial" w:hAnsi="Arial" w:cs="Arial"/>
                <w:b/>
                <w:lang w:val="es-MX"/>
              </w:rPr>
            </w:pPr>
            <w:r>
              <w:rPr>
                <w:rFonts w:ascii="Arial" w:hAnsi="Arial" w:cs="Arial"/>
                <w:b/>
                <w:lang w:val="es-MX"/>
              </w:rPr>
              <w:t>Soluciones potenciales (TB)</w:t>
            </w:r>
          </w:p>
        </w:tc>
        <w:tc>
          <w:tcPr>
            <w:tcW w:w="8449" w:type="dxa"/>
          </w:tcPr>
          <w:p w14:paraId="785DA776" w14:textId="77777777" w:rsidR="0008055F" w:rsidRDefault="0008055F" w:rsidP="0008055F">
            <w:pPr>
              <w:pStyle w:val="ListParagraph"/>
              <w:numPr>
                <w:ilvl w:val="0"/>
                <w:numId w:val="27"/>
              </w:numPr>
              <w:spacing w:after="240"/>
              <w:rPr>
                <w:rFonts w:ascii="Arial" w:hAnsi="Arial" w:cs="Arial"/>
                <w:lang w:val="es-MX"/>
              </w:rPr>
            </w:pPr>
            <w:r w:rsidRPr="004F1566">
              <w:rPr>
                <w:rFonts w:ascii="Arial" w:hAnsi="Arial" w:cs="Arial"/>
                <w:lang w:val="es-MX"/>
              </w:rPr>
              <w:t>Realizar investigación de contactos y convivientes de TB a nivel comunitario</w:t>
            </w:r>
            <w:r>
              <w:rPr>
                <w:rFonts w:ascii="Arial" w:hAnsi="Arial" w:cs="Arial"/>
                <w:lang w:val="es-MX"/>
              </w:rPr>
              <w:t>.</w:t>
            </w:r>
          </w:p>
          <w:p w14:paraId="72E3CB64" w14:textId="77777777" w:rsidR="00553F03" w:rsidRDefault="0008055F" w:rsidP="0008055F">
            <w:pPr>
              <w:pStyle w:val="ListParagraph"/>
              <w:numPr>
                <w:ilvl w:val="0"/>
                <w:numId w:val="27"/>
              </w:numPr>
              <w:spacing w:after="240"/>
              <w:rPr>
                <w:rFonts w:ascii="Arial" w:hAnsi="Arial" w:cs="Arial"/>
                <w:lang w:val="es-MX"/>
              </w:rPr>
            </w:pPr>
            <w:r w:rsidRPr="004F1566">
              <w:rPr>
                <w:rFonts w:ascii="Arial" w:hAnsi="Arial" w:cs="Arial"/>
                <w:lang w:val="es-MX"/>
              </w:rPr>
              <w:t>Evaluar la factibilidad de ajuste normativo y presupuestal para la implementación de las nuevas guías de la OMS para el tratamiento de la TB-MDR</w:t>
            </w:r>
            <w:r>
              <w:rPr>
                <w:rFonts w:ascii="Arial" w:hAnsi="Arial" w:cs="Arial"/>
                <w:lang w:val="es-MX"/>
              </w:rPr>
              <w:t>.</w:t>
            </w:r>
          </w:p>
          <w:p w14:paraId="045556E0" w14:textId="133EFFB0" w:rsidR="00D91690" w:rsidRPr="00553F03" w:rsidRDefault="0008055F" w:rsidP="0008055F">
            <w:pPr>
              <w:pStyle w:val="ListParagraph"/>
              <w:numPr>
                <w:ilvl w:val="0"/>
                <w:numId w:val="27"/>
              </w:numPr>
              <w:spacing w:after="240"/>
              <w:rPr>
                <w:rFonts w:ascii="Arial" w:hAnsi="Arial" w:cs="Arial"/>
                <w:lang w:val="es-MX"/>
              </w:rPr>
            </w:pPr>
            <w:r w:rsidRPr="00553F03">
              <w:rPr>
                <w:rFonts w:ascii="Arial" w:hAnsi="Arial" w:cs="Arial"/>
                <w:lang w:val="es-MX"/>
              </w:rPr>
              <w:t>Mejorar la coordinación intersectorial y el cumplimiento efectivo de las acciones conjuntas entre el programa e instituciones públicas en la lucha contra la TB.</w:t>
            </w:r>
          </w:p>
        </w:tc>
      </w:tr>
    </w:tbl>
    <w:p w14:paraId="708A6CB4" w14:textId="2487F0F4" w:rsidR="00AB3191" w:rsidRDefault="00AB3191" w:rsidP="00DD37EC">
      <w:pPr>
        <w:spacing w:after="240" w:line="240" w:lineRule="auto"/>
        <w:rPr>
          <w:rFonts w:ascii="Arial" w:hAnsi="Arial" w:cs="Arial"/>
          <w:highlight w:val="yellow"/>
          <w:lang w:val="es-419"/>
        </w:rPr>
      </w:pPr>
    </w:p>
    <w:tbl>
      <w:tblPr>
        <w:tblStyle w:val="TableGrid"/>
        <w:tblW w:w="9985" w:type="dxa"/>
        <w:tblLayout w:type="fixed"/>
        <w:tblLook w:val="04A0" w:firstRow="1" w:lastRow="0" w:firstColumn="1" w:lastColumn="0" w:noHBand="0" w:noVBand="1"/>
      </w:tblPr>
      <w:tblGrid>
        <w:gridCol w:w="1536"/>
        <w:gridCol w:w="8449"/>
      </w:tblGrid>
      <w:tr w:rsidR="0060561E" w:rsidRPr="00A22FF1" w14:paraId="5589BEC4" w14:textId="77777777" w:rsidTr="00864D29">
        <w:trPr>
          <w:trHeight w:val="512"/>
        </w:trPr>
        <w:tc>
          <w:tcPr>
            <w:tcW w:w="1536" w:type="dxa"/>
            <w:shd w:val="clear" w:color="auto" w:fill="D9D9D9" w:themeFill="background1" w:themeFillShade="D9"/>
          </w:tcPr>
          <w:p w14:paraId="66E65579" w14:textId="0A433AB5" w:rsidR="0060561E" w:rsidRPr="00DD37EC" w:rsidRDefault="0060561E" w:rsidP="00DA4917">
            <w:pPr>
              <w:spacing w:after="240"/>
              <w:rPr>
                <w:rFonts w:ascii="Arial" w:hAnsi="Arial" w:cs="Arial"/>
                <w:b/>
                <w:lang w:val="es-MX"/>
              </w:rPr>
            </w:pPr>
            <w:r w:rsidRPr="00DD37EC">
              <w:rPr>
                <w:rFonts w:ascii="Arial" w:hAnsi="Arial" w:cs="Arial"/>
                <w:b/>
                <w:lang w:val="es-MX"/>
              </w:rPr>
              <w:t xml:space="preserve">RIESGO </w:t>
            </w:r>
            <w:r>
              <w:rPr>
                <w:rFonts w:ascii="Arial" w:hAnsi="Arial" w:cs="Arial"/>
                <w:b/>
                <w:lang w:val="es-MX"/>
              </w:rPr>
              <w:t>2</w:t>
            </w:r>
          </w:p>
        </w:tc>
        <w:tc>
          <w:tcPr>
            <w:tcW w:w="8449" w:type="dxa"/>
            <w:shd w:val="clear" w:color="auto" w:fill="D9D9D9" w:themeFill="background1" w:themeFillShade="D9"/>
          </w:tcPr>
          <w:p w14:paraId="2D69F932" w14:textId="68A29594" w:rsidR="0060561E" w:rsidRPr="00DD37EC" w:rsidRDefault="00E22E9D" w:rsidP="00DA4917">
            <w:pPr>
              <w:tabs>
                <w:tab w:val="left" w:pos="337"/>
                <w:tab w:val="left" w:pos="1486"/>
              </w:tabs>
              <w:spacing w:after="240"/>
              <w:rPr>
                <w:rFonts w:ascii="Arial" w:hAnsi="Arial" w:cs="Arial"/>
                <w:b/>
                <w:lang w:val="es-MX"/>
              </w:rPr>
            </w:pPr>
            <w:r w:rsidRPr="00E22E9D">
              <w:rPr>
                <w:rFonts w:ascii="Arial" w:hAnsi="Arial" w:cs="Arial"/>
                <w:b/>
                <w:lang w:val="es-MX"/>
              </w:rPr>
              <w:t>Recursos humanos capacitados en VIH y TB cuentan con contratación irregular (al menos 10 puestos clave todavía son financiados por los cooperantes) y carecen de certificación en protocolos de atención y de incentivos para su desarrollo profesional</w:t>
            </w:r>
          </w:p>
        </w:tc>
      </w:tr>
      <w:tr w:rsidR="0060561E" w:rsidRPr="00A22FF1" w14:paraId="3B367E18" w14:textId="77777777" w:rsidTr="00864D29">
        <w:trPr>
          <w:trHeight w:val="802"/>
        </w:trPr>
        <w:tc>
          <w:tcPr>
            <w:tcW w:w="1536" w:type="dxa"/>
          </w:tcPr>
          <w:p w14:paraId="2068499C" w14:textId="1A14FA0A" w:rsidR="0060561E" w:rsidRPr="00DD37EC" w:rsidRDefault="00324872" w:rsidP="00DA4917">
            <w:pPr>
              <w:spacing w:after="240"/>
              <w:rPr>
                <w:rFonts w:ascii="Arial" w:hAnsi="Arial" w:cs="Arial"/>
                <w:b/>
                <w:lang w:val="es-MX"/>
              </w:rPr>
            </w:pPr>
            <w:r w:rsidRPr="005C09D5">
              <w:rPr>
                <w:rFonts w:ascii="Arial" w:hAnsi="Arial" w:cs="Arial"/>
                <w:b/>
                <w:lang w:val="es-MX"/>
              </w:rPr>
              <w:t>Descripción</w:t>
            </w:r>
            <w:r>
              <w:rPr>
                <w:rFonts w:ascii="Arial" w:hAnsi="Arial" w:cs="Arial"/>
                <w:b/>
                <w:lang w:val="es-MX"/>
              </w:rPr>
              <w:t xml:space="preserve"> e Impacto</w:t>
            </w:r>
          </w:p>
        </w:tc>
        <w:tc>
          <w:tcPr>
            <w:tcW w:w="8449" w:type="dxa"/>
          </w:tcPr>
          <w:p w14:paraId="46EC73E1" w14:textId="77777777" w:rsidR="00975A78" w:rsidRPr="00975A78" w:rsidRDefault="00975A78" w:rsidP="00975A78">
            <w:pPr>
              <w:spacing w:after="120"/>
              <w:rPr>
                <w:rFonts w:ascii="Arial" w:hAnsi="Arial" w:cs="Arial"/>
                <w:lang w:val="es-ES"/>
              </w:rPr>
            </w:pPr>
            <w:r w:rsidRPr="00975A78">
              <w:rPr>
                <w:rFonts w:ascii="Arial" w:hAnsi="Arial" w:cs="Arial"/>
                <w:lang w:val="es-ES"/>
              </w:rPr>
              <w:t xml:space="preserve">Los recursos humanos pagados por cooperantes deberían ser absorbidos con recursos públicos por la Secretaría de Salud de Honduras (SESAL), ya que están capacitados en la temática de VIH y TB. </w:t>
            </w:r>
          </w:p>
          <w:p w14:paraId="78266683" w14:textId="77777777" w:rsidR="00975A78" w:rsidRPr="00975A78" w:rsidRDefault="00975A78" w:rsidP="00975A78">
            <w:pPr>
              <w:spacing w:after="120"/>
              <w:rPr>
                <w:rFonts w:ascii="Arial" w:hAnsi="Arial" w:cs="Arial"/>
                <w:lang w:val="es-ES"/>
              </w:rPr>
            </w:pPr>
            <w:r w:rsidRPr="00975A78">
              <w:rPr>
                <w:rFonts w:ascii="Arial" w:hAnsi="Arial" w:cs="Arial"/>
                <w:lang w:val="es-ES"/>
              </w:rPr>
              <w:t>Por otra parte, los Recursos Humanos sin capacitación, incluyendo aquellos de nuevo ingreso, ponen en riesgo el acceso efectivo y la calidad de la atención.</w:t>
            </w:r>
          </w:p>
          <w:p w14:paraId="74379F61" w14:textId="77777777" w:rsidR="00975A78" w:rsidRPr="00975A78" w:rsidRDefault="00975A78" w:rsidP="00975A78">
            <w:pPr>
              <w:spacing w:after="120"/>
              <w:rPr>
                <w:rFonts w:ascii="Arial" w:hAnsi="Arial" w:cs="Arial"/>
                <w:lang w:val="es-ES"/>
              </w:rPr>
            </w:pPr>
            <w:r w:rsidRPr="00975A78">
              <w:rPr>
                <w:rFonts w:ascii="Arial" w:hAnsi="Arial" w:cs="Arial"/>
                <w:lang w:val="es-ES"/>
              </w:rPr>
              <w:t>Ambas problemáticas constituyen una amenaza a la implementación sostenible de las acciones de prevención, movilización comunitaria, realización de pruebas, referencia a los servicios de atención para su vinculación a los servicios y monitoreo y evaluación.</w:t>
            </w:r>
          </w:p>
          <w:p w14:paraId="5BDCA86E" w14:textId="14EA4CBE" w:rsidR="0060561E" w:rsidRPr="00DD37EC" w:rsidRDefault="00975A78" w:rsidP="00975A78">
            <w:pPr>
              <w:spacing w:after="120"/>
              <w:rPr>
                <w:rFonts w:ascii="Arial" w:hAnsi="Arial" w:cs="Arial"/>
                <w:lang w:val="es-MX"/>
              </w:rPr>
            </w:pPr>
            <w:r w:rsidRPr="00975A78">
              <w:rPr>
                <w:rFonts w:ascii="Arial" w:hAnsi="Arial" w:cs="Arial"/>
                <w:lang w:val="es-ES"/>
              </w:rPr>
              <w:t>Asimismo, se expresó preocupación por la baja efectividad de la vigilancia en el cumplimiento del marco normativo de VIH y TB. Así como la falta de capacitación continua del personal de salud, con énfasis en el trato y comunicación con el paciente, en un entorno de respeto a los Derechos Humanos.</w:t>
            </w:r>
          </w:p>
        </w:tc>
      </w:tr>
      <w:tr w:rsidR="0060561E" w:rsidRPr="00A22FF1" w14:paraId="04A53DB3" w14:textId="77777777" w:rsidTr="00864D29">
        <w:trPr>
          <w:trHeight w:val="440"/>
        </w:trPr>
        <w:tc>
          <w:tcPr>
            <w:tcW w:w="1536" w:type="dxa"/>
          </w:tcPr>
          <w:p w14:paraId="34903B68" w14:textId="77777777" w:rsidR="0060561E" w:rsidRPr="00DD37EC" w:rsidRDefault="0060561E" w:rsidP="00DA4917">
            <w:pPr>
              <w:spacing w:after="240"/>
              <w:rPr>
                <w:rFonts w:ascii="Arial" w:hAnsi="Arial" w:cs="Arial"/>
                <w:b/>
                <w:lang w:val="es-MX"/>
              </w:rPr>
            </w:pPr>
            <w:r w:rsidRPr="00DD37EC">
              <w:rPr>
                <w:rFonts w:ascii="Arial" w:hAnsi="Arial" w:cs="Arial"/>
                <w:b/>
                <w:lang w:val="es-MX"/>
              </w:rPr>
              <w:t>Soluciones Potenciales</w:t>
            </w:r>
          </w:p>
        </w:tc>
        <w:tc>
          <w:tcPr>
            <w:tcW w:w="8449" w:type="dxa"/>
          </w:tcPr>
          <w:p w14:paraId="2FB0B2C0" w14:textId="04FEF298" w:rsidR="00AC7DEC" w:rsidRPr="001E528E" w:rsidRDefault="00AC7DEC" w:rsidP="001E528E">
            <w:pPr>
              <w:pStyle w:val="ListParagraph"/>
              <w:numPr>
                <w:ilvl w:val="0"/>
                <w:numId w:val="28"/>
              </w:numPr>
              <w:spacing w:after="240"/>
              <w:rPr>
                <w:rFonts w:ascii="Arial" w:hAnsi="Arial" w:cs="Arial"/>
                <w:lang w:val="es-ES"/>
              </w:rPr>
            </w:pPr>
            <w:r w:rsidRPr="001E528E">
              <w:rPr>
                <w:rFonts w:ascii="Arial" w:hAnsi="Arial" w:cs="Arial"/>
                <w:lang w:val="es-ES"/>
              </w:rPr>
              <w:t>Dar seguimiento a los convenios firmados ante la SESAL y los proyectos de cooperación para la regularización permanente de la contratación del personal que ya fue absorbido por la SESAL.</w:t>
            </w:r>
          </w:p>
          <w:p w14:paraId="14728130" w14:textId="43AD6FB6" w:rsidR="00AC7DEC" w:rsidRDefault="00AC7DEC" w:rsidP="0068285B">
            <w:pPr>
              <w:pStyle w:val="ListParagraph"/>
              <w:numPr>
                <w:ilvl w:val="0"/>
                <w:numId w:val="28"/>
              </w:numPr>
              <w:spacing w:after="240"/>
              <w:rPr>
                <w:rFonts w:ascii="Arial" w:hAnsi="Arial" w:cs="Arial"/>
                <w:lang w:val="es-ES"/>
              </w:rPr>
            </w:pPr>
            <w:r w:rsidRPr="00AC7DEC">
              <w:rPr>
                <w:rFonts w:ascii="Arial" w:hAnsi="Arial" w:cs="Arial"/>
                <w:lang w:val="es-ES"/>
              </w:rPr>
              <w:lastRenderedPageBreak/>
              <w:t>Gestionar recursos financieros para el aumento de la contratación de personal capacitado en TB y una mayor logística para su movilización</w:t>
            </w:r>
            <w:r>
              <w:rPr>
                <w:rFonts w:ascii="Arial" w:hAnsi="Arial" w:cs="Arial"/>
                <w:lang w:val="es-ES"/>
              </w:rPr>
              <w:t>.</w:t>
            </w:r>
          </w:p>
          <w:p w14:paraId="46513C91" w14:textId="123D1412" w:rsidR="00AC7DEC" w:rsidRDefault="00AC7DEC" w:rsidP="0068285B">
            <w:pPr>
              <w:pStyle w:val="ListParagraph"/>
              <w:numPr>
                <w:ilvl w:val="0"/>
                <w:numId w:val="28"/>
              </w:numPr>
              <w:spacing w:after="240"/>
              <w:rPr>
                <w:rFonts w:ascii="Arial" w:hAnsi="Arial" w:cs="Arial"/>
                <w:lang w:val="es-ES"/>
              </w:rPr>
            </w:pPr>
            <w:r w:rsidRPr="00AC7DEC">
              <w:rPr>
                <w:rFonts w:ascii="Arial" w:hAnsi="Arial" w:cs="Arial"/>
                <w:lang w:val="es-ES"/>
              </w:rPr>
              <w:t>Adoptar las recomendaciones de la OMS sobre servicios diferenciados de atención de VIH</w:t>
            </w:r>
            <w:r w:rsidR="00A27E05">
              <w:rPr>
                <w:rFonts w:ascii="Arial" w:hAnsi="Arial" w:cs="Arial"/>
                <w:lang w:val="es-ES"/>
              </w:rPr>
              <w:t xml:space="preserve"> de acuerdo a l</w:t>
            </w:r>
            <w:r w:rsidR="00835F2C">
              <w:rPr>
                <w:rFonts w:ascii="Arial" w:hAnsi="Arial" w:cs="Arial"/>
                <w:lang w:val="es-ES"/>
              </w:rPr>
              <w:t>as necesidades y capacidades instaladas del país.</w:t>
            </w:r>
          </w:p>
          <w:p w14:paraId="3E626093" w14:textId="42B351BC" w:rsidR="00AC7DEC" w:rsidRDefault="00AC7DEC" w:rsidP="0068285B">
            <w:pPr>
              <w:pStyle w:val="ListParagraph"/>
              <w:numPr>
                <w:ilvl w:val="0"/>
                <w:numId w:val="28"/>
              </w:numPr>
              <w:spacing w:after="240"/>
              <w:rPr>
                <w:rFonts w:ascii="Arial" w:hAnsi="Arial" w:cs="Arial"/>
                <w:lang w:val="es-ES"/>
              </w:rPr>
            </w:pPr>
            <w:r w:rsidRPr="00AC7DEC">
              <w:rPr>
                <w:rFonts w:ascii="Arial" w:hAnsi="Arial" w:cs="Arial"/>
                <w:lang w:val="es-ES"/>
              </w:rPr>
              <w:t>Capacitar y certificar al pe</w:t>
            </w:r>
            <w:r w:rsidR="00A27E05">
              <w:rPr>
                <w:rFonts w:ascii="Arial" w:hAnsi="Arial" w:cs="Arial"/>
                <w:lang w:val="es-ES"/>
              </w:rPr>
              <w:t>r</w:t>
            </w:r>
            <w:r w:rsidRPr="00AC7DEC">
              <w:rPr>
                <w:rFonts w:ascii="Arial" w:hAnsi="Arial" w:cs="Arial"/>
                <w:lang w:val="es-ES"/>
              </w:rPr>
              <w:t>sonal de salud y sociedad civil en protocolos de</w:t>
            </w:r>
            <w:r w:rsidR="00835F2C">
              <w:rPr>
                <w:rFonts w:ascii="Arial" w:hAnsi="Arial" w:cs="Arial"/>
                <w:lang w:val="es-ES"/>
              </w:rPr>
              <w:t>l componente de</w:t>
            </w:r>
            <w:r w:rsidRPr="00AC7DEC">
              <w:rPr>
                <w:rFonts w:ascii="Arial" w:hAnsi="Arial" w:cs="Arial"/>
                <w:lang w:val="es-ES"/>
              </w:rPr>
              <w:t xml:space="preserve"> VIH, TB sensible y TB-MDR y comunicación con el paciente con un enfoque de derechos humanos, específicamente contra la estigma y discriminación.</w:t>
            </w:r>
          </w:p>
          <w:p w14:paraId="73C917DC" w14:textId="698CD48F" w:rsidR="00AC7DEC" w:rsidRPr="00AC7DEC" w:rsidRDefault="00AC7DEC" w:rsidP="0068285B">
            <w:pPr>
              <w:pStyle w:val="ListParagraph"/>
              <w:numPr>
                <w:ilvl w:val="0"/>
                <w:numId w:val="28"/>
              </w:numPr>
              <w:spacing w:after="240"/>
              <w:rPr>
                <w:rFonts w:ascii="Arial" w:hAnsi="Arial" w:cs="Arial"/>
                <w:lang w:val="es-ES"/>
              </w:rPr>
            </w:pPr>
            <w:r w:rsidRPr="00AC7DEC">
              <w:rPr>
                <w:rFonts w:ascii="Arial" w:hAnsi="Arial" w:cs="Arial"/>
                <w:lang w:val="es-ES"/>
              </w:rPr>
              <w:t>Proveer oportunidades de promoción a los RRHH para que desarrollen una carrera institucional que disminuya las renuncias y la rotación de personal (proyecto piloto)</w:t>
            </w:r>
            <w:r>
              <w:rPr>
                <w:rFonts w:ascii="Arial" w:hAnsi="Arial" w:cs="Arial"/>
                <w:lang w:val="es-ES"/>
              </w:rPr>
              <w:t>.</w:t>
            </w:r>
          </w:p>
        </w:tc>
      </w:tr>
    </w:tbl>
    <w:p w14:paraId="7908D751" w14:textId="77777777" w:rsidR="00B83508" w:rsidRPr="00DD37EC" w:rsidRDefault="00B83508" w:rsidP="00DD37EC">
      <w:pPr>
        <w:spacing w:after="240" w:line="240" w:lineRule="auto"/>
        <w:rPr>
          <w:rFonts w:ascii="Arial" w:hAnsi="Arial" w:cs="Arial"/>
          <w:highlight w:val="yellow"/>
          <w:lang w:val="es-419"/>
        </w:rPr>
      </w:pPr>
    </w:p>
    <w:tbl>
      <w:tblPr>
        <w:tblStyle w:val="TableGrid"/>
        <w:tblW w:w="9985" w:type="dxa"/>
        <w:tblLayout w:type="fixed"/>
        <w:tblLook w:val="04A0" w:firstRow="1" w:lastRow="0" w:firstColumn="1" w:lastColumn="0" w:noHBand="0" w:noVBand="1"/>
      </w:tblPr>
      <w:tblGrid>
        <w:gridCol w:w="1536"/>
        <w:gridCol w:w="8449"/>
      </w:tblGrid>
      <w:tr w:rsidR="00D008C0" w:rsidRPr="00A22FF1" w14:paraId="58B957F2" w14:textId="77777777" w:rsidTr="00864D29">
        <w:trPr>
          <w:trHeight w:val="512"/>
        </w:trPr>
        <w:tc>
          <w:tcPr>
            <w:tcW w:w="1536" w:type="dxa"/>
            <w:shd w:val="clear" w:color="auto" w:fill="E7E6E6" w:themeFill="background2"/>
          </w:tcPr>
          <w:p w14:paraId="61C8C19C" w14:textId="5A52F6AB" w:rsidR="00D008C0" w:rsidRPr="00DD37EC" w:rsidRDefault="00D008C0" w:rsidP="00D008C0">
            <w:pPr>
              <w:spacing w:after="240"/>
              <w:rPr>
                <w:rFonts w:ascii="Arial" w:hAnsi="Arial" w:cs="Arial"/>
                <w:b/>
                <w:lang w:val="es-MX"/>
              </w:rPr>
            </w:pPr>
            <w:r w:rsidRPr="00DD37EC">
              <w:rPr>
                <w:rFonts w:ascii="Arial" w:hAnsi="Arial" w:cs="Arial"/>
                <w:b/>
                <w:lang w:val="es-MX"/>
              </w:rPr>
              <w:t xml:space="preserve">RIESGO </w:t>
            </w:r>
            <w:r>
              <w:rPr>
                <w:rFonts w:ascii="Arial" w:hAnsi="Arial" w:cs="Arial"/>
                <w:b/>
                <w:lang w:val="es-MX"/>
              </w:rPr>
              <w:t>3</w:t>
            </w:r>
          </w:p>
        </w:tc>
        <w:tc>
          <w:tcPr>
            <w:tcW w:w="8449" w:type="dxa"/>
            <w:shd w:val="clear" w:color="auto" w:fill="E7E6E6" w:themeFill="background2"/>
          </w:tcPr>
          <w:p w14:paraId="6DB876FA" w14:textId="342809CD" w:rsidR="00A04133" w:rsidRPr="009723E0" w:rsidRDefault="00297DAB" w:rsidP="00A04133">
            <w:pPr>
              <w:tabs>
                <w:tab w:val="left" w:pos="337"/>
                <w:tab w:val="left" w:pos="1486"/>
              </w:tabs>
              <w:spacing w:after="240"/>
              <w:rPr>
                <w:rFonts w:ascii="Arial" w:hAnsi="Arial" w:cs="Arial"/>
                <w:b/>
                <w:lang w:val="es-MX"/>
              </w:rPr>
            </w:pPr>
            <w:r w:rsidRPr="00297DAB">
              <w:rPr>
                <w:rFonts w:ascii="Arial" w:hAnsi="Arial" w:cs="Arial"/>
                <w:b/>
                <w:bCs/>
                <w:iCs/>
                <w:lang w:val="es-MX"/>
              </w:rPr>
              <w:t>Adquisición de medicamentos e insumos esenciales con recursos externos; limitado acceso a las pruebas diagnóstico y sostenibilidad de adquisición de insumos de diagnóstico para VIH y TB</w:t>
            </w:r>
          </w:p>
        </w:tc>
      </w:tr>
      <w:tr w:rsidR="00D008C0" w:rsidRPr="00A22FF1" w14:paraId="1557A069" w14:textId="77777777" w:rsidTr="00864D29">
        <w:trPr>
          <w:trHeight w:val="802"/>
        </w:trPr>
        <w:tc>
          <w:tcPr>
            <w:tcW w:w="1536" w:type="dxa"/>
          </w:tcPr>
          <w:p w14:paraId="596FB3F5" w14:textId="51FCA829" w:rsidR="00D008C0" w:rsidRPr="00DD37EC" w:rsidRDefault="00D008C0" w:rsidP="00D008C0">
            <w:pPr>
              <w:spacing w:after="240"/>
              <w:rPr>
                <w:rFonts w:ascii="Arial" w:hAnsi="Arial" w:cs="Arial"/>
                <w:b/>
                <w:lang w:val="es-MX"/>
              </w:rPr>
            </w:pPr>
            <w:r>
              <w:rPr>
                <w:rFonts w:ascii="Arial" w:hAnsi="Arial" w:cs="Arial"/>
                <w:b/>
                <w:lang w:val="es-MX"/>
              </w:rPr>
              <w:t>Descripción e impacto</w:t>
            </w:r>
          </w:p>
        </w:tc>
        <w:tc>
          <w:tcPr>
            <w:tcW w:w="8449" w:type="dxa"/>
          </w:tcPr>
          <w:p w14:paraId="4D548353" w14:textId="6E5431A3" w:rsidR="009723E0" w:rsidRPr="009723E0" w:rsidRDefault="00B9764A" w:rsidP="009723E0">
            <w:pPr>
              <w:spacing w:after="120"/>
              <w:rPr>
                <w:rFonts w:ascii="Arial" w:hAnsi="Arial" w:cs="Arial"/>
                <w:lang w:val="es-MX"/>
              </w:rPr>
            </w:pPr>
            <w:r w:rsidRPr="00B9764A">
              <w:rPr>
                <w:rFonts w:ascii="Arial" w:hAnsi="Arial" w:cs="Arial"/>
                <w:lang w:val="es-MX"/>
              </w:rPr>
              <w:t xml:space="preserve">Actualmente los cooperantes cubren la compra emergente de algunos medicamentos e insumos para reducir el impacto de desabastecimientos. </w:t>
            </w:r>
            <w:r w:rsidR="009723E0" w:rsidRPr="009723E0">
              <w:rPr>
                <w:rFonts w:ascii="Arial" w:hAnsi="Arial" w:cs="Arial"/>
                <w:lang w:val="es-MX"/>
              </w:rPr>
              <w:t xml:space="preserve">Sin financiamiento público para el abastecimiento continuo de los ARV y otros </w:t>
            </w:r>
            <w:r w:rsidRPr="00B9764A">
              <w:rPr>
                <w:rFonts w:ascii="Arial" w:hAnsi="Arial" w:cs="Arial"/>
                <w:lang w:val="es-MX"/>
              </w:rPr>
              <w:t xml:space="preserve">productos (incluyendo Carga Viral, CD4, pruebas de diagnóstico, PCR, genotipo, reactivos de Gene-Xpert y medicamentos para infecciones oportunistas) </w:t>
            </w:r>
            <w:r w:rsidR="009723E0" w:rsidRPr="009723E0">
              <w:rPr>
                <w:rFonts w:ascii="Arial" w:hAnsi="Arial" w:cs="Arial"/>
                <w:lang w:val="es-MX"/>
              </w:rPr>
              <w:t>las PVIH en especial población clave, no tendrían acceso a la terapia; por ende, no se obtendría el control de la epidemia en el país ni se cumplirían las metas del 90-90-90 al 2020.</w:t>
            </w:r>
          </w:p>
          <w:p w14:paraId="2D579E10" w14:textId="3E3EECC1" w:rsidR="00D008C0" w:rsidRPr="00DD37EC" w:rsidRDefault="009723E0" w:rsidP="009723E0">
            <w:pPr>
              <w:spacing w:after="240"/>
              <w:rPr>
                <w:rFonts w:ascii="Arial" w:eastAsia="Times New Roman" w:hAnsi="Arial" w:cs="Arial"/>
                <w:color w:val="000000"/>
                <w:lang w:val="es-MX"/>
              </w:rPr>
            </w:pPr>
            <w:r w:rsidRPr="009723E0">
              <w:rPr>
                <w:rFonts w:ascii="Arial" w:hAnsi="Arial" w:cs="Arial"/>
                <w:lang w:val="es-MX"/>
              </w:rPr>
              <w:t>Esto refuerza la urgencia de reducir la demora para establecer el diagnóstico, ya que cuanto más alto sea el déficit de cobertura de la prueba y nuevas modalidades de diagnóstico con un enfoque epidemiológico (grupos claves), mayor será la magnitud de la epidemia.</w:t>
            </w:r>
          </w:p>
        </w:tc>
      </w:tr>
      <w:tr w:rsidR="00D008C0" w:rsidRPr="00A22FF1" w14:paraId="301501AB" w14:textId="77777777" w:rsidTr="008604F1">
        <w:trPr>
          <w:trHeight w:val="1925"/>
        </w:trPr>
        <w:tc>
          <w:tcPr>
            <w:tcW w:w="1536" w:type="dxa"/>
          </w:tcPr>
          <w:p w14:paraId="5DB19264" w14:textId="2BD7F60C" w:rsidR="00D008C0" w:rsidRPr="00DD37EC" w:rsidRDefault="00D008C0" w:rsidP="00D008C0">
            <w:pPr>
              <w:spacing w:after="240"/>
              <w:rPr>
                <w:rFonts w:ascii="Arial" w:hAnsi="Arial" w:cs="Arial"/>
                <w:b/>
                <w:lang w:val="es-MX"/>
              </w:rPr>
            </w:pPr>
            <w:r w:rsidRPr="00DD37EC">
              <w:rPr>
                <w:rFonts w:ascii="Arial" w:hAnsi="Arial" w:cs="Arial"/>
                <w:b/>
                <w:lang w:val="es-MX"/>
              </w:rPr>
              <w:t>Soluciones Potenciales</w:t>
            </w:r>
          </w:p>
        </w:tc>
        <w:tc>
          <w:tcPr>
            <w:tcW w:w="8449" w:type="dxa"/>
          </w:tcPr>
          <w:p w14:paraId="4CE0B3A6" w14:textId="77777777" w:rsidR="00EF3FD7" w:rsidRPr="00EF3FD7" w:rsidRDefault="00EF3FD7" w:rsidP="0068285B">
            <w:pPr>
              <w:pStyle w:val="ListParagraph"/>
              <w:numPr>
                <w:ilvl w:val="0"/>
                <w:numId w:val="29"/>
              </w:numPr>
              <w:spacing w:after="240"/>
              <w:rPr>
                <w:rFonts w:ascii="Arial" w:hAnsi="Arial" w:cs="Arial"/>
                <w:bCs/>
                <w:lang w:val="es-ES"/>
              </w:rPr>
            </w:pPr>
            <w:r w:rsidRPr="00EF3FD7">
              <w:rPr>
                <w:rFonts w:ascii="Arial" w:hAnsi="Arial" w:cs="Arial"/>
                <w:lang w:val="es-MX"/>
              </w:rPr>
              <w:t>Consolidar plan de transición de compras de ARV e insumos para VIH y TB (incluyendo Carga Viral, CD4, pruebas de diagnóstico, PCR, genotipo, reactivos de Gene-Xpert, y reactivos para infecciones oportunistas) y la adquisición centralizada de pruebas de diagnóstico con fondos públicos.</w:t>
            </w:r>
          </w:p>
          <w:p w14:paraId="0049F3A7" w14:textId="21676FF7" w:rsidR="005061D9" w:rsidRPr="00EF3FD7" w:rsidRDefault="00EF3FD7" w:rsidP="0068285B">
            <w:pPr>
              <w:pStyle w:val="ListParagraph"/>
              <w:numPr>
                <w:ilvl w:val="0"/>
                <w:numId w:val="29"/>
              </w:numPr>
              <w:spacing w:after="240"/>
              <w:rPr>
                <w:rFonts w:ascii="Arial" w:hAnsi="Arial" w:cs="Arial"/>
                <w:bCs/>
                <w:lang w:val="es-ES"/>
              </w:rPr>
            </w:pPr>
            <w:r w:rsidRPr="00EF3FD7">
              <w:rPr>
                <w:rFonts w:ascii="Arial" w:hAnsi="Arial" w:cs="Arial"/>
                <w:lang w:val="es-MX"/>
              </w:rPr>
              <w:t>Gestionar nuevos mecanismos de compra nacionales e internacionales para obtener precios de referencia de medicamentos de ARV (incluyendo los de mayor impacto financiero – 3ª línea).</w:t>
            </w:r>
          </w:p>
        </w:tc>
      </w:tr>
      <w:bookmarkEnd w:id="18"/>
    </w:tbl>
    <w:p w14:paraId="09731E7B" w14:textId="77777777" w:rsidR="008604F1" w:rsidRPr="00DD37EC" w:rsidRDefault="008604F1" w:rsidP="00DD37EC">
      <w:pPr>
        <w:spacing w:after="240" w:line="240" w:lineRule="auto"/>
        <w:rPr>
          <w:rFonts w:ascii="Arial" w:hAnsi="Arial" w:cs="Arial"/>
          <w:highlight w:val="yellow"/>
          <w:lang w:val="es-419"/>
        </w:rPr>
      </w:pPr>
    </w:p>
    <w:tbl>
      <w:tblPr>
        <w:tblStyle w:val="TableGrid"/>
        <w:tblW w:w="9985" w:type="dxa"/>
        <w:tblLayout w:type="fixed"/>
        <w:tblLook w:val="04A0" w:firstRow="1" w:lastRow="0" w:firstColumn="1" w:lastColumn="0" w:noHBand="0" w:noVBand="1"/>
      </w:tblPr>
      <w:tblGrid>
        <w:gridCol w:w="1536"/>
        <w:gridCol w:w="8449"/>
      </w:tblGrid>
      <w:tr w:rsidR="00C02C68" w:rsidRPr="00A22FF1" w14:paraId="0E6F3B2C" w14:textId="77777777" w:rsidTr="00864D29">
        <w:trPr>
          <w:trHeight w:val="512"/>
        </w:trPr>
        <w:tc>
          <w:tcPr>
            <w:tcW w:w="1536" w:type="dxa"/>
            <w:shd w:val="clear" w:color="auto" w:fill="E7E6E6" w:themeFill="background2"/>
          </w:tcPr>
          <w:p w14:paraId="1F833189" w14:textId="4CC82AC2" w:rsidR="00C02C68" w:rsidRPr="00DD37EC" w:rsidRDefault="00C02C68" w:rsidP="00C02C68">
            <w:pPr>
              <w:spacing w:after="240"/>
              <w:rPr>
                <w:rFonts w:ascii="Arial" w:hAnsi="Arial" w:cs="Arial"/>
                <w:b/>
                <w:lang w:val="es-MX"/>
              </w:rPr>
            </w:pPr>
            <w:r w:rsidRPr="00DD37EC">
              <w:rPr>
                <w:rFonts w:ascii="Arial" w:hAnsi="Arial" w:cs="Arial"/>
                <w:b/>
                <w:lang w:val="es-MX"/>
              </w:rPr>
              <w:t xml:space="preserve">RIESGO </w:t>
            </w:r>
            <w:r>
              <w:rPr>
                <w:rFonts w:ascii="Arial" w:hAnsi="Arial" w:cs="Arial"/>
                <w:b/>
                <w:lang w:val="es-MX"/>
              </w:rPr>
              <w:t>4</w:t>
            </w:r>
          </w:p>
        </w:tc>
        <w:tc>
          <w:tcPr>
            <w:tcW w:w="8449" w:type="dxa"/>
            <w:shd w:val="clear" w:color="auto" w:fill="E7E6E6" w:themeFill="background2"/>
          </w:tcPr>
          <w:p w14:paraId="0710112A" w14:textId="3DD8DB5A" w:rsidR="00C02C68" w:rsidRPr="00DD37EC" w:rsidRDefault="00154BBD" w:rsidP="00C02C68">
            <w:pPr>
              <w:tabs>
                <w:tab w:val="left" w:pos="337"/>
                <w:tab w:val="left" w:pos="1486"/>
              </w:tabs>
              <w:spacing w:after="240"/>
              <w:rPr>
                <w:rFonts w:ascii="Arial" w:hAnsi="Arial" w:cs="Arial"/>
                <w:b/>
                <w:lang w:val="es-MX"/>
              </w:rPr>
            </w:pPr>
            <w:r w:rsidRPr="00154BBD">
              <w:rPr>
                <w:rFonts w:ascii="Arial" w:hAnsi="Arial" w:cs="Arial"/>
                <w:b/>
                <w:bCs/>
                <w:iCs/>
                <w:lang w:val="es-DO"/>
              </w:rPr>
              <w:t>El financiamiento en prevención de VIH en población clave es financiado principalmente por la cooperación externa y el trabajo de prevención combinada para grupos clave es realizado por las organizaciones de sociedad civil (OSC) con fondos externos</w:t>
            </w:r>
          </w:p>
        </w:tc>
      </w:tr>
      <w:tr w:rsidR="00C02C68" w:rsidRPr="00392E34" w14:paraId="72A2C000" w14:textId="77777777" w:rsidTr="00864D29">
        <w:trPr>
          <w:trHeight w:val="512"/>
        </w:trPr>
        <w:tc>
          <w:tcPr>
            <w:tcW w:w="1536" w:type="dxa"/>
            <w:shd w:val="clear" w:color="auto" w:fill="auto"/>
          </w:tcPr>
          <w:p w14:paraId="6AC845DB" w14:textId="3A977C24" w:rsidR="00C02C68" w:rsidRPr="00DD37EC" w:rsidRDefault="00C02C68" w:rsidP="00C02C68">
            <w:pPr>
              <w:spacing w:after="240"/>
              <w:rPr>
                <w:rFonts w:ascii="Arial" w:hAnsi="Arial" w:cs="Arial"/>
                <w:b/>
                <w:lang w:val="es-MX"/>
              </w:rPr>
            </w:pPr>
            <w:r>
              <w:rPr>
                <w:rFonts w:ascii="Arial" w:hAnsi="Arial" w:cs="Arial"/>
                <w:b/>
                <w:lang w:val="es-MX"/>
              </w:rPr>
              <w:t>Descripción e impacto</w:t>
            </w:r>
          </w:p>
        </w:tc>
        <w:tc>
          <w:tcPr>
            <w:tcW w:w="8449" w:type="dxa"/>
            <w:shd w:val="clear" w:color="auto" w:fill="auto"/>
          </w:tcPr>
          <w:p w14:paraId="7CA876AF" w14:textId="68DA06A8" w:rsidR="00A04133" w:rsidRPr="00A04133" w:rsidRDefault="00A04133" w:rsidP="00A04133">
            <w:pPr>
              <w:spacing w:after="240"/>
              <w:rPr>
                <w:rFonts w:ascii="Arial" w:eastAsia="Times New Roman" w:hAnsi="Arial" w:cs="Arial"/>
                <w:color w:val="000000"/>
                <w:lang w:val="es-MX"/>
              </w:rPr>
            </w:pPr>
            <w:r w:rsidRPr="00A04133">
              <w:rPr>
                <w:rFonts w:ascii="Arial" w:eastAsia="Times New Roman" w:hAnsi="Arial" w:cs="Arial"/>
                <w:color w:val="000000"/>
                <w:lang w:val="es-MX"/>
              </w:rPr>
              <w:t>Del financiamiento total de VIH, únicamente el 15.1% se destina a población clave.  Del cual el 88.9% es financiado a través de fuentes internacionales y únicamente 11.1% por fuentes públicas.</w:t>
            </w:r>
            <w:r w:rsidR="00830CB5" w:rsidRPr="00830CB5">
              <w:rPr>
                <w:lang w:val="es-MX"/>
              </w:rPr>
              <w:t xml:space="preserve"> </w:t>
            </w:r>
            <w:r w:rsidR="00830CB5" w:rsidRPr="00830CB5">
              <w:rPr>
                <w:rFonts w:ascii="Arial" w:eastAsia="Times New Roman" w:hAnsi="Arial" w:cs="Arial"/>
                <w:color w:val="000000"/>
                <w:lang w:val="es-MX"/>
              </w:rPr>
              <w:t xml:space="preserve">Del gasto en prevención (60%; US$19 millones), </w:t>
            </w:r>
            <w:r w:rsidR="00830CB5" w:rsidRPr="00830CB5">
              <w:rPr>
                <w:rFonts w:ascii="Arial" w:eastAsia="Times New Roman" w:hAnsi="Arial" w:cs="Arial"/>
                <w:color w:val="000000"/>
                <w:lang w:val="es-MX"/>
              </w:rPr>
              <w:lastRenderedPageBreak/>
              <w:t>únicamente el 25% provino de fuentes públicas, demostrando una brecha significativa y alta dependencia de este rubro de la cooperación externa y del gasto de bolsillo. Se estima que únicamente</w:t>
            </w:r>
            <w:r w:rsidR="00830CB5">
              <w:rPr>
                <w:rFonts w:ascii="Arial" w:eastAsia="Times New Roman" w:hAnsi="Arial" w:cs="Arial"/>
                <w:color w:val="000000"/>
                <w:lang w:val="es-MX"/>
              </w:rPr>
              <w:t xml:space="preserve"> </w:t>
            </w:r>
            <w:r w:rsidR="00830CB5" w:rsidRPr="00830CB5">
              <w:rPr>
                <w:rFonts w:ascii="Arial" w:eastAsia="Times New Roman" w:hAnsi="Arial" w:cs="Arial"/>
                <w:color w:val="000000"/>
                <w:lang w:val="es-MX"/>
              </w:rPr>
              <w:t xml:space="preserve">el 10% del gasto en prevención entre población clave es financiado por fuentes </w:t>
            </w:r>
            <w:r w:rsidR="00E15312">
              <w:rPr>
                <w:rFonts w:ascii="Arial" w:eastAsia="Times New Roman" w:hAnsi="Arial" w:cs="Arial"/>
                <w:color w:val="000000"/>
                <w:lang w:val="es-MX"/>
              </w:rPr>
              <w:t>públicas</w:t>
            </w:r>
            <w:r w:rsidR="00830CB5">
              <w:rPr>
                <w:rFonts w:ascii="Arial" w:eastAsia="Times New Roman" w:hAnsi="Arial" w:cs="Arial"/>
                <w:color w:val="000000"/>
                <w:lang w:val="es-MX"/>
              </w:rPr>
              <w:t>.</w:t>
            </w:r>
            <w:r w:rsidR="00830CB5">
              <w:rPr>
                <w:rStyle w:val="FootnoteReference"/>
                <w:rFonts w:ascii="Arial" w:eastAsia="Times New Roman" w:hAnsi="Arial" w:cs="Arial"/>
                <w:color w:val="000000"/>
                <w:lang w:val="es-MX"/>
              </w:rPr>
              <w:footnoteReference w:id="3"/>
            </w:r>
          </w:p>
          <w:p w14:paraId="202CD2E1" w14:textId="5529793B" w:rsidR="00C02C68" w:rsidRPr="00DD37EC" w:rsidRDefault="00A04133" w:rsidP="00A04133">
            <w:pPr>
              <w:spacing w:after="240"/>
              <w:rPr>
                <w:rFonts w:ascii="Arial" w:eastAsia="Times New Roman" w:hAnsi="Arial" w:cs="Arial"/>
                <w:color w:val="000000"/>
                <w:lang w:val="es-MX"/>
              </w:rPr>
            </w:pPr>
            <w:r w:rsidRPr="00A04133">
              <w:rPr>
                <w:rFonts w:ascii="Arial" w:eastAsia="Times New Roman" w:hAnsi="Arial" w:cs="Arial"/>
                <w:color w:val="000000"/>
                <w:lang w:val="es-MX"/>
              </w:rPr>
              <w:t>El bajo financiamiento público en prevención y la dependencia de recursos externos – cada vez menores – para las intervenciones de prevención combinada y diagnóstico hacia población clave a través de las OSC, contribuirá</w:t>
            </w:r>
            <w:r w:rsidR="00375BFB">
              <w:rPr>
                <w:rFonts w:ascii="Arial" w:eastAsia="Times New Roman" w:hAnsi="Arial" w:cs="Arial"/>
                <w:color w:val="000000"/>
                <w:lang w:val="es-MX"/>
              </w:rPr>
              <w:t>n</w:t>
            </w:r>
            <w:r w:rsidRPr="00A04133">
              <w:rPr>
                <w:rFonts w:ascii="Arial" w:eastAsia="Times New Roman" w:hAnsi="Arial" w:cs="Arial"/>
                <w:color w:val="000000"/>
                <w:lang w:val="es-MX"/>
              </w:rPr>
              <w:t xml:space="preserve"> en un mediano plazo, a que un número limitado de PVIH- en especial de población clave - no conozca su estatus y </w:t>
            </w:r>
            <w:r w:rsidR="003145FE">
              <w:rPr>
                <w:rFonts w:ascii="Arial" w:eastAsia="Times New Roman" w:hAnsi="Arial" w:cs="Arial"/>
                <w:color w:val="000000"/>
                <w:lang w:val="es-MX"/>
              </w:rPr>
              <w:t>carezca de acceso</w:t>
            </w:r>
            <w:r w:rsidRPr="00A04133">
              <w:rPr>
                <w:rFonts w:ascii="Arial" w:eastAsia="Times New Roman" w:hAnsi="Arial" w:cs="Arial"/>
                <w:color w:val="000000"/>
                <w:lang w:val="es-MX"/>
              </w:rPr>
              <w:t xml:space="preserve"> a servicios de atención.</w:t>
            </w:r>
          </w:p>
        </w:tc>
      </w:tr>
      <w:tr w:rsidR="00C02C68" w:rsidRPr="00392E34" w14:paraId="7BE0800A" w14:textId="77777777" w:rsidTr="00864D29">
        <w:trPr>
          <w:trHeight w:val="802"/>
        </w:trPr>
        <w:tc>
          <w:tcPr>
            <w:tcW w:w="1536" w:type="dxa"/>
          </w:tcPr>
          <w:p w14:paraId="5C3DC254" w14:textId="36F6CC0F" w:rsidR="00C02C68" w:rsidRPr="00DD37EC" w:rsidRDefault="00C02C68" w:rsidP="00C02C68">
            <w:pPr>
              <w:spacing w:after="240"/>
              <w:rPr>
                <w:rFonts w:ascii="Arial" w:hAnsi="Arial" w:cs="Arial"/>
                <w:b/>
                <w:lang w:val="es-MX"/>
              </w:rPr>
            </w:pPr>
            <w:r w:rsidRPr="00DD37EC">
              <w:rPr>
                <w:rFonts w:ascii="Arial" w:hAnsi="Arial" w:cs="Arial"/>
                <w:b/>
                <w:lang w:val="es-MX"/>
              </w:rPr>
              <w:lastRenderedPageBreak/>
              <w:t>Soluciones Potenciales</w:t>
            </w:r>
          </w:p>
        </w:tc>
        <w:tc>
          <w:tcPr>
            <w:tcW w:w="8449" w:type="dxa"/>
          </w:tcPr>
          <w:p w14:paraId="3053FD97" w14:textId="78E5112D" w:rsidR="00154BBD" w:rsidRPr="00154BBD" w:rsidRDefault="00154BBD" w:rsidP="0068285B">
            <w:pPr>
              <w:pStyle w:val="ListParagraph"/>
              <w:numPr>
                <w:ilvl w:val="0"/>
                <w:numId w:val="30"/>
              </w:numPr>
              <w:spacing w:after="240"/>
              <w:rPr>
                <w:rFonts w:ascii="Arial" w:hAnsi="Arial" w:cs="Arial"/>
                <w:bCs/>
                <w:lang w:val="es-ES"/>
              </w:rPr>
            </w:pPr>
            <w:r w:rsidRPr="00154BBD">
              <w:rPr>
                <w:rFonts w:ascii="Arial" w:hAnsi="Arial" w:cs="Arial"/>
                <w:lang w:val="es-MX"/>
              </w:rPr>
              <w:t>Elaborar un plan de gestión y movilización de fondos nacionales para financiar las intervenciones de prevención con recursos de la SESAL, la Seguridad Social y/o alianzas con el sector privado</w:t>
            </w:r>
            <w:r w:rsidR="00AE6183">
              <w:rPr>
                <w:rFonts w:ascii="Arial" w:hAnsi="Arial" w:cs="Arial"/>
                <w:lang w:val="es-MX"/>
              </w:rPr>
              <w:t>.</w:t>
            </w:r>
          </w:p>
          <w:p w14:paraId="60834509" w14:textId="77777777" w:rsidR="00154BBD" w:rsidRPr="00154BBD" w:rsidRDefault="00154BBD" w:rsidP="0068285B">
            <w:pPr>
              <w:pStyle w:val="ListParagraph"/>
              <w:numPr>
                <w:ilvl w:val="0"/>
                <w:numId w:val="30"/>
              </w:numPr>
              <w:spacing w:after="240"/>
              <w:rPr>
                <w:rFonts w:ascii="Arial" w:hAnsi="Arial" w:cs="Arial"/>
                <w:bCs/>
                <w:lang w:val="es-ES"/>
              </w:rPr>
            </w:pPr>
            <w:r w:rsidRPr="00154BBD">
              <w:rPr>
                <w:rFonts w:ascii="Arial" w:hAnsi="Arial" w:cs="Arial"/>
                <w:lang w:val="es-MX"/>
              </w:rPr>
              <w:t xml:space="preserve">Fortalecer la implementación del Paquete específico de prestaciones y servicios para el abordaje integral de las ITS y VIH en poblaciones clave (julio 2015) y establecer el paquete mínimo de prevención combinada para VIH en población general y clave, de acuerdo a la cartera de servicios de los Establecimientos de Salud con miras a la institucionalización y financiamiento por la SESAL y el IHSS. </w:t>
            </w:r>
          </w:p>
          <w:p w14:paraId="28BFCE69" w14:textId="77777777" w:rsidR="00154BBD" w:rsidRPr="008604F1" w:rsidRDefault="00154BBD" w:rsidP="0068285B">
            <w:pPr>
              <w:pStyle w:val="ListParagraph"/>
              <w:numPr>
                <w:ilvl w:val="0"/>
                <w:numId w:val="30"/>
              </w:numPr>
              <w:spacing w:after="240"/>
              <w:rPr>
                <w:rFonts w:ascii="Arial" w:hAnsi="Arial" w:cs="Arial"/>
                <w:bCs/>
                <w:lang w:val="es-ES"/>
              </w:rPr>
            </w:pPr>
            <w:r w:rsidRPr="00154BBD">
              <w:rPr>
                <w:rFonts w:ascii="Arial" w:hAnsi="Arial" w:cs="Arial"/>
                <w:lang w:val="es-MX"/>
              </w:rPr>
              <w:t>Garantizar recursos para el fortalecimiento de los servicios amigables, VICITS y horarios extendidos.</w:t>
            </w:r>
          </w:p>
          <w:p w14:paraId="4854E4F6" w14:textId="293D2865" w:rsidR="008604F1" w:rsidRPr="00154BBD" w:rsidRDefault="008604F1" w:rsidP="0068285B">
            <w:pPr>
              <w:pStyle w:val="ListParagraph"/>
              <w:numPr>
                <w:ilvl w:val="0"/>
                <w:numId w:val="30"/>
              </w:numPr>
              <w:spacing w:after="240"/>
              <w:rPr>
                <w:rFonts w:ascii="Arial" w:hAnsi="Arial" w:cs="Arial"/>
                <w:bCs/>
                <w:lang w:val="es-ES"/>
              </w:rPr>
            </w:pPr>
            <w:r w:rsidRPr="008604F1">
              <w:rPr>
                <w:rFonts w:ascii="Arial" w:hAnsi="Arial" w:cs="Arial"/>
                <w:bCs/>
                <w:lang w:val="es-ES"/>
              </w:rPr>
              <w:t>Crear líneas presupuestarias para cubrir los compromisos de cofinanciamiento de las pruebas CD4, PDR, carga viral, leche infantil, inversiones en reactivos ITS, insumos de laboratorio, cartuchos Gene-Xpert, respiradores N95, suplemento alimenticio para pacientes con TB-DR, control de infecciones de TB, así como para la prevención de VIH y TB a través de la prestación de servicios por parte de las OSCs.</w:t>
            </w:r>
          </w:p>
        </w:tc>
      </w:tr>
    </w:tbl>
    <w:p w14:paraId="3EE5B816" w14:textId="5866C08C" w:rsidR="000E4ECF" w:rsidRPr="00DD37EC" w:rsidRDefault="000E4ECF" w:rsidP="00DD37EC">
      <w:pPr>
        <w:pStyle w:val="Heading4"/>
        <w:spacing w:before="0" w:after="240" w:line="240" w:lineRule="auto"/>
        <w:rPr>
          <w:rFonts w:ascii="Arial" w:hAnsi="Arial" w:cs="Arial"/>
          <w:lang w:val="es-419"/>
        </w:rPr>
      </w:pPr>
    </w:p>
    <w:tbl>
      <w:tblPr>
        <w:tblStyle w:val="TableGrid"/>
        <w:tblW w:w="9355" w:type="dxa"/>
        <w:tblLayout w:type="fixed"/>
        <w:tblLook w:val="04A0" w:firstRow="1" w:lastRow="0" w:firstColumn="1" w:lastColumn="0" w:noHBand="0" w:noVBand="1"/>
      </w:tblPr>
      <w:tblGrid>
        <w:gridCol w:w="1536"/>
        <w:gridCol w:w="7819"/>
      </w:tblGrid>
      <w:tr w:rsidR="009C0F45" w:rsidRPr="00392E34" w14:paraId="25B7DD75" w14:textId="77777777" w:rsidTr="007B587B">
        <w:trPr>
          <w:trHeight w:val="512"/>
        </w:trPr>
        <w:tc>
          <w:tcPr>
            <w:tcW w:w="1536" w:type="dxa"/>
            <w:shd w:val="clear" w:color="auto" w:fill="E7E6E6" w:themeFill="background2"/>
          </w:tcPr>
          <w:p w14:paraId="7F95D15C" w14:textId="4CEDED3C" w:rsidR="009C0F45" w:rsidRPr="00DD37EC" w:rsidRDefault="009C0F45" w:rsidP="009C0F45">
            <w:pPr>
              <w:spacing w:after="240"/>
              <w:rPr>
                <w:rFonts w:ascii="Arial" w:hAnsi="Arial" w:cs="Arial"/>
                <w:b/>
                <w:lang w:val="es-MX"/>
              </w:rPr>
            </w:pPr>
            <w:r w:rsidRPr="00DD37EC">
              <w:rPr>
                <w:rFonts w:ascii="Arial" w:hAnsi="Arial" w:cs="Arial"/>
                <w:b/>
                <w:lang w:val="es-ES"/>
              </w:rPr>
              <w:t xml:space="preserve">RIESGO </w:t>
            </w:r>
            <w:r>
              <w:rPr>
                <w:rFonts w:ascii="Arial" w:hAnsi="Arial" w:cs="Arial"/>
                <w:b/>
                <w:lang w:val="es-ES"/>
              </w:rPr>
              <w:t>5</w:t>
            </w:r>
          </w:p>
        </w:tc>
        <w:tc>
          <w:tcPr>
            <w:tcW w:w="7819" w:type="dxa"/>
            <w:shd w:val="clear" w:color="auto" w:fill="E7E6E6" w:themeFill="background2"/>
          </w:tcPr>
          <w:p w14:paraId="318DBDD2" w14:textId="439E358E" w:rsidR="009C0F45" w:rsidRPr="00DD37EC" w:rsidRDefault="00710181" w:rsidP="009C0F45">
            <w:pPr>
              <w:tabs>
                <w:tab w:val="left" w:pos="337"/>
                <w:tab w:val="left" w:pos="1486"/>
              </w:tabs>
              <w:spacing w:after="240"/>
              <w:rPr>
                <w:rFonts w:ascii="Arial" w:hAnsi="Arial" w:cs="Arial"/>
                <w:b/>
                <w:lang w:val="es-MX"/>
              </w:rPr>
            </w:pPr>
            <w:r w:rsidRPr="00710181">
              <w:rPr>
                <w:rFonts w:ascii="Arial" w:hAnsi="Arial" w:cs="Arial"/>
                <w:b/>
                <w:bCs/>
                <w:lang w:val="es-ES"/>
              </w:rPr>
              <w:t>Falta de toma de decisiones y responsabilidad política para el respeto de los Derechos Humanos</w:t>
            </w:r>
          </w:p>
        </w:tc>
      </w:tr>
      <w:tr w:rsidR="009C0F45" w:rsidRPr="00392E34" w14:paraId="5208F33B" w14:textId="77777777" w:rsidTr="007B587B">
        <w:trPr>
          <w:trHeight w:val="802"/>
        </w:trPr>
        <w:tc>
          <w:tcPr>
            <w:tcW w:w="1536" w:type="dxa"/>
          </w:tcPr>
          <w:p w14:paraId="64964F1A" w14:textId="1A1F660D" w:rsidR="009C0F45" w:rsidRPr="00DD37EC" w:rsidRDefault="009C0F45" w:rsidP="009C0F45">
            <w:pPr>
              <w:spacing w:after="240"/>
              <w:rPr>
                <w:rFonts w:ascii="Arial" w:hAnsi="Arial" w:cs="Arial"/>
                <w:b/>
                <w:lang w:val="es-MX"/>
              </w:rPr>
            </w:pPr>
            <w:r>
              <w:rPr>
                <w:rFonts w:ascii="Arial" w:hAnsi="Arial" w:cs="Arial"/>
                <w:b/>
                <w:lang w:val="es-ES"/>
              </w:rPr>
              <w:t>Descripción e Impacto</w:t>
            </w:r>
          </w:p>
        </w:tc>
        <w:tc>
          <w:tcPr>
            <w:tcW w:w="7819" w:type="dxa"/>
          </w:tcPr>
          <w:p w14:paraId="45C4BC0A" w14:textId="42C644A6" w:rsidR="000C02A3" w:rsidRPr="000C02A3" w:rsidRDefault="000C02A3" w:rsidP="000C02A3">
            <w:pPr>
              <w:spacing w:after="240"/>
              <w:rPr>
                <w:rFonts w:ascii="Arial" w:hAnsi="Arial" w:cs="Arial"/>
                <w:bCs/>
                <w:lang w:val="es-ES"/>
              </w:rPr>
            </w:pPr>
            <w:r w:rsidRPr="000C02A3">
              <w:rPr>
                <w:rFonts w:ascii="Arial" w:hAnsi="Arial" w:cs="Arial"/>
                <w:bCs/>
                <w:lang w:val="es-ES"/>
              </w:rPr>
              <w:t>En el país existe legislación para la protección de los Derechos Humanos, pero no es implementada en su totalidad (i.e. Violación sistemática del Art. 52 de Ley Especial SIDA que impide exigir prueba de VIH para acceso al trabajo). Asimismo, el marco de derechos humanos internacional que el país ha suscrito debe ser aplicado y de cumplimiento obligatorio y total.</w:t>
            </w:r>
          </w:p>
          <w:p w14:paraId="756580BE" w14:textId="7FD1AADA" w:rsidR="009C0F45" w:rsidRPr="00DD37EC" w:rsidRDefault="000C02A3" w:rsidP="000C02A3">
            <w:pPr>
              <w:spacing w:after="240"/>
              <w:rPr>
                <w:rFonts w:ascii="Arial" w:hAnsi="Arial" w:cs="Arial"/>
                <w:lang w:val="es-MX"/>
              </w:rPr>
            </w:pPr>
            <w:r w:rsidRPr="000C02A3">
              <w:rPr>
                <w:rFonts w:ascii="Arial" w:hAnsi="Arial" w:cs="Arial"/>
                <w:bCs/>
                <w:lang w:val="es-ES"/>
              </w:rPr>
              <w:t>Sin toma de decisión política expresada en implementación de la legislación de derechos humanos, persecución de violaciones de derechos humanos, las poblaciones clave y vulnerables quedan desprotegidas. Existe poca inversión pública para la eliminación de barreras al acceso a servicios de VIH y TB relacionadas con DDHH.</w:t>
            </w:r>
          </w:p>
        </w:tc>
      </w:tr>
      <w:tr w:rsidR="009C0F45" w:rsidRPr="00392E34" w14:paraId="3D1DDAF3" w14:textId="77777777" w:rsidTr="007B587B">
        <w:trPr>
          <w:trHeight w:val="802"/>
        </w:trPr>
        <w:tc>
          <w:tcPr>
            <w:tcW w:w="1536" w:type="dxa"/>
          </w:tcPr>
          <w:p w14:paraId="19B7A5E0" w14:textId="1577E116" w:rsidR="009C0F45" w:rsidRPr="00DD37EC" w:rsidRDefault="009C0F45" w:rsidP="009C0F45">
            <w:pPr>
              <w:spacing w:after="240"/>
              <w:rPr>
                <w:rFonts w:ascii="Arial" w:hAnsi="Arial" w:cs="Arial"/>
                <w:b/>
                <w:lang w:val="es-MX"/>
              </w:rPr>
            </w:pPr>
            <w:r w:rsidRPr="00DD37EC">
              <w:rPr>
                <w:rFonts w:ascii="Arial" w:hAnsi="Arial" w:cs="Arial"/>
                <w:b/>
                <w:lang w:val="es-ES"/>
              </w:rPr>
              <w:lastRenderedPageBreak/>
              <w:t>Soluciones Potenciales</w:t>
            </w:r>
          </w:p>
        </w:tc>
        <w:tc>
          <w:tcPr>
            <w:tcW w:w="7819" w:type="dxa"/>
          </w:tcPr>
          <w:p w14:paraId="791672D4" w14:textId="0FD4683C" w:rsidR="00C15AC5" w:rsidRPr="00C15AC5" w:rsidRDefault="00C15AC5" w:rsidP="0068285B">
            <w:pPr>
              <w:pStyle w:val="ListParagraph"/>
              <w:numPr>
                <w:ilvl w:val="0"/>
                <w:numId w:val="31"/>
              </w:numPr>
              <w:spacing w:after="240"/>
              <w:jc w:val="both"/>
              <w:rPr>
                <w:rFonts w:ascii="Arial" w:hAnsi="Arial" w:cs="Arial"/>
                <w:bCs/>
                <w:lang w:val="es-ES"/>
              </w:rPr>
            </w:pPr>
            <w:r w:rsidRPr="00C15AC5">
              <w:rPr>
                <w:rFonts w:ascii="Arial" w:hAnsi="Arial" w:cs="Arial"/>
                <w:lang w:val="es-MX"/>
              </w:rPr>
              <w:t>Realizar una alianza estratégica entre la SEDH, AMHON (Asociación de Municipios de Honduras)</w:t>
            </w:r>
            <w:r w:rsidR="009454ED">
              <w:rPr>
                <w:rFonts w:ascii="Arial" w:hAnsi="Arial" w:cs="Arial"/>
                <w:lang w:val="es-MX"/>
              </w:rPr>
              <w:t xml:space="preserve">, </w:t>
            </w:r>
            <w:r w:rsidRPr="00C15AC5">
              <w:rPr>
                <w:rFonts w:ascii="Arial" w:hAnsi="Arial" w:cs="Arial"/>
                <w:lang w:val="es-MX"/>
              </w:rPr>
              <w:t>el CONADEH (Comisionado Nacional de los Derechos Humanos)</w:t>
            </w:r>
            <w:r w:rsidR="009454ED">
              <w:rPr>
                <w:rFonts w:ascii="Arial" w:hAnsi="Arial" w:cs="Arial"/>
                <w:lang w:val="es-MX"/>
              </w:rPr>
              <w:t xml:space="preserve"> y el Instituto Penitenciario</w:t>
            </w:r>
            <w:r w:rsidRPr="00C15AC5">
              <w:rPr>
                <w:rFonts w:ascii="Arial" w:hAnsi="Arial" w:cs="Arial"/>
                <w:lang w:val="es-MX"/>
              </w:rPr>
              <w:t xml:space="preserve"> para que </w:t>
            </w:r>
            <w:r w:rsidR="009454ED">
              <w:rPr>
                <w:rFonts w:ascii="Arial" w:hAnsi="Arial" w:cs="Arial"/>
                <w:lang w:val="es-MX"/>
              </w:rPr>
              <w:t>se implementen acciones en</w:t>
            </w:r>
            <w:r w:rsidRPr="00C15AC5">
              <w:rPr>
                <w:rFonts w:ascii="Arial" w:hAnsi="Arial" w:cs="Arial"/>
                <w:lang w:val="es-MX"/>
              </w:rPr>
              <w:t xml:space="preserve"> defensa de los Derechos Humanos</w:t>
            </w:r>
            <w:r w:rsidR="009454ED">
              <w:rPr>
                <w:rFonts w:ascii="Arial" w:hAnsi="Arial" w:cs="Arial"/>
                <w:lang w:val="es-MX"/>
              </w:rPr>
              <w:t xml:space="preserve"> de las personas privadas de libertad con TB</w:t>
            </w:r>
            <w:r w:rsidRPr="00C15AC5">
              <w:rPr>
                <w:rFonts w:ascii="Arial" w:hAnsi="Arial" w:cs="Arial"/>
                <w:lang w:val="es-MX"/>
              </w:rPr>
              <w:t xml:space="preserve"> – con la participación y acompañamiento de la sociedad civil.</w:t>
            </w:r>
          </w:p>
          <w:p w14:paraId="35634A15" w14:textId="7F79B7A3" w:rsidR="00C15AC5" w:rsidRPr="00C15AC5" w:rsidRDefault="00C15AC5" w:rsidP="0068285B">
            <w:pPr>
              <w:pStyle w:val="ListParagraph"/>
              <w:numPr>
                <w:ilvl w:val="0"/>
                <w:numId w:val="31"/>
              </w:numPr>
              <w:spacing w:after="240"/>
              <w:jc w:val="both"/>
              <w:rPr>
                <w:rFonts w:ascii="Arial" w:hAnsi="Arial" w:cs="Arial"/>
                <w:bCs/>
                <w:lang w:val="es-ES"/>
              </w:rPr>
            </w:pPr>
            <w:r w:rsidRPr="00C15AC5">
              <w:rPr>
                <w:rFonts w:ascii="Arial" w:hAnsi="Arial" w:cs="Arial"/>
                <w:lang w:val="es-MX"/>
              </w:rPr>
              <w:t>Implementación</w:t>
            </w:r>
            <w:r w:rsidR="009454ED">
              <w:rPr>
                <w:rFonts w:ascii="Arial" w:hAnsi="Arial" w:cs="Arial"/>
                <w:lang w:val="es-MX"/>
              </w:rPr>
              <w:t xml:space="preserve"> y monitoreo</w:t>
            </w:r>
            <w:r w:rsidRPr="00C15AC5">
              <w:rPr>
                <w:rFonts w:ascii="Arial" w:hAnsi="Arial" w:cs="Arial"/>
                <w:lang w:val="es-MX"/>
              </w:rPr>
              <w:t xml:space="preserve"> de las acciones del Plan de Reducción de Obstáculos Relacionados con los Derechos Humanos al Acceso a los Servicios de VIH, Plan Quinquenal 2019-2023.</w:t>
            </w:r>
          </w:p>
        </w:tc>
      </w:tr>
    </w:tbl>
    <w:p w14:paraId="5B989ABB" w14:textId="5DBE63CF" w:rsidR="003E4F4B" w:rsidRDefault="00D16C8F" w:rsidP="00DD37EC">
      <w:pPr>
        <w:spacing w:after="240" w:line="240" w:lineRule="auto"/>
        <w:rPr>
          <w:rFonts w:ascii="Arial" w:hAnsi="Arial" w:cs="Arial"/>
          <w:lang w:val="es-419"/>
        </w:rPr>
      </w:pPr>
      <w:r>
        <w:rPr>
          <w:rFonts w:ascii="Arial" w:hAnsi="Arial" w:cs="Arial"/>
          <w:lang w:val="es-419"/>
        </w:rPr>
        <w:t xml:space="preserve"> </w:t>
      </w:r>
      <w:r w:rsidR="00F0294E">
        <w:rPr>
          <w:rFonts w:ascii="Arial" w:hAnsi="Arial" w:cs="Arial"/>
          <w:lang w:val="es-419"/>
        </w:rPr>
        <w:t xml:space="preserve"> </w:t>
      </w:r>
    </w:p>
    <w:tbl>
      <w:tblPr>
        <w:tblStyle w:val="TableGrid"/>
        <w:tblW w:w="9355" w:type="dxa"/>
        <w:tblLayout w:type="fixed"/>
        <w:tblLook w:val="04A0" w:firstRow="1" w:lastRow="0" w:firstColumn="1" w:lastColumn="0" w:noHBand="0" w:noVBand="1"/>
      </w:tblPr>
      <w:tblGrid>
        <w:gridCol w:w="1536"/>
        <w:gridCol w:w="7819"/>
      </w:tblGrid>
      <w:tr w:rsidR="001C0409" w:rsidRPr="00392E34" w14:paraId="589FDD25" w14:textId="77777777" w:rsidTr="007B587B">
        <w:trPr>
          <w:trHeight w:val="512"/>
        </w:trPr>
        <w:tc>
          <w:tcPr>
            <w:tcW w:w="1536" w:type="dxa"/>
            <w:shd w:val="clear" w:color="auto" w:fill="E7E6E6" w:themeFill="background2"/>
          </w:tcPr>
          <w:p w14:paraId="75E29B42" w14:textId="6BCFC80E" w:rsidR="001C0409" w:rsidRPr="00DD37EC" w:rsidRDefault="001C0409" w:rsidP="001C0409">
            <w:pPr>
              <w:spacing w:after="240"/>
              <w:rPr>
                <w:rFonts w:ascii="Arial" w:hAnsi="Arial" w:cs="Arial"/>
                <w:b/>
                <w:lang w:val="es-MX"/>
              </w:rPr>
            </w:pPr>
            <w:r w:rsidRPr="00DD37EC">
              <w:rPr>
                <w:rFonts w:ascii="Arial" w:hAnsi="Arial" w:cs="Arial"/>
                <w:b/>
                <w:lang w:val="es-ES"/>
              </w:rPr>
              <w:t xml:space="preserve">RIESGO </w:t>
            </w:r>
            <w:r>
              <w:rPr>
                <w:rFonts w:ascii="Arial" w:hAnsi="Arial" w:cs="Arial"/>
                <w:b/>
                <w:lang w:val="es-ES"/>
              </w:rPr>
              <w:t>6</w:t>
            </w:r>
          </w:p>
        </w:tc>
        <w:tc>
          <w:tcPr>
            <w:tcW w:w="7819" w:type="dxa"/>
            <w:shd w:val="clear" w:color="auto" w:fill="E7E6E6" w:themeFill="background2"/>
          </w:tcPr>
          <w:p w14:paraId="116B3368" w14:textId="64CAFB72" w:rsidR="001C0409" w:rsidRPr="00DD37EC" w:rsidRDefault="001A0D6D" w:rsidP="001C0409">
            <w:pPr>
              <w:tabs>
                <w:tab w:val="left" w:pos="337"/>
                <w:tab w:val="left" w:pos="1486"/>
              </w:tabs>
              <w:spacing w:after="240"/>
              <w:rPr>
                <w:rFonts w:ascii="Arial" w:hAnsi="Arial" w:cs="Arial"/>
                <w:b/>
                <w:lang w:val="es-MX"/>
              </w:rPr>
            </w:pPr>
            <w:r w:rsidRPr="001A0D6D">
              <w:rPr>
                <w:rFonts w:ascii="Arial" w:hAnsi="Arial" w:cs="Arial"/>
                <w:b/>
                <w:bCs/>
                <w:lang w:val="es-ES_tradnl"/>
              </w:rPr>
              <w:t>Limitado financiamiento público para las OSCs trabajando en VIH y TB, y pérdida del enfoque de su rol.</w:t>
            </w:r>
          </w:p>
        </w:tc>
      </w:tr>
      <w:tr w:rsidR="001C0409" w:rsidRPr="00392E34" w14:paraId="61ABBFC3" w14:textId="77777777" w:rsidTr="007B587B">
        <w:trPr>
          <w:trHeight w:val="802"/>
        </w:trPr>
        <w:tc>
          <w:tcPr>
            <w:tcW w:w="1536" w:type="dxa"/>
          </w:tcPr>
          <w:p w14:paraId="07F3AF68" w14:textId="0889BF90" w:rsidR="001C0409" w:rsidRPr="00DD37EC" w:rsidRDefault="00BE2517" w:rsidP="001C0409">
            <w:pPr>
              <w:spacing w:after="240"/>
              <w:rPr>
                <w:rFonts w:ascii="Arial" w:hAnsi="Arial" w:cs="Arial"/>
                <w:b/>
                <w:lang w:val="es-MX"/>
              </w:rPr>
            </w:pPr>
            <w:r>
              <w:rPr>
                <w:rFonts w:ascii="Arial" w:hAnsi="Arial" w:cs="Arial"/>
                <w:b/>
                <w:lang w:val="es-ES"/>
              </w:rPr>
              <w:t>Descripción e Impacto</w:t>
            </w:r>
          </w:p>
        </w:tc>
        <w:tc>
          <w:tcPr>
            <w:tcW w:w="7819" w:type="dxa"/>
          </w:tcPr>
          <w:p w14:paraId="00F4A840" w14:textId="77777777" w:rsidR="000C02A3" w:rsidRPr="000C02A3" w:rsidRDefault="000C02A3" w:rsidP="000C02A3">
            <w:pPr>
              <w:spacing w:after="240"/>
              <w:rPr>
                <w:rFonts w:ascii="Arial" w:hAnsi="Arial" w:cs="Arial"/>
                <w:lang w:val="es-MX"/>
              </w:rPr>
            </w:pPr>
            <w:r w:rsidRPr="000C02A3">
              <w:rPr>
                <w:rFonts w:ascii="Arial" w:hAnsi="Arial" w:cs="Arial"/>
                <w:lang w:val="es-MX"/>
              </w:rPr>
              <w:t xml:space="preserve">Con financiamiento limitado, las actividades e impacto de las OSC y su sustentabilidad institucional y de servicios se puede ver disminuida afectando la respuesta a las epidemias. </w:t>
            </w:r>
          </w:p>
          <w:p w14:paraId="44E74683" w14:textId="77777777" w:rsidR="000C02A3" w:rsidRPr="000C02A3" w:rsidRDefault="000C02A3" w:rsidP="000C02A3">
            <w:pPr>
              <w:spacing w:after="240"/>
              <w:rPr>
                <w:rFonts w:ascii="Arial" w:hAnsi="Arial" w:cs="Arial"/>
                <w:lang w:val="es-MX"/>
              </w:rPr>
            </w:pPr>
            <w:r w:rsidRPr="000C02A3">
              <w:rPr>
                <w:rFonts w:ascii="Arial" w:hAnsi="Arial" w:cs="Arial"/>
                <w:lang w:val="es-MX"/>
              </w:rPr>
              <w:t>Las dos únicas OSC con trabajo en VIH que se incluyeron en el presupuesto 2019 fueron FOROSIDA con $US 56 mil ($L1.3 M) y la Cruz Roja Hondureña con $US 408 mil ($L 10 M) – cuyo presupuesto no es exclusivo para VIH. El mecanismo de contratación es a través de convenios anuales con la SESAL.</w:t>
            </w:r>
          </w:p>
          <w:p w14:paraId="7788F052" w14:textId="77777777" w:rsidR="000C02A3" w:rsidRPr="000C02A3" w:rsidRDefault="000C02A3" w:rsidP="000C02A3">
            <w:pPr>
              <w:spacing w:after="240"/>
              <w:rPr>
                <w:rFonts w:ascii="Arial" w:hAnsi="Arial" w:cs="Arial"/>
                <w:lang w:val="es-MX"/>
              </w:rPr>
            </w:pPr>
            <w:r w:rsidRPr="000C02A3">
              <w:rPr>
                <w:rFonts w:ascii="Arial" w:hAnsi="Arial" w:cs="Arial"/>
                <w:lang w:val="es-MX"/>
              </w:rPr>
              <w:t>En desarrollo de OSC en TB es incipiente en el país y no ha tenido el fortalecimiento necesario para su empoderamiento y gestión.</w:t>
            </w:r>
          </w:p>
          <w:p w14:paraId="2A9CEFE4" w14:textId="5B787233" w:rsidR="001A75D2" w:rsidRPr="00DD37EC" w:rsidRDefault="000C02A3" w:rsidP="000C02A3">
            <w:pPr>
              <w:spacing w:after="240"/>
              <w:rPr>
                <w:rFonts w:ascii="Arial" w:hAnsi="Arial" w:cs="Arial"/>
                <w:lang w:val="es-MX"/>
              </w:rPr>
            </w:pPr>
            <w:r w:rsidRPr="000C02A3">
              <w:rPr>
                <w:rFonts w:ascii="Arial" w:hAnsi="Arial" w:cs="Arial"/>
                <w:lang w:val="es-MX"/>
              </w:rPr>
              <w:t>Se expresó la complejidad del papel de las OSCs y la necesidad de fortalecer sus competencias organizacionales y operativas para el mejor desarrollo de sus potencialidades, para la prestación de servicios de salud y servicios sociales y su reenfoque en incidencia y veeduría (propósito original de su creación).</w:t>
            </w:r>
          </w:p>
        </w:tc>
      </w:tr>
      <w:tr w:rsidR="001C0409" w:rsidRPr="00392E34" w14:paraId="28DF1942" w14:textId="77777777" w:rsidTr="00B91C5F">
        <w:trPr>
          <w:trHeight w:val="530"/>
        </w:trPr>
        <w:tc>
          <w:tcPr>
            <w:tcW w:w="1536" w:type="dxa"/>
          </w:tcPr>
          <w:p w14:paraId="14E8960D" w14:textId="5248AA93" w:rsidR="001C0409" w:rsidRPr="00DD37EC" w:rsidRDefault="001C0409" w:rsidP="001C0409">
            <w:pPr>
              <w:spacing w:after="240"/>
              <w:rPr>
                <w:rFonts w:ascii="Arial" w:hAnsi="Arial" w:cs="Arial"/>
                <w:b/>
                <w:lang w:val="es-MX"/>
              </w:rPr>
            </w:pPr>
            <w:r w:rsidRPr="00DD37EC">
              <w:rPr>
                <w:rFonts w:ascii="Arial" w:hAnsi="Arial" w:cs="Arial"/>
                <w:b/>
                <w:lang w:val="es-ES"/>
              </w:rPr>
              <w:t>Soluciones Potenciales</w:t>
            </w:r>
          </w:p>
        </w:tc>
        <w:tc>
          <w:tcPr>
            <w:tcW w:w="7819" w:type="dxa"/>
          </w:tcPr>
          <w:p w14:paraId="498CB613" w14:textId="0E08330E" w:rsidR="001A0D6D" w:rsidRPr="000663F0" w:rsidRDefault="001A0D6D" w:rsidP="000663F0">
            <w:pPr>
              <w:pStyle w:val="ListParagraph"/>
              <w:numPr>
                <w:ilvl w:val="0"/>
                <w:numId w:val="32"/>
              </w:numPr>
              <w:spacing w:after="240"/>
              <w:jc w:val="both"/>
              <w:rPr>
                <w:rFonts w:ascii="Arial" w:hAnsi="Arial" w:cs="Arial"/>
                <w:bCs/>
                <w:lang w:val="es-ES"/>
              </w:rPr>
            </w:pPr>
            <w:r w:rsidRPr="000663F0">
              <w:rPr>
                <w:rFonts w:ascii="Arial" w:hAnsi="Arial" w:cs="Arial"/>
                <w:lang w:val="es-MX"/>
              </w:rPr>
              <w:t>Fortalecimiento y reestructuración de la CONASIDA (Comisión Nacional de Sida) para que pueda fungir como mecanismo coordinador y gestor de recursos financieros para OSC.</w:t>
            </w:r>
          </w:p>
          <w:p w14:paraId="6ED39051" w14:textId="77777777" w:rsidR="001A0D6D" w:rsidRDefault="001A0D6D" w:rsidP="0068285B">
            <w:pPr>
              <w:pStyle w:val="ListParagraph"/>
              <w:numPr>
                <w:ilvl w:val="0"/>
                <w:numId w:val="32"/>
              </w:numPr>
              <w:spacing w:after="240"/>
              <w:jc w:val="both"/>
              <w:rPr>
                <w:rFonts w:ascii="Arial" w:hAnsi="Arial" w:cs="Arial"/>
                <w:lang w:val="es-MX"/>
              </w:rPr>
            </w:pPr>
            <w:r w:rsidRPr="001A0D6D">
              <w:rPr>
                <w:rFonts w:ascii="Arial" w:hAnsi="Arial" w:cs="Arial"/>
                <w:lang w:val="es-MX"/>
              </w:rPr>
              <w:t>Desarrollo de políticas y normas para que el sector privado financie las OSC complementando el financiamiento público, incluidos incentivos a través de donaciones y exoneración de impuestos.</w:t>
            </w:r>
          </w:p>
          <w:p w14:paraId="2B4C6D48" w14:textId="77777777" w:rsidR="001A0D6D" w:rsidRDefault="001A0D6D" w:rsidP="0068285B">
            <w:pPr>
              <w:pStyle w:val="ListParagraph"/>
              <w:numPr>
                <w:ilvl w:val="0"/>
                <w:numId w:val="32"/>
              </w:numPr>
              <w:spacing w:after="240"/>
              <w:jc w:val="both"/>
              <w:rPr>
                <w:rFonts w:ascii="Arial" w:hAnsi="Arial" w:cs="Arial"/>
                <w:lang w:val="es-MX"/>
              </w:rPr>
            </w:pPr>
            <w:r w:rsidRPr="001A0D6D">
              <w:rPr>
                <w:rFonts w:ascii="Arial" w:hAnsi="Arial" w:cs="Arial"/>
                <w:lang w:val="es-MX"/>
              </w:rPr>
              <w:t>Mejorar la relación, comunicación y enlace con el Consejo Hondureño de la Empresa Privada, para explorar oportunidades de financiamiento privado y de proyectos conjuntos especialmente que contribuyan a disminuir la discriminación laboral.</w:t>
            </w:r>
          </w:p>
          <w:p w14:paraId="2B409069" w14:textId="612CE916" w:rsidR="001A0D6D" w:rsidRDefault="001A0D6D" w:rsidP="0068285B">
            <w:pPr>
              <w:pStyle w:val="ListParagraph"/>
              <w:numPr>
                <w:ilvl w:val="0"/>
                <w:numId w:val="32"/>
              </w:numPr>
              <w:spacing w:after="240"/>
              <w:jc w:val="both"/>
              <w:rPr>
                <w:rFonts w:ascii="Arial" w:hAnsi="Arial" w:cs="Arial"/>
                <w:lang w:val="es-MX"/>
              </w:rPr>
            </w:pPr>
            <w:r w:rsidRPr="001A0D6D">
              <w:rPr>
                <w:rFonts w:ascii="Arial" w:hAnsi="Arial" w:cs="Arial"/>
                <w:lang w:val="es-MX"/>
              </w:rPr>
              <w:t>Demandar las responsabilidades del gobierno en la prestación de servicios de salud y los servicios sociales en TB</w:t>
            </w:r>
            <w:r w:rsidR="00EB1D32">
              <w:rPr>
                <w:rFonts w:ascii="Arial" w:hAnsi="Arial" w:cs="Arial"/>
                <w:lang w:val="es-MX"/>
              </w:rPr>
              <w:t xml:space="preserve"> y </w:t>
            </w:r>
            <w:r w:rsidRPr="001A0D6D">
              <w:rPr>
                <w:rFonts w:ascii="Arial" w:hAnsi="Arial" w:cs="Arial"/>
                <w:lang w:val="es-MX"/>
              </w:rPr>
              <w:t>VIH a través de un “Plan de Incidencia Política de la sociedad civil”.</w:t>
            </w:r>
          </w:p>
          <w:p w14:paraId="39D12E04" w14:textId="281E3E16" w:rsidR="001A0D6D" w:rsidRPr="001A0D6D" w:rsidRDefault="001A0D6D" w:rsidP="0068285B">
            <w:pPr>
              <w:pStyle w:val="ListParagraph"/>
              <w:numPr>
                <w:ilvl w:val="0"/>
                <w:numId w:val="32"/>
              </w:numPr>
              <w:spacing w:after="240"/>
              <w:jc w:val="both"/>
              <w:rPr>
                <w:rFonts w:ascii="Arial" w:hAnsi="Arial" w:cs="Arial"/>
                <w:lang w:val="es-MX"/>
              </w:rPr>
            </w:pPr>
            <w:r w:rsidRPr="001A0D6D">
              <w:rPr>
                <w:rFonts w:ascii="Arial" w:hAnsi="Arial" w:cs="Arial"/>
                <w:lang w:val="es-MX"/>
              </w:rPr>
              <w:t>Desarrollar un programa nacional de apoyo y sostenimiento institucional y operacional de las OSC con financiamiento público, privado, y externo.</w:t>
            </w:r>
          </w:p>
        </w:tc>
      </w:tr>
    </w:tbl>
    <w:p w14:paraId="4B831B71" w14:textId="7FC0ACCB" w:rsidR="001C0409" w:rsidRDefault="001C0409" w:rsidP="00DD37EC">
      <w:pPr>
        <w:spacing w:after="240" w:line="240" w:lineRule="auto"/>
        <w:rPr>
          <w:rFonts w:ascii="Arial" w:hAnsi="Arial" w:cs="Arial"/>
          <w:lang w:val="es-419"/>
        </w:rPr>
      </w:pPr>
    </w:p>
    <w:tbl>
      <w:tblPr>
        <w:tblStyle w:val="TableGrid"/>
        <w:tblW w:w="9355" w:type="dxa"/>
        <w:tblLayout w:type="fixed"/>
        <w:tblLook w:val="04A0" w:firstRow="1" w:lastRow="0" w:firstColumn="1" w:lastColumn="0" w:noHBand="0" w:noVBand="1"/>
      </w:tblPr>
      <w:tblGrid>
        <w:gridCol w:w="1536"/>
        <w:gridCol w:w="7819"/>
      </w:tblGrid>
      <w:tr w:rsidR="00862646" w:rsidRPr="00392E34" w14:paraId="6B5120C9" w14:textId="77777777" w:rsidTr="00167C47">
        <w:trPr>
          <w:trHeight w:val="512"/>
        </w:trPr>
        <w:tc>
          <w:tcPr>
            <w:tcW w:w="1536" w:type="dxa"/>
            <w:shd w:val="clear" w:color="auto" w:fill="E7E6E6" w:themeFill="background2"/>
          </w:tcPr>
          <w:p w14:paraId="3F1EE848" w14:textId="79674155" w:rsidR="00862646" w:rsidRPr="00DD37EC" w:rsidRDefault="00862646" w:rsidP="00167C47">
            <w:pPr>
              <w:spacing w:after="240"/>
              <w:rPr>
                <w:rFonts w:ascii="Arial" w:hAnsi="Arial" w:cs="Arial"/>
                <w:b/>
                <w:lang w:val="es-MX"/>
              </w:rPr>
            </w:pPr>
            <w:r w:rsidRPr="00DD37EC">
              <w:rPr>
                <w:rFonts w:ascii="Arial" w:hAnsi="Arial" w:cs="Arial"/>
                <w:b/>
                <w:lang w:val="es-ES"/>
              </w:rPr>
              <w:lastRenderedPageBreak/>
              <w:t xml:space="preserve">RIESGO </w:t>
            </w:r>
            <w:r>
              <w:rPr>
                <w:rFonts w:ascii="Arial" w:hAnsi="Arial" w:cs="Arial"/>
                <w:b/>
                <w:lang w:val="es-ES"/>
              </w:rPr>
              <w:t>7</w:t>
            </w:r>
          </w:p>
        </w:tc>
        <w:tc>
          <w:tcPr>
            <w:tcW w:w="7819" w:type="dxa"/>
            <w:shd w:val="clear" w:color="auto" w:fill="E7E6E6" w:themeFill="background2"/>
          </w:tcPr>
          <w:p w14:paraId="1FC1DD3D" w14:textId="5A0DC9E7" w:rsidR="00862646" w:rsidRPr="00DD37EC" w:rsidRDefault="0053764B" w:rsidP="00167C47">
            <w:pPr>
              <w:tabs>
                <w:tab w:val="left" w:pos="337"/>
                <w:tab w:val="left" w:pos="1486"/>
              </w:tabs>
              <w:spacing w:after="240"/>
              <w:rPr>
                <w:rFonts w:ascii="Arial" w:hAnsi="Arial" w:cs="Arial"/>
                <w:b/>
                <w:lang w:val="es-MX"/>
              </w:rPr>
            </w:pPr>
            <w:r w:rsidRPr="0053764B">
              <w:rPr>
                <w:rFonts w:ascii="Arial" w:hAnsi="Arial" w:cs="Arial"/>
                <w:b/>
                <w:lang w:val="es-MX"/>
              </w:rPr>
              <w:t>El incumplimiento en la rendición de cuentas que se vio acentuado por:</w:t>
            </w:r>
            <w:r>
              <w:rPr>
                <w:rFonts w:ascii="Arial" w:hAnsi="Arial" w:cs="Arial"/>
                <w:b/>
                <w:lang w:val="es-MX"/>
              </w:rPr>
              <w:t xml:space="preserve"> </w:t>
            </w:r>
            <w:r w:rsidRPr="0053764B">
              <w:rPr>
                <w:rFonts w:ascii="Arial" w:hAnsi="Arial" w:cs="Arial"/>
                <w:b/>
                <w:lang w:val="es-MX"/>
              </w:rPr>
              <w:t>(1) el proceso de transversalización de servicios de TB y VIH como parte de la reforma del sector salud;</w:t>
            </w:r>
            <w:r>
              <w:rPr>
                <w:rFonts w:ascii="Arial" w:hAnsi="Arial" w:cs="Arial"/>
                <w:b/>
                <w:lang w:val="es-MX"/>
              </w:rPr>
              <w:t xml:space="preserve"> </w:t>
            </w:r>
            <w:r w:rsidRPr="0053764B">
              <w:rPr>
                <w:rFonts w:ascii="Arial" w:hAnsi="Arial" w:cs="Arial"/>
                <w:b/>
                <w:lang w:val="es-MX"/>
              </w:rPr>
              <w:t>(2) la falta de un sistema de información integrado y funcional y (3) debilidades de planificación estratégica en el nivel subnacional.</w:t>
            </w:r>
          </w:p>
        </w:tc>
      </w:tr>
      <w:tr w:rsidR="00862646" w:rsidRPr="00392E34" w14:paraId="6133D730" w14:textId="77777777" w:rsidTr="0044171F">
        <w:trPr>
          <w:trHeight w:val="620"/>
        </w:trPr>
        <w:tc>
          <w:tcPr>
            <w:tcW w:w="1536" w:type="dxa"/>
          </w:tcPr>
          <w:p w14:paraId="22639EA1" w14:textId="647D7035" w:rsidR="00862646" w:rsidRPr="00DD37EC" w:rsidRDefault="00862646" w:rsidP="00167C47">
            <w:pPr>
              <w:spacing w:after="240"/>
              <w:rPr>
                <w:rFonts w:ascii="Arial" w:hAnsi="Arial" w:cs="Arial"/>
                <w:b/>
                <w:lang w:val="es-MX"/>
              </w:rPr>
            </w:pPr>
            <w:r>
              <w:rPr>
                <w:rFonts w:ascii="Arial" w:hAnsi="Arial" w:cs="Arial"/>
                <w:b/>
                <w:lang w:val="es-ES"/>
              </w:rPr>
              <w:t>Descripción e Impacto</w:t>
            </w:r>
            <w:r w:rsidRPr="00DD37EC" w:rsidDel="00BE2517">
              <w:rPr>
                <w:rFonts w:ascii="Arial" w:hAnsi="Arial" w:cs="Arial"/>
                <w:b/>
                <w:lang w:val="es-ES"/>
              </w:rPr>
              <w:t xml:space="preserve"> </w:t>
            </w:r>
          </w:p>
        </w:tc>
        <w:tc>
          <w:tcPr>
            <w:tcW w:w="7819" w:type="dxa"/>
          </w:tcPr>
          <w:p w14:paraId="79302EED" w14:textId="4F2F6BEA" w:rsidR="00A703A1" w:rsidRPr="00A703A1" w:rsidRDefault="00A703A1" w:rsidP="00A703A1">
            <w:pPr>
              <w:spacing w:after="240"/>
              <w:rPr>
                <w:rFonts w:ascii="Arial" w:hAnsi="Arial" w:cs="Arial"/>
                <w:lang w:val="es-ES"/>
              </w:rPr>
            </w:pPr>
            <w:r w:rsidRPr="00A703A1">
              <w:rPr>
                <w:rFonts w:ascii="Arial" w:hAnsi="Arial" w:cs="Arial"/>
                <w:lang w:val="es-ES"/>
              </w:rPr>
              <w:t>Los cambios en el proceso del Desarrollo Organizacional (DO) de la SESAL y sus dependencias, especialmente con la desaparición de los Programas Nacionales de VIH y TB de la estructura organizacional de la SESAL, ha sido una desventaja para la adecuada rendición de cuentas, monitoreo y evaluación, y financiamiento de los servicios necesarios para la promoción, prevención, tratamiento y control de las enfermedades</w:t>
            </w:r>
          </w:p>
          <w:p w14:paraId="48852E29" w14:textId="77777777" w:rsidR="00A703A1" w:rsidRPr="00A703A1" w:rsidRDefault="00A703A1" w:rsidP="00A703A1">
            <w:pPr>
              <w:spacing w:after="240"/>
              <w:rPr>
                <w:rFonts w:ascii="Arial" w:hAnsi="Arial" w:cs="Arial"/>
                <w:lang w:val="es-ES"/>
              </w:rPr>
            </w:pPr>
            <w:r w:rsidRPr="00A703A1">
              <w:rPr>
                <w:rFonts w:ascii="Arial" w:hAnsi="Arial" w:cs="Arial"/>
                <w:lang w:val="es-ES"/>
              </w:rPr>
              <w:t xml:space="preserve">Durante el periodo 2017-2019, la Unidad de Gestión de la Información (UGI) ha implementado el </w:t>
            </w:r>
            <w:r w:rsidRPr="00A703A1">
              <w:rPr>
                <w:rFonts w:ascii="Arial" w:hAnsi="Arial" w:cs="Arial"/>
                <w:b/>
                <w:lang w:val="es-ES"/>
              </w:rPr>
              <w:t>“Proyecto Nacional de Fortalecimiento del Sistema de Información Integrado de Malaria, VIH y Tuberculosis en el Marco del Desarrollo del Sistema Integrado de Información en Salud (SIIS)”.</w:t>
            </w:r>
            <w:r w:rsidRPr="00A703A1">
              <w:rPr>
                <w:rFonts w:ascii="Arial" w:hAnsi="Arial" w:cs="Arial"/>
                <w:lang w:val="es-ES"/>
              </w:rPr>
              <w:t xml:space="preserve"> La implementación y funcionalidad del SIIS es necesaria para contar con una gestión basada procesos y resultados, y generar una cultura de rendición de cuentas.</w:t>
            </w:r>
          </w:p>
          <w:p w14:paraId="62C957A2" w14:textId="20E21F85" w:rsidR="00862646" w:rsidRPr="00DD37EC" w:rsidRDefault="00A703A1" w:rsidP="00A703A1">
            <w:pPr>
              <w:spacing w:after="240"/>
              <w:rPr>
                <w:rFonts w:ascii="Arial" w:hAnsi="Arial" w:cs="Arial"/>
                <w:lang w:val="es-MX"/>
              </w:rPr>
            </w:pPr>
            <w:r w:rsidRPr="00A703A1">
              <w:rPr>
                <w:rFonts w:ascii="Arial" w:hAnsi="Arial" w:cs="Arial"/>
                <w:lang w:val="es-ES"/>
              </w:rPr>
              <w:t>Las necesidades en vigilancia de VIH y TB por la falta de datos para poder tener información subnacion</w:t>
            </w:r>
            <w:r w:rsidR="003614B4">
              <w:rPr>
                <w:rFonts w:ascii="Arial" w:hAnsi="Arial" w:cs="Arial"/>
                <w:lang w:val="es-ES"/>
              </w:rPr>
              <w:t xml:space="preserve">al </w:t>
            </w:r>
            <w:r w:rsidRPr="00A703A1">
              <w:rPr>
                <w:rFonts w:ascii="Arial" w:hAnsi="Arial" w:cs="Arial"/>
                <w:lang w:val="es-ES"/>
              </w:rPr>
              <w:t>dificultan la definición de las necesidades de servicios que deben ser implementados en los niveles regionales y locales, desde la planificación estratégica</w:t>
            </w:r>
          </w:p>
        </w:tc>
      </w:tr>
      <w:tr w:rsidR="00862646" w:rsidRPr="00392E34" w14:paraId="1A5F68E9" w14:textId="77777777" w:rsidTr="00167C47">
        <w:trPr>
          <w:trHeight w:val="2240"/>
        </w:trPr>
        <w:tc>
          <w:tcPr>
            <w:tcW w:w="1536" w:type="dxa"/>
          </w:tcPr>
          <w:p w14:paraId="1CD33783" w14:textId="77777777" w:rsidR="00862646" w:rsidRPr="00DD37EC" w:rsidRDefault="00862646" w:rsidP="00167C47">
            <w:pPr>
              <w:spacing w:after="240"/>
              <w:rPr>
                <w:rFonts w:ascii="Arial" w:hAnsi="Arial" w:cs="Arial"/>
                <w:b/>
                <w:lang w:val="es-MX"/>
              </w:rPr>
            </w:pPr>
            <w:r w:rsidRPr="00DD37EC">
              <w:rPr>
                <w:rFonts w:ascii="Arial" w:hAnsi="Arial" w:cs="Arial"/>
                <w:b/>
                <w:lang w:val="es-ES"/>
              </w:rPr>
              <w:t>Soluciones Potenciales</w:t>
            </w:r>
          </w:p>
        </w:tc>
        <w:tc>
          <w:tcPr>
            <w:tcW w:w="7819" w:type="dxa"/>
          </w:tcPr>
          <w:p w14:paraId="34FBF025" w14:textId="77777777" w:rsidR="00434F22" w:rsidRPr="00C52B5C" w:rsidRDefault="00434F22" w:rsidP="00C52B5C">
            <w:pPr>
              <w:pStyle w:val="ListParagraph"/>
              <w:numPr>
                <w:ilvl w:val="0"/>
                <w:numId w:val="33"/>
              </w:numPr>
              <w:spacing w:after="240"/>
              <w:jc w:val="both"/>
              <w:rPr>
                <w:rFonts w:ascii="Arial" w:hAnsi="Arial" w:cs="Arial"/>
                <w:bCs/>
                <w:lang w:val="es-ES"/>
              </w:rPr>
            </w:pPr>
            <w:r w:rsidRPr="00C52B5C">
              <w:rPr>
                <w:rFonts w:ascii="Arial" w:hAnsi="Arial" w:cs="Arial"/>
                <w:lang w:val="es-ES"/>
              </w:rPr>
              <w:t>Reactivar instancias directas dentro de la SESAL responsables de la coordinación de las acciones en VIH y TB.</w:t>
            </w:r>
          </w:p>
          <w:p w14:paraId="478C9C73" w14:textId="05303461" w:rsidR="00434F22" w:rsidRPr="00434F22" w:rsidRDefault="00434F22" w:rsidP="0068285B">
            <w:pPr>
              <w:pStyle w:val="ListParagraph"/>
              <w:numPr>
                <w:ilvl w:val="0"/>
                <w:numId w:val="33"/>
              </w:numPr>
              <w:spacing w:after="240"/>
              <w:jc w:val="both"/>
              <w:rPr>
                <w:rFonts w:ascii="Arial" w:hAnsi="Arial" w:cs="Arial"/>
                <w:bCs/>
                <w:lang w:val="es-ES"/>
              </w:rPr>
            </w:pPr>
            <w:r w:rsidRPr="00434F22">
              <w:rPr>
                <w:rFonts w:ascii="Arial" w:hAnsi="Arial" w:cs="Arial"/>
                <w:lang w:val="es-ES"/>
              </w:rPr>
              <w:t xml:space="preserve">Establecer el monitoreo de la Estrategia de Sostenibilidad a través de la Secretaría de Coordinación </w:t>
            </w:r>
            <w:r w:rsidR="00467A19">
              <w:rPr>
                <w:rFonts w:ascii="Arial" w:hAnsi="Arial" w:cs="Arial"/>
                <w:lang w:val="es-ES"/>
              </w:rPr>
              <w:t xml:space="preserve">General </w:t>
            </w:r>
            <w:r w:rsidRPr="00434F22">
              <w:rPr>
                <w:rFonts w:ascii="Arial" w:hAnsi="Arial" w:cs="Arial"/>
                <w:lang w:val="es-ES"/>
              </w:rPr>
              <w:t xml:space="preserve">de Gobierno. </w:t>
            </w:r>
          </w:p>
          <w:p w14:paraId="21205103" w14:textId="77777777" w:rsidR="00434F22" w:rsidRPr="00434F22" w:rsidRDefault="00434F22" w:rsidP="0068285B">
            <w:pPr>
              <w:pStyle w:val="ListParagraph"/>
              <w:numPr>
                <w:ilvl w:val="0"/>
                <w:numId w:val="33"/>
              </w:numPr>
              <w:spacing w:after="240"/>
              <w:jc w:val="both"/>
              <w:rPr>
                <w:rFonts w:ascii="Arial" w:hAnsi="Arial" w:cs="Arial"/>
                <w:bCs/>
                <w:lang w:val="es-ES"/>
              </w:rPr>
            </w:pPr>
            <w:r w:rsidRPr="00434F22">
              <w:rPr>
                <w:rFonts w:ascii="Arial" w:hAnsi="Arial" w:cs="Arial"/>
                <w:lang w:val="es-ES"/>
              </w:rPr>
              <w:t>Establecer marcos de desempeño para VIH y TB en el nivel regional, incluyendo las metas para lograr la Estrategia 90-90-90 por cada región del país.</w:t>
            </w:r>
          </w:p>
          <w:p w14:paraId="74CAED76" w14:textId="77777777" w:rsidR="00434F22" w:rsidRPr="00434F22" w:rsidRDefault="00434F22" w:rsidP="0068285B">
            <w:pPr>
              <w:pStyle w:val="ListParagraph"/>
              <w:numPr>
                <w:ilvl w:val="0"/>
                <w:numId w:val="33"/>
              </w:numPr>
              <w:spacing w:after="240"/>
              <w:jc w:val="both"/>
              <w:rPr>
                <w:rFonts w:ascii="Arial" w:hAnsi="Arial" w:cs="Arial"/>
                <w:bCs/>
                <w:lang w:val="es-ES"/>
              </w:rPr>
            </w:pPr>
            <w:r w:rsidRPr="00434F22">
              <w:rPr>
                <w:rFonts w:ascii="Arial" w:hAnsi="Arial" w:cs="Arial"/>
                <w:lang w:val="es-ES"/>
              </w:rPr>
              <w:t>Disponibilidad pública de información sobre prestación de servicios de TB y VIH.</w:t>
            </w:r>
          </w:p>
          <w:p w14:paraId="225B0F1C" w14:textId="03267108" w:rsidR="00434F22" w:rsidRPr="00434F22" w:rsidRDefault="00434F22" w:rsidP="0068285B">
            <w:pPr>
              <w:pStyle w:val="ListParagraph"/>
              <w:numPr>
                <w:ilvl w:val="0"/>
                <w:numId w:val="33"/>
              </w:numPr>
              <w:spacing w:after="240"/>
              <w:jc w:val="both"/>
              <w:rPr>
                <w:rFonts w:ascii="Arial" w:hAnsi="Arial" w:cs="Arial"/>
                <w:bCs/>
                <w:lang w:val="es-ES"/>
              </w:rPr>
            </w:pPr>
            <w:r w:rsidRPr="00434F22">
              <w:rPr>
                <w:rFonts w:ascii="Arial" w:hAnsi="Arial" w:cs="Arial"/>
                <w:lang w:val="es-ES"/>
              </w:rPr>
              <w:t>Fortalecimiento del Sistema de Información Integrado en Salud en cumplimento de lo establecido por la SESAL para lograr su operatividad y uso continuo.</w:t>
            </w:r>
          </w:p>
        </w:tc>
      </w:tr>
    </w:tbl>
    <w:p w14:paraId="3E2D80AD" w14:textId="5DA32A86" w:rsidR="000E4ECF" w:rsidRPr="00DD37EC" w:rsidRDefault="00780DA6" w:rsidP="00780DA6">
      <w:pPr>
        <w:rPr>
          <w:rFonts w:ascii="Arial" w:hAnsi="Arial" w:cs="Arial"/>
          <w:lang w:val="es-419"/>
        </w:rPr>
      </w:pPr>
      <w:r>
        <w:rPr>
          <w:rFonts w:ascii="Arial" w:hAnsi="Arial" w:cs="Arial"/>
          <w:lang w:val="es-419"/>
        </w:rPr>
        <w:br w:type="page"/>
      </w:r>
    </w:p>
    <w:p w14:paraId="6D293BBC" w14:textId="31FD5901" w:rsidR="003939DB" w:rsidRPr="00DD37EC" w:rsidRDefault="003939DB" w:rsidP="00DD37EC">
      <w:pPr>
        <w:pStyle w:val="Heading1"/>
        <w:spacing w:before="0" w:after="240" w:line="240" w:lineRule="auto"/>
        <w:rPr>
          <w:rFonts w:ascii="Arial" w:hAnsi="Arial" w:cs="Arial"/>
          <w:sz w:val="22"/>
          <w:szCs w:val="22"/>
          <w:lang w:val="es-419"/>
        </w:rPr>
      </w:pPr>
      <w:bookmarkStart w:id="19" w:name="_Toc8905214"/>
      <w:r w:rsidRPr="00DD37EC">
        <w:rPr>
          <w:rFonts w:ascii="Arial" w:hAnsi="Arial" w:cs="Arial"/>
          <w:sz w:val="22"/>
          <w:szCs w:val="22"/>
          <w:lang w:val="es-419"/>
        </w:rPr>
        <w:lastRenderedPageBreak/>
        <w:t xml:space="preserve">2. </w:t>
      </w:r>
      <w:r w:rsidR="007534C2" w:rsidRPr="00DD37EC">
        <w:rPr>
          <w:rFonts w:ascii="Arial" w:hAnsi="Arial" w:cs="Arial"/>
          <w:sz w:val="22"/>
          <w:szCs w:val="22"/>
          <w:lang w:val="es-419"/>
        </w:rPr>
        <w:t>Introducción</w:t>
      </w:r>
      <w:bookmarkEnd w:id="19"/>
    </w:p>
    <w:p w14:paraId="3134ACD8" w14:textId="35E1739B" w:rsidR="001D5849" w:rsidRPr="00FE0982" w:rsidRDefault="007534C2" w:rsidP="0068285B">
      <w:pPr>
        <w:pStyle w:val="Heading2"/>
        <w:numPr>
          <w:ilvl w:val="1"/>
          <w:numId w:val="13"/>
        </w:numPr>
        <w:spacing w:before="0" w:after="240" w:line="240" w:lineRule="auto"/>
        <w:rPr>
          <w:rFonts w:ascii="Arial" w:hAnsi="Arial" w:cs="Arial"/>
          <w:sz w:val="22"/>
          <w:szCs w:val="22"/>
          <w:lang w:val="es-419"/>
        </w:rPr>
      </w:pPr>
      <w:bookmarkStart w:id="20" w:name="_Toc8905215"/>
      <w:r w:rsidRPr="00DD37EC">
        <w:rPr>
          <w:rFonts w:ascii="Arial" w:hAnsi="Arial" w:cs="Arial"/>
          <w:sz w:val="22"/>
          <w:szCs w:val="22"/>
          <w:lang w:val="es-419"/>
        </w:rPr>
        <w:t>Motivación de la Estrategia de Sostenibilidad</w:t>
      </w:r>
      <w:r w:rsidR="002B0F09" w:rsidRPr="00DD37EC">
        <w:rPr>
          <w:rFonts w:ascii="Arial" w:hAnsi="Arial" w:cs="Arial"/>
          <w:sz w:val="22"/>
          <w:szCs w:val="22"/>
          <w:lang w:val="es-419"/>
        </w:rPr>
        <w:t xml:space="preserve"> para VIH y TB</w:t>
      </w:r>
      <w:bookmarkEnd w:id="20"/>
    </w:p>
    <w:p w14:paraId="4340D7E0" w14:textId="631472E0" w:rsidR="00AC345D" w:rsidRDefault="0056228B" w:rsidP="00DD37EC">
      <w:pPr>
        <w:spacing w:after="240" w:line="240" w:lineRule="auto"/>
        <w:jc w:val="both"/>
        <w:rPr>
          <w:rFonts w:ascii="Arial" w:hAnsi="Arial" w:cs="Arial"/>
          <w:lang w:val="es-419"/>
        </w:rPr>
      </w:pPr>
      <w:r w:rsidRPr="00DD37EC">
        <w:rPr>
          <w:rFonts w:ascii="Arial" w:hAnsi="Arial" w:cs="Arial"/>
          <w:lang w:val="es-419"/>
        </w:rPr>
        <w:t>Dur</w:t>
      </w:r>
      <w:r w:rsidR="00847189" w:rsidRPr="00DD37EC">
        <w:rPr>
          <w:rFonts w:ascii="Arial" w:hAnsi="Arial" w:cs="Arial"/>
          <w:lang w:val="es-419"/>
        </w:rPr>
        <w:t xml:space="preserve">ante los </w:t>
      </w:r>
      <w:r w:rsidR="006A6AD2" w:rsidRPr="00DD37EC">
        <w:rPr>
          <w:rFonts w:ascii="Arial" w:hAnsi="Arial" w:cs="Arial"/>
          <w:lang w:val="es-419"/>
        </w:rPr>
        <w:t>últimos</w:t>
      </w:r>
      <w:r w:rsidR="00847189" w:rsidRPr="00DD37EC">
        <w:rPr>
          <w:rFonts w:ascii="Arial" w:hAnsi="Arial" w:cs="Arial"/>
          <w:lang w:val="es-419"/>
        </w:rPr>
        <w:t xml:space="preserve"> años</w:t>
      </w:r>
      <w:r w:rsidR="001B1B16" w:rsidRPr="00DD37EC">
        <w:rPr>
          <w:rFonts w:ascii="Arial" w:hAnsi="Arial" w:cs="Arial"/>
          <w:lang w:val="es-419"/>
        </w:rPr>
        <w:t xml:space="preserve"> Honduras </w:t>
      </w:r>
      <w:r w:rsidR="00847189" w:rsidRPr="00DD37EC">
        <w:rPr>
          <w:rFonts w:ascii="Arial" w:hAnsi="Arial" w:cs="Arial"/>
          <w:lang w:val="es-419"/>
        </w:rPr>
        <w:t xml:space="preserve">ha </w:t>
      </w:r>
      <w:r w:rsidR="00097108" w:rsidRPr="00DD37EC">
        <w:rPr>
          <w:rFonts w:ascii="Arial" w:hAnsi="Arial" w:cs="Arial"/>
          <w:lang w:val="es-419"/>
        </w:rPr>
        <w:t>logrado fortalecer</w:t>
      </w:r>
      <w:r w:rsidR="00847189" w:rsidRPr="00DD37EC">
        <w:rPr>
          <w:rFonts w:ascii="Arial" w:hAnsi="Arial" w:cs="Arial"/>
          <w:lang w:val="es-419"/>
        </w:rPr>
        <w:t xml:space="preserve"> múltiples aspectos de las Respuestas Nacionales al VIH y a la TB</w:t>
      </w:r>
      <w:r w:rsidR="00A2301C" w:rsidRPr="00DD37EC">
        <w:rPr>
          <w:rFonts w:ascii="Arial" w:hAnsi="Arial" w:cs="Arial"/>
          <w:lang w:val="es-419"/>
        </w:rPr>
        <w:t xml:space="preserve"> provocando una </w:t>
      </w:r>
      <w:r w:rsidR="00DC0339" w:rsidRPr="00DD37EC">
        <w:rPr>
          <w:rFonts w:ascii="Arial" w:hAnsi="Arial" w:cs="Arial"/>
          <w:lang w:val="es-419"/>
        </w:rPr>
        <w:t xml:space="preserve">disminución </w:t>
      </w:r>
      <w:r w:rsidR="00A2301C" w:rsidRPr="00DD37EC">
        <w:rPr>
          <w:rFonts w:ascii="Arial" w:hAnsi="Arial" w:cs="Arial"/>
          <w:lang w:val="es-419"/>
        </w:rPr>
        <w:t xml:space="preserve">gradual </w:t>
      </w:r>
      <w:r w:rsidR="00DC0339" w:rsidRPr="00DD37EC">
        <w:rPr>
          <w:rFonts w:ascii="Arial" w:hAnsi="Arial" w:cs="Arial"/>
          <w:lang w:val="es-419"/>
        </w:rPr>
        <w:t>en la prevalencia e incidencia de ambas enfermedades.</w:t>
      </w:r>
      <w:r w:rsidR="00847189" w:rsidRPr="00DD37EC">
        <w:rPr>
          <w:rFonts w:ascii="Arial" w:hAnsi="Arial" w:cs="Arial"/>
          <w:lang w:val="es-419"/>
        </w:rPr>
        <w:t xml:space="preserve"> </w:t>
      </w:r>
      <w:r w:rsidR="001B1B16" w:rsidRPr="00DD37EC">
        <w:rPr>
          <w:rFonts w:ascii="Arial" w:hAnsi="Arial" w:cs="Arial"/>
          <w:lang w:val="es-419"/>
        </w:rPr>
        <w:t xml:space="preserve">Al mismo tiempo el ingreso del país se ha </w:t>
      </w:r>
      <w:r w:rsidR="00F96EA2">
        <w:rPr>
          <w:rFonts w:ascii="Arial" w:hAnsi="Arial" w:cs="Arial"/>
          <w:lang w:val="es-419"/>
        </w:rPr>
        <w:t>logrado recuperar de la crisis económica del 2008 y observa una tendencia de crecimiento estable.</w:t>
      </w:r>
    </w:p>
    <w:p w14:paraId="553F101F" w14:textId="4EC6849B" w:rsidR="00EA3F71" w:rsidRDefault="00A02842" w:rsidP="001F0021">
      <w:pPr>
        <w:spacing w:after="240" w:line="240" w:lineRule="auto"/>
        <w:jc w:val="both"/>
        <w:rPr>
          <w:rFonts w:ascii="Arial" w:hAnsi="Arial" w:cs="Arial"/>
          <w:lang w:val="es-419"/>
        </w:rPr>
      </w:pPr>
      <w:r w:rsidRPr="00DD37EC">
        <w:rPr>
          <w:rFonts w:ascii="Arial" w:hAnsi="Arial" w:cs="Arial"/>
          <w:lang w:val="es-419"/>
        </w:rPr>
        <w:t xml:space="preserve">Desde </w:t>
      </w:r>
      <w:r w:rsidR="00F96EA2">
        <w:rPr>
          <w:rFonts w:ascii="Arial" w:hAnsi="Arial" w:cs="Arial"/>
          <w:lang w:val="es-419"/>
        </w:rPr>
        <w:t xml:space="preserve">aproximadamente dos </w:t>
      </w:r>
      <w:r w:rsidR="00F96EA2" w:rsidRPr="00F96EA2">
        <w:rPr>
          <w:rFonts w:ascii="Arial" w:hAnsi="Arial" w:cs="Arial"/>
          <w:lang w:val="es-419"/>
        </w:rPr>
        <w:t>décadas H</w:t>
      </w:r>
      <w:r w:rsidRPr="00F96EA2">
        <w:rPr>
          <w:rFonts w:ascii="Arial" w:hAnsi="Arial" w:cs="Arial"/>
          <w:lang w:val="es-419"/>
        </w:rPr>
        <w:t>onduras</w:t>
      </w:r>
      <w:r w:rsidRPr="00DD37EC">
        <w:rPr>
          <w:rFonts w:ascii="Arial" w:hAnsi="Arial" w:cs="Arial"/>
          <w:lang w:val="es-419"/>
        </w:rPr>
        <w:t xml:space="preserve"> ha contado con el apoyo de cooperantes internacionales, </w:t>
      </w:r>
      <w:r w:rsidR="00054E79" w:rsidRPr="00DD37EC">
        <w:rPr>
          <w:rFonts w:ascii="Arial" w:hAnsi="Arial" w:cs="Arial"/>
          <w:lang w:val="es-419"/>
        </w:rPr>
        <w:t>como el Fondo Mundial, PEPFAR y Gavi</w:t>
      </w:r>
      <w:r w:rsidRPr="00DD37EC">
        <w:rPr>
          <w:rFonts w:ascii="Arial" w:hAnsi="Arial" w:cs="Arial"/>
          <w:lang w:val="es-419"/>
        </w:rPr>
        <w:t>, para el fortalecimiento de programas de enfermedad específicos o de vacunación</w:t>
      </w:r>
      <w:r w:rsidR="001B1B16" w:rsidRPr="00DD37EC">
        <w:rPr>
          <w:rFonts w:ascii="Arial" w:hAnsi="Arial" w:cs="Arial"/>
          <w:lang w:val="es-419"/>
        </w:rPr>
        <w:t>. Sin embargo</w:t>
      </w:r>
      <w:r w:rsidR="00847189" w:rsidRPr="00DD37EC">
        <w:rPr>
          <w:rFonts w:ascii="Arial" w:hAnsi="Arial" w:cs="Arial"/>
          <w:lang w:val="es-419"/>
        </w:rPr>
        <w:t>,</w:t>
      </w:r>
      <w:r w:rsidR="00097108" w:rsidRPr="00DD37EC">
        <w:rPr>
          <w:rFonts w:ascii="Arial" w:hAnsi="Arial" w:cs="Arial"/>
          <w:lang w:val="es-419"/>
        </w:rPr>
        <w:t xml:space="preserve"> debido al crecimiento económico de Honduras y a la transición epidemiológica observados</w:t>
      </w:r>
      <w:r w:rsidR="001B1B16" w:rsidRPr="00DD37EC">
        <w:rPr>
          <w:rFonts w:ascii="Arial" w:hAnsi="Arial" w:cs="Arial"/>
          <w:lang w:val="es-419"/>
        </w:rPr>
        <w:t xml:space="preserve"> en los últimos años</w:t>
      </w:r>
      <w:r w:rsidR="00097108" w:rsidRPr="00DD37EC">
        <w:rPr>
          <w:rFonts w:ascii="Arial" w:hAnsi="Arial" w:cs="Arial"/>
          <w:lang w:val="es-419"/>
        </w:rPr>
        <w:t>, Honduras</w:t>
      </w:r>
      <w:r w:rsidR="001B1B16" w:rsidRPr="00DD37EC">
        <w:rPr>
          <w:rFonts w:ascii="Arial" w:hAnsi="Arial" w:cs="Arial"/>
          <w:lang w:val="es-419"/>
        </w:rPr>
        <w:t xml:space="preserve"> ha comenzado</w:t>
      </w:r>
      <w:r w:rsidR="00B25842" w:rsidRPr="00DD37EC">
        <w:rPr>
          <w:rFonts w:ascii="Arial" w:hAnsi="Arial" w:cs="Arial"/>
          <w:lang w:val="es-419"/>
        </w:rPr>
        <w:t xml:space="preserve"> a observar</w:t>
      </w:r>
      <w:r w:rsidR="001B1B16" w:rsidRPr="00DD37EC">
        <w:rPr>
          <w:rFonts w:ascii="Arial" w:hAnsi="Arial" w:cs="Arial"/>
          <w:lang w:val="es-419"/>
        </w:rPr>
        <w:t xml:space="preserve"> una tendencia decreciente en los recursos externos asignados a estas enfermedades </w:t>
      </w:r>
      <w:r w:rsidR="00B25842" w:rsidRPr="00DD37EC">
        <w:rPr>
          <w:rFonts w:ascii="Arial" w:hAnsi="Arial" w:cs="Arial"/>
          <w:lang w:val="es-419"/>
        </w:rPr>
        <w:t>y programas</w:t>
      </w:r>
      <w:r w:rsidR="001B1B16" w:rsidRPr="00DD37EC">
        <w:rPr>
          <w:rFonts w:ascii="Arial" w:hAnsi="Arial" w:cs="Arial"/>
          <w:lang w:val="es-419"/>
        </w:rPr>
        <w:t>.</w:t>
      </w:r>
    </w:p>
    <w:p w14:paraId="70AAE7A8" w14:textId="58E47B5F" w:rsidR="00265F66" w:rsidRPr="00805D79" w:rsidRDefault="00805D79" w:rsidP="00805D79">
      <w:pPr>
        <w:pStyle w:val="Caption"/>
        <w:rPr>
          <w:rFonts w:ascii="Arial" w:hAnsi="Arial" w:cs="Arial"/>
          <w:color w:val="auto"/>
          <w:sz w:val="22"/>
          <w:szCs w:val="22"/>
          <w:lang w:val="es-419"/>
        </w:rPr>
      </w:pPr>
      <w:bookmarkStart w:id="21" w:name="_Toc8904098"/>
      <w:r w:rsidRPr="00805D79">
        <w:rPr>
          <w:rFonts w:ascii="Arial" w:hAnsi="Arial" w:cs="Arial"/>
          <w:color w:val="auto"/>
          <w:sz w:val="22"/>
          <w:szCs w:val="22"/>
        </w:rPr>
        <w:t xml:space="preserve">Figura </w:t>
      </w:r>
      <w:r w:rsidRPr="00805D79">
        <w:rPr>
          <w:rFonts w:ascii="Arial" w:hAnsi="Arial" w:cs="Arial"/>
          <w:color w:val="auto"/>
          <w:sz w:val="22"/>
          <w:szCs w:val="22"/>
        </w:rPr>
        <w:fldChar w:fldCharType="begin"/>
      </w:r>
      <w:r w:rsidRPr="00805D79">
        <w:rPr>
          <w:rFonts w:ascii="Arial" w:hAnsi="Arial" w:cs="Arial"/>
          <w:color w:val="auto"/>
          <w:sz w:val="22"/>
          <w:szCs w:val="22"/>
        </w:rPr>
        <w:instrText xml:space="preserve"> SEQ Figura \* ARABIC </w:instrText>
      </w:r>
      <w:r w:rsidRPr="00805D79">
        <w:rPr>
          <w:rFonts w:ascii="Arial" w:hAnsi="Arial" w:cs="Arial"/>
          <w:color w:val="auto"/>
          <w:sz w:val="22"/>
          <w:szCs w:val="22"/>
        </w:rPr>
        <w:fldChar w:fldCharType="separate"/>
      </w:r>
      <w:r w:rsidR="00004563">
        <w:rPr>
          <w:rFonts w:ascii="Arial" w:hAnsi="Arial" w:cs="Arial"/>
          <w:noProof/>
          <w:color w:val="auto"/>
          <w:sz w:val="22"/>
          <w:szCs w:val="22"/>
        </w:rPr>
        <w:t>1</w:t>
      </w:r>
      <w:r w:rsidRPr="00805D79">
        <w:rPr>
          <w:rFonts w:ascii="Arial" w:hAnsi="Arial" w:cs="Arial"/>
          <w:color w:val="auto"/>
          <w:sz w:val="22"/>
          <w:szCs w:val="22"/>
        </w:rPr>
        <w:fldChar w:fldCharType="end"/>
      </w:r>
      <w:r w:rsidRPr="00805D79">
        <w:rPr>
          <w:rFonts w:ascii="Arial" w:hAnsi="Arial" w:cs="Arial"/>
          <w:color w:val="auto"/>
          <w:sz w:val="22"/>
          <w:szCs w:val="22"/>
        </w:rPr>
        <w:t>. Evolución de recursos externos por cooperante</w:t>
      </w:r>
      <w:bookmarkEnd w:id="21"/>
    </w:p>
    <w:p w14:paraId="4163FA62" w14:textId="30D9FA96" w:rsidR="00805D79" w:rsidRPr="001F0021" w:rsidRDefault="00805D79" w:rsidP="001F0021">
      <w:pPr>
        <w:spacing w:after="240" w:line="240" w:lineRule="auto"/>
        <w:jc w:val="both"/>
        <w:rPr>
          <w:rFonts w:ascii="Arial" w:hAnsi="Arial" w:cs="Arial"/>
          <w:lang w:val="es-419"/>
        </w:rPr>
      </w:pPr>
      <w:r>
        <w:rPr>
          <w:rFonts w:ascii="Arial" w:hAnsi="Arial" w:cs="Arial"/>
          <w:noProof/>
          <w:lang w:val="es-419"/>
        </w:rPr>
        <mc:AlternateContent>
          <mc:Choice Requires="wps">
            <w:drawing>
              <wp:anchor distT="0" distB="0" distL="114300" distR="114300" simplePos="0" relativeHeight="251684864" behindDoc="0" locked="0" layoutInCell="1" allowOverlap="1" wp14:anchorId="3CD9F036" wp14:editId="05577FCA">
                <wp:simplePos x="0" y="0"/>
                <wp:positionH relativeFrom="column">
                  <wp:posOffset>4108450</wp:posOffset>
                </wp:positionH>
                <wp:positionV relativeFrom="paragraph">
                  <wp:posOffset>90805</wp:posOffset>
                </wp:positionV>
                <wp:extent cx="7620" cy="1879600"/>
                <wp:effectExtent l="0" t="0" r="30480" b="25400"/>
                <wp:wrapNone/>
                <wp:docPr id="722" name="Straight Connector 722"/>
                <wp:cNvGraphicFramePr/>
                <a:graphic xmlns:a="http://schemas.openxmlformats.org/drawingml/2006/main">
                  <a:graphicData uri="http://schemas.microsoft.com/office/word/2010/wordprocessingShape">
                    <wps:wsp>
                      <wps:cNvCnPr/>
                      <wps:spPr>
                        <a:xfrm>
                          <a:off x="0" y="0"/>
                          <a:ext cx="7620" cy="187960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397C8B" id="Straight Connector 722"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3.5pt,7.15pt" to="324.1pt,15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" strokecolor="black [3200]">
                <v:stroke dashstyle="dash"/>
              </v:line>
            </w:pict>
          </mc:Fallback>
        </mc:AlternateContent>
      </w:r>
      <w:r>
        <w:rPr>
          <w:rFonts w:ascii="Arial" w:hAnsi="Arial" w:cs="Arial"/>
          <w:noProof/>
          <w:lang w:val="es-419"/>
        </w:rPr>
        <mc:AlternateContent>
          <mc:Choice Requires="wps">
            <w:drawing>
              <wp:anchor distT="0" distB="0" distL="114300" distR="114300" simplePos="0" relativeHeight="251682816" behindDoc="0" locked="0" layoutInCell="1" allowOverlap="1" wp14:anchorId="4414BE03" wp14:editId="2D71807E">
                <wp:simplePos x="0" y="0"/>
                <wp:positionH relativeFrom="column">
                  <wp:posOffset>2432050</wp:posOffset>
                </wp:positionH>
                <wp:positionV relativeFrom="paragraph">
                  <wp:posOffset>90805</wp:posOffset>
                </wp:positionV>
                <wp:extent cx="7620" cy="1950720"/>
                <wp:effectExtent l="0" t="0" r="30480" b="30480"/>
                <wp:wrapNone/>
                <wp:docPr id="721" name="Straight Connector 721"/>
                <wp:cNvGraphicFramePr/>
                <a:graphic xmlns:a="http://schemas.openxmlformats.org/drawingml/2006/main">
                  <a:graphicData uri="http://schemas.microsoft.com/office/word/2010/wordprocessingShape">
                    <wps:wsp>
                      <wps:cNvCnPr/>
                      <wps:spPr>
                        <a:xfrm>
                          <a:off x="0" y="0"/>
                          <a:ext cx="7620" cy="195072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F834DD" id="Straight Connector 721"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1.5pt,7.15pt" to="192.1pt,16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" strokecolor="black [3200]">
                <v:stroke dashstyle="dash"/>
              </v:line>
            </w:pict>
          </mc:Fallback>
        </mc:AlternateContent>
      </w:r>
      <w:r w:rsidRPr="001F0021">
        <w:rPr>
          <w:rFonts w:ascii="Arial" w:hAnsi="Arial" w:cs="Arial"/>
          <w:b/>
          <w:noProof/>
          <w:sz w:val="18"/>
          <w:lang w:val="es-MX"/>
        </w:rPr>
        <mc:AlternateContent>
          <mc:Choice Requires="wps">
            <w:drawing>
              <wp:anchor distT="0" distB="0" distL="114300" distR="114300" simplePos="0" relativeHeight="251677696" behindDoc="1" locked="0" layoutInCell="1" allowOverlap="1" wp14:anchorId="1D658FB0" wp14:editId="0249994C">
                <wp:simplePos x="0" y="0"/>
                <wp:positionH relativeFrom="column">
                  <wp:posOffset>-62230</wp:posOffset>
                </wp:positionH>
                <wp:positionV relativeFrom="paragraph">
                  <wp:posOffset>39370</wp:posOffset>
                </wp:positionV>
                <wp:extent cx="2317750" cy="393700"/>
                <wp:effectExtent l="0" t="0" r="25400" b="25400"/>
                <wp:wrapNone/>
                <wp:docPr id="7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0" cy="393700"/>
                        </a:xfrm>
                        <a:prstGeom prst="rect">
                          <a:avLst/>
                        </a:prstGeom>
                        <a:solidFill>
                          <a:srgbClr val="FFFFFF"/>
                        </a:solidFill>
                        <a:ln w="9525">
                          <a:solidFill>
                            <a:schemeClr val="bg1"/>
                          </a:solidFill>
                          <a:miter lim="800000"/>
                          <a:headEnd/>
                          <a:tailEnd/>
                        </a:ln>
                      </wps:spPr>
                      <wps:txbx>
                        <w:txbxContent>
                          <w:p w14:paraId="0AC26E33" w14:textId="77777777" w:rsidR="00F74A36" w:rsidRPr="001F0021" w:rsidRDefault="00F74A36" w:rsidP="001F0021">
                            <w:pPr>
                              <w:spacing w:after="0" w:line="240" w:lineRule="auto"/>
                              <w:jc w:val="center"/>
                              <w:rPr>
                                <w:rFonts w:ascii="Arial" w:hAnsi="Arial" w:cs="Arial"/>
                                <w:b/>
                                <w:sz w:val="18"/>
                                <w:szCs w:val="18"/>
                                <w:lang w:val="es-MX"/>
                              </w:rPr>
                            </w:pPr>
                            <w:r w:rsidRPr="001F0021">
                              <w:rPr>
                                <w:rFonts w:ascii="Arial" w:hAnsi="Arial" w:cs="Arial"/>
                                <w:b/>
                                <w:sz w:val="18"/>
                                <w:szCs w:val="18"/>
                                <w:lang w:val="es-MX"/>
                              </w:rPr>
                              <w:t>Subvenciones del FM</w:t>
                            </w:r>
                          </w:p>
                          <w:p w14:paraId="600A40F7" w14:textId="77777777" w:rsidR="00F74A36" w:rsidRPr="001F0021" w:rsidRDefault="00F74A36" w:rsidP="001F0021">
                            <w:pPr>
                              <w:spacing w:after="0" w:line="240" w:lineRule="auto"/>
                              <w:jc w:val="center"/>
                              <w:rPr>
                                <w:rFonts w:ascii="Arial" w:hAnsi="Arial" w:cs="Arial"/>
                                <w:b/>
                                <w:sz w:val="18"/>
                                <w:szCs w:val="18"/>
                                <w:lang w:val="es-MX"/>
                              </w:rPr>
                            </w:pPr>
                            <w:r w:rsidRPr="001F0021">
                              <w:rPr>
                                <w:rFonts w:ascii="Arial" w:hAnsi="Arial" w:cs="Arial"/>
                                <w:b/>
                                <w:sz w:val="18"/>
                                <w:szCs w:val="18"/>
                                <w:lang w:val="es-MX"/>
                              </w:rPr>
                              <w:t>(US$ millones)</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type w14:anchorId="1D658FB0" id="_x0000_t202" coordsize="21600,21600" o:spt="202" path="m,l,21600r21600,l21600,xe">
                <v:stroke joinstyle="miter"/>
                <v:path gradientshapeok="t" o:connecttype="rect"/>
              </v:shapetype>
              <v:shape id="Text Box 2" o:spid="_x0000_s1027" type="#_x0000_t202" style="position:absolute;left:0;text-align:left;margin-left:-4.9pt;margin-top:3.1pt;width:182.5pt;height:31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" strokecolor="white [3212]">
                <v:textbox>
                  <w:txbxContent>
                    <w:p w14:paraId="0AC26E33" w14:textId="77777777" w:rsidR="00F74A36" w:rsidRPr="001F0021" w:rsidRDefault="00F74A36" w:rsidP="001F0021">
                      <w:pPr>
                        <w:spacing w:after="0" w:line="240" w:lineRule="auto"/>
                        <w:jc w:val="center"/>
                        <w:rPr>
                          <w:rFonts w:ascii="Arial" w:hAnsi="Arial" w:cs="Arial"/>
                          <w:b/>
                          <w:sz w:val="18"/>
                          <w:szCs w:val="18"/>
                          <w:lang w:val="es-MX"/>
                        </w:rPr>
                      </w:pPr>
                      <w:r w:rsidRPr="001F0021">
                        <w:rPr>
                          <w:rFonts w:ascii="Arial" w:hAnsi="Arial" w:cs="Arial"/>
                          <w:b/>
                          <w:sz w:val="18"/>
                          <w:szCs w:val="18"/>
                          <w:lang w:val="es-MX"/>
                        </w:rPr>
                        <w:t>Subvenciones del FM</w:t>
                      </w:r>
                    </w:p>
                    <w:p w14:paraId="600A40F7" w14:textId="77777777" w:rsidR="00F74A36" w:rsidRPr="001F0021" w:rsidRDefault="00F74A36" w:rsidP="001F0021">
                      <w:pPr>
                        <w:spacing w:after="0" w:line="240" w:lineRule="auto"/>
                        <w:jc w:val="center"/>
                        <w:rPr>
                          <w:rFonts w:ascii="Arial" w:hAnsi="Arial" w:cs="Arial"/>
                          <w:b/>
                          <w:sz w:val="18"/>
                          <w:szCs w:val="18"/>
                          <w:lang w:val="es-MX"/>
                        </w:rPr>
                      </w:pPr>
                      <w:r w:rsidRPr="001F0021">
                        <w:rPr>
                          <w:rFonts w:ascii="Arial" w:hAnsi="Arial" w:cs="Arial"/>
                          <w:b/>
                          <w:sz w:val="18"/>
                          <w:szCs w:val="18"/>
                          <w:lang w:val="es-MX"/>
                        </w:rPr>
                        <w:t>(US$ millones)</w:t>
                      </w:r>
                    </w:p>
                  </w:txbxContent>
                </v:textbox>
              </v:shape>
            </w:pict>
          </mc:Fallback>
        </mc:AlternateContent>
      </w:r>
      <w:r w:rsidRPr="001F0021">
        <w:rPr>
          <w:rFonts w:ascii="Arial" w:hAnsi="Arial" w:cs="Arial"/>
          <w:b/>
          <w:noProof/>
          <w:sz w:val="18"/>
          <w:lang w:val="es-MX"/>
        </w:rPr>
        <mc:AlternateContent>
          <mc:Choice Requires="wps">
            <w:drawing>
              <wp:anchor distT="0" distB="0" distL="114300" distR="114300" simplePos="0" relativeHeight="251679744" behindDoc="1" locked="0" layoutInCell="1" allowOverlap="1" wp14:anchorId="099A4808" wp14:editId="4A9D0B99">
                <wp:simplePos x="0" y="0"/>
                <wp:positionH relativeFrom="column">
                  <wp:posOffset>2302510</wp:posOffset>
                </wp:positionH>
                <wp:positionV relativeFrom="paragraph">
                  <wp:posOffset>31750</wp:posOffset>
                </wp:positionV>
                <wp:extent cx="1866900" cy="590550"/>
                <wp:effectExtent l="0" t="0" r="19050" b="19050"/>
                <wp:wrapNone/>
                <wp:docPr id="7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590550"/>
                        </a:xfrm>
                        <a:prstGeom prst="rect">
                          <a:avLst/>
                        </a:prstGeom>
                        <a:solidFill>
                          <a:srgbClr val="FFFFFF"/>
                        </a:solidFill>
                        <a:ln w="9525">
                          <a:solidFill>
                            <a:schemeClr val="bg1"/>
                          </a:solidFill>
                          <a:miter lim="800000"/>
                          <a:headEnd/>
                          <a:tailEnd/>
                        </a:ln>
                      </wps:spPr>
                      <wps:txbx>
                        <w:txbxContent>
                          <w:p w14:paraId="48EA49C4" w14:textId="1119432E" w:rsidR="00F74A36" w:rsidRDefault="00F74A36" w:rsidP="001F0021">
                            <w:pPr>
                              <w:spacing w:after="0" w:line="240" w:lineRule="auto"/>
                              <w:jc w:val="center"/>
                              <w:rPr>
                                <w:lang w:val="es-MX"/>
                              </w:rPr>
                            </w:pPr>
                            <w:r w:rsidRPr="00EA3F71">
                              <w:rPr>
                                <w:rFonts w:ascii="Arial" w:hAnsi="Arial" w:cs="Arial"/>
                                <w:b/>
                                <w:sz w:val="18"/>
                                <w:lang w:val="es-419"/>
                              </w:rPr>
                              <w:t>Asignaciones</w:t>
                            </w:r>
                            <w:r>
                              <w:rPr>
                                <w:rFonts w:ascii="Arial" w:hAnsi="Arial" w:cs="Arial"/>
                                <w:b/>
                                <w:sz w:val="18"/>
                                <w:lang w:val="es-419"/>
                              </w:rPr>
                              <w:t xml:space="preserve"> </w:t>
                            </w:r>
                            <w:r w:rsidRPr="00EA3F71">
                              <w:rPr>
                                <w:rFonts w:ascii="Arial" w:hAnsi="Arial" w:cs="Arial"/>
                                <w:b/>
                                <w:sz w:val="18"/>
                                <w:lang w:val="es-419"/>
                              </w:rPr>
                              <w:t>PEPFAR</w:t>
                            </w:r>
                          </w:p>
                          <w:p w14:paraId="0DE52CBF" w14:textId="544DD4D1" w:rsidR="00F74A36" w:rsidRPr="001F0021" w:rsidRDefault="00F74A36" w:rsidP="001F0021">
                            <w:pPr>
                              <w:spacing w:after="0" w:line="240" w:lineRule="auto"/>
                              <w:jc w:val="center"/>
                              <w:rPr>
                                <w:lang w:val="es-MX"/>
                              </w:rPr>
                            </w:pPr>
                            <w:r w:rsidRPr="001F0021">
                              <w:rPr>
                                <w:rFonts w:ascii="Arial" w:hAnsi="Arial" w:cs="Arial"/>
                                <w:b/>
                                <w:sz w:val="18"/>
                                <w:szCs w:val="18"/>
                                <w:lang w:val="es-MX"/>
                              </w:rPr>
                              <w:t>(US$ millones)</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099A4808" id="_x0000_s1028" type="#_x0000_t202" style="position:absolute;left:0;text-align:left;margin-left:181.3pt;margin-top:2.5pt;width:147pt;height:46.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" strokecolor="white [3212]">
                <v:textbox>
                  <w:txbxContent>
                    <w:p w14:paraId="48EA49C4" w14:textId="1119432E" w:rsidR="00F74A36" w:rsidRDefault="00F74A36" w:rsidP="001F0021">
                      <w:pPr>
                        <w:spacing w:after="0" w:line="240" w:lineRule="auto"/>
                        <w:jc w:val="center"/>
                        <w:rPr>
                          <w:lang w:val="es-MX"/>
                        </w:rPr>
                      </w:pPr>
                      <w:r w:rsidRPr="00EA3F71">
                        <w:rPr>
                          <w:rFonts w:ascii="Arial" w:hAnsi="Arial" w:cs="Arial"/>
                          <w:b/>
                          <w:sz w:val="18"/>
                          <w:lang w:val="es-419"/>
                        </w:rPr>
                        <w:t>Asignaciones</w:t>
                      </w:r>
                      <w:r>
                        <w:rPr>
                          <w:rFonts w:ascii="Arial" w:hAnsi="Arial" w:cs="Arial"/>
                          <w:b/>
                          <w:sz w:val="18"/>
                          <w:lang w:val="es-419"/>
                        </w:rPr>
                        <w:t xml:space="preserve"> </w:t>
                      </w:r>
                      <w:r w:rsidRPr="00EA3F71">
                        <w:rPr>
                          <w:rFonts w:ascii="Arial" w:hAnsi="Arial" w:cs="Arial"/>
                          <w:b/>
                          <w:sz w:val="18"/>
                          <w:lang w:val="es-419"/>
                        </w:rPr>
                        <w:t>PEPFAR</w:t>
                      </w:r>
                    </w:p>
                    <w:p w14:paraId="0DE52CBF" w14:textId="544DD4D1" w:rsidR="00F74A36" w:rsidRPr="001F0021" w:rsidRDefault="00F74A36" w:rsidP="001F0021">
                      <w:pPr>
                        <w:spacing w:after="0" w:line="240" w:lineRule="auto"/>
                        <w:jc w:val="center"/>
                        <w:rPr>
                          <w:lang w:val="es-MX"/>
                        </w:rPr>
                      </w:pPr>
                      <w:r w:rsidRPr="001F0021">
                        <w:rPr>
                          <w:rFonts w:ascii="Arial" w:hAnsi="Arial" w:cs="Arial"/>
                          <w:b/>
                          <w:sz w:val="18"/>
                          <w:szCs w:val="18"/>
                          <w:lang w:val="es-MX"/>
                        </w:rPr>
                        <w:t>(US$ millones)</w:t>
                      </w:r>
                    </w:p>
                  </w:txbxContent>
                </v:textbox>
              </v:shape>
            </w:pict>
          </mc:Fallback>
        </mc:AlternateContent>
      </w:r>
      <w:r w:rsidRPr="001F0021">
        <w:rPr>
          <w:rFonts w:ascii="Arial" w:hAnsi="Arial" w:cs="Arial"/>
          <w:b/>
          <w:noProof/>
          <w:sz w:val="18"/>
          <w:lang w:val="es-MX"/>
        </w:rPr>
        <mc:AlternateContent>
          <mc:Choice Requires="wps">
            <w:drawing>
              <wp:anchor distT="0" distB="0" distL="114300" distR="114300" simplePos="0" relativeHeight="251681792" behindDoc="1" locked="0" layoutInCell="1" allowOverlap="1" wp14:anchorId="47A84F24" wp14:editId="35889E97">
                <wp:simplePos x="0" y="0"/>
                <wp:positionH relativeFrom="column">
                  <wp:posOffset>4132580</wp:posOffset>
                </wp:positionH>
                <wp:positionV relativeFrom="paragraph">
                  <wp:posOffset>3810</wp:posOffset>
                </wp:positionV>
                <wp:extent cx="1866900" cy="628650"/>
                <wp:effectExtent l="0" t="0" r="19050" b="19050"/>
                <wp:wrapNone/>
                <wp:docPr id="7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628650"/>
                        </a:xfrm>
                        <a:prstGeom prst="rect">
                          <a:avLst/>
                        </a:prstGeom>
                        <a:solidFill>
                          <a:srgbClr val="FFFFFF"/>
                        </a:solidFill>
                        <a:ln w="9525">
                          <a:solidFill>
                            <a:schemeClr val="bg1"/>
                          </a:solidFill>
                          <a:miter lim="800000"/>
                          <a:headEnd/>
                          <a:tailEnd/>
                        </a:ln>
                      </wps:spPr>
                      <wps:txbx>
                        <w:txbxContent>
                          <w:p w14:paraId="2EB16BA0" w14:textId="77777777" w:rsidR="00F74A36" w:rsidRPr="001F0021" w:rsidRDefault="00F74A36" w:rsidP="001F0021">
                            <w:pPr>
                              <w:spacing w:after="0" w:line="240" w:lineRule="auto"/>
                              <w:jc w:val="center"/>
                              <w:rPr>
                                <w:rFonts w:ascii="Arial" w:hAnsi="Arial" w:cs="Arial"/>
                                <w:b/>
                                <w:sz w:val="18"/>
                                <w:lang w:val="es-MX"/>
                              </w:rPr>
                            </w:pPr>
                            <w:r w:rsidRPr="001F0021">
                              <w:rPr>
                                <w:rFonts w:ascii="Arial" w:hAnsi="Arial" w:cs="Arial"/>
                                <w:b/>
                                <w:bCs/>
                                <w:sz w:val="18"/>
                                <w:lang w:val="es-MX"/>
                              </w:rPr>
                              <w:t>Gasto con fuente externa como porcentaje del gasto total en inmunización rutinaria</w:t>
                            </w:r>
                          </w:p>
                          <w:p w14:paraId="677A9943" w14:textId="77777777" w:rsidR="00F74A36" w:rsidRPr="001F0021" w:rsidRDefault="00F74A36" w:rsidP="001F0021">
                            <w:pPr>
                              <w:spacing w:after="0" w:line="240" w:lineRule="auto"/>
                              <w:jc w:val="center"/>
                              <w:rPr>
                                <w:rFonts w:ascii="Arial" w:hAnsi="Arial" w:cs="Arial"/>
                                <w:b/>
                                <w:sz w:val="18"/>
                              </w:rPr>
                            </w:pPr>
                            <w:r w:rsidRPr="001F0021">
                              <w:rPr>
                                <w:rFonts w:ascii="Arial" w:hAnsi="Arial" w:cs="Arial"/>
                                <w:b/>
                                <w:bCs/>
                                <w:sz w:val="18"/>
                                <w:lang w:val="es-MX"/>
                              </w:rPr>
                              <w:t>(Porcentaje)</w:t>
                            </w:r>
                          </w:p>
                          <w:p w14:paraId="52157474" w14:textId="06ACCFED" w:rsidR="00F74A36" w:rsidRPr="001F0021" w:rsidRDefault="00F74A36" w:rsidP="001F0021">
                            <w:pPr>
                              <w:spacing w:after="0" w:line="360" w:lineRule="auto"/>
                              <w:jc w:val="center"/>
                              <w:rPr>
                                <w:lang w:val="es-MX"/>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47A84F24" id="_x0000_s1029" type="#_x0000_t202" style="position:absolute;left:0;text-align:left;margin-left:325.4pt;margin-top:.3pt;width:147pt;height:49.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" strokecolor="white [3212]">
                <v:textbox>
                  <w:txbxContent>
                    <w:p w14:paraId="2EB16BA0" w14:textId="77777777" w:rsidR="00F74A36" w:rsidRPr="001F0021" w:rsidRDefault="00F74A36" w:rsidP="001F0021">
                      <w:pPr>
                        <w:spacing w:after="0" w:line="240" w:lineRule="auto"/>
                        <w:jc w:val="center"/>
                        <w:rPr>
                          <w:rFonts w:ascii="Arial" w:hAnsi="Arial" w:cs="Arial"/>
                          <w:b/>
                          <w:sz w:val="18"/>
                          <w:lang w:val="es-MX"/>
                        </w:rPr>
                      </w:pPr>
                      <w:r w:rsidRPr="001F0021">
                        <w:rPr>
                          <w:rFonts w:ascii="Arial" w:hAnsi="Arial" w:cs="Arial"/>
                          <w:b/>
                          <w:bCs/>
                          <w:sz w:val="18"/>
                          <w:lang w:val="es-MX"/>
                        </w:rPr>
                        <w:t>Gasto con fuente externa como porcentaje del gasto total en inmunización rutinaria</w:t>
                      </w:r>
                    </w:p>
                    <w:p w14:paraId="677A9943" w14:textId="77777777" w:rsidR="00F74A36" w:rsidRPr="001F0021" w:rsidRDefault="00F74A36" w:rsidP="001F0021">
                      <w:pPr>
                        <w:spacing w:after="0" w:line="240" w:lineRule="auto"/>
                        <w:jc w:val="center"/>
                        <w:rPr>
                          <w:rFonts w:ascii="Arial" w:hAnsi="Arial" w:cs="Arial"/>
                          <w:b/>
                          <w:sz w:val="18"/>
                        </w:rPr>
                      </w:pPr>
                      <w:r w:rsidRPr="001F0021">
                        <w:rPr>
                          <w:rFonts w:ascii="Arial" w:hAnsi="Arial" w:cs="Arial"/>
                          <w:b/>
                          <w:bCs/>
                          <w:sz w:val="18"/>
                          <w:lang w:val="es-MX"/>
                        </w:rPr>
                        <w:t>(Porcentaje)</w:t>
                      </w:r>
                    </w:p>
                    <w:p w14:paraId="52157474" w14:textId="06ACCFED" w:rsidR="00F74A36" w:rsidRPr="001F0021" w:rsidRDefault="00F74A36" w:rsidP="001F0021">
                      <w:pPr>
                        <w:spacing w:after="0" w:line="360" w:lineRule="auto"/>
                        <w:jc w:val="center"/>
                        <w:rPr>
                          <w:lang w:val="es-MX"/>
                        </w:rPr>
                      </w:pPr>
                    </w:p>
                  </w:txbxContent>
                </v:textbox>
              </v:shape>
            </w:pict>
          </mc:Fallback>
        </mc:AlternateContent>
      </w:r>
    </w:p>
    <w:p w14:paraId="31B0E78C" w14:textId="150C6CAE" w:rsidR="00EA3F71" w:rsidRPr="00EA3F71" w:rsidRDefault="0059440A" w:rsidP="00EA3F71">
      <w:pPr>
        <w:spacing w:after="240" w:line="240" w:lineRule="auto"/>
        <w:rPr>
          <w:rFonts w:ascii="Arial" w:hAnsi="Arial" w:cs="Arial"/>
          <w:b/>
          <w:sz w:val="18"/>
          <w:lang w:val="es-MX"/>
        </w:rPr>
      </w:pPr>
      <w:r w:rsidRPr="00EA3F71">
        <w:rPr>
          <w:rFonts w:ascii="Arial" w:hAnsi="Arial" w:cs="Arial"/>
          <w:b/>
          <w:noProof/>
          <w:sz w:val="20"/>
          <w:lang w:val="es-419"/>
        </w:rPr>
        <w:drawing>
          <wp:anchor distT="0" distB="0" distL="114300" distR="114300" simplePos="0" relativeHeight="251671552" behindDoc="0" locked="0" layoutInCell="1" allowOverlap="1" wp14:anchorId="089CD29F" wp14:editId="11F7720D">
            <wp:simplePos x="0" y="0"/>
            <wp:positionH relativeFrom="column">
              <wp:posOffset>1917700</wp:posOffset>
            </wp:positionH>
            <wp:positionV relativeFrom="paragraph">
              <wp:posOffset>269240</wp:posOffset>
            </wp:positionV>
            <wp:extent cx="2540000" cy="1746250"/>
            <wp:effectExtent l="0" t="0" r="0" b="6350"/>
            <wp:wrapNone/>
            <wp:docPr id="710" name="Picture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40000" cy="1746250"/>
                    </a:xfrm>
                    <a:prstGeom prst="rect">
                      <a:avLst/>
                    </a:prstGeom>
                    <a:noFill/>
                  </pic:spPr>
                </pic:pic>
              </a:graphicData>
            </a:graphic>
            <wp14:sizeRelH relativeFrom="page">
              <wp14:pctWidth>0</wp14:pctWidth>
            </wp14:sizeRelH>
            <wp14:sizeRelV relativeFrom="page">
              <wp14:pctHeight>0</wp14:pctHeight>
            </wp14:sizeRelV>
          </wp:anchor>
        </w:drawing>
      </w:r>
      <w:r w:rsidR="001F0021" w:rsidRPr="00EA3F71">
        <w:rPr>
          <w:rFonts w:ascii="Arial" w:hAnsi="Arial" w:cs="Arial"/>
          <w:b/>
          <w:noProof/>
          <w:sz w:val="20"/>
          <w:lang w:val="es-419"/>
        </w:rPr>
        <w:drawing>
          <wp:anchor distT="0" distB="0" distL="114300" distR="114300" simplePos="0" relativeHeight="251672576" behindDoc="0" locked="0" layoutInCell="1" allowOverlap="1" wp14:anchorId="2D26CE44" wp14:editId="251E1E8A">
            <wp:simplePos x="0" y="0"/>
            <wp:positionH relativeFrom="margin">
              <wp:posOffset>3657600</wp:posOffset>
            </wp:positionH>
            <wp:positionV relativeFrom="paragraph">
              <wp:posOffset>143510</wp:posOffset>
            </wp:positionV>
            <wp:extent cx="2662424" cy="1907540"/>
            <wp:effectExtent l="0" t="0" r="0" b="0"/>
            <wp:wrapNone/>
            <wp:docPr id="716" name="Picture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62424" cy="1907540"/>
                    </a:xfrm>
                    <a:prstGeom prst="rect">
                      <a:avLst/>
                    </a:prstGeom>
                    <a:noFill/>
                  </pic:spPr>
                </pic:pic>
              </a:graphicData>
            </a:graphic>
            <wp14:sizeRelH relativeFrom="page">
              <wp14:pctWidth>0</wp14:pctWidth>
            </wp14:sizeRelH>
            <wp14:sizeRelV relativeFrom="page">
              <wp14:pctHeight>0</wp14:pctHeight>
            </wp14:sizeRelV>
          </wp:anchor>
        </w:drawing>
      </w:r>
    </w:p>
    <w:p w14:paraId="32572439" w14:textId="29553C87" w:rsidR="004B3F2C" w:rsidRPr="004B3F2C" w:rsidRDefault="00D3258D" w:rsidP="00DD37EC">
      <w:pPr>
        <w:spacing w:after="240" w:line="240" w:lineRule="auto"/>
        <w:jc w:val="both"/>
        <w:rPr>
          <w:rFonts w:ascii="Arial" w:hAnsi="Arial" w:cs="Arial"/>
          <w:sz w:val="4"/>
          <w:szCs w:val="14"/>
          <w:lang w:val="es-419"/>
        </w:rPr>
      </w:pPr>
      <w:r>
        <w:rPr>
          <w:rFonts w:ascii="Arial" w:hAnsi="Arial" w:cs="Arial"/>
          <w:noProof/>
          <w:lang w:val="es-419"/>
        </w:rPr>
        <w:drawing>
          <wp:inline distT="0" distB="0" distL="0" distR="0" wp14:anchorId="6763B86A" wp14:editId="78C04E9A">
            <wp:extent cx="2430009" cy="1470660"/>
            <wp:effectExtent l="0" t="0" r="889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94546" cy="1509718"/>
                    </a:xfrm>
                    <a:prstGeom prst="rect">
                      <a:avLst/>
                    </a:prstGeom>
                    <a:noFill/>
                  </pic:spPr>
                </pic:pic>
              </a:graphicData>
            </a:graphic>
          </wp:inline>
        </w:drawing>
      </w:r>
    </w:p>
    <w:p w14:paraId="743B292C" w14:textId="5003861E" w:rsidR="0059440A" w:rsidRPr="00187242" w:rsidRDefault="00187242" w:rsidP="00DD37EC">
      <w:pPr>
        <w:spacing w:after="240" w:line="240" w:lineRule="auto"/>
        <w:jc w:val="both"/>
        <w:rPr>
          <w:rFonts w:ascii="Arial" w:hAnsi="Arial" w:cs="Arial"/>
          <w:i/>
          <w:sz w:val="18"/>
          <w:lang w:val="es-DO"/>
        </w:rPr>
      </w:pPr>
      <w:r w:rsidRPr="00167C47">
        <w:rPr>
          <w:rFonts w:ascii="Arial" w:hAnsi="Arial" w:cs="Arial"/>
          <w:i/>
          <w:sz w:val="18"/>
          <w:lang w:val="es-DO"/>
        </w:rPr>
        <w:t xml:space="preserve">Fuente: Elaborada por autores </w:t>
      </w:r>
      <w:r>
        <w:rPr>
          <w:rFonts w:ascii="Arial" w:hAnsi="Arial" w:cs="Arial"/>
          <w:i/>
          <w:sz w:val="18"/>
          <w:lang w:val="es-DO"/>
        </w:rPr>
        <w:t>con datos del Fondo Mundial</w:t>
      </w:r>
      <w:r w:rsidR="00DA5D1D">
        <w:rPr>
          <w:rFonts w:ascii="Arial" w:hAnsi="Arial" w:cs="Arial"/>
          <w:i/>
          <w:sz w:val="18"/>
          <w:lang w:val="es-DO"/>
        </w:rPr>
        <w:t>,</w:t>
      </w:r>
      <w:r w:rsidR="007C3BF4">
        <w:rPr>
          <w:rFonts w:ascii="Arial" w:hAnsi="Arial" w:cs="Arial"/>
          <w:i/>
          <w:sz w:val="18"/>
          <w:lang w:val="es-DO"/>
        </w:rPr>
        <w:t xml:space="preserve"> </w:t>
      </w:r>
      <w:r>
        <w:rPr>
          <w:rFonts w:ascii="Arial" w:hAnsi="Arial" w:cs="Arial"/>
          <w:i/>
          <w:sz w:val="18"/>
          <w:lang w:val="es-DO"/>
        </w:rPr>
        <w:t>PEPFAR</w:t>
      </w:r>
      <w:r w:rsidR="00DA5D1D">
        <w:rPr>
          <w:rFonts w:ascii="Arial" w:hAnsi="Arial" w:cs="Arial"/>
          <w:i/>
          <w:sz w:val="18"/>
          <w:lang w:val="es-DO"/>
        </w:rPr>
        <w:t xml:space="preserve"> y Gavi.</w:t>
      </w:r>
      <w:r>
        <w:rPr>
          <w:rFonts w:ascii="Arial" w:hAnsi="Arial" w:cs="Arial"/>
          <w:i/>
          <w:sz w:val="18"/>
          <w:lang w:val="es-DO"/>
        </w:rPr>
        <w:t xml:space="preserve"> </w:t>
      </w:r>
    </w:p>
    <w:p w14:paraId="21CBF545" w14:textId="27D0577D" w:rsidR="00847189" w:rsidRPr="00DD37EC" w:rsidRDefault="001B1B16" w:rsidP="00DD37EC">
      <w:pPr>
        <w:spacing w:after="240" w:line="240" w:lineRule="auto"/>
        <w:jc w:val="both"/>
        <w:rPr>
          <w:rFonts w:ascii="Arial" w:hAnsi="Arial" w:cs="Arial"/>
          <w:lang w:val="es-419"/>
        </w:rPr>
      </w:pPr>
      <w:r w:rsidRPr="00DD37EC">
        <w:rPr>
          <w:rFonts w:ascii="Arial" w:hAnsi="Arial" w:cs="Arial"/>
          <w:lang w:val="es-419"/>
        </w:rPr>
        <w:t xml:space="preserve">En relación con </w:t>
      </w:r>
      <w:r w:rsidR="005919CF">
        <w:rPr>
          <w:rFonts w:ascii="Arial" w:hAnsi="Arial" w:cs="Arial"/>
          <w:lang w:val="es-419"/>
        </w:rPr>
        <w:t>el</w:t>
      </w:r>
      <w:r w:rsidR="00A02842" w:rsidRPr="00DD37EC">
        <w:rPr>
          <w:rFonts w:ascii="Arial" w:hAnsi="Arial" w:cs="Arial"/>
          <w:lang w:val="es-419"/>
        </w:rPr>
        <w:t xml:space="preserve"> </w:t>
      </w:r>
      <w:r w:rsidRPr="00DD37EC">
        <w:rPr>
          <w:rFonts w:ascii="Arial" w:hAnsi="Arial" w:cs="Arial"/>
          <w:lang w:val="es-419"/>
        </w:rPr>
        <w:t>VIH</w:t>
      </w:r>
      <w:r w:rsidR="005919CF">
        <w:rPr>
          <w:rFonts w:ascii="Arial" w:hAnsi="Arial" w:cs="Arial"/>
          <w:lang w:val="es-419"/>
        </w:rPr>
        <w:t xml:space="preserve"> y la TB</w:t>
      </w:r>
      <w:r w:rsidR="004A73EC">
        <w:rPr>
          <w:rFonts w:ascii="Arial" w:hAnsi="Arial" w:cs="Arial"/>
          <w:lang w:val="es-419"/>
        </w:rPr>
        <w:t>,</w:t>
      </w:r>
      <w:r w:rsidRPr="00DD37EC">
        <w:rPr>
          <w:rFonts w:ascii="Arial" w:hAnsi="Arial" w:cs="Arial"/>
          <w:lang w:val="es-419"/>
        </w:rPr>
        <w:t xml:space="preserve"> el Gobierno de Honduras </w:t>
      </w:r>
      <w:r w:rsidR="00A02842" w:rsidRPr="00DD37EC">
        <w:rPr>
          <w:rFonts w:ascii="Arial" w:hAnsi="Arial" w:cs="Arial"/>
          <w:lang w:val="es-419"/>
        </w:rPr>
        <w:t xml:space="preserve">se ha comprometido con la </w:t>
      </w:r>
      <w:r w:rsidR="00A2301C" w:rsidRPr="00DD37EC">
        <w:rPr>
          <w:rFonts w:ascii="Arial" w:hAnsi="Arial" w:cs="Arial"/>
          <w:lang w:val="es-419"/>
        </w:rPr>
        <w:t>absorción</w:t>
      </w:r>
      <w:r w:rsidR="00A02842" w:rsidRPr="00DD37EC">
        <w:rPr>
          <w:rFonts w:ascii="Arial" w:hAnsi="Arial" w:cs="Arial"/>
          <w:lang w:val="es-419"/>
        </w:rPr>
        <w:t xml:space="preserve"> de financiamiento</w:t>
      </w:r>
      <w:r w:rsidRPr="00DD37EC">
        <w:rPr>
          <w:rFonts w:ascii="Arial" w:hAnsi="Arial" w:cs="Arial"/>
          <w:lang w:val="es-419"/>
        </w:rPr>
        <w:t xml:space="preserve"> </w:t>
      </w:r>
      <w:r w:rsidR="00A02842" w:rsidRPr="00DD37EC">
        <w:rPr>
          <w:rFonts w:ascii="Arial" w:hAnsi="Arial" w:cs="Arial"/>
          <w:lang w:val="es-419"/>
        </w:rPr>
        <w:t xml:space="preserve">actualmente financiando </w:t>
      </w:r>
      <w:r w:rsidR="002E4F55" w:rsidRPr="00936122">
        <w:rPr>
          <w:rFonts w:ascii="Arial" w:hAnsi="Arial" w:cs="Arial"/>
          <w:lang w:val="es-419"/>
        </w:rPr>
        <w:t>72</w:t>
      </w:r>
      <w:r w:rsidR="00A02842" w:rsidRPr="00936122">
        <w:rPr>
          <w:rFonts w:ascii="Arial" w:hAnsi="Arial" w:cs="Arial"/>
          <w:lang w:val="es-419"/>
        </w:rPr>
        <w:t xml:space="preserve">% y </w:t>
      </w:r>
      <w:r w:rsidR="00936122" w:rsidRPr="00936122">
        <w:rPr>
          <w:rFonts w:ascii="Arial" w:hAnsi="Arial" w:cs="Arial"/>
          <w:lang w:val="es-419"/>
        </w:rPr>
        <w:t>36</w:t>
      </w:r>
      <w:r w:rsidR="00A02842" w:rsidRPr="00936122">
        <w:rPr>
          <w:rFonts w:ascii="Arial" w:hAnsi="Arial" w:cs="Arial"/>
          <w:lang w:val="es-419"/>
        </w:rPr>
        <w:t>%</w:t>
      </w:r>
      <w:r w:rsidR="00A02842" w:rsidRPr="00DD37EC">
        <w:rPr>
          <w:rFonts w:ascii="Arial" w:hAnsi="Arial" w:cs="Arial"/>
          <w:lang w:val="es-419"/>
        </w:rPr>
        <w:t xml:space="preserve"> </w:t>
      </w:r>
      <w:r w:rsidRPr="00DD37EC">
        <w:rPr>
          <w:rFonts w:ascii="Arial" w:hAnsi="Arial" w:cs="Arial"/>
          <w:lang w:val="es-419"/>
        </w:rPr>
        <w:t>de la</w:t>
      </w:r>
      <w:r w:rsidR="00A02842" w:rsidRPr="00DD37EC">
        <w:rPr>
          <w:rFonts w:ascii="Arial" w:hAnsi="Arial" w:cs="Arial"/>
          <w:lang w:val="es-419"/>
        </w:rPr>
        <w:t>s respuesta</w:t>
      </w:r>
      <w:r w:rsidR="00A2301C" w:rsidRPr="00DD37EC">
        <w:rPr>
          <w:rFonts w:ascii="Arial" w:hAnsi="Arial" w:cs="Arial"/>
          <w:lang w:val="es-419"/>
        </w:rPr>
        <w:t>s</w:t>
      </w:r>
      <w:r w:rsidR="00A02842" w:rsidRPr="00DD37EC">
        <w:rPr>
          <w:rFonts w:ascii="Arial" w:hAnsi="Arial" w:cs="Arial"/>
          <w:lang w:val="es-419"/>
        </w:rPr>
        <w:t xml:space="preserve"> nacionales</w:t>
      </w:r>
      <w:r w:rsidR="00AC345D">
        <w:rPr>
          <w:rFonts w:ascii="Arial" w:hAnsi="Arial" w:cs="Arial"/>
          <w:lang w:val="es-419"/>
        </w:rPr>
        <w:t xml:space="preserve"> al VIH/SIDA y TB</w:t>
      </w:r>
      <w:r w:rsidR="00A02842" w:rsidRPr="00DD37EC">
        <w:rPr>
          <w:rFonts w:ascii="Arial" w:hAnsi="Arial" w:cs="Arial"/>
          <w:lang w:val="es-419"/>
        </w:rPr>
        <w:t xml:space="preserve">, </w:t>
      </w:r>
      <w:r w:rsidRPr="00DD37EC">
        <w:rPr>
          <w:rFonts w:ascii="Arial" w:hAnsi="Arial" w:cs="Arial"/>
          <w:lang w:val="es-419"/>
        </w:rPr>
        <w:t>respe</w:t>
      </w:r>
      <w:r w:rsidR="00AC345D">
        <w:rPr>
          <w:rFonts w:ascii="Arial" w:hAnsi="Arial" w:cs="Arial"/>
          <w:lang w:val="es-419"/>
        </w:rPr>
        <w:t>c</w:t>
      </w:r>
      <w:r w:rsidRPr="00DD37EC">
        <w:rPr>
          <w:rFonts w:ascii="Arial" w:hAnsi="Arial" w:cs="Arial"/>
          <w:lang w:val="es-419"/>
        </w:rPr>
        <w:t>tivamente.</w:t>
      </w:r>
      <w:r w:rsidR="008137DB">
        <w:rPr>
          <w:rStyle w:val="FootnoteReference"/>
          <w:rFonts w:ascii="Arial" w:hAnsi="Arial" w:cs="Arial"/>
          <w:lang w:val="es-419"/>
        </w:rPr>
        <w:footnoteReference w:id="4"/>
      </w:r>
      <w:r w:rsidR="00A2301C" w:rsidRPr="00DD37EC">
        <w:rPr>
          <w:rFonts w:ascii="Arial" w:hAnsi="Arial" w:cs="Arial"/>
          <w:lang w:val="es-419"/>
        </w:rPr>
        <w:t xml:space="preserve"> No obstante, intervenciones claves específicamente enfocadas en prevención y atención de poblaciones claves y vulnerables siguen contando con un alto grado de dependencia del financiamiento externo</w:t>
      </w:r>
      <w:r w:rsidR="00AC345D">
        <w:rPr>
          <w:rFonts w:ascii="Arial" w:hAnsi="Arial" w:cs="Arial"/>
          <w:lang w:val="es-419"/>
        </w:rPr>
        <w:t>.</w:t>
      </w:r>
      <w:r w:rsidR="00A2301C" w:rsidRPr="00DD37EC">
        <w:rPr>
          <w:rFonts w:ascii="Arial" w:hAnsi="Arial" w:cs="Arial"/>
          <w:lang w:val="es-419"/>
        </w:rPr>
        <w:t xml:space="preserve"> </w:t>
      </w:r>
      <w:r w:rsidR="00847189" w:rsidRPr="00DD37EC">
        <w:rPr>
          <w:rFonts w:ascii="Arial" w:hAnsi="Arial" w:cs="Arial"/>
          <w:lang w:val="es-419"/>
        </w:rPr>
        <w:t xml:space="preserve">Conforme a lo estipulado en la Política de Transición, Sostenibilidad y Co-Financiamiento del FM, a pesar de que </w:t>
      </w:r>
      <w:r w:rsidR="0059440A">
        <w:rPr>
          <w:rFonts w:ascii="Arial" w:hAnsi="Arial" w:cs="Arial"/>
          <w:lang w:val="es-419"/>
        </w:rPr>
        <w:t xml:space="preserve">Honduras </w:t>
      </w:r>
      <w:r w:rsidR="00847189" w:rsidRPr="00DD37EC">
        <w:rPr>
          <w:rFonts w:ascii="Arial" w:hAnsi="Arial" w:cs="Arial"/>
          <w:lang w:val="es-419"/>
        </w:rPr>
        <w:t>no se encuentra dentro del grupo de países que transaccionarán antes del 2025</w:t>
      </w:r>
      <w:r w:rsidR="00054E79" w:rsidRPr="00DD37EC">
        <w:rPr>
          <w:rFonts w:ascii="Arial" w:hAnsi="Arial" w:cs="Arial"/>
          <w:lang w:val="es-419"/>
        </w:rPr>
        <w:t xml:space="preserve"> para ninguno de los tres componentes (VIH, TB y malaria)</w:t>
      </w:r>
      <w:r w:rsidR="00847189" w:rsidRPr="00DD37EC">
        <w:rPr>
          <w:rFonts w:ascii="Arial" w:hAnsi="Arial" w:cs="Arial"/>
          <w:lang w:val="es-419"/>
        </w:rPr>
        <w:t>, debe</w:t>
      </w:r>
      <w:r w:rsidR="00054E79" w:rsidRPr="00DD37EC">
        <w:rPr>
          <w:rFonts w:ascii="Arial" w:hAnsi="Arial" w:cs="Arial"/>
          <w:lang w:val="es-419"/>
        </w:rPr>
        <w:t xml:space="preserve"> prepararse y planificar hacia la sostenibilidad</w:t>
      </w:r>
      <w:r w:rsidR="00847189" w:rsidRPr="00DD37EC">
        <w:rPr>
          <w:rFonts w:ascii="Arial" w:hAnsi="Arial" w:cs="Arial"/>
          <w:lang w:val="es-419"/>
        </w:rPr>
        <w:t>. De igual manera, Honduras no figura dentro de los países “prioritarios” de PEPFAR, estatus reservado a los países de alta carga de enfermedad del VIH en Áfric</w:t>
      </w:r>
      <w:r w:rsidR="00054E79" w:rsidRPr="00DD37EC">
        <w:rPr>
          <w:rFonts w:ascii="Arial" w:hAnsi="Arial" w:cs="Arial"/>
          <w:lang w:val="es-419"/>
        </w:rPr>
        <w:t>a - p</w:t>
      </w:r>
      <w:r w:rsidR="00847189" w:rsidRPr="00DD37EC">
        <w:rPr>
          <w:rFonts w:ascii="Arial" w:hAnsi="Arial" w:cs="Arial"/>
          <w:lang w:val="es-419"/>
        </w:rPr>
        <w:t>or lo que su financiamiento está sujeto a las fluctuaciones</w:t>
      </w:r>
      <w:r w:rsidR="00054E79" w:rsidRPr="00DD37EC">
        <w:rPr>
          <w:rFonts w:ascii="Arial" w:hAnsi="Arial" w:cs="Arial"/>
          <w:lang w:val="es-419"/>
        </w:rPr>
        <w:t xml:space="preserve"> y posibles disminuciones esperadas</w:t>
      </w:r>
      <w:r w:rsidR="00847189" w:rsidRPr="00DD37EC">
        <w:rPr>
          <w:rFonts w:ascii="Arial" w:hAnsi="Arial" w:cs="Arial"/>
          <w:lang w:val="es-419"/>
        </w:rPr>
        <w:t xml:space="preserve"> en el presupuesto de la región</w:t>
      </w:r>
      <w:r w:rsidR="00054E79" w:rsidRPr="00DD37EC">
        <w:rPr>
          <w:rFonts w:ascii="Arial" w:hAnsi="Arial" w:cs="Arial"/>
          <w:lang w:val="es-419"/>
        </w:rPr>
        <w:t xml:space="preserve"> para los próximos años</w:t>
      </w:r>
      <w:r w:rsidR="00847189" w:rsidRPr="00DD37EC">
        <w:rPr>
          <w:rFonts w:ascii="Arial" w:hAnsi="Arial" w:cs="Arial"/>
          <w:lang w:val="es-419"/>
        </w:rPr>
        <w:t>.</w:t>
      </w:r>
    </w:p>
    <w:p w14:paraId="48FC96E1" w14:textId="62208A9C" w:rsidR="00DC0339" w:rsidRPr="00DD37EC" w:rsidRDefault="00983B68" w:rsidP="00DD37EC">
      <w:pPr>
        <w:spacing w:after="240" w:line="240" w:lineRule="auto"/>
        <w:jc w:val="both"/>
        <w:rPr>
          <w:rFonts w:ascii="Arial" w:hAnsi="Arial" w:cs="Arial"/>
          <w:lang w:val="es-419"/>
        </w:rPr>
      </w:pPr>
      <w:r w:rsidRPr="00DD37EC">
        <w:rPr>
          <w:rFonts w:ascii="Arial" w:hAnsi="Arial" w:cs="Arial"/>
          <w:lang w:val="es-419"/>
        </w:rPr>
        <w:lastRenderedPageBreak/>
        <w:t xml:space="preserve">En VIH, </w:t>
      </w:r>
      <w:r w:rsidR="00DC0339" w:rsidRPr="00DD37EC">
        <w:rPr>
          <w:rFonts w:ascii="Arial" w:hAnsi="Arial" w:cs="Arial"/>
          <w:lang w:val="es-419"/>
        </w:rPr>
        <w:t xml:space="preserve">ONUSIDA en el Caso de Inversión de Honduras </w:t>
      </w:r>
      <w:r w:rsidR="00D22317" w:rsidRPr="00DD37EC">
        <w:rPr>
          <w:rFonts w:ascii="Arial" w:hAnsi="Arial" w:cs="Arial"/>
          <w:lang w:val="es-419"/>
        </w:rPr>
        <w:t>2013</w:t>
      </w:r>
      <w:r w:rsidR="00DC0339" w:rsidRPr="00DD37EC">
        <w:rPr>
          <w:rFonts w:ascii="Arial" w:hAnsi="Arial" w:cs="Arial"/>
          <w:lang w:val="es-419"/>
        </w:rPr>
        <w:t>,</w:t>
      </w:r>
      <w:r w:rsidR="00D22317" w:rsidRPr="00DD37EC">
        <w:rPr>
          <w:rStyle w:val="FootnoteReference"/>
          <w:rFonts w:ascii="Arial" w:hAnsi="Arial" w:cs="Arial"/>
          <w:lang w:val="es-419"/>
        </w:rPr>
        <w:footnoteReference w:id="5"/>
      </w:r>
      <w:r w:rsidR="00DC0339" w:rsidRPr="00DD37EC">
        <w:rPr>
          <w:rFonts w:ascii="Arial" w:hAnsi="Arial" w:cs="Arial"/>
          <w:lang w:val="es-419"/>
        </w:rPr>
        <w:t xml:space="preserve"> también hace un llamado a trabajar en la sostenibilidad</w:t>
      </w:r>
      <w:r w:rsidR="00A02842" w:rsidRPr="00DD37EC">
        <w:rPr>
          <w:rFonts w:ascii="Arial" w:hAnsi="Arial" w:cs="Arial"/>
          <w:lang w:val="es-419"/>
        </w:rPr>
        <w:t xml:space="preserve"> indicando que la definición de sostenibilidad no debe limitarse a la obtención de nuevas fuentes de financiamiento o mejores precios de insumos a través de compras </w:t>
      </w:r>
      <w:r w:rsidR="00A2301C" w:rsidRPr="00DD37EC">
        <w:rPr>
          <w:rFonts w:ascii="Arial" w:hAnsi="Arial" w:cs="Arial"/>
          <w:lang w:val="es-419"/>
        </w:rPr>
        <w:t>estratégicas,</w:t>
      </w:r>
      <w:r w:rsidR="00A02842" w:rsidRPr="00DD37EC">
        <w:rPr>
          <w:rFonts w:ascii="Arial" w:hAnsi="Arial" w:cs="Arial"/>
          <w:lang w:val="es-419"/>
        </w:rPr>
        <w:t xml:space="preserve"> sino que debe incluir</w:t>
      </w:r>
      <w:r w:rsidR="00097108" w:rsidRPr="00DD37EC">
        <w:rPr>
          <w:rFonts w:ascii="Arial" w:hAnsi="Arial" w:cs="Arial"/>
          <w:lang w:val="es-419"/>
        </w:rPr>
        <w:t xml:space="preserve"> </w:t>
      </w:r>
      <w:r w:rsidR="00AC345D">
        <w:rPr>
          <w:rFonts w:ascii="Arial" w:hAnsi="Arial" w:cs="Arial"/>
          <w:lang w:val="es-419"/>
        </w:rPr>
        <w:t>intervenciones</w:t>
      </w:r>
      <w:r w:rsidR="00097108" w:rsidRPr="00DD37EC">
        <w:rPr>
          <w:rFonts w:ascii="Arial" w:hAnsi="Arial" w:cs="Arial"/>
          <w:lang w:val="es-419"/>
        </w:rPr>
        <w:t xml:space="preserve"> como la revisión de prioridades de gasto, armonización de protocolos de atención</w:t>
      </w:r>
      <w:r w:rsidR="00F032AB" w:rsidRPr="00DD37EC">
        <w:rPr>
          <w:rFonts w:ascii="Arial" w:hAnsi="Arial" w:cs="Arial"/>
          <w:lang w:val="es-419"/>
        </w:rPr>
        <w:t xml:space="preserve"> e inclusión del</w:t>
      </w:r>
      <w:r w:rsidR="00097108" w:rsidRPr="00DD37EC">
        <w:rPr>
          <w:rFonts w:ascii="Arial" w:hAnsi="Arial" w:cs="Arial"/>
          <w:lang w:val="es-419"/>
        </w:rPr>
        <w:t xml:space="preserve"> </w:t>
      </w:r>
      <w:r w:rsidR="00F032AB" w:rsidRPr="00DD37EC">
        <w:rPr>
          <w:rFonts w:ascii="Arial" w:hAnsi="Arial" w:cs="Arial"/>
          <w:lang w:val="es-419"/>
        </w:rPr>
        <w:t>abordaje de la epidemia dentro</w:t>
      </w:r>
      <w:r w:rsidR="00097108" w:rsidRPr="00DD37EC">
        <w:rPr>
          <w:rFonts w:ascii="Arial" w:hAnsi="Arial" w:cs="Arial"/>
          <w:lang w:val="es-419"/>
        </w:rPr>
        <w:t xml:space="preserve"> </w:t>
      </w:r>
      <w:r w:rsidR="00F032AB" w:rsidRPr="00DD37EC">
        <w:rPr>
          <w:rFonts w:ascii="Arial" w:hAnsi="Arial" w:cs="Arial"/>
          <w:lang w:val="es-419"/>
        </w:rPr>
        <w:t>de</w:t>
      </w:r>
      <w:r w:rsidR="00097108" w:rsidRPr="00DD37EC">
        <w:rPr>
          <w:rFonts w:ascii="Arial" w:hAnsi="Arial" w:cs="Arial"/>
          <w:lang w:val="es-419"/>
        </w:rPr>
        <w:t xml:space="preserve"> la agenda nacional</w:t>
      </w:r>
      <w:r w:rsidR="00F032AB" w:rsidRPr="00DD37EC">
        <w:rPr>
          <w:rFonts w:ascii="Arial" w:hAnsi="Arial" w:cs="Arial"/>
          <w:lang w:val="es-419"/>
        </w:rPr>
        <w:t>, entre otros.</w:t>
      </w:r>
    </w:p>
    <w:p w14:paraId="6B306765" w14:textId="6EF561A3" w:rsidR="00E43A8A" w:rsidRPr="00DD37EC" w:rsidRDefault="00E43A8A" w:rsidP="00E43A8A">
      <w:pPr>
        <w:spacing w:after="240" w:line="240" w:lineRule="auto"/>
        <w:jc w:val="both"/>
        <w:rPr>
          <w:rFonts w:ascii="Arial" w:hAnsi="Arial" w:cs="Arial"/>
          <w:lang w:val="es-419"/>
        </w:rPr>
      </w:pPr>
      <w:r w:rsidRPr="00DD37EC">
        <w:rPr>
          <w:rFonts w:ascii="Arial" w:hAnsi="Arial" w:cs="Arial"/>
          <w:lang w:val="es-419"/>
        </w:rPr>
        <w:t xml:space="preserve">Ante la necesidad de fortalecer los programas para el alcance de metas globales y la creciente presión en el financiamiento, el FM a través su </w:t>
      </w:r>
      <w:r w:rsidRPr="00DD37EC">
        <w:rPr>
          <w:rFonts w:ascii="Arial" w:hAnsi="Arial" w:cs="Arial"/>
          <w:lang w:val="es-ES"/>
        </w:rPr>
        <w:t xml:space="preserve">Mecanismo Coordinador de País (MCP) de Honduras </w:t>
      </w:r>
      <w:r w:rsidRPr="00DD37EC">
        <w:rPr>
          <w:rFonts w:ascii="Arial" w:hAnsi="Arial" w:cs="Arial"/>
          <w:lang w:val="es-419"/>
        </w:rPr>
        <w:t xml:space="preserve">solicitó a las firmas </w:t>
      </w:r>
      <w:r w:rsidRPr="00407A6E">
        <w:rPr>
          <w:rFonts w:ascii="Arial" w:hAnsi="Arial" w:cs="Arial"/>
          <w:i/>
          <w:lang w:val="es-419"/>
        </w:rPr>
        <w:t>Pharos Global Health Advisors</w:t>
      </w:r>
      <w:r>
        <w:rPr>
          <w:rFonts w:ascii="Arial" w:hAnsi="Arial" w:cs="Arial"/>
          <w:i/>
          <w:lang w:val="es-419"/>
        </w:rPr>
        <w:t xml:space="preserve"> (Pharos), </w:t>
      </w:r>
      <w:r w:rsidRPr="00407A6E">
        <w:rPr>
          <w:rFonts w:ascii="Arial" w:hAnsi="Arial" w:cs="Arial"/>
          <w:i/>
          <w:lang w:val="es-419"/>
        </w:rPr>
        <w:t>Bitrán y Asociados</w:t>
      </w:r>
      <w:r>
        <w:rPr>
          <w:rFonts w:ascii="Arial" w:hAnsi="Arial" w:cs="Arial"/>
          <w:i/>
          <w:lang w:val="es-419"/>
        </w:rPr>
        <w:t xml:space="preserve"> (ByA), y </w:t>
      </w:r>
      <w:r w:rsidRPr="00407A6E">
        <w:rPr>
          <w:rFonts w:ascii="Arial" w:hAnsi="Arial" w:cs="Arial"/>
          <w:i/>
          <w:lang w:val="es-419"/>
        </w:rPr>
        <w:t>APMG</w:t>
      </w:r>
      <w:r>
        <w:rPr>
          <w:rFonts w:ascii="Arial" w:hAnsi="Arial" w:cs="Arial"/>
          <w:i/>
          <w:lang w:val="es-419"/>
        </w:rPr>
        <w:t xml:space="preserve"> Health (APMG)</w:t>
      </w:r>
      <w:r w:rsidRPr="00DD37EC">
        <w:rPr>
          <w:rFonts w:ascii="Arial" w:hAnsi="Arial" w:cs="Arial"/>
          <w:lang w:val="es-419"/>
        </w:rPr>
        <w:t xml:space="preserve">, facilitar la elaboración </w:t>
      </w:r>
      <w:r>
        <w:rPr>
          <w:rFonts w:ascii="Arial" w:hAnsi="Arial" w:cs="Arial"/>
          <w:lang w:val="es-419"/>
        </w:rPr>
        <w:t>la</w:t>
      </w:r>
      <w:r w:rsidRPr="00DD37EC">
        <w:rPr>
          <w:rFonts w:ascii="Arial" w:hAnsi="Arial" w:cs="Arial"/>
          <w:lang w:val="es-419"/>
        </w:rPr>
        <w:t xml:space="preserve"> Estrategia Nacional de</w:t>
      </w:r>
      <w:r>
        <w:rPr>
          <w:rFonts w:ascii="Arial" w:hAnsi="Arial" w:cs="Arial"/>
          <w:lang w:val="es-419"/>
        </w:rPr>
        <w:t xml:space="preserve"> la</w:t>
      </w:r>
      <w:r w:rsidRPr="00DD37EC">
        <w:rPr>
          <w:rFonts w:ascii="Arial" w:hAnsi="Arial" w:cs="Arial"/>
          <w:lang w:val="es-419"/>
        </w:rPr>
        <w:t xml:space="preserve"> Sostenibilidad</w:t>
      </w:r>
      <w:r>
        <w:rPr>
          <w:rFonts w:ascii="Arial" w:hAnsi="Arial" w:cs="Arial"/>
          <w:lang w:val="es-419"/>
        </w:rPr>
        <w:t xml:space="preserve"> de la Respuesta Nacional al VIH/sida y a la Tuberculosis</w:t>
      </w:r>
      <w:r w:rsidRPr="00DD37EC">
        <w:rPr>
          <w:rFonts w:ascii="Arial" w:hAnsi="Arial" w:cs="Arial"/>
          <w:lang w:val="es-419"/>
        </w:rPr>
        <w:t xml:space="preserve"> </w:t>
      </w:r>
      <w:r>
        <w:rPr>
          <w:rFonts w:ascii="Arial" w:hAnsi="Arial" w:cs="Arial"/>
          <w:lang w:val="es-419"/>
        </w:rPr>
        <w:t>(ES)</w:t>
      </w:r>
      <w:r w:rsidRPr="00DD37EC">
        <w:rPr>
          <w:rFonts w:ascii="Arial" w:hAnsi="Arial" w:cs="Arial"/>
          <w:lang w:val="es-419"/>
        </w:rPr>
        <w:t>. Para ello fue pertinente hacer un análisis de las actividades con mayor dependencia de fondos externos, así como de aquellas intervenciones clave que es necesario mantener o fortalecer para el alcance de las metas.</w:t>
      </w:r>
    </w:p>
    <w:p w14:paraId="1F3425F0" w14:textId="77777777" w:rsidR="00E43A8A" w:rsidRPr="00DD37EC" w:rsidRDefault="00E43A8A" w:rsidP="00DD37EC">
      <w:pPr>
        <w:spacing w:after="240" w:line="240" w:lineRule="auto"/>
        <w:jc w:val="both"/>
        <w:rPr>
          <w:rFonts w:ascii="Arial" w:hAnsi="Arial" w:cs="Arial"/>
          <w:lang w:val="es-419"/>
        </w:rPr>
      </w:pPr>
    </w:p>
    <w:p w14:paraId="006B10CE" w14:textId="78581A02" w:rsidR="00B0626F" w:rsidRPr="00BD6B06" w:rsidRDefault="002B0F09" w:rsidP="0068285B">
      <w:pPr>
        <w:pStyle w:val="Heading2"/>
        <w:numPr>
          <w:ilvl w:val="1"/>
          <w:numId w:val="13"/>
        </w:numPr>
        <w:spacing w:before="0" w:after="240" w:line="240" w:lineRule="auto"/>
        <w:rPr>
          <w:rFonts w:ascii="Arial" w:hAnsi="Arial" w:cs="Arial"/>
          <w:sz w:val="22"/>
          <w:szCs w:val="22"/>
          <w:lang w:val="es-419"/>
        </w:rPr>
      </w:pPr>
      <w:bookmarkStart w:id="22" w:name="_Toc8905216"/>
      <w:r w:rsidRPr="00DD37EC">
        <w:rPr>
          <w:rFonts w:ascii="Arial" w:hAnsi="Arial" w:cs="Arial"/>
          <w:sz w:val="22"/>
          <w:szCs w:val="22"/>
          <w:lang w:val="es-419"/>
        </w:rPr>
        <w:t>Metodología</w:t>
      </w:r>
      <w:bookmarkEnd w:id="22"/>
    </w:p>
    <w:p w14:paraId="3FF99D8F" w14:textId="77777777" w:rsidR="00241487" w:rsidRPr="00241487" w:rsidRDefault="00241487" w:rsidP="00241487">
      <w:pPr>
        <w:spacing w:after="240" w:line="240" w:lineRule="auto"/>
        <w:jc w:val="both"/>
        <w:rPr>
          <w:rFonts w:ascii="Arial" w:hAnsi="Arial" w:cs="Arial"/>
          <w:lang w:val="es-MX"/>
        </w:rPr>
      </w:pPr>
      <w:r w:rsidRPr="00241487">
        <w:rPr>
          <w:rFonts w:ascii="Arial" w:hAnsi="Arial" w:cs="Arial"/>
          <w:lang w:val="es-MX"/>
        </w:rPr>
        <w:t xml:space="preserve">Los </w:t>
      </w:r>
      <w:r w:rsidRPr="00173331">
        <w:rPr>
          <w:rFonts w:ascii="Arial" w:hAnsi="Arial" w:cs="Arial"/>
          <w:b/>
          <w:i/>
          <w:lang w:val="es-MX"/>
        </w:rPr>
        <w:t xml:space="preserve">objetivos últimos </w:t>
      </w:r>
      <w:r w:rsidRPr="00241487">
        <w:rPr>
          <w:rFonts w:ascii="Arial" w:hAnsi="Arial" w:cs="Arial"/>
          <w:lang w:val="es-MX"/>
        </w:rPr>
        <w:t xml:space="preserve">del país en materia de VIH son alcanzar en el 2020 las metas 90-90-90 impulsadas por Naciones Unidas y suscritas por el Estado de Honduras, lo cual permitirá alcanzar la eliminación de la transmisión del VIH o, al menos, una tasa de transmisión cercana a cero en el año 2030. Para ello, se debe lograr reducir la cantidad de nuevos casos, disminuir la mortalidad por el VIH y minimizar la transmisión de madre a hijo. </w:t>
      </w:r>
    </w:p>
    <w:p w14:paraId="661E4C84" w14:textId="77777777" w:rsidR="00241487" w:rsidRPr="00241487" w:rsidRDefault="00241487" w:rsidP="00241487">
      <w:pPr>
        <w:spacing w:after="240" w:line="240" w:lineRule="auto"/>
        <w:jc w:val="both"/>
        <w:rPr>
          <w:rFonts w:ascii="Arial" w:hAnsi="Arial" w:cs="Arial"/>
          <w:lang w:val="es-MX"/>
        </w:rPr>
      </w:pPr>
      <w:r w:rsidRPr="00241487">
        <w:rPr>
          <w:rFonts w:ascii="Arial" w:hAnsi="Arial" w:cs="Arial"/>
          <w:lang w:val="es-MX"/>
        </w:rPr>
        <w:t>En materia de TB los</w:t>
      </w:r>
      <w:r w:rsidRPr="00173331">
        <w:rPr>
          <w:rFonts w:ascii="Arial" w:hAnsi="Arial" w:cs="Arial"/>
          <w:b/>
          <w:i/>
          <w:lang w:val="es-MX"/>
        </w:rPr>
        <w:t xml:space="preserve"> objetivos últimos </w:t>
      </w:r>
      <w:r w:rsidRPr="00241487">
        <w:rPr>
          <w:rFonts w:ascii="Arial" w:hAnsi="Arial" w:cs="Arial"/>
          <w:lang w:val="es-MX"/>
        </w:rPr>
        <w:t xml:space="preserve">son aquellos de la Estrategia “Fin a la Tuberculosis” que consiste en reducir la mortalidad por tuberculosis en un 90%, y disminuir su incidencia en un 80% a 2030, en comparación con las cifras de 2015. Estas metas deben guiar las acciones de los diversos actores involucrados en la respuesta nacional al VIH y a la TB. </w:t>
      </w:r>
    </w:p>
    <w:p w14:paraId="336A4E6D" w14:textId="77777777" w:rsidR="00241487" w:rsidRPr="00241487" w:rsidRDefault="00241487" w:rsidP="00241487">
      <w:pPr>
        <w:spacing w:after="240" w:line="240" w:lineRule="auto"/>
        <w:jc w:val="both"/>
        <w:rPr>
          <w:rFonts w:ascii="Arial" w:hAnsi="Arial" w:cs="Arial"/>
          <w:lang w:val="es-MX"/>
        </w:rPr>
      </w:pPr>
      <w:r w:rsidRPr="00241487">
        <w:rPr>
          <w:rFonts w:ascii="Arial" w:hAnsi="Arial" w:cs="Arial"/>
          <w:lang w:val="es-MX"/>
        </w:rPr>
        <w:t xml:space="preserve">El marco conceptual también contempla el logro de </w:t>
      </w:r>
      <w:r w:rsidRPr="00173331">
        <w:rPr>
          <w:rFonts w:ascii="Arial" w:hAnsi="Arial" w:cs="Arial"/>
          <w:b/>
          <w:i/>
          <w:lang w:val="es-MX"/>
        </w:rPr>
        <w:t>objetivos intermedios</w:t>
      </w:r>
      <w:r w:rsidRPr="00241487">
        <w:rPr>
          <w:rFonts w:ascii="Arial" w:hAnsi="Arial" w:cs="Arial"/>
          <w:lang w:val="es-MX"/>
        </w:rPr>
        <w:t xml:space="preserve"> que son la mejora de la eficiencia, la calidad y el acceso a la atención, y la reducción del estigma y la discriminación.  </w:t>
      </w:r>
    </w:p>
    <w:p w14:paraId="574E5EFE" w14:textId="104F89B6" w:rsidR="00241487" w:rsidRDefault="00241487" w:rsidP="00241487">
      <w:pPr>
        <w:spacing w:after="240" w:line="240" w:lineRule="auto"/>
        <w:jc w:val="both"/>
        <w:rPr>
          <w:rFonts w:ascii="Arial" w:hAnsi="Arial" w:cs="Arial"/>
          <w:lang w:val="es-MX"/>
        </w:rPr>
      </w:pPr>
      <w:r w:rsidRPr="00241487">
        <w:rPr>
          <w:rFonts w:ascii="Arial" w:hAnsi="Arial" w:cs="Arial"/>
          <w:lang w:val="es-MX"/>
        </w:rPr>
        <w:t xml:space="preserve">En el contexto de este estudio, se define como </w:t>
      </w:r>
      <w:r w:rsidRPr="00173331">
        <w:rPr>
          <w:rFonts w:ascii="Arial" w:hAnsi="Arial" w:cs="Arial"/>
          <w:b/>
          <w:i/>
          <w:lang w:val="es-MX"/>
        </w:rPr>
        <w:t>riesgo de sostenibilidad</w:t>
      </w:r>
      <w:r w:rsidRPr="00241487">
        <w:rPr>
          <w:rFonts w:ascii="Arial" w:hAnsi="Arial" w:cs="Arial"/>
          <w:lang w:val="es-MX"/>
        </w:rPr>
        <w:t xml:space="preserve"> a todo evento que interfiera con la capacidad del país para identificar y resolver las causas de uno o más problemas de desempeño en el ámbito del VIH/sida y TB. Para la identificación de riesgos de sostenibilidad hemos profundizado el análisis en cuatro áreas principales: provisión de servicios, financiamiento, organizaciones de la sociedad civil y derechos humanos, y gobernanza e instituciones. La identificación de riesgos se utilizaron herramientas como la “Guía para el análisis de la preparación para la transición del Fondo Mundial”.  Más adelante en este resumen se presentan los riesgos identificados durante el trabajo y las acciones que deberían ayudar a mitigarlos.</w:t>
      </w:r>
    </w:p>
    <w:p w14:paraId="196294B4" w14:textId="767A099D" w:rsidR="00E24297" w:rsidRPr="00DD37EC" w:rsidRDefault="00E24297" w:rsidP="00DD37EC">
      <w:pPr>
        <w:spacing w:after="240" w:line="240" w:lineRule="auto"/>
        <w:jc w:val="both"/>
        <w:rPr>
          <w:rFonts w:ascii="Arial" w:hAnsi="Arial" w:cs="Arial"/>
          <w:lang w:val="es-ES"/>
        </w:rPr>
      </w:pPr>
      <w:r w:rsidRPr="00DD37EC">
        <w:rPr>
          <w:rFonts w:ascii="Arial" w:hAnsi="Arial" w:cs="Arial"/>
          <w:lang w:val="es-ES"/>
        </w:rPr>
        <w:t xml:space="preserve">Así, este proyecto </w:t>
      </w:r>
      <w:r w:rsidR="006731CC" w:rsidRPr="00DD37EC">
        <w:rPr>
          <w:rFonts w:ascii="Arial" w:hAnsi="Arial" w:cs="Arial"/>
          <w:lang w:val="es-ES"/>
        </w:rPr>
        <w:t>se construirá a partir a lo largo de las siguientes fases:</w:t>
      </w:r>
    </w:p>
    <w:p w14:paraId="358420A8" w14:textId="77777777" w:rsidR="00E6011D" w:rsidRDefault="00E6011D" w:rsidP="00DB3B1B">
      <w:pPr>
        <w:spacing w:after="240" w:line="240" w:lineRule="auto"/>
        <w:jc w:val="both"/>
        <w:rPr>
          <w:rFonts w:ascii="Arial" w:hAnsi="Arial" w:cs="Arial"/>
          <w:b/>
          <w:lang w:val="es-ES"/>
        </w:rPr>
      </w:pPr>
    </w:p>
    <w:p w14:paraId="0DA70608" w14:textId="77777777" w:rsidR="00E6011D" w:rsidRDefault="00E6011D" w:rsidP="00DB3B1B">
      <w:pPr>
        <w:spacing w:after="240" w:line="240" w:lineRule="auto"/>
        <w:jc w:val="both"/>
        <w:rPr>
          <w:rFonts w:ascii="Arial" w:hAnsi="Arial" w:cs="Arial"/>
          <w:b/>
          <w:lang w:val="es-ES"/>
        </w:rPr>
      </w:pPr>
    </w:p>
    <w:p w14:paraId="0D7F3B01" w14:textId="28E5A992" w:rsidR="00DB3B1B" w:rsidRDefault="00DB3B1B" w:rsidP="00DB3B1B">
      <w:pPr>
        <w:spacing w:after="240" w:line="240" w:lineRule="auto"/>
        <w:jc w:val="both"/>
        <w:rPr>
          <w:rFonts w:ascii="Arial" w:hAnsi="Arial" w:cs="Arial"/>
          <w:lang w:val="es-ES"/>
        </w:rPr>
      </w:pPr>
      <w:r w:rsidRPr="00DD37EC">
        <w:rPr>
          <w:rFonts w:ascii="Arial" w:hAnsi="Arial" w:cs="Arial"/>
          <w:b/>
          <w:lang w:val="es-ES"/>
        </w:rPr>
        <w:lastRenderedPageBreak/>
        <w:t>Fase 1. Fase</w:t>
      </w:r>
      <w:r>
        <w:rPr>
          <w:rFonts w:ascii="Arial" w:hAnsi="Arial" w:cs="Arial"/>
          <w:b/>
          <w:lang w:val="es-ES"/>
        </w:rPr>
        <w:t xml:space="preserve"> preparatoria</w:t>
      </w:r>
      <w:r>
        <w:rPr>
          <w:rFonts w:ascii="Arial" w:hAnsi="Arial" w:cs="Arial"/>
          <w:lang w:val="es-ES"/>
        </w:rPr>
        <w:t xml:space="preserve"> </w:t>
      </w:r>
    </w:p>
    <w:p w14:paraId="6507410B" w14:textId="77777777" w:rsidR="00DB3B1B" w:rsidRPr="00DD37EC" w:rsidRDefault="00DB3B1B" w:rsidP="00DB3B1B">
      <w:pPr>
        <w:spacing w:after="240" w:line="240" w:lineRule="auto"/>
        <w:jc w:val="both"/>
        <w:rPr>
          <w:rFonts w:ascii="Arial" w:hAnsi="Arial" w:cs="Arial"/>
          <w:lang w:val="es-ES"/>
        </w:rPr>
      </w:pPr>
      <w:r w:rsidRPr="00AB3094">
        <w:rPr>
          <w:rFonts w:ascii="Arial" w:hAnsi="Arial" w:cs="Arial"/>
          <w:u w:val="single"/>
          <w:lang w:val="es-ES"/>
        </w:rPr>
        <w:t>Revisión documental</w:t>
      </w:r>
      <w:r>
        <w:rPr>
          <w:rFonts w:ascii="Arial" w:hAnsi="Arial" w:cs="Arial"/>
          <w:u w:val="single"/>
          <w:lang w:val="es-ES"/>
        </w:rPr>
        <w:t>.</w:t>
      </w:r>
      <w:r w:rsidRPr="00AB3094">
        <w:rPr>
          <w:rFonts w:ascii="Arial" w:hAnsi="Arial" w:cs="Arial"/>
          <w:lang w:val="es-ES"/>
        </w:rPr>
        <w:t xml:space="preserve"> </w:t>
      </w:r>
      <w:r w:rsidRPr="00DD37EC">
        <w:rPr>
          <w:rFonts w:ascii="Arial" w:hAnsi="Arial" w:cs="Arial"/>
          <w:lang w:val="es-ES"/>
        </w:rPr>
        <w:t>Esta fase comenzó con una revisión bibliográfica de más de 50 documentos. A partir de ello, el equipo consultor desarrolló hipótesis</w:t>
      </w:r>
      <w:r>
        <w:rPr>
          <w:rFonts w:ascii="Arial" w:hAnsi="Arial" w:cs="Arial"/>
          <w:lang w:val="es-ES"/>
        </w:rPr>
        <w:t xml:space="preserve"> de riesgos</w:t>
      </w:r>
      <w:r w:rsidRPr="00DD37EC">
        <w:rPr>
          <w:rFonts w:ascii="Arial" w:hAnsi="Arial" w:cs="Arial"/>
          <w:lang w:val="es-ES"/>
        </w:rPr>
        <w:t xml:space="preserve"> preliminares con las cuales se diseñó una guía de entrevista para la primera misión</w:t>
      </w:r>
      <w:r>
        <w:rPr>
          <w:rFonts w:ascii="Arial" w:hAnsi="Arial" w:cs="Arial"/>
          <w:lang w:val="es-ES"/>
        </w:rPr>
        <w:t>.</w:t>
      </w:r>
    </w:p>
    <w:p w14:paraId="62573F3A" w14:textId="77777777" w:rsidR="00DB3B1B" w:rsidRPr="00E17FA8" w:rsidRDefault="00DB3B1B" w:rsidP="00DB3B1B">
      <w:pPr>
        <w:spacing w:after="240" w:line="240" w:lineRule="auto"/>
        <w:jc w:val="both"/>
        <w:rPr>
          <w:rFonts w:ascii="Arial" w:hAnsi="Arial" w:cs="Arial"/>
          <w:b/>
          <w:lang w:val="es-MX"/>
        </w:rPr>
      </w:pPr>
      <w:r w:rsidRPr="00AB3094">
        <w:rPr>
          <w:rFonts w:ascii="Arial" w:hAnsi="Arial" w:cs="Arial"/>
          <w:u w:val="single"/>
          <w:lang w:val="es-ES"/>
        </w:rPr>
        <w:t>Primera Misión en Honduras.</w:t>
      </w:r>
      <w:r>
        <w:rPr>
          <w:rFonts w:ascii="Arial" w:hAnsi="Arial" w:cs="Arial"/>
          <w:b/>
          <w:lang w:val="es-ES"/>
        </w:rPr>
        <w:t xml:space="preserve"> </w:t>
      </w:r>
      <w:r w:rsidRPr="00DD37EC">
        <w:rPr>
          <w:rFonts w:ascii="Arial" w:hAnsi="Arial" w:cs="Arial"/>
          <w:lang w:val="es-ES"/>
        </w:rPr>
        <w:t>Esta primera misión tuvo lugar en Tegucigalpa a finales de noviembre de 2018. Durante la misión, el equipo realizó entrevistas con un total de 25 actores clave del sector público, cooperación internacional, sociedad civil, entidades de coordinación, proveedores de servicios de salud, y receptores principales de financiamiento del FM para VIH y TB</w:t>
      </w:r>
      <w:r>
        <w:rPr>
          <w:rFonts w:ascii="Arial" w:hAnsi="Arial" w:cs="Arial"/>
          <w:lang w:val="es-ES"/>
        </w:rPr>
        <w:t xml:space="preserve">, y </w:t>
      </w:r>
      <w:r w:rsidRPr="00DD37EC">
        <w:rPr>
          <w:rFonts w:ascii="Arial" w:hAnsi="Arial" w:cs="Arial"/>
          <w:lang w:val="es-ES"/>
        </w:rPr>
        <w:t xml:space="preserve">asistió un taller del FM focalizado en los derechos humanos y las barreras al acceso de servicios para VIH en el </w:t>
      </w:r>
      <w:r w:rsidRPr="00D55637">
        <w:rPr>
          <w:rFonts w:ascii="Arial" w:hAnsi="Arial" w:cs="Arial"/>
          <w:lang w:val="es-ES"/>
        </w:rPr>
        <w:t>país (ver Anexo 1).</w:t>
      </w:r>
      <w:r w:rsidRPr="00DD37EC">
        <w:rPr>
          <w:rFonts w:ascii="Arial" w:hAnsi="Arial" w:cs="Arial"/>
          <w:lang w:val="es-ES"/>
        </w:rPr>
        <w:t xml:space="preserve"> </w:t>
      </w:r>
      <w:r>
        <w:rPr>
          <w:rFonts w:ascii="Arial" w:hAnsi="Arial" w:cs="Arial"/>
          <w:lang w:val="es-ES"/>
        </w:rPr>
        <w:t>Al final de la primera visita, se realizó un ejercicio de priorización de riesgos con el pleno de la Asamblea del MCP.</w:t>
      </w:r>
    </w:p>
    <w:p w14:paraId="4821740E" w14:textId="77777777" w:rsidR="00DB3B1B" w:rsidRPr="00DD37EC" w:rsidRDefault="00DB3B1B" w:rsidP="00DB3B1B">
      <w:pPr>
        <w:spacing w:after="240" w:line="240" w:lineRule="auto"/>
        <w:jc w:val="both"/>
        <w:rPr>
          <w:rFonts w:ascii="Arial" w:hAnsi="Arial" w:cs="Arial"/>
          <w:lang w:val="es-MX"/>
        </w:rPr>
      </w:pPr>
      <w:r w:rsidRPr="00DD37EC">
        <w:rPr>
          <w:rFonts w:ascii="Arial" w:hAnsi="Arial" w:cs="Arial"/>
          <w:b/>
          <w:lang w:val="es-ES"/>
        </w:rPr>
        <w:t xml:space="preserve">Fase </w:t>
      </w:r>
      <w:r>
        <w:rPr>
          <w:rFonts w:ascii="Arial" w:hAnsi="Arial" w:cs="Arial"/>
          <w:b/>
          <w:lang w:val="es-ES"/>
        </w:rPr>
        <w:t>2</w:t>
      </w:r>
      <w:r w:rsidRPr="00DD37EC">
        <w:rPr>
          <w:rFonts w:ascii="Arial" w:hAnsi="Arial" w:cs="Arial"/>
          <w:b/>
          <w:lang w:val="es-ES"/>
        </w:rPr>
        <w:t>. Preparaci</w:t>
      </w:r>
      <w:r w:rsidRPr="00DD37EC">
        <w:rPr>
          <w:rFonts w:ascii="Arial" w:hAnsi="Arial" w:cs="Arial"/>
          <w:b/>
          <w:lang w:val="es-MX"/>
        </w:rPr>
        <w:t>ón del Informe</w:t>
      </w:r>
      <w:r>
        <w:rPr>
          <w:rFonts w:ascii="Arial" w:hAnsi="Arial" w:cs="Arial"/>
          <w:b/>
          <w:lang w:val="es-MX"/>
        </w:rPr>
        <w:t xml:space="preserve"> “Análisis de riesgos a la sostenibilidad”</w:t>
      </w:r>
      <w:r w:rsidRPr="00DD37EC">
        <w:rPr>
          <w:rFonts w:ascii="Arial" w:hAnsi="Arial" w:cs="Arial"/>
          <w:b/>
          <w:lang w:val="es-MX"/>
        </w:rPr>
        <w:t xml:space="preserve">. </w:t>
      </w:r>
      <w:r w:rsidRPr="00DD37EC">
        <w:rPr>
          <w:rFonts w:ascii="Arial" w:hAnsi="Arial" w:cs="Arial"/>
          <w:lang w:val="es-MX"/>
        </w:rPr>
        <w:t xml:space="preserve"> Con base en la información recopilada</w:t>
      </w:r>
      <w:r>
        <w:rPr>
          <w:rFonts w:ascii="Arial" w:hAnsi="Arial" w:cs="Arial"/>
          <w:lang w:val="es-MX"/>
        </w:rPr>
        <w:t xml:space="preserve"> durante la revisión bibliográfica y</w:t>
      </w:r>
      <w:r w:rsidRPr="00DD37EC">
        <w:rPr>
          <w:rFonts w:ascii="Arial" w:hAnsi="Arial" w:cs="Arial"/>
          <w:lang w:val="es-MX"/>
        </w:rPr>
        <w:t xml:space="preserve"> </w:t>
      </w:r>
      <w:r>
        <w:rPr>
          <w:rFonts w:ascii="Arial" w:hAnsi="Arial" w:cs="Arial"/>
          <w:lang w:val="es-MX"/>
        </w:rPr>
        <w:t>durante</w:t>
      </w:r>
      <w:r w:rsidRPr="00DD37EC">
        <w:rPr>
          <w:rFonts w:ascii="Arial" w:hAnsi="Arial" w:cs="Arial"/>
          <w:lang w:val="es-MX"/>
        </w:rPr>
        <w:t xml:space="preserve"> las entrevista</w:t>
      </w:r>
      <w:r>
        <w:rPr>
          <w:rFonts w:ascii="Arial" w:hAnsi="Arial" w:cs="Arial"/>
          <w:lang w:val="es-MX"/>
        </w:rPr>
        <w:t>s</w:t>
      </w:r>
      <w:r w:rsidRPr="00DD37EC">
        <w:rPr>
          <w:rFonts w:ascii="Arial" w:hAnsi="Arial" w:cs="Arial"/>
          <w:lang w:val="es-MX"/>
        </w:rPr>
        <w:t xml:space="preserve">, se </w:t>
      </w:r>
      <w:r>
        <w:rPr>
          <w:rFonts w:ascii="Arial" w:hAnsi="Arial" w:cs="Arial"/>
          <w:lang w:val="es-MX"/>
        </w:rPr>
        <w:t>completó y documentó</w:t>
      </w:r>
      <w:r w:rsidRPr="00DD37EC">
        <w:rPr>
          <w:rFonts w:ascii="Arial" w:hAnsi="Arial" w:cs="Arial"/>
          <w:lang w:val="es-MX"/>
        </w:rPr>
        <w:t xml:space="preserve"> la lista preliminar de principales riesgos y se propusieron</w:t>
      </w:r>
      <w:r w:rsidRPr="00DD37EC">
        <w:rPr>
          <w:rFonts w:ascii="Arial" w:hAnsi="Arial" w:cs="Arial"/>
          <w:lang w:val="es-ES"/>
        </w:rPr>
        <w:t xml:space="preserve"> soluciones plausibles. El documento borrador se compartirá con el FM y posteriormente con la Comisión de Sostenibilidad MCP-SESAL para obtener retroalimentación sobre el contenido.</w:t>
      </w:r>
    </w:p>
    <w:p w14:paraId="466E0AB6" w14:textId="77777777" w:rsidR="00DB3B1B" w:rsidRDefault="00DB3B1B" w:rsidP="00DB3B1B">
      <w:pPr>
        <w:spacing w:after="240" w:line="240" w:lineRule="auto"/>
        <w:jc w:val="both"/>
        <w:rPr>
          <w:rFonts w:ascii="Arial" w:hAnsi="Arial" w:cs="Arial"/>
          <w:b/>
          <w:lang w:val="es-ES"/>
        </w:rPr>
      </w:pPr>
      <w:r w:rsidRPr="00DD37EC">
        <w:rPr>
          <w:rFonts w:ascii="Arial" w:hAnsi="Arial" w:cs="Arial"/>
          <w:b/>
          <w:lang w:val="es-ES"/>
        </w:rPr>
        <w:t xml:space="preserve">Fase 3. </w:t>
      </w:r>
      <w:r>
        <w:rPr>
          <w:rFonts w:ascii="Arial" w:hAnsi="Arial" w:cs="Arial"/>
          <w:b/>
          <w:lang w:val="es-ES"/>
        </w:rPr>
        <w:t>Preparación del Plan detallado de Sostenibilidad.</w:t>
      </w:r>
    </w:p>
    <w:p w14:paraId="069DC8DA" w14:textId="77777777" w:rsidR="00DB3B1B" w:rsidRPr="004B3F2C" w:rsidRDefault="00DB3B1B" w:rsidP="00DB3B1B">
      <w:pPr>
        <w:spacing w:after="240" w:line="240" w:lineRule="auto"/>
        <w:jc w:val="both"/>
        <w:rPr>
          <w:rFonts w:ascii="Arial" w:hAnsi="Arial" w:cs="Arial"/>
          <w:b/>
          <w:lang w:val="es-ES"/>
        </w:rPr>
      </w:pPr>
      <w:r w:rsidRPr="00C22D29">
        <w:rPr>
          <w:rFonts w:ascii="Arial" w:hAnsi="Arial" w:cs="Arial"/>
          <w:u w:val="single"/>
          <w:lang w:val="es-ES"/>
        </w:rPr>
        <w:t>Segunda Misión en Honduras (Talleres de OSC y Taller Intersectorial).</w:t>
      </w:r>
      <w:r w:rsidRPr="00DD37EC">
        <w:rPr>
          <w:rFonts w:ascii="Arial" w:hAnsi="Arial" w:cs="Arial"/>
          <w:b/>
          <w:lang w:val="es-ES"/>
        </w:rPr>
        <w:t xml:space="preserve"> </w:t>
      </w:r>
      <w:r w:rsidRPr="00DD37EC">
        <w:rPr>
          <w:rFonts w:ascii="Arial" w:hAnsi="Arial" w:cs="Arial"/>
          <w:lang w:val="es-ES"/>
        </w:rPr>
        <w:t>Durante la semana del 25 de enero de 2019, se lleva</w:t>
      </w:r>
      <w:r>
        <w:rPr>
          <w:rFonts w:ascii="Arial" w:hAnsi="Arial" w:cs="Arial"/>
          <w:lang w:val="es-ES"/>
        </w:rPr>
        <w:t>ron</w:t>
      </w:r>
      <w:r w:rsidRPr="00DD37EC">
        <w:rPr>
          <w:rFonts w:ascii="Arial" w:hAnsi="Arial" w:cs="Arial"/>
          <w:lang w:val="es-ES"/>
        </w:rPr>
        <w:t xml:space="preserve"> a cabo 3 talleres intersectoriales (en La Ceiba, San Pedro Sula y Tegucigalpa), un taller intersectorial en Tegucigalpa y algunas entrevistas con actores que no se lograron entrevistar durante la primera misión. Los objetivos de los talleres </w:t>
      </w:r>
      <w:r>
        <w:rPr>
          <w:rFonts w:ascii="Arial" w:hAnsi="Arial" w:cs="Arial"/>
          <w:lang w:val="es-ES"/>
        </w:rPr>
        <w:t>fueron</w:t>
      </w:r>
      <w:r w:rsidRPr="00DD37EC">
        <w:rPr>
          <w:rFonts w:ascii="Arial" w:hAnsi="Arial" w:cs="Arial"/>
          <w:lang w:val="es-ES"/>
        </w:rPr>
        <w:t xml:space="preserve"> compartir los hallazgos preliminares (en particular los </w:t>
      </w:r>
      <w:r>
        <w:rPr>
          <w:rFonts w:ascii="Arial" w:hAnsi="Arial" w:cs="Arial"/>
          <w:lang w:val="es-ES"/>
        </w:rPr>
        <w:t>7</w:t>
      </w:r>
      <w:r w:rsidRPr="00DD37EC">
        <w:rPr>
          <w:rFonts w:ascii="Arial" w:hAnsi="Arial" w:cs="Arial"/>
          <w:lang w:val="es-ES"/>
        </w:rPr>
        <w:t xml:space="preserve"> riesgos que </w:t>
      </w:r>
      <w:r>
        <w:rPr>
          <w:rFonts w:ascii="Arial" w:hAnsi="Arial" w:cs="Arial"/>
          <w:lang w:val="es-ES"/>
        </w:rPr>
        <w:t>fueron</w:t>
      </w:r>
      <w:r w:rsidRPr="00DD37EC">
        <w:rPr>
          <w:rFonts w:ascii="Arial" w:hAnsi="Arial" w:cs="Arial"/>
          <w:lang w:val="es-ES"/>
        </w:rPr>
        <w:t xml:space="preserve"> seleccionado</w:t>
      </w:r>
      <w:r>
        <w:rPr>
          <w:rFonts w:ascii="Arial" w:hAnsi="Arial" w:cs="Arial"/>
          <w:lang w:val="es-ES"/>
        </w:rPr>
        <w:t>s</w:t>
      </w:r>
      <w:r w:rsidRPr="00DD37EC">
        <w:rPr>
          <w:rFonts w:ascii="Arial" w:hAnsi="Arial" w:cs="Arial"/>
          <w:lang w:val="es-ES"/>
        </w:rPr>
        <w:t xml:space="preserve"> como prioritarios</w:t>
      </w:r>
      <w:r>
        <w:rPr>
          <w:rFonts w:ascii="Arial" w:hAnsi="Arial" w:cs="Arial"/>
          <w:lang w:val="es-ES"/>
        </w:rPr>
        <w:t xml:space="preserve"> por el MCP durante la primera visita</w:t>
      </w:r>
      <w:r w:rsidRPr="00DD37EC">
        <w:rPr>
          <w:rFonts w:ascii="Arial" w:hAnsi="Arial" w:cs="Arial"/>
          <w:lang w:val="es-ES"/>
        </w:rPr>
        <w:t xml:space="preserve">) y trabajar en un plan detallado de las soluciones propuestas </w:t>
      </w:r>
      <w:r>
        <w:rPr>
          <w:rFonts w:ascii="Arial" w:hAnsi="Arial" w:cs="Arial"/>
          <w:lang w:val="es-ES"/>
        </w:rPr>
        <w:t>incluyendo</w:t>
      </w:r>
      <w:r w:rsidRPr="00DD37EC">
        <w:rPr>
          <w:rFonts w:ascii="Arial" w:hAnsi="Arial" w:cs="Arial"/>
          <w:lang w:val="es-ES"/>
        </w:rPr>
        <w:t xml:space="preserve"> </w:t>
      </w:r>
      <w:r>
        <w:rPr>
          <w:rFonts w:ascii="Arial" w:hAnsi="Arial" w:cs="Arial"/>
          <w:lang w:val="es-ES"/>
        </w:rPr>
        <w:t>actividades clave</w:t>
      </w:r>
      <w:r w:rsidRPr="00DD37EC">
        <w:rPr>
          <w:rFonts w:ascii="Arial" w:hAnsi="Arial" w:cs="Arial"/>
          <w:lang w:val="es-ES"/>
        </w:rPr>
        <w:t xml:space="preserve"> para su implementación, actores responsables, su viabilidad legal/política, necesidades de asistencia técnica e indicadores de proceso sugeridos.</w:t>
      </w:r>
    </w:p>
    <w:p w14:paraId="1C600ED1" w14:textId="70F64E10" w:rsidR="009F0627" w:rsidRPr="00DD37EC" w:rsidRDefault="00DB3B1B" w:rsidP="00DD37EC">
      <w:pPr>
        <w:spacing w:after="240" w:line="240" w:lineRule="auto"/>
        <w:jc w:val="both"/>
        <w:rPr>
          <w:rFonts w:ascii="Arial" w:hAnsi="Arial" w:cs="Arial"/>
          <w:lang w:val="es-ES"/>
        </w:rPr>
      </w:pPr>
      <w:r w:rsidRPr="00DD37EC">
        <w:rPr>
          <w:rFonts w:ascii="Arial" w:hAnsi="Arial" w:cs="Arial"/>
          <w:lang w:val="es-ES"/>
        </w:rPr>
        <w:t>A partir de la información obtenida durante la segunda misión, se elaborará un reporte final que incluirá la descripción detallada de riesgos y acciones principales</w:t>
      </w:r>
      <w:r>
        <w:rPr>
          <w:rFonts w:ascii="Arial" w:hAnsi="Arial" w:cs="Arial"/>
          <w:lang w:val="es-ES"/>
        </w:rPr>
        <w:t xml:space="preserve"> y el</w:t>
      </w:r>
      <w:r w:rsidRPr="00DD37EC">
        <w:rPr>
          <w:rFonts w:ascii="Arial" w:hAnsi="Arial" w:cs="Arial"/>
          <w:lang w:val="es-ES"/>
        </w:rPr>
        <w:t xml:space="preserve"> plan</w:t>
      </w:r>
      <w:r>
        <w:rPr>
          <w:rFonts w:ascii="Arial" w:hAnsi="Arial" w:cs="Arial"/>
          <w:lang w:val="es-ES"/>
        </w:rPr>
        <w:t xml:space="preserve"> </w:t>
      </w:r>
      <w:r w:rsidRPr="00DD37EC">
        <w:rPr>
          <w:rFonts w:ascii="Arial" w:hAnsi="Arial" w:cs="Arial"/>
          <w:lang w:val="es-ES"/>
        </w:rPr>
        <w:t xml:space="preserve">de </w:t>
      </w:r>
      <w:r>
        <w:rPr>
          <w:rFonts w:ascii="Arial" w:hAnsi="Arial" w:cs="Arial"/>
          <w:lang w:val="es-ES"/>
        </w:rPr>
        <w:t>trabajo</w:t>
      </w:r>
      <w:r w:rsidRPr="00DD37EC">
        <w:rPr>
          <w:rFonts w:ascii="Arial" w:hAnsi="Arial" w:cs="Arial"/>
          <w:lang w:val="es-ES"/>
        </w:rPr>
        <w:t xml:space="preserve"> detallados</w:t>
      </w:r>
      <w:r>
        <w:rPr>
          <w:rFonts w:ascii="Arial" w:hAnsi="Arial" w:cs="Arial"/>
          <w:lang w:val="es-ES"/>
        </w:rPr>
        <w:t xml:space="preserve"> </w:t>
      </w:r>
      <w:r w:rsidRPr="00DD37EC">
        <w:rPr>
          <w:rFonts w:ascii="Arial" w:hAnsi="Arial" w:cs="Arial"/>
          <w:lang w:val="es-ES"/>
        </w:rPr>
        <w:t>para VIH y TB,</w:t>
      </w:r>
      <w:r>
        <w:rPr>
          <w:rFonts w:ascii="Arial" w:hAnsi="Arial" w:cs="Arial"/>
          <w:lang w:val="es-ES"/>
        </w:rPr>
        <w:t xml:space="preserve"> incl</w:t>
      </w:r>
      <w:r w:rsidRPr="00DD37EC">
        <w:rPr>
          <w:rFonts w:ascii="Arial" w:hAnsi="Arial" w:cs="Arial"/>
          <w:lang w:val="es-ES"/>
        </w:rPr>
        <w:t>u</w:t>
      </w:r>
      <w:r>
        <w:rPr>
          <w:rFonts w:ascii="Arial" w:hAnsi="Arial" w:cs="Arial"/>
          <w:lang w:val="es-ES"/>
        </w:rPr>
        <w:t>yendo el</w:t>
      </w:r>
      <w:r w:rsidRPr="00DD37EC">
        <w:rPr>
          <w:rFonts w:ascii="Arial" w:hAnsi="Arial" w:cs="Arial"/>
          <w:lang w:val="es-ES"/>
        </w:rPr>
        <w:t xml:space="preserve"> cost</w:t>
      </w:r>
      <w:r w:rsidR="009F5E7F">
        <w:rPr>
          <w:rFonts w:ascii="Arial" w:hAnsi="Arial" w:cs="Arial"/>
          <w:lang w:val="es-ES"/>
        </w:rPr>
        <w:t xml:space="preserve">o </w:t>
      </w:r>
      <w:r w:rsidRPr="00DD37EC">
        <w:rPr>
          <w:rFonts w:ascii="Arial" w:hAnsi="Arial" w:cs="Arial"/>
          <w:lang w:val="es-ES"/>
        </w:rPr>
        <w:t>estimado de las actividades con mayor impacto</w:t>
      </w:r>
      <w:r>
        <w:rPr>
          <w:rFonts w:ascii="Arial" w:hAnsi="Arial" w:cs="Arial"/>
          <w:lang w:val="es-ES"/>
        </w:rPr>
        <w:t xml:space="preserve"> e indicadores para su monitoreo.</w:t>
      </w:r>
      <w:r w:rsidR="009F5E7F">
        <w:rPr>
          <w:rFonts w:ascii="Arial" w:hAnsi="Arial" w:cs="Arial"/>
          <w:lang w:val="es-ES"/>
        </w:rPr>
        <w:t xml:space="preserve"> Las acciones ligadas a Derechos Humanos se alinearán con el Plan de Derechos Humanos que actualmente se encuentra en preparación. Fi</w:t>
      </w:r>
      <w:r w:rsidR="00E732B4">
        <w:rPr>
          <w:rFonts w:ascii="Arial" w:hAnsi="Arial" w:cs="Arial"/>
          <w:lang w:val="es-ES"/>
        </w:rPr>
        <w:t>nalmente, este trabajo se contextualizará dentro del proceso</w:t>
      </w:r>
      <w:r w:rsidR="006D6CA5">
        <w:rPr>
          <w:rFonts w:ascii="Arial" w:hAnsi="Arial" w:cs="Arial"/>
          <w:lang w:val="es-ES"/>
        </w:rPr>
        <w:t xml:space="preserve"> actual</w:t>
      </w:r>
      <w:r w:rsidR="00E732B4">
        <w:rPr>
          <w:rFonts w:ascii="Arial" w:hAnsi="Arial" w:cs="Arial"/>
          <w:lang w:val="es-ES"/>
        </w:rPr>
        <w:t xml:space="preserve"> de re</w:t>
      </w:r>
      <w:r w:rsidR="006D6CA5">
        <w:rPr>
          <w:rFonts w:ascii="Arial" w:hAnsi="Arial" w:cs="Arial"/>
          <w:lang w:val="es-ES"/>
        </w:rPr>
        <w:t xml:space="preserve">forma del sistema de salud en Honduras. </w:t>
      </w:r>
    </w:p>
    <w:p w14:paraId="17F71AC5" w14:textId="622E0C9B" w:rsidR="00FF2658" w:rsidRDefault="00E732B4" w:rsidP="005D1E38">
      <w:pPr>
        <w:spacing w:after="240" w:line="240" w:lineRule="auto"/>
        <w:rPr>
          <w:rFonts w:ascii="Arial" w:hAnsi="Arial" w:cs="Arial"/>
          <w:lang w:val="es-MX"/>
        </w:rPr>
      </w:pPr>
      <w:r>
        <w:rPr>
          <w:rFonts w:ascii="Arial" w:hAnsi="Arial" w:cs="Arial"/>
          <w:noProof/>
          <w:lang w:val="es-MX"/>
        </w:rPr>
        <w:lastRenderedPageBreak/>
        <w:drawing>
          <wp:anchor distT="0" distB="0" distL="114300" distR="114300" simplePos="0" relativeHeight="251696128" behindDoc="0" locked="0" layoutInCell="1" allowOverlap="1" wp14:anchorId="0C091335" wp14:editId="4A6BF89E">
            <wp:simplePos x="0" y="0"/>
            <wp:positionH relativeFrom="column">
              <wp:posOffset>828887</wp:posOffset>
            </wp:positionH>
            <wp:positionV relativeFrom="paragraph">
              <wp:posOffset>143934</wp:posOffset>
            </wp:positionV>
            <wp:extent cx="4530436" cy="3371014"/>
            <wp:effectExtent l="0" t="0" r="0" b="127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30436" cy="3371014"/>
                    </a:xfrm>
                    <a:prstGeom prst="rect">
                      <a:avLst/>
                    </a:prstGeom>
                    <a:noFill/>
                  </pic:spPr>
                </pic:pic>
              </a:graphicData>
            </a:graphic>
          </wp:anchor>
        </w:drawing>
      </w:r>
      <w:r w:rsidR="005D1E38">
        <w:rPr>
          <w:rFonts w:ascii="Arial" w:hAnsi="Arial" w:cs="Arial"/>
          <w:lang w:val="es-MX"/>
        </w:rPr>
        <w:br w:type="textWrapping" w:clear="all"/>
      </w:r>
    </w:p>
    <w:p w14:paraId="1B66B416" w14:textId="4962493B" w:rsidR="00E91EF1" w:rsidRPr="006E42A8" w:rsidRDefault="0085501F" w:rsidP="006E42A8">
      <w:pPr>
        <w:jc w:val="both"/>
        <w:rPr>
          <w:rFonts w:ascii="Arial" w:hAnsi="Arial" w:cs="Arial"/>
          <w:lang w:val="es-MX"/>
        </w:rPr>
      </w:pPr>
      <w:r w:rsidRPr="00DD37EC">
        <w:rPr>
          <w:rFonts w:ascii="Arial" w:hAnsi="Arial" w:cs="Arial"/>
          <w:lang w:val="es-MX"/>
        </w:rPr>
        <w:t>En suma, este reporte se organiza de acuerdo a la siguiente estructura e incluye elementos sugeridos en los módulos</w:t>
      </w:r>
      <w:r>
        <w:rPr>
          <w:rFonts w:ascii="Arial" w:hAnsi="Arial" w:cs="Arial"/>
          <w:lang w:val="es-MX"/>
        </w:rPr>
        <w:t xml:space="preserve"> (principales y opcionales)</w:t>
      </w:r>
      <w:r w:rsidRPr="00DD37EC">
        <w:rPr>
          <w:rFonts w:ascii="Arial" w:hAnsi="Arial" w:cs="Arial"/>
          <w:lang w:val="es-MX"/>
        </w:rPr>
        <w:t xml:space="preserve"> del documento Guía de Aceso</w:t>
      </w:r>
      <w:r w:rsidR="002D26C8">
        <w:rPr>
          <w:rFonts w:ascii="Arial" w:hAnsi="Arial" w:cs="Arial"/>
          <w:lang w:val="es-MX"/>
        </w:rPr>
        <w:t>/</w:t>
      </w:r>
      <w:r w:rsidRPr="00DD37EC">
        <w:rPr>
          <w:rFonts w:ascii="Arial" w:hAnsi="Arial" w:cs="Arial"/>
          <w:lang w:val="es-MX"/>
        </w:rPr>
        <w:t>AMPG</w:t>
      </w:r>
      <w:r w:rsidR="007C6CBA">
        <w:rPr>
          <w:rFonts w:ascii="Arial" w:hAnsi="Arial" w:cs="Arial"/>
          <w:lang w:val="es-MX"/>
        </w:rPr>
        <w:t xml:space="preserve"> </w:t>
      </w:r>
      <w:r w:rsidR="00B815D6">
        <w:rPr>
          <w:rFonts w:ascii="Arial" w:hAnsi="Arial" w:cs="Arial"/>
          <w:lang w:val="es-MX"/>
        </w:rPr>
        <w:t>e</w:t>
      </w:r>
      <w:r w:rsidR="006623D2">
        <w:rPr>
          <w:rFonts w:ascii="Arial" w:hAnsi="Arial" w:cs="Arial"/>
          <w:lang w:val="es-MX"/>
        </w:rPr>
        <w:t xml:space="preserve"> incorpora</w:t>
      </w:r>
      <w:r w:rsidR="007C6CBA">
        <w:rPr>
          <w:rFonts w:ascii="Arial" w:hAnsi="Arial" w:cs="Arial"/>
          <w:lang w:val="es-MX"/>
        </w:rPr>
        <w:t xml:space="preserve"> </w:t>
      </w:r>
      <w:r w:rsidR="006623D2">
        <w:rPr>
          <w:rFonts w:ascii="Arial" w:hAnsi="Arial" w:cs="Arial"/>
          <w:lang w:val="es-MX"/>
        </w:rPr>
        <w:t>algunos de los hallazgos de la</w:t>
      </w:r>
      <w:r w:rsidR="007C6CBA">
        <w:rPr>
          <w:rFonts w:ascii="Arial" w:hAnsi="Arial" w:cs="Arial"/>
          <w:lang w:val="es-MX"/>
        </w:rPr>
        <w:t>s</w:t>
      </w:r>
      <w:r w:rsidR="006623D2">
        <w:rPr>
          <w:rFonts w:ascii="Arial" w:hAnsi="Arial" w:cs="Arial"/>
          <w:lang w:val="es-MX"/>
        </w:rPr>
        <w:t xml:space="preserve"> Evaluaci</w:t>
      </w:r>
      <w:r w:rsidR="007C6CBA">
        <w:rPr>
          <w:rFonts w:ascii="Arial" w:hAnsi="Arial" w:cs="Arial"/>
          <w:lang w:val="es-MX"/>
        </w:rPr>
        <w:t xml:space="preserve">ones </w:t>
      </w:r>
      <w:r w:rsidR="0000264E">
        <w:rPr>
          <w:rFonts w:ascii="Arial" w:hAnsi="Arial" w:cs="Arial"/>
          <w:lang w:val="es-MX"/>
        </w:rPr>
        <w:t>Focalizadas</w:t>
      </w:r>
      <w:r w:rsidR="006623D2">
        <w:rPr>
          <w:rFonts w:ascii="Arial" w:hAnsi="Arial" w:cs="Arial"/>
          <w:lang w:val="es-MX"/>
        </w:rPr>
        <w:t xml:space="preserve"> de VIH y TB en Honduras completado por el FM y APMG.</w:t>
      </w:r>
      <w:r w:rsidR="00327E87">
        <w:rPr>
          <w:rStyle w:val="FootnoteReference"/>
          <w:rFonts w:ascii="Arial" w:hAnsi="Arial" w:cs="Arial"/>
          <w:lang w:val="es-MX"/>
        </w:rPr>
        <w:footnoteReference w:id="6"/>
      </w:r>
      <w:r w:rsidR="00327E87">
        <w:rPr>
          <w:rFonts w:ascii="Arial" w:hAnsi="Arial" w:cs="Arial"/>
          <w:vertAlign w:val="superscript"/>
          <w:lang w:val="es-MX"/>
        </w:rPr>
        <w:t>,</w:t>
      </w:r>
      <w:r w:rsidR="00327E87">
        <w:rPr>
          <w:rStyle w:val="FootnoteReference"/>
          <w:rFonts w:ascii="Arial" w:hAnsi="Arial" w:cs="Arial"/>
          <w:lang w:val="es-MX"/>
        </w:rPr>
        <w:footnoteReference w:id="7"/>
      </w:r>
      <w:r w:rsidR="006623D2">
        <w:rPr>
          <w:rFonts w:ascii="Arial" w:hAnsi="Arial" w:cs="Arial"/>
          <w:lang w:val="es-MX"/>
        </w:rPr>
        <w:t xml:space="preserve"> </w:t>
      </w:r>
      <w:r>
        <w:rPr>
          <w:rFonts w:ascii="Arial" w:hAnsi="Arial" w:cs="Arial"/>
          <w:lang w:val="es-MX"/>
        </w:rPr>
        <w:t>En el capítulo 3</w:t>
      </w:r>
      <w:r w:rsidR="002D26C8">
        <w:rPr>
          <w:rFonts w:ascii="Arial" w:hAnsi="Arial" w:cs="Arial"/>
          <w:lang w:val="es-MX"/>
        </w:rPr>
        <w:t>,</w:t>
      </w:r>
      <w:r>
        <w:rPr>
          <w:rFonts w:ascii="Arial" w:hAnsi="Arial" w:cs="Arial"/>
          <w:lang w:val="es-MX"/>
        </w:rPr>
        <w:t xml:space="preserve"> se</w:t>
      </w:r>
      <w:r w:rsidRPr="00DD37EC">
        <w:rPr>
          <w:rFonts w:ascii="Arial" w:hAnsi="Arial" w:cs="Arial"/>
          <w:lang w:val="es-MX"/>
        </w:rPr>
        <w:t xml:space="preserve"> </w:t>
      </w:r>
      <w:r>
        <w:rPr>
          <w:rFonts w:ascii="Arial" w:hAnsi="Arial" w:cs="Arial"/>
          <w:lang w:val="es-MX"/>
        </w:rPr>
        <w:t>describe brevemente el sistema de salud hondureño, el</w:t>
      </w:r>
      <w:r w:rsidRPr="00DD37EC">
        <w:rPr>
          <w:rFonts w:ascii="Arial" w:hAnsi="Arial" w:cs="Arial"/>
          <w:lang w:val="es-MX"/>
        </w:rPr>
        <w:t xml:space="preserve"> perfil epidemiológico del país</w:t>
      </w:r>
      <w:r>
        <w:rPr>
          <w:rFonts w:ascii="Arial" w:hAnsi="Arial" w:cs="Arial"/>
          <w:lang w:val="es-MX"/>
        </w:rPr>
        <w:t xml:space="preserve"> y </w:t>
      </w:r>
      <w:r w:rsidRPr="00DD37EC">
        <w:rPr>
          <w:rFonts w:ascii="Arial" w:hAnsi="Arial" w:cs="Arial"/>
          <w:lang w:val="es-MX"/>
        </w:rPr>
        <w:t xml:space="preserve">la evolución de las epidemias de VIH y TB. </w:t>
      </w:r>
      <w:r w:rsidR="00C06E9A">
        <w:rPr>
          <w:rFonts w:ascii="Arial" w:hAnsi="Arial" w:cs="Arial"/>
          <w:lang w:val="es-MX"/>
        </w:rPr>
        <w:t>Los</w:t>
      </w:r>
      <w:r>
        <w:rPr>
          <w:rFonts w:ascii="Arial" w:hAnsi="Arial" w:cs="Arial"/>
          <w:lang w:val="es-MX"/>
        </w:rPr>
        <w:t xml:space="preserve"> capítulos 4</w:t>
      </w:r>
      <w:r w:rsidRPr="00DD37EC">
        <w:rPr>
          <w:rFonts w:ascii="Arial" w:hAnsi="Arial" w:cs="Arial"/>
          <w:lang w:val="es-MX"/>
        </w:rPr>
        <w:t xml:space="preserve"> y </w:t>
      </w:r>
      <w:r>
        <w:rPr>
          <w:rFonts w:ascii="Arial" w:hAnsi="Arial" w:cs="Arial"/>
          <w:lang w:val="es-MX"/>
        </w:rPr>
        <w:t>5</w:t>
      </w:r>
      <w:r w:rsidRPr="00DD37EC">
        <w:rPr>
          <w:rFonts w:ascii="Arial" w:hAnsi="Arial" w:cs="Arial"/>
          <w:lang w:val="es-MX"/>
        </w:rPr>
        <w:t xml:space="preserve"> describen a detalle las </w:t>
      </w:r>
      <w:r w:rsidR="002D26C8">
        <w:rPr>
          <w:rFonts w:ascii="Arial" w:hAnsi="Arial" w:cs="Arial"/>
          <w:lang w:val="es-MX"/>
        </w:rPr>
        <w:t>r</w:t>
      </w:r>
      <w:r w:rsidRPr="00DD37EC">
        <w:rPr>
          <w:rFonts w:ascii="Arial" w:hAnsi="Arial" w:cs="Arial"/>
          <w:lang w:val="es-MX"/>
        </w:rPr>
        <w:t xml:space="preserve">espuestas nacionales al VIH y TB, incluyendo tanto aspectos programáticos de la prevención, diagnóstico, y tratamiento, como los </w:t>
      </w:r>
      <w:r w:rsidR="00AD44E1">
        <w:rPr>
          <w:rFonts w:ascii="Arial" w:hAnsi="Arial" w:cs="Arial"/>
          <w:lang w:val="es-MX"/>
        </w:rPr>
        <w:t xml:space="preserve">aspectos </w:t>
      </w:r>
      <w:r w:rsidRPr="00DD37EC">
        <w:rPr>
          <w:rFonts w:ascii="Arial" w:hAnsi="Arial" w:cs="Arial"/>
          <w:lang w:val="es-MX"/>
        </w:rPr>
        <w:t xml:space="preserve">operativos más relevantes (adquisición de productos y gestión de suministros, recursos humanos y sistemas de información). En el capítulo </w:t>
      </w:r>
      <w:r>
        <w:rPr>
          <w:rFonts w:ascii="Arial" w:hAnsi="Arial" w:cs="Arial"/>
          <w:lang w:val="es-MX"/>
        </w:rPr>
        <w:t>6</w:t>
      </w:r>
      <w:r w:rsidR="002D26C8">
        <w:rPr>
          <w:rFonts w:ascii="Arial" w:hAnsi="Arial" w:cs="Arial"/>
          <w:lang w:val="es-MX"/>
        </w:rPr>
        <w:t>,</w:t>
      </w:r>
      <w:r w:rsidRPr="00DD37EC">
        <w:rPr>
          <w:rFonts w:ascii="Arial" w:hAnsi="Arial" w:cs="Arial"/>
          <w:lang w:val="es-MX"/>
        </w:rPr>
        <w:t xml:space="preserve"> se hace un análisis de los retos en el financiamiento de las </w:t>
      </w:r>
      <w:r w:rsidR="002D26C8">
        <w:rPr>
          <w:rFonts w:ascii="Arial" w:hAnsi="Arial" w:cs="Arial"/>
          <w:lang w:val="es-MX"/>
        </w:rPr>
        <w:t>r</w:t>
      </w:r>
      <w:r w:rsidRPr="00DD37EC">
        <w:rPr>
          <w:rFonts w:ascii="Arial" w:hAnsi="Arial" w:cs="Arial"/>
          <w:lang w:val="es-MX"/>
        </w:rPr>
        <w:t xml:space="preserve">espuestas </w:t>
      </w:r>
      <w:r w:rsidR="00AD44E1">
        <w:rPr>
          <w:rFonts w:ascii="Arial" w:hAnsi="Arial" w:cs="Arial"/>
          <w:lang w:val="es-MX"/>
        </w:rPr>
        <w:t>en un contexto de transición</w:t>
      </w:r>
      <w:r w:rsidRPr="00DD37EC">
        <w:rPr>
          <w:rFonts w:ascii="Arial" w:hAnsi="Arial" w:cs="Arial"/>
          <w:lang w:val="es-MX"/>
        </w:rPr>
        <w:t xml:space="preserve">. En el </w:t>
      </w:r>
      <w:r>
        <w:rPr>
          <w:rFonts w:ascii="Arial" w:hAnsi="Arial" w:cs="Arial"/>
          <w:lang w:val="es-MX"/>
        </w:rPr>
        <w:t>capítulo 7</w:t>
      </w:r>
      <w:r w:rsidRPr="00DD37EC">
        <w:rPr>
          <w:rFonts w:ascii="Arial" w:hAnsi="Arial" w:cs="Arial"/>
          <w:lang w:val="es-MX"/>
        </w:rPr>
        <w:t>,</w:t>
      </w:r>
      <w:r w:rsidRPr="004A5EB5">
        <w:rPr>
          <w:rFonts w:ascii="Arial" w:hAnsi="Arial" w:cs="Arial"/>
          <w:lang w:val="es-MX"/>
        </w:rPr>
        <w:t xml:space="preserve"> </w:t>
      </w:r>
      <w:r w:rsidRPr="00DD37EC">
        <w:rPr>
          <w:rFonts w:ascii="Arial" w:hAnsi="Arial" w:cs="Arial"/>
          <w:lang w:val="es-MX"/>
        </w:rPr>
        <w:t>se describe el entorno institucional, de derechos humanos y género,</w:t>
      </w:r>
      <w:r>
        <w:rPr>
          <w:rFonts w:ascii="Arial" w:hAnsi="Arial" w:cs="Arial"/>
          <w:lang w:val="es-MX"/>
        </w:rPr>
        <w:t xml:space="preserve"> mientras que en el capítulo 8</w:t>
      </w:r>
      <w:r w:rsidRPr="00DD37EC">
        <w:rPr>
          <w:rFonts w:ascii="Arial" w:hAnsi="Arial" w:cs="Arial"/>
          <w:lang w:val="es-MX"/>
        </w:rPr>
        <w:t xml:space="preserve"> se </w:t>
      </w:r>
      <w:r w:rsidR="00BB1D2A">
        <w:rPr>
          <w:rFonts w:ascii="Arial" w:hAnsi="Arial" w:cs="Arial"/>
          <w:lang w:val="es-MX"/>
        </w:rPr>
        <w:t>presenta</w:t>
      </w:r>
      <w:r w:rsidRPr="00DD37EC">
        <w:rPr>
          <w:rFonts w:ascii="Arial" w:hAnsi="Arial" w:cs="Arial"/>
          <w:lang w:val="es-MX"/>
        </w:rPr>
        <w:t xml:space="preserve"> un breve análisis del estatus actual y principales retos que</w:t>
      </w:r>
      <w:r>
        <w:rPr>
          <w:rFonts w:ascii="Arial" w:hAnsi="Arial" w:cs="Arial"/>
          <w:lang w:val="es-MX"/>
        </w:rPr>
        <w:t xml:space="preserve"> enfrentan </w:t>
      </w:r>
      <w:r w:rsidRPr="00DD37EC">
        <w:rPr>
          <w:rFonts w:ascii="Arial" w:hAnsi="Arial" w:cs="Arial"/>
          <w:lang w:val="es-MX"/>
        </w:rPr>
        <w:t>las organizaciones de la sociedad civil trabajando con poblaciones vulnerables y claves en Honduras.</w:t>
      </w:r>
      <w:r>
        <w:rPr>
          <w:rFonts w:ascii="Arial" w:hAnsi="Arial" w:cs="Arial"/>
          <w:lang w:val="es-MX"/>
        </w:rPr>
        <w:t xml:space="preserve"> En el capítulo 9, se describe un resumen de los riesgos políticos, institucionales y de gobernanza que enfrenta el país</w:t>
      </w:r>
      <w:r w:rsidR="00BB1D2A">
        <w:rPr>
          <w:rFonts w:ascii="Arial" w:hAnsi="Arial" w:cs="Arial"/>
          <w:lang w:val="es-MX"/>
        </w:rPr>
        <w:t xml:space="preserve"> y f</w:t>
      </w:r>
      <w:r w:rsidRPr="00DD37EC">
        <w:rPr>
          <w:rFonts w:ascii="Arial" w:hAnsi="Arial" w:cs="Arial"/>
          <w:lang w:val="es-MX"/>
        </w:rPr>
        <w:t xml:space="preserve">inalmente, en el capítulo </w:t>
      </w:r>
      <w:r>
        <w:rPr>
          <w:rFonts w:ascii="Arial" w:hAnsi="Arial" w:cs="Arial"/>
          <w:lang w:val="es-MX"/>
        </w:rPr>
        <w:t>10</w:t>
      </w:r>
      <w:r w:rsidRPr="00DD37EC">
        <w:rPr>
          <w:rFonts w:ascii="Arial" w:hAnsi="Arial" w:cs="Arial"/>
          <w:lang w:val="es-MX"/>
        </w:rPr>
        <w:t xml:space="preserve"> se presentan las principales conclusiones del documento y se detallan los siguientes pasos del proyecto.</w:t>
      </w:r>
      <w:r>
        <w:rPr>
          <w:rFonts w:ascii="Arial" w:hAnsi="Arial" w:cs="Arial"/>
          <w:lang w:val="es-MX"/>
        </w:rPr>
        <w:t xml:space="preserve"> Cada capítulo cierra </w:t>
      </w:r>
      <w:r w:rsidR="00C96054">
        <w:rPr>
          <w:rFonts w:ascii="Arial" w:hAnsi="Arial" w:cs="Arial"/>
          <w:lang w:val="es-MX"/>
        </w:rPr>
        <w:t>con un</w:t>
      </w:r>
      <w:r>
        <w:rPr>
          <w:rFonts w:ascii="Arial" w:hAnsi="Arial" w:cs="Arial"/>
          <w:lang w:val="es-MX"/>
        </w:rPr>
        <w:t xml:space="preserve"> cuadro resumen del riesgo clave priorizado dentro de dicha área, del cual se desprend</w:t>
      </w:r>
      <w:r w:rsidR="00A4632E">
        <w:rPr>
          <w:rFonts w:ascii="Arial" w:hAnsi="Arial" w:cs="Arial"/>
          <w:lang w:val="es-MX"/>
        </w:rPr>
        <w:t>e</w:t>
      </w:r>
      <w:r>
        <w:rPr>
          <w:rFonts w:ascii="Arial" w:hAnsi="Arial" w:cs="Arial"/>
          <w:lang w:val="es-MX"/>
        </w:rPr>
        <w:t xml:space="preserve">n acciones y actividades </w:t>
      </w:r>
      <w:r w:rsidR="00660A90">
        <w:rPr>
          <w:rFonts w:ascii="Arial" w:hAnsi="Arial" w:cs="Arial"/>
          <w:lang w:val="es-MX"/>
        </w:rPr>
        <w:t>incluidas</w:t>
      </w:r>
      <w:r>
        <w:rPr>
          <w:rFonts w:ascii="Arial" w:hAnsi="Arial" w:cs="Arial"/>
          <w:lang w:val="es-MX"/>
        </w:rPr>
        <w:t xml:space="preserve"> Plan</w:t>
      </w:r>
      <w:r w:rsidR="00660A90">
        <w:rPr>
          <w:rFonts w:ascii="Arial" w:hAnsi="Arial" w:cs="Arial"/>
          <w:lang w:val="es-MX"/>
        </w:rPr>
        <w:t xml:space="preserve"> de trabajo</w:t>
      </w:r>
      <w:r>
        <w:rPr>
          <w:rFonts w:ascii="Arial" w:hAnsi="Arial" w:cs="Arial"/>
          <w:lang w:val="es-MX"/>
        </w:rPr>
        <w:t xml:space="preserve"> detallado de Sostenibilidad.</w:t>
      </w:r>
      <w:r w:rsidR="006E42A8">
        <w:rPr>
          <w:rFonts w:ascii="Arial" w:hAnsi="Arial" w:cs="Arial"/>
          <w:lang w:val="es-MX"/>
        </w:rPr>
        <w:br w:type="page"/>
      </w:r>
    </w:p>
    <w:p w14:paraId="6C94D558" w14:textId="7A5C81E2" w:rsidR="00E91EF1" w:rsidRPr="00DD37EC" w:rsidRDefault="003939DB" w:rsidP="00B026C9">
      <w:pPr>
        <w:pStyle w:val="Heading1"/>
        <w:spacing w:before="0" w:after="240" w:line="240" w:lineRule="auto"/>
        <w:rPr>
          <w:rFonts w:ascii="Arial" w:hAnsi="Arial" w:cs="Arial"/>
          <w:sz w:val="22"/>
          <w:szCs w:val="22"/>
          <w:lang w:val="es-419"/>
        </w:rPr>
      </w:pPr>
      <w:bookmarkStart w:id="23" w:name="_Toc8905217"/>
      <w:r w:rsidRPr="00DD37EC">
        <w:rPr>
          <w:rFonts w:ascii="Arial" w:hAnsi="Arial" w:cs="Arial"/>
          <w:sz w:val="22"/>
          <w:szCs w:val="22"/>
          <w:lang w:val="es-419"/>
        </w:rPr>
        <w:lastRenderedPageBreak/>
        <w:t xml:space="preserve">3. </w:t>
      </w:r>
      <w:r w:rsidR="00B026C9">
        <w:rPr>
          <w:rFonts w:ascii="Arial" w:hAnsi="Arial" w:cs="Arial"/>
          <w:sz w:val="22"/>
          <w:szCs w:val="22"/>
          <w:lang w:val="es-419"/>
        </w:rPr>
        <w:t>Contexto del país</w:t>
      </w:r>
      <w:bookmarkEnd w:id="23"/>
    </w:p>
    <w:p w14:paraId="50BBFB4E" w14:textId="53D7B96B" w:rsidR="00A45A15" w:rsidRPr="00B026C9" w:rsidRDefault="00CF71A1" w:rsidP="0068285B">
      <w:pPr>
        <w:pStyle w:val="Heading2"/>
        <w:numPr>
          <w:ilvl w:val="1"/>
          <w:numId w:val="14"/>
        </w:numPr>
        <w:spacing w:before="0" w:after="240" w:line="240" w:lineRule="auto"/>
        <w:rPr>
          <w:rFonts w:ascii="Arial" w:hAnsi="Arial" w:cs="Arial"/>
          <w:sz w:val="22"/>
          <w:szCs w:val="22"/>
          <w:lang w:val="es-419"/>
        </w:rPr>
      </w:pPr>
      <w:bookmarkStart w:id="24" w:name="_Toc8905218"/>
      <w:r w:rsidRPr="00DD37EC">
        <w:rPr>
          <w:rFonts w:ascii="Arial" w:hAnsi="Arial" w:cs="Arial"/>
          <w:sz w:val="22"/>
          <w:szCs w:val="22"/>
          <w:lang w:val="es-419"/>
        </w:rPr>
        <w:t xml:space="preserve">Perfil </w:t>
      </w:r>
      <w:r w:rsidR="00B026C9">
        <w:rPr>
          <w:rFonts w:ascii="Arial" w:hAnsi="Arial" w:cs="Arial"/>
          <w:sz w:val="22"/>
          <w:szCs w:val="22"/>
          <w:lang w:val="es-419"/>
        </w:rPr>
        <w:t>epidemiológico y del sistema</w:t>
      </w:r>
      <w:r w:rsidRPr="00DD37EC">
        <w:rPr>
          <w:rFonts w:ascii="Arial" w:hAnsi="Arial" w:cs="Arial"/>
          <w:sz w:val="22"/>
          <w:szCs w:val="22"/>
          <w:lang w:val="es-419"/>
        </w:rPr>
        <w:t xml:space="preserve"> salud</w:t>
      </w:r>
      <w:r w:rsidR="00B55B4A">
        <w:rPr>
          <w:rFonts w:ascii="Arial" w:hAnsi="Arial" w:cs="Arial"/>
          <w:sz w:val="22"/>
          <w:szCs w:val="22"/>
          <w:lang w:val="es-419"/>
        </w:rPr>
        <w:t xml:space="preserve"> hondureño</w:t>
      </w:r>
      <w:bookmarkEnd w:id="24"/>
    </w:p>
    <w:p w14:paraId="7DE6217A" w14:textId="18B25B66" w:rsidR="005E572A" w:rsidRDefault="00C86106" w:rsidP="005E572A">
      <w:pPr>
        <w:spacing w:after="240" w:line="240" w:lineRule="auto"/>
        <w:jc w:val="both"/>
        <w:rPr>
          <w:rFonts w:ascii="Arial" w:hAnsi="Arial" w:cs="Arial"/>
          <w:lang w:val="es-DO"/>
        </w:rPr>
      </w:pPr>
      <w:r w:rsidRPr="00DD37EC">
        <w:rPr>
          <w:rFonts w:ascii="Arial" w:hAnsi="Arial" w:cs="Arial"/>
          <w:lang w:val="es-DO"/>
        </w:rPr>
        <w:t>Honduras es un país de desarrollo humano medio, ocupando la posición 131 entre 188 países</w:t>
      </w:r>
      <w:r w:rsidRPr="00DD37EC">
        <w:rPr>
          <w:rStyle w:val="FootnoteReference"/>
          <w:rFonts w:ascii="Arial" w:hAnsi="Arial" w:cs="Arial"/>
          <w:lang w:val="es-DO"/>
        </w:rPr>
        <w:footnoteReference w:id="8"/>
      </w:r>
      <w:r w:rsidRPr="00DD37EC">
        <w:rPr>
          <w:rFonts w:ascii="Arial" w:hAnsi="Arial" w:cs="Arial"/>
          <w:lang w:val="es-DO"/>
        </w:rPr>
        <w:t xml:space="preserve"> en el Índice de Desarrollo Humano. De acuerdo al Banco </w:t>
      </w:r>
      <w:r w:rsidR="00ED0591" w:rsidRPr="00DD37EC">
        <w:rPr>
          <w:rFonts w:ascii="Arial" w:hAnsi="Arial" w:cs="Arial"/>
          <w:lang w:val="es-DO"/>
        </w:rPr>
        <w:t>M</w:t>
      </w:r>
      <w:r w:rsidRPr="00DD37EC">
        <w:rPr>
          <w:rFonts w:ascii="Arial" w:hAnsi="Arial" w:cs="Arial"/>
          <w:lang w:val="es-DO"/>
        </w:rPr>
        <w:t>undial, es un país de ingreso medio-bajo que se enfrenta a desafíos significativo</w:t>
      </w:r>
      <w:r w:rsidR="00A063A9" w:rsidRPr="00DD37EC">
        <w:rPr>
          <w:rFonts w:ascii="Arial" w:hAnsi="Arial" w:cs="Arial"/>
          <w:lang w:val="es-DO"/>
        </w:rPr>
        <w:t xml:space="preserve">s, con </w:t>
      </w:r>
      <w:r w:rsidR="00A063A9" w:rsidRPr="00DD37EC">
        <w:rPr>
          <w:rFonts w:ascii="Arial" w:hAnsi="Arial" w:cs="Arial"/>
          <w:lang w:val="es-419"/>
        </w:rPr>
        <w:t xml:space="preserve">uno de los mayores niveles de pobreza e inequidad en Latinoamérica. En 2017, más del 64% de su población vivía en la pobreza, con aproximadamente dos de cada 5 hondureños viviendo en pobreza extrema (con menos de </w:t>
      </w:r>
      <w:r w:rsidR="002F3189">
        <w:rPr>
          <w:rFonts w:ascii="Arial" w:hAnsi="Arial" w:cs="Arial"/>
          <w:lang w:val="es-419"/>
        </w:rPr>
        <w:t>US</w:t>
      </w:r>
      <w:r w:rsidR="00A063A9" w:rsidRPr="00DD37EC">
        <w:rPr>
          <w:rFonts w:ascii="Arial" w:hAnsi="Arial" w:cs="Arial"/>
          <w:lang w:val="es-419"/>
        </w:rPr>
        <w:t xml:space="preserve">$1.9 diarios), siendo este porcentaje </w:t>
      </w:r>
      <w:r w:rsidR="00C40122" w:rsidRPr="00DD37EC">
        <w:rPr>
          <w:rFonts w:ascii="Arial" w:hAnsi="Arial" w:cs="Arial"/>
          <w:lang w:val="es-419"/>
        </w:rPr>
        <w:t>aún</w:t>
      </w:r>
      <w:r w:rsidR="00A063A9" w:rsidRPr="00DD37EC">
        <w:rPr>
          <w:rFonts w:ascii="Arial" w:hAnsi="Arial" w:cs="Arial"/>
          <w:lang w:val="es-419"/>
        </w:rPr>
        <w:t xml:space="preserve"> más severo en áreas rurales.</w:t>
      </w:r>
      <w:r w:rsidR="00A063A9" w:rsidRPr="00DD37EC">
        <w:rPr>
          <w:rStyle w:val="FootnoteReference"/>
          <w:rFonts w:ascii="Arial" w:hAnsi="Arial" w:cs="Arial"/>
          <w:lang w:val="es-419"/>
        </w:rPr>
        <w:footnoteReference w:id="9"/>
      </w:r>
      <w:r w:rsidR="00A063A9" w:rsidRPr="00DD37EC">
        <w:rPr>
          <w:rFonts w:ascii="Arial" w:hAnsi="Arial" w:cs="Arial"/>
          <w:lang w:val="es-419"/>
        </w:rPr>
        <w:t xml:space="preserve"> Al mismo tiempo la inequidad, medida por el Índice de GINI, es elevada, pero ha disminuido considerablemente en la última década pasando de 59.5 en 2005 a 50.0 en 2016.</w:t>
      </w:r>
      <w:r w:rsidR="00C40122" w:rsidRPr="00DD37EC">
        <w:rPr>
          <w:rFonts w:ascii="Arial" w:hAnsi="Arial" w:cs="Arial"/>
          <w:lang w:val="es-419"/>
        </w:rPr>
        <w:t xml:space="preserve"> </w:t>
      </w:r>
      <w:r w:rsidRPr="00DD37EC">
        <w:rPr>
          <w:rFonts w:ascii="Arial" w:hAnsi="Arial" w:cs="Arial"/>
          <w:lang w:val="es-DO"/>
        </w:rPr>
        <w:t>Su población se estima en 9.7 millones personas</w:t>
      </w:r>
      <w:r w:rsidRPr="00DD37EC">
        <w:rPr>
          <w:rStyle w:val="FootnoteReference"/>
          <w:rFonts w:ascii="Arial" w:hAnsi="Arial" w:cs="Arial"/>
          <w:lang w:val="es-DO"/>
        </w:rPr>
        <w:footnoteReference w:id="10"/>
      </w:r>
      <w:r w:rsidRPr="00DD37EC">
        <w:rPr>
          <w:rFonts w:ascii="Arial" w:hAnsi="Arial" w:cs="Arial"/>
          <w:lang w:val="es-DO"/>
        </w:rPr>
        <w:t>, misma que se caracteriza por ser joven, representada por adolescentes menores de 19 años (42.7%). El 8% de la población está constituido por minorías étnicas: afrodescendientes, miskitos, nahuas, pech, tawahkas, chortis, lencas, tolupanes, garífunas y creoles.</w:t>
      </w:r>
    </w:p>
    <w:p w14:paraId="7D5FC1AC" w14:textId="14042A2A" w:rsidR="00EF6703" w:rsidRPr="005E572A" w:rsidRDefault="00854E2D" w:rsidP="005E572A">
      <w:pPr>
        <w:spacing w:after="240" w:line="240" w:lineRule="auto"/>
        <w:jc w:val="both"/>
        <w:rPr>
          <w:rFonts w:ascii="Arial" w:hAnsi="Arial" w:cs="Arial"/>
          <w:lang w:val="es-DO"/>
        </w:rPr>
      </w:pPr>
      <w:r>
        <w:rPr>
          <w:rFonts w:ascii="Arial" w:hAnsi="Arial" w:cs="Arial"/>
          <w:lang w:val="es-DO"/>
        </w:rPr>
        <w:t>L</w:t>
      </w:r>
      <w:r w:rsidR="00812DF0">
        <w:rPr>
          <w:rFonts w:ascii="Arial" w:hAnsi="Arial" w:cs="Arial"/>
          <w:lang w:val="es-DO"/>
        </w:rPr>
        <w:t xml:space="preserve">as principales causas de muerte en Honduras reportadas a 2017 fueron enfermedades cardiovasculares, neoplasmas y autolesiones y violencia. Esto representa un cambio significativo en comparación con la década de los 90, en donde las </w:t>
      </w:r>
      <w:r w:rsidR="00E35A9F">
        <w:rPr>
          <w:rFonts w:ascii="Arial" w:hAnsi="Arial" w:cs="Arial"/>
          <w:lang w:val="es-DO"/>
        </w:rPr>
        <w:t>tres</w:t>
      </w:r>
      <w:r w:rsidR="00812DF0">
        <w:rPr>
          <w:rFonts w:ascii="Arial" w:hAnsi="Arial" w:cs="Arial"/>
          <w:lang w:val="es-DO"/>
        </w:rPr>
        <w:t xml:space="preserve"> principales causas de muerte eran enfermedades cardio vasculares, infecciones entéricas y muerte materna y neonatal. La TB logró disminuir del lugar </w:t>
      </w:r>
      <w:r w:rsidR="002F3189">
        <w:rPr>
          <w:rFonts w:ascii="Arial" w:hAnsi="Arial" w:cs="Arial"/>
          <w:lang w:val="es-DO"/>
        </w:rPr>
        <w:t xml:space="preserve">6 </w:t>
      </w:r>
      <w:r w:rsidR="00812DF0">
        <w:rPr>
          <w:rFonts w:ascii="Arial" w:hAnsi="Arial" w:cs="Arial"/>
          <w:lang w:val="es-DO"/>
        </w:rPr>
        <w:t>al 10, mientras que VIH únicamente descendió del 18</w:t>
      </w:r>
      <w:r w:rsidR="002F3189">
        <w:rPr>
          <w:rFonts w:ascii="Arial" w:hAnsi="Arial" w:cs="Arial"/>
          <w:lang w:val="es-DO"/>
        </w:rPr>
        <w:t xml:space="preserve"> </w:t>
      </w:r>
      <w:r w:rsidR="00812DF0">
        <w:rPr>
          <w:rFonts w:ascii="Arial" w:hAnsi="Arial" w:cs="Arial"/>
          <w:lang w:val="es-DO"/>
        </w:rPr>
        <w:t>al 19.</w:t>
      </w:r>
    </w:p>
    <w:p w14:paraId="7A820256" w14:textId="49FD2347" w:rsidR="00C40122" w:rsidRPr="00DD37EC" w:rsidRDefault="00C86106" w:rsidP="005E572A">
      <w:pPr>
        <w:spacing w:after="240" w:line="240" w:lineRule="auto"/>
        <w:jc w:val="both"/>
        <w:rPr>
          <w:rFonts w:ascii="Arial" w:hAnsi="Arial" w:cs="Arial"/>
          <w:lang w:val="es-DO"/>
        </w:rPr>
      </w:pPr>
      <w:r w:rsidRPr="00DD37EC">
        <w:rPr>
          <w:rFonts w:ascii="Arial" w:hAnsi="Arial" w:cs="Arial"/>
          <w:lang w:val="es-DO"/>
        </w:rPr>
        <w:t>El sector salud está constituido por dos subsectores. Un subsector público compuesto por la Secretaría de Salud (SESAL) a la cual le corresponde el rol rector, regulador y presta</w:t>
      </w:r>
      <w:r w:rsidR="00C40122" w:rsidRPr="00DD37EC">
        <w:rPr>
          <w:rFonts w:ascii="Arial" w:hAnsi="Arial" w:cs="Arial"/>
          <w:lang w:val="es-DO"/>
        </w:rPr>
        <w:t>dor</w:t>
      </w:r>
      <w:r w:rsidRPr="00DD37EC">
        <w:rPr>
          <w:rFonts w:ascii="Arial" w:hAnsi="Arial" w:cs="Arial"/>
          <w:lang w:val="es-DO"/>
        </w:rPr>
        <w:t xml:space="preserve"> de servicios de salud a toda la población hondureña y el Instituto Hondureño de Seguridad Social (IHSS) encargado de recaudar, administrar recursos fiscales y los provenientes de las cotizaciones obligatorias de trabajadores y empleadores y prestar servicios de salud a sus afiliados. La red de servicios de la SESAL cuenta con 1,635 establecimientos de diferentes niveles de atención, incluyendo: Hospitales Nacionales, Regionales y de área; a nivel de atención primaria posee 1,078 Centros de Salud Rural (CESAR), 436 Centros de Salud con Médico y Odontólogo (CESAMO) y 74 clínicas materno-infantiles. El IHSS cuenta con solo 2 hospitales y 7 clínicas</w:t>
      </w:r>
      <w:r w:rsidR="00ED0591" w:rsidRPr="00DD37EC">
        <w:rPr>
          <w:rFonts w:ascii="Arial" w:hAnsi="Arial" w:cs="Arial"/>
          <w:lang w:val="es-DO"/>
        </w:rPr>
        <w:t>.</w:t>
      </w:r>
      <w:r w:rsidRPr="00DD37EC">
        <w:rPr>
          <w:rStyle w:val="FootnoteReference"/>
          <w:rFonts w:ascii="Arial" w:hAnsi="Arial" w:cs="Arial"/>
          <w:lang w:val="es-DO"/>
        </w:rPr>
        <w:footnoteReference w:id="11"/>
      </w:r>
      <w:r w:rsidRPr="00DD37EC">
        <w:rPr>
          <w:rFonts w:ascii="Arial" w:hAnsi="Arial" w:cs="Arial"/>
          <w:lang w:val="es-DO"/>
        </w:rPr>
        <w:t xml:space="preserve"> </w:t>
      </w:r>
      <w:r w:rsidR="00C40122" w:rsidRPr="00DD37EC">
        <w:rPr>
          <w:rFonts w:ascii="Arial" w:hAnsi="Arial" w:cs="Arial"/>
          <w:lang w:val="es-DO"/>
        </w:rPr>
        <w:t>El</w:t>
      </w:r>
      <w:r w:rsidRPr="00DD37EC">
        <w:rPr>
          <w:rFonts w:ascii="Arial" w:hAnsi="Arial" w:cs="Arial"/>
          <w:lang w:val="es-DO"/>
        </w:rPr>
        <w:t xml:space="preserve"> subsector privado </w:t>
      </w:r>
      <w:r w:rsidR="00C40122" w:rsidRPr="00DD37EC">
        <w:rPr>
          <w:rFonts w:ascii="Arial" w:hAnsi="Arial" w:cs="Arial"/>
          <w:lang w:val="es-DO"/>
        </w:rPr>
        <w:t xml:space="preserve">está </w:t>
      </w:r>
      <w:r w:rsidRPr="00DD37EC">
        <w:rPr>
          <w:rFonts w:ascii="Arial" w:hAnsi="Arial" w:cs="Arial"/>
          <w:lang w:val="es-DO"/>
        </w:rPr>
        <w:t>conformado por instituciones con o sin fines de lucro</w:t>
      </w:r>
      <w:r w:rsidR="00ED0591" w:rsidRPr="00DD37EC">
        <w:rPr>
          <w:rFonts w:ascii="Arial" w:hAnsi="Arial" w:cs="Arial"/>
          <w:lang w:val="es-DO"/>
        </w:rPr>
        <w:t>.</w:t>
      </w:r>
      <w:r w:rsidRPr="00DD37EC">
        <w:rPr>
          <w:rStyle w:val="FootnoteReference"/>
          <w:rFonts w:ascii="Arial" w:hAnsi="Arial" w:cs="Arial"/>
          <w:lang w:val="es-DO"/>
        </w:rPr>
        <w:footnoteReference w:id="12"/>
      </w:r>
      <w:r w:rsidR="001B2F03" w:rsidRPr="00DD37EC">
        <w:rPr>
          <w:rFonts w:ascii="Arial" w:hAnsi="Arial" w:cs="Arial"/>
          <w:lang w:val="es-DO"/>
        </w:rPr>
        <w:t xml:space="preserve"> El sector privado cuenta con 1,131 establecimientos, dentro de los que se incluyen centros médicos, clínicas, laboratorios, farmacias y consultorios médicos.</w:t>
      </w:r>
    </w:p>
    <w:p w14:paraId="0D376D15" w14:textId="40AEFD73" w:rsidR="004448FD" w:rsidRDefault="00C86106" w:rsidP="00B04244">
      <w:pPr>
        <w:spacing w:after="240" w:line="240" w:lineRule="auto"/>
        <w:jc w:val="both"/>
        <w:rPr>
          <w:rFonts w:ascii="Arial" w:hAnsi="Arial" w:cs="Arial"/>
          <w:lang w:val="es-DO"/>
        </w:rPr>
      </w:pPr>
      <w:r w:rsidRPr="00DD37EC">
        <w:rPr>
          <w:rFonts w:ascii="Arial" w:hAnsi="Arial" w:cs="Arial"/>
          <w:lang w:val="es-DO"/>
        </w:rPr>
        <w:t>La SESAL presta servicios al 60% de la población, el IHSS asegura al 12% y el sector privado atiende a el 10%. En Honduras casi 9 de cada 10 personas no están cubiertas por ningún tipo de seguro de salud y se estima que el 18% por ciento de la población (más de 1.5 millones de hondureño) no tiene acceso a los servicios de salud</w:t>
      </w:r>
      <w:r w:rsidR="00ED0591" w:rsidRPr="00DD37EC">
        <w:rPr>
          <w:rFonts w:ascii="Arial" w:hAnsi="Arial" w:cs="Arial"/>
          <w:lang w:val="es-DO"/>
        </w:rPr>
        <w:t>.</w:t>
      </w:r>
      <w:r w:rsidRPr="00DD37EC">
        <w:rPr>
          <w:rStyle w:val="FootnoteReference"/>
          <w:rFonts w:ascii="Arial" w:hAnsi="Arial" w:cs="Arial"/>
          <w:lang w:val="es-DO"/>
        </w:rPr>
        <w:footnoteReference w:id="13"/>
      </w:r>
      <w:r w:rsidR="002C0B48" w:rsidRPr="00DD37EC">
        <w:rPr>
          <w:rFonts w:ascii="Arial" w:hAnsi="Arial" w:cs="Arial"/>
          <w:lang w:val="es-DO"/>
        </w:rPr>
        <w:t xml:space="preserve"> </w:t>
      </w:r>
      <w:r w:rsidRPr="00DD37EC">
        <w:rPr>
          <w:rFonts w:ascii="Arial" w:hAnsi="Arial" w:cs="Arial"/>
          <w:lang w:val="es-DO"/>
        </w:rPr>
        <w:t xml:space="preserve"> </w:t>
      </w:r>
      <w:r w:rsidR="00247B7A">
        <w:rPr>
          <w:rFonts w:ascii="Arial" w:hAnsi="Arial" w:cs="Arial"/>
          <w:lang w:val="es-DO"/>
        </w:rPr>
        <w:br w:type="page"/>
      </w:r>
    </w:p>
    <w:p w14:paraId="58CAEF98" w14:textId="0681A701" w:rsidR="002062CD" w:rsidRDefault="00094933" w:rsidP="005E572A">
      <w:pPr>
        <w:pStyle w:val="Heading1"/>
        <w:spacing w:before="0" w:after="240" w:line="240" w:lineRule="auto"/>
        <w:rPr>
          <w:rFonts w:ascii="Arial" w:hAnsi="Arial" w:cs="Arial"/>
          <w:bCs/>
          <w:iCs/>
          <w:sz w:val="22"/>
          <w:szCs w:val="22"/>
          <w:lang w:val="es-419"/>
        </w:rPr>
      </w:pPr>
      <w:bookmarkStart w:id="25" w:name="_Toc8905219"/>
      <w:r>
        <w:rPr>
          <w:rFonts w:ascii="Arial" w:hAnsi="Arial" w:cs="Arial"/>
          <w:sz w:val="22"/>
          <w:szCs w:val="22"/>
          <w:lang w:val="es-419"/>
        </w:rPr>
        <w:lastRenderedPageBreak/>
        <w:t>4</w:t>
      </w:r>
      <w:r w:rsidR="007C22A1" w:rsidRPr="00DD37EC">
        <w:rPr>
          <w:rFonts w:ascii="Arial" w:hAnsi="Arial" w:cs="Arial"/>
          <w:sz w:val="22"/>
          <w:szCs w:val="22"/>
          <w:lang w:val="es-419"/>
        </w:rPr>
        <w:t xml:space="preserve">. </w:t>
      </w:r>
      <w:r w:rsidR="007C22A1" w:rsidRPr="00DD37EC">
        <w:rPr>
          <w:rFonts w:ascii="Arial" w:hAnsi="Arial" w:cs="Arial"/>
          <w:bCs/>
          <w:iCs/>
          <w:sz w:val="22"/>
          <w:szCs w:val="22"/>
          <w:lang w:val="es-419"/>
        </w:rPr>
        <w:t>Respuesta del País a la Epidemia de VIH</w:t>
      </w:r>
      <w:bookmarkEnd w:id="25"/>
    </w:p>
    <w:p w14:paraId="4581F7B8" w14:textId="4DF1FB2D" w:rsidR="003A324D" w:rsidRPr="004328EB" w:rsidRDefault="003A324D" w:rsidP="0068285B">
      <w:pPr>
        <w:pStyle w:val="Heading2"/>
        <w:numPr>
          <w:ilvl w:val="1"/>
          <w:numId w:val="15"/>
        </w:numPr>
        <w:spacing w:before="0" w:after="240" w:line="240" w:lineRule="auto"/>
        <w:rPr>
          <w:rFonts w:ascii="Arial" w:hAnsi="Arial" w:cs="Arial"/>
          <w:sz w:val="22"/>
          <w:szCs w:val="22"/>
          <w:lang w:val="es-419"/>
        </w:rPr>
      </w:pPr>
      <w:bookmarkStart w:id="26" w:name="_Toc8905220"/>
      <w:r w:rsidRPr="00DD37EC">
        <w:rPr>
          <w:rFonts w:ascii="Arial" w:hAnsi="Arial" w:cs="Arial"/>
          <w:sz w:val="22"/>
          <w:szCs w:val="22"/>
          <w:lang w:val="es-419"/>
        </w:rPr>
        <w:t xml:space="preserve">Contexto general de la Respuesta </w:t>
      </w:r>
      <w:r w:rsidR="00D12ACA" w:rsidRPr="00DD37EC">
        <w:rPr>
          <w:rFonts w:ascii="Arial" w:hAnsi="Arial" w:cs="Arial"/>
          <w:sz w:val="22"/>
          <w:szCs w:val="22"/>
          <w:lang w:val="es-419"/>
        </w:rPr>
        <w:t>Nacional al VIH</w:t>
      </w:r>
      <w:bookmarkEnd w:id="26"/>
      <w:r w:rsidR="00D12ACA" w:rsidRPr="00DD37EC">
        <w:rPr>
          <w:rFonts w:ascii="Arial" w:hAnsi="Arial" w:cs="Arial"/>
          <w:sz w:val="22"/>
          <w:szCs w:val="22"/>
          <w:lang w:val="es-419"/>
        </w:rPr>
        <w:t xml:space="preserve"> </w:t>
      </w:r>
    </w:p>
    <w:p w14:paraId="4F543AA4" w14:textId="77777777" w:rsidR="00C75747" w:rsidRDefault="003A324D" w:rsidP="003A324D">
      <w:pPr>
        <w:spacing w:after="240" w:line="240" w:lineRule="auto"/>
        <w:jc w:val="both"/>
        <w:rPr>
          <w:rFonts w:ascii="Arial" w:hAnsi="Arial" w:cs="Arial"/>
          <w:lang w:val="es-DO"/>
        </w:rPr>
      </w:pPr>
      <w:r w:rsidRPr="00DD37EC">
        <w:rPr>
          <w:rFonts w:ascii="Arial" w:hAnsi="Arial" w:cs="Arial"/>
          <w:lang w:val="es-DO"/>
        </w:rPr>
        <w:t>La Organización Mundial de la Salud (OMS) y el Programa Conjunto de las Naciones Unidas sobre el VIH/SIDA (ONUSIDA) para dar cumplimiento a la Declaración Política del año 2016,</w:t>
      </w:r>
      <w:r w:rsidRPr="00DD37EC">
        <w:rPr>
          <w:rStyle w:val="FootnoteReference"/>
          <w:rFonts w:ascii="Arial" w:hAnsi="Arial" w:cs="Arial"/>
          <w:lang w:val="es-DO"/>
        </w:rPr>
        <w:footnoteReference w:id="14"/>
      </w:r>
      <w:r w:rsidRPr="00DD37EC">
        <w:rPr>
          <w:rFonts w:ascii="Arial" w:hAnsi="Arial" w:cs="Arial"/>
          <w:lang w:val="es-DO"/>
        </w:rPr>
        <w:t xml:space="preserve"> han establecido metas mundiales del 90-90-90 desde un enfoque de la estrategia “Tratamiento para Todos”, con el propósito que en el 2020 el 90% de las personas que viven con el VIH conozcan su estado serológico; el 90% de las personas diagnosticadas con el VIH reciban terapia antirretroviral (ARV) continuada; y el 90% de las personas que reciben terapia ARV tengan supresión viral.</w:t>
      </w:r>
      <w:r w:rsidR="00146238">
        <w:rPr>
          <w:rFonts w:ascii="Arial" w:hAnsi="Arial" w:cs="Arial"/>
          <w:lang w:val="es-DO"/>
        </w:rPr>
        <w:t xml:space="preserve"> </w:t>
      </w:r>
      <w:r w:rsidR="00146238" w:rsidRPr="00DD37EC">
        <w:rPr>
          <w:rFonts w:ascii="Arial" w:hAnsi="Arial" w:cs="Arial"/>
          <w:lang w:val="es-DO"/>
        </w:rPr>
        <w:t xml:space="preserve">El Plan Estratégico Nacional de Respuesta al VIH y al SIDA 2015-2019 (PENSIDA IV) </w:t>
      </w:r>
      <w:r w:rsidR="00146238">
        <w:rPr>
          <w:rFonts w:ascii="Arial" w:hAnsi="Arial" w:cs="Arial"/>
          <w:lang w:val="es-DO"/>
        </w:rPr>
        <w:t>que incluye componentes</w:t>
      </w:r>
      <w:r w:rsidR="00146238" w:rsidRPr="00DD37EC">
        <w:rPr>
          <w:rFonts w:ascii="Arial" w:hAnsi="Arial" w:cs="Arial"/>
          <w:lang w:val="es-DO"/>
        </w:rPr>
        <w:t xml:space="preserve"> clave sobre prevención; la atención, tratamiento y apoyo de las personas con VIH; y vigilancia epidemiológica</w:t>
      </w:r>
      <w:r w:rsidR="00146238">
        <w:rPr>
          <w:rFonts w:ascii="Arial" w:hAnsi="Arial" w:cs="Arial"/>
          <w:lang w:val="es-DO"/>
        </w:rPr>
        <w:t>, reconoce las metas 90-90-90 en Honduras.</w:t>
      </w:r>
      <w:r w:rsidR="00C75747">
        <w:rPr>
          <w:rFonts w:ascii="Arial" w:hAnsi="Arial" w:cs="Arial"/>
          <w:lang w:val="es-DO"/>
        </w:rPr>
        <w:t xml:space="preserve"> </w:t>
      </w:r>
    </w:p>
    <w:p w14:paraId="26092AFB" w14:textId="5679FE80" w:rsidR="003A324D" w:rsidRPr="00C75747" w:rsidRDefault="00854074" w:rsidP="003A324D">
      <w:pPr>
        <w:spacing w:after="240" w:line="240" w:lineRule="auto"/>
        <w:jc w:val="both"/>
        <w:rPr>
          <w:rFonts w:ascii="Arial" w:hAnsi="Arial" w:cs="Arial"/>
          <w:lang w:val="es-DO"/>
        </w:rPr>
      </w:pPr>
      <w:r>
        <w:rPr>
          <w:rFonts w:ascii="Arial" w:hAnsi="Arial" w:cs="Arial"/>
          <w:lang w:val="es-DO"/>
        </w:rPr>
        <w:t>A nivel regional existen dos instancias en la lucha contra el VIH</w:t>
      </w:r>
      <w:r w:rsidR="00C75747">
        <w:rPr>
          <w:rFonts w:ascii="Arial" w:hAnsi="Arial" w:cs="Arial"/>
          <w:lang w:val="es-DO"/>
        </w:rPr>
        <w:t xml:space="preserve">: </w:t>
      </w:r>
      <w:r>
        <w:rPr>
          <w:rFonts w:ascii="Arial" w:hAnsi="Arial" w:cs="Arial"/>
          <w:lang w:val="es-DO"/>
        </w:rPr>
        <w:t>el Grupo de Cooperaci</w:t>
      </w:r>
      <w:r>
        <w:rPr>
          <w:rFonts w:ascii="Arial" w:hAnsi="Arial" w:cs="Arial"/>
          <w:lang w:val="es-MX"/>
        </w:rPr>
        <w:t>ón Técnica Horizontal (GCTH) que busca fortalecer las respuestas nacionales y regionales al VIH y otras ITS a través de la cooperación técnica y concertación política</w:t>
      </w:r>
      <w:r w:rsidR="00C75747">
        <w:rPr>
          <w:rFonts w:ascii="Arial" w:hAnsi="Arial" w:cs="Arial"/>
          <w:lang w:val="es-MX"/>
        </w:rPr>
        <w:t>; y el Consejo de Ministros de Salud de Centroamérica y República Dominicana (COMISCA), el cual cuenta con una Estrategia de Sostenibilidad 2016-2021</w:t>
      </w:r>
      <w:r w:rsidR="002C5E67">
        <w:rPr>
          <w:rFonts w:ascii="Arial" w:hAnsi="Arial" w:cs="Arial"/>
          <w:lang w:val="es-MX"/>
        </w:rPr>
        <w:t xml:space="preserve"> con </w:t>
      </w:r>
      <w:r w:rsidR="004E2F6B">
        <w:rPr>
          <w:rFonts w:ascii="Arial" w:hAnsi="Arial" w:cs="Arial"/>
          <w:lang w:val="es-MX"/>
        </w:rPr>
        <w:t>cuyos objetivos</w:t>
      </w:r>
      <w:r w:rsidR="002C5E67">
        <w:rPr>
          <w:rFonts w:ascii="Arial" w:hAnsi="Arial" w:cs="Arial"/>
          <w:lang w:val="es-MX"/>
        </w:rPr>
        <w:t xml:space="preserve"> se encuentra alineado el Plan de Sostenibilidad</w:t>
      </w:r>
      <w:r w:rsidR="00142733">
        <w:rPr>
          <w:rFonts w:ascii="Arial" w:hAnsi="Arial" w:cs="Arial"/>
          <w:lang w:val="es-MX"/>
        </w:rPr>
        <w:t>.</w:t>
      </w:r>
    </w:p>
    <w:p w14:paraId="48C2B08E" w14:textId="32CA5503" w:rsidR="003A324D" w:rsidRPr="00DD37EC" w:rsidRDefault="003A324D" w:rsidP="003A324D">
      <w:pPr>
        <w:spacing w:after="240" w:line="240" w:lineRule="auto"/>
        <w:jc w:val="both"/>
        <w:rPr>
          <w:rFonts w:ascii="Arial" w:hAnsi="Arial" w:cs="Arial"/>
          <w:lang w:val="es-DO"/>
        </w:rPr>
      </w:pPr>
      <w:r w:rsidRPr="00DD37EC">
        <w:rPr>
          <w:rFonts w:ascii="Arial" w:hAnsi="Arial" w:cs="Arial"/>
          <w:lang w:val="es-DO"/>
        </w:rPr>
        <w:t xml:space="preserve">La Comisión Nacional del </w:t>
      </w:r>
      <w:r w:rsidR="00866CDB">
        <w:rPr>
          <w:rFonts w:ascii="Arial" w:hAnsi="Arial" w:cs="Arial"/>
          <w:lang w:val="es-DO"/>
        </w:rPr>
        <w:t>SIDA</w:t>
      </w:r>
      <w:r w:rsidR="00866CDB" w:rsidRPr="00DD37EC">
        <w:rPr>
          <w:rFonts w:ascii="Arial" w:hAnsi="Arial" w:cs="Arial"/>
          <w:lang w:val="es-DO"/>
        </w:rPr>
        <w:t xml:space="preserve"> </w:t>
      </w:r>
      <w:r w:rsidRPr="00DD37EC">
        <w:rPr>
          <w:rFonts w:ascii="Arial" w:hAnsi="Arial" w:cs="Arial"/>
          <w:lang w:val="es-DO"/>
        </w:rPr>
        <w:t>(CONASIDA) es el órgano superior de coordinación intersectorial y de definición de políticas relacionadas con el VIH y la SESAL en su rol rector del sistema de salud ocupa la presidencia del CONASIDA.  La respuesta nacional involucra a los diferentes sectores y actores sociales: organizaciones de la sociedad civil</w:t>
      </w:r>
      <w:r w:rsidR="00146238">
        <w:rPr>
          <w:rFonts w:ascii="Arial" w:hAnsi="Arial" w:cs="Arial"/>
          <w:lang w:val="es-DO"/>
        </w:rPr>
        <w:t xml:space="preserve"> (OSC)</w:t>
      </w:r>
      <w:r w:rsidRPr="00DD37EC">
        <w:rPr>
          <w:rFonts w:ascii="Arial" w:hAnsi="Arial" w:cs="Arial"/>
          <w:lang w:val="es-DO"/>
        </w:rPr>
        <w:t xml:space="preserve">, organizaciones de poblaciones clave, Asociación Nacional de Personas que Viven con VIH/SIDA, agencias de cooperación como Fondo Mundial </w:t>
      </w:r>
      <w:r w:rsidR="00097EF0">
        <w:rPr>
          <w:rFonts w:ascii="Arial" w:hAnsi="Arial" w:cs="Arial"/>
          <w:lang w:val="es-DO"/>
        </w:rPr>
        <w:t xml:space="preserve">para la Lucha contra el VIH, la Tuberculosis y la Malaria </w:t>
      </w:r>
      <w:r w:rsidRPr="00DD37EC">
        <w:rPr>
          <w:rFonts w:ascii="Arial" w:hAnsi="Arial" w:cs="Arial"/>
          <w:lang w:val="es-DO"/>
        </w:rPr>
        <w:t xml:space="preserve">(FM), la Agencia de los Estados Unidos para Desarrollo Internacional (USAID por sus siglas en inglés), Centros de Control y Prevención de Enfermedades (CDC) y ONUSIDA. </w:t>
      </w:r>
    </w:p>
    <w:p w14:paraId="6FFC1B76" w14:textId="77777777" w:rsidR="003A324D" w:rsidRPr="004328EB" w:rsidRDefault="003A324D" w:rsidP="0068285B">
      <w:pPr>
        <w:pStyle w:val="Heading2"/>
        <w:numPr>
          <w:ilvl w:val="1"/>
          <w:numId w:val="15"/>
        </w:numPr>
        <w:spacing w:before="0" w:after="240" w:line="240" w:lineRule="auto"/>
        <w:rPr>
          <w:rFonts w:ascii="Arial" w:hAnsi="Arial" w:cs="Arial"/>
          <w:sz w:val="22"/>
          <w:szCs w:val="22"/>
          <w:lang w:val="es-419"/>
        </w:rPr>
      </w:pPr>
      <w:bookmarkStart w:id="27" w:name="_Toc8905221"/>
      <w:r w:rsidRPr="00DD37EC">
        <w:rPr>
          <w:rFonts w:ascii="Arial" w:hAnsi="Arial" w:cs="Arial"/>
          <w:sz w:val="22"/>
          <w:szCs w:val="22"/>
          <w:lang w:val="es-419"/>
        </w:rPr>
        <w:t>Situación epidemiológica – Carga de enfermedad del VIH</w:t>
      </w:r>
      <w:bookmarkEnd w:id="27"/>
      <w:r w:rsidRPr="00DD37EC">
        <w:rPr>
          <w:rFonts w:ascii="Arial" w:hAnsi="Arial" w:cs="Arial"/>
          <w:sz w:val="22"/>
          <w:szCs w:val="22"/>
          <w:lang w:val="es-419"/>
        </w:rPr>
        <w:t xml:space="preserve"> </w:t>
      </w:r>
    </w:p>
    <w:p w14:paraId="6E5F967F" w14:textId="77777777" w:rsidR="00543175" w:rsidRPr="00543175" w:rsidRDefault="00543175" w:rsidP="00543175">
      <w:pPr>
        <w:spacing w:after="240" w:line="240" w:lineRule="auto"/>
        <w:jc w:val="both"/>
        <w:rPr>
          <w:rFonts w:ascii="Arial" w:hAnsi="Arial" w:cs="Arial"/>
          <w:lang w:val="es-DO"/>
        </w:rPr>
      </w:pPr>
      <w:r w:rsidRPr="00543175">
        <w:rPr>
          <w:rFonts w:ascii="Arial" w:hAnsi="Arial" w:cs="Arial"/>
          <w:lang w:val="es-DO"/>
        </w:rPr>
        <w:t xml:space="preserve">Según estimaciones y proyecciones del VIH realizadas por la Secretaria de Salud de Honduras (SESAL) con apoyo del El Programa Conjunto de las Naciones Unidas sobre el VIH/sida (ONUSIDA), mediante la metodología Spectrum V 5.63, para el cierre del 2017, se estimaron 22,110 (17,480-26,670) personas con VIH (13,508 hombres y 8,602 mujeres), de 879 nuevas infecciones y 1,034 muertes a causa del sida. </w:t>
      </w:r>
    </w:p>
    <w:p w14:paraId="34DDD096" w14:textId="7B4ABBBA" w:rsidR="00543175" w:rsidRDefault="00543175" w:rsidP="00543175">
      <w:pPr>
        <w:spacing w:after="240" w:line="240" w:lineRule="auto"/>
        <w:jc w:val="both"/>
        <w:rPr>
          <w:rFonts w:ascii="Arial" w:hAnsi="Arial" w:cs="Arial"/>
          <w:lang w:val="es-DO"/>
        </w:rPr>
      </w:pPr>
      <w:r w:rsidRPr="00543175">
        <w:rPr>
          <w:rFonts w:ascii="Arial" w:hAnsi="Arial" w:cs="Arial"/>
          <w:lang w:val="es-DO"/>
        </w:rPr>
        <w:t>La prevalencia estimada de VIH en la población adulta (15-49 años), fue de 0.35% (0.26-0.42), mientras que las tasas de incidencia de nuevos casos fueron de 0.2 (0.1-0.2) por cada mil habitantes. La tasa estimada de mortalidad fue de 0.72 (0.47-1.03) por cada 100,000 habitantes.</w:t>
      </w:r>
      <w:r w:rsidR="00B44C74">
        <w:rPr>
          <w:rStyle w:val="FootnoteReference"/>
          <w:rFonts w:ascii="Arial" w:hAnsi="Arial" w:cs="Arial"/>
          <w:lang w:val="es-DO"/>
        </w:rPr>
        <w:footnoteReference w:id="15"/>
      </w:r>
      <w:r w:rsidRPr="00543175">
        <w:rPr>
          <w:rFonts w:ascii="Arial" w:hAnsi="Arial" w:cs="Arial"/>
          <w:lang w:val="es-DO"/>
        </w:rPr>
        <w:t xml:space="preserve"> </w:t>
      </w:r>
    </w:p>
    <w:p w14:paraId="3AF5805E" w14:textId="77777777" w:rsidR="004D54F9" w:rsidRDefault="004D54F9" w:rsidP="00097EF0">
      <w:pPr>
        <w:pStyle w:val="TableParagraph"/>
        <w:spacing w:after="240"/>
        <w:rPr>
          <w:rFonts w:eastAsiaTheme="minorHAnsi"/>
          <w:lang w:val="es-DO" w:eastAsia="en-US" w:bidi="ar-SA"/>
        </w:rPr>
      </w:pPr>
      <w:bookmarkStart w:id="28" w:name="_Hlk535425822"/>
      <w:r w:rsidRPr="004D54F9">
        <w:rPr>
          <w:rFonts w:eastAsiaTheme="minorHAnsi"/>
          <w:lang w:val="es-DO" w:eastAsia="en-US" w:bidi="ar-SA"/>
        </w:rPr>
        <w:t xml:space="preserve">Los resultados de la Encuesta Centroamericana de Vigilancia del Comportamiento Sexual y Prevalencia del VIH e ITS en poblaciones vulnerables (ECVC) en 2012 revelan que la epidemia sigue concentrada en ciertos grupos de la población: hombres que tienen sexo con hombres (HSH); mujeres transgénero (TRANS); mujeres trabajadoras sexuales (MTS); y población garífuna (ver Tabla </w:t>
      </w:r>
      <w:r w:rsidRPr="004D54F9">
        <w:rPr>
          <w:rFonts w:eastAsiaTheme="minorHAnsi"/>
          <w:lang w:val="es-DO" w:eastAsia="en-US" w:bidi="ar-SA"/>
        </w:rPr>
        <w:lastRenderedPageBreak/>
        <w:t>1). El patrón más común de transmisión de la epidemia de VIH es el de la vía sexual. Geográficamente la epidemia está concentrada en la Costa Atlántica y el Valle de Sula; las tasas más altas se encuentran en los departamentos de Islas de la Bahía, Atlántida y Cortés.</w:t>
      </w:r>
    </w:p>
    <w:p w14:paraId="19DF25EB" w14:textId="5D03E525" w:rsidR="00E00BC4" w:rsidRPr="00E00BC4" w:rsidRDefault="00E00BC4" w:rsidP="00E00BC4">
      <w:pPr>
        <w:pStyle w:val="Caption"/>
        <w:rPr>
          <w:rFonts w:ascii="Arial" w:hAnsi="Arial" w:cs="Arial"/>
          <w:b w:val="0"/>
          <w:color w:val="auto"/>
          <w:sz w:val="22"/>
          <w:lang w:val="es-DO"/>
        </w:rPr>
      </w:pPr>
      <w:bookmarkStart w:id="29" w:name="_Toc8904503"/>
      <w:r w:rsidRPr="00E00BC4">
        <w:rPr>
          <w:rFonts w:ascii="Arial" w:hAnsi="Arial" w:cs="Arial"/>
          <w:color w:val="auto"/>
          <w:sz w:val="22"/>
        </w:rPr>
        <w:t xml:space="preserve">Tabla </w:t>
      </w:r>
      <w:r w:rsidRPr="00E00BC4">
        <w:rPr>
          <w:rFonts w:ascii="Arial" w:hAnsi="Arial" w:cs="Arial"/>
          <w:color w:val="auto"/>
          <w:sz w:val="22"/>
        </w:rPr>
        <w:fldChar w:fldCharType="begin"/>
      </w:r>
      <w:r w:rsidRPr="00E00BC4">
        <w:rPr>
          <w:rFonts w:ascii="Arial" w:hAnsi="Arial" w:cs="Arial"/>
          <w:color w:val="auto"/>
          <w:sz w:val="22"/>
        </w:rPr>
        <w:instrText xml:space="preserve"> SEQ Tabla \* ARABIC </w:instrText>
      </w:r>
      <w:r w:rsidRPr="00E00BC4">
        <w:rPr>
          <w:rFonts w:ascii="Arial" w:hAnsi="Arial" w:cs="Arial"/>
          <w:color w:val="auto"/>
          <w:sz w:val="22"/>
        </w:rPr>
        <w:fldChar w:fldCharType="separate"/>
      </w:r>
      <w:r w:rsidR="00D447AE">
        <w:rPr>
          <w:rFonts w:ascii="Arial" w:hAnsi="Arial" w:cs="Arial"/>
          <w:noProof/>
          <w:color w:val="auto"/>
          <w:sz w:val="22"/>
        </w:rPr>
        <w:t>1</w:t>
      </w:r>
      <w:r w:rsidRPr="00E00BC4">
        <w:rPr>
          <w:rFonts w:ascii="Arial" w:hAnsi="Arial" w:cs="Arial"/>
          <w:color w:val="auto"/>
          <w:sz w:val="22"/>
        </w:rPr>
        <w:fldChar w:fldCharType="end"/>
      </w:r>
      <w:r w:rsidRPr="00E00BC4">
        <w:rPr>
          <w:rFonts w:ascii="Arial" w:hAnsi="Arial" w:cs="Arial"/>
          <w:color w:val="auto"/>
          <w:sz w:val="22"/>
        </w:rPr>
        <w:t>. Prevalencias en grupos clave</w:t>
      </w:r>
      <w:bookmarkEnd w:id="29"/>
    </w:p>
    <w:tbl>
      <w:tblPr>
        <w:tblStyle w:val="TableGrid"/>
        <w:tblW w:w="0" w:type="auto"/>
        <w:tblLook w:val="04A0" w:firstRow="1" w:lastRow="0" w:firstColumn="1" w:lastColumn="0" w:noHBand="0" w:noVBand="1"/>
      </w:tblPr>
      <w:tblGrid>
        <w:gridCol w:w="3505"/>
        <w:gridCol w:w="1500"/>
        <w:gridCol w:w="1890"/>
        <w:gridCol w:w="1170"/>
        <w:gridCol w:w="1440"/>
      </w:tblGrid>
      <w:tr w:rsidR="004D54F9" w:rsidRPr="007F1857" w14:paraId="416D902E" w14:textId="77777777" w:rsidTr="005419A3">
        <w:trPr>
          <w:trHeight w:hRule="exact" w:val="360"/>
        </w:trPr>
        <w:tc>
          <w:tcPr>
            <w:tcW w:w="3505" w:type="dxa"/>
            <w:shd w:val="clear" w:color="auto" w:fill="1F4E79" w:themeFill="accent5" w:themeFillShade="80"/>
          </w:tcPr>
          <w:p w14:paraId="41F095F5" w14:textId="77777777" w:rsidR="004D54F9" w:rsidRPr="005419A3" w:rsidRDefault="004D54F9" w:rsidP="005E142F">
            <w:pPr>
              <w:spacing w:after="240"/>
              <w:rPr>
                <w:rFonts w:ascii="Arial" w:hAnsi="Arial" w:cs="Arial"/>
                <w:b/>
                <w:color w:val="FFFFFF" w:themeColor="background1"/>
                <w:lang w:val="es-DO"/>
              </w:rPr>
            </w:pPr>
            <w:r w:rsidRPr="005419A3">
              <w:rPr>
                <w:rFonts w:ascii="Arial" w:hAnsi="Arial" w:cs="Arial"/>
                <w:b/>
                <w:color w:val="FFFFFF" w:themeColor="background1"/>
                <w:lang w:val="es-DO"/>
              </w:rPr>
              <w:t>Población</w:t>
            </w:r>
          </w:p>
        </w:tc>
        <w:tc>
          <w:tcPr>
            <w:tcW w:w="1440" w:type="dxa"/>
            <w:shd w:val="clear" w:color="auto" w:fill="1F4E79" w:themeFill="accent5" w:themeFillShade="80"/>
          </w:tcPr>
          <w:p w14:paraId="45B5A854" w14:textId="77777777" w:rsidR="004D54F9" w:rsidRPr="005419A3" w:rsidRDefault="004D54F9" w:rsidP="005E142F">
            <w:pPr>
              <w:spacing w:after="240"/>
              <w:rPr>
                <w:rFonts w:ascii="Arial" w:hAnsi="Arial" w:cs="Arial"/>
                <w:b/>
                <w:color w:val="FFFFFF" w:themeColor="background1"/>
                <w:lang w:val="es-DO"/>
              </w:rPr>
            </w:pPr>
            <w:r w:rsidRPr="005419A3">
              <w:rPr>
                <w:rFonts w:ascii="Arial" w:hAnsi="Arial" w:cs="Arial"/>
                <w:b/>
                <w:color w:val="FFFFFF" w:themeColor="background1"/>
                <w:lang w:val="es-DO"/>
              </w:rPr>
              <w:t>Tegucigalpa</w:t>
            </w:r>
          </w:p>
        </w:tc>
        <w:tc>
          <w:tcPr>
            <w:tcW w:w="1890" w:type="dxa"/>
            <w:shd w:val="clear" w:color="auto" w:fill="1F4E79" w:themeFill="accent5" w:themeFillShade="80"/>
          </w:tcPr>
          <w:p w14:paraId="65076D90" w14:textId="77777777" w:rsidR="004D54F9" w:rsidRPr="005419A3" w:rsidRDefault="004D54F9" w:rsidP="005E142F">
            <w:pPr>
              <w:spacing w:after="240"/>
              <w:rPr>
                <w:rFonts w:ascii="Arial" w:hAnsi="Arial" w:cs="Arial"/>
                <w:b/>
                <w:color w:val="FFFFFF" w:themeColor="background1"/>
                <w:lang w:val="es-DO"/>
              </w:rPr>
            </w:pPr>
            <w:r w:rsidRPr="005419A3">
              <w:rPr>
                <w:rFonts w:ascii="Arial" w:hAnsi="Arial" w:cs="Arial"/>
                <w:b/>
                <w:color w:val="FFFFFF" w:themeColor="background1"/>
                <w:lang w:val="es-DO"/>
              </w:rPr>
              <w:t>San Pedro Sula</w:t>
            </w:r>
          </w:p>
        </w:tc>
        <w:tc>
          <w:tcPr>
            <w:tcW w:w="1170" w:type="dxa"/>
            <w:shd w:val="clear" w:color="auto" w:fill="1F4E79" w:themeFill="accent5" w:themeFillShade="80"/>
          </w:tcPr>
          <w:p w14:paraId="69031F5A" w14:textId="77777777" w:rsidR="004D54F9" w:rsidRPr="005419A3" w:rsidRDefault="004D54F9" w:rsidP="005E142F">
            <w:pPr>
              <w:spacing w:after="240"/>
              <w:rPr>
                <w:rFonts w:ascii="Arial" w:hAnsi="Arial" w:cs="Arial"/>
                <w:b/>
                <w:color w:val="FFFFFF" w:themeColor="background1"/>
                <w:lang w:val="es-DO"/>
              </w:rPr>
            </w:pPr>
            <w:r w:rsidRPr="005419A3">
              <w:rPr>
                <w:rFonts w:ascii="Arial" w:hAnsi="Arial" w:cs="Arial"/>
                <w:b/>
                <w:color w:val="FFFFFF" w:themeColor="background1"/>
                <w:lang w:val="es-DO"/>
              </w:rPr>
              <w:t>La Ceiba</w:t>
            </w:r>
          </w:p>
        </w:tc>
        <w:tc>
          <w:tcPr>
            <w:tcW w:w="1440" w:type="dxa"/>
            <w:shd w:val="clear" w:color="auto" w:fill="1F4E79" w:themeFill="accent5" w:themeFillShade="80"/>
          </w:tcPr>
          <w:p w14:paraId="37D6AB12" w14:textId="77777777" w:rsidR="004D54F9" w:rsidRPr="005419A3" w:rsidRDefault="004D54F9" w:rsidP="005E142F">
            <w:pPr>
              <w:spacing w:after="240"/>
              <w:rPr>
                <w:rFonts w:ascii="Arial" w:hAnsi="Arial" w:cs="Arial"/>
                <w:b/>
                <w:color w:val="FFFFFF" w:themeColor="background1"/>
                <w:lang w:val="es-DO"/>
              </w:rPr>
            </w:pPr>
            <w:r w:rsidRPr="005419A3">
              <w:rPr>
                <w:rFonts w:ascii="Arial" w:hAnsi="Arial" w:cs="Arial"/>
                <w:b/>
                <w:color w:val="FFFFFF" w:themeColor="background1"/>
                <w:lang w:val="es-DO"/>
              </w:rPr>
              <w:t>Promedio</w:t>
            </w:r>
          </w:p>
        </w:tc>
      </w:tr>
      <w:tr w:rsidR="004D54F9" w:rsidRPr="007F1857" w14:paraId="79C01CB9" w14:textId="77777777" w:rsidTr="005419A3">
        <w:trPr>
          <w:trHeight w:hRule="exact" w:val="360"/>
        </w:trPr>
        <w:tc>
          <w:tcPr>
            <w:tcW w:w="3505" w:type="dxa"/>
          </w:tcPr>
          <w:p w14:paraId="234108DC" w14:textId="77777777" w:rsidR="004D54F9" w:rsidRPr="005419A3" w:rsidRDefault="004D54F9" w:rsidP="005E142F">
            <w:pPr>
              <w:spacing w:after="240"/>
              <w:rPr>
                <w:rFonts w:ascii="Arial" w:hAnsi="Arial" w:cs="Arial"/>
                <w:lang w:val="es-DO"/>
              </w:rPr>
            </w:pPr>
            <w:r w:rsidRPr="005419A3">
              <w:rPr>
                <w:rFonts w:ascii="Arial" w:hAnsi="Arial" w:cs="Arial"/>
                <w:lang w:val="es-DO"/>
              </w:rPr>
              <w:t>HSH</w:t>
            </w:r>
          </w:p>
        </w:tc>
        <w:tc>
          <w:tcPr>
            <w:tcW w:w="1440" w:type="dxa"/>
          </w:tcPr>
          <w:p w14:paraId="10FD92BA" w14:textId="77777777" w:rsidR="004D54F9" w:rsidRPr="005419A3" w:rsidRDefault="004D54F9" w:rsidP="005E142F">
            <w:pPr>
              <w:spacing w:after="240"/>
              <w:rPr>
                <w:rFonts w:ascii="Arial" w:hAnsi="Arial" w:cs="Arial"/>
                <w:lang w:val="es-DO"/>
              </w:rPr>
            </w:pPr>
            <w:r w:rsidRPr="005419A3">
              <w:rPr>
                <w:rFonts w:ascii="Arial" w:hAnsi="Arial" w:cs="Arial"/>
                <w:lang w:val="es-DO"/>
              </w:rPr>
              <w:t>6.9%</w:t>
            </w:r>
          </w:p>
        </w:tc>
        <w:tc>
          <w:tcPr>
            <w:tcW w:w="1890" w:type="dxa"/>
          </w:tcPr>
          <w:p w14:paraId="6AF2A2E3" w14:textId="77777777" w:rsidR="004D54F9" w:rsidRPr="005419A3" w:rsidRDefault="004D54F9" w:rsidP="005E142F">
            <w:pPr>
              <w:spacing w:after="240"/>
              <w:rPr>
                <w:rFonts w:ascii="Arial" w:hAnsi="Arial" w:cs="Arial"/>
                <w:lang w:val="es-DO"/>
              </w:rPr>
            </w:pPr>
            <w:r w:rsidRPr="005419A3">
              <w:rPr>
                <w:rFonts w:ascii="Arial" w:hAnsi="Arial" w:cs="Arial"/>
                <w:lang w:val="es-DO"/>
              </w:rPr>
              <w:t>10.7%</w:t>
            </w:r>
          </w:p>
        </w:tc>
        <w:tc>
          <w:tcPr>
            <w:tcW w:w="1170" w:type="dxa"/>
          </w:tcPr>
          <w:p w14:paraId="795FDCF1" w14:textId="77777777" w:rsidR="004D54F9" w:rsidRPr="005419A3" w:rsidRDefault="004D54F9" w:rsidP="005E142F">
            <w:pPr>
              <w:spacing w:after="240"/>
              <w:rPr>
                <w:rFonts w:ascii="Arial" w:hAnsi="Arial" w:cs="Arial"/>
                <w:lang w:val="es-DO"/>
              </w:rPr>
            </w:pPr>
            <w:r w:rsidRPr="005419A3">
              <w:rPr>
                <w:rFonts w:ascii="Arial" w:hAnsi="Arial" w:cs="Arial"/>
                <w:lang w:val="es-DO"/>
              </w:rPr>
              <w:t>11.7%</w:t>
            </w:r>
          </w:p>
        </w:tc>
        <w:tc>
          <w:tcPr>
            <w:tcW w:w="1440" w:type="dxa"/>
          </w:tcPr>
          <w:p w14:paraId="6DABFAC4" w14:textId="77777777" w:rsidR="004D54F9" w:rsidRPr="005419A3" w:rsidRDefault="004D54F9" w:rsidP="005E142F">
            <w:pPr>
              <w:spacing w:after="240"/>
              <w:rPr>
                <w:rFonts w:ascii="Arial" w:hAnsi="Arial" w:cs="Arial"/>
                <w:lang w:val="es-DO"/>
              </w:rPr>
            </w:pPr>
            <w:r w:rsidRPr="005419A3">
              <w:rPr>
                <w:rFonts w:ascii="Arial" w:hAnsi="Arial" w:cs="Arial"/>
                <w:lang w:val="es-DO"/>
              </w:rPr>
              <w:t>9.7%</w:t>
            </w:r>
          </w:p>
        </w:tc>
      </w:tr>
      <w:tr w:rsidR="004D54F9" w:rsidRPr="007F1857" w14:paraId="5F6C4B0C" w14:textId="77777777" w:rsidTr="005419A3">
        <w:trPr>
          <w:trHeight w:hRule="exact" w:val="360"/>
        </w:trPr>
        <w:tc>
          <w:tcPr>
            <w:tcW w:w="3505" w:type="dxa"/>
          </w:tcPr>
          <w:p w14:paraId="5A1AD838" w14:textId="77777777" w:rsidR="004D54F9" w:rsidRPr="005419A3" w:rsidRDefault="004D54F9" w:rsidP="005E142F">
            <w:pPr>
              <w:spacing w:after="240"/>
              <w:rPr>
                <w:rFonts w:ascii="Arial" w:hAnsi="Arial" w:cs="Arial"/>
                <w:lang w:val="es-DO"/>
              </w:rPr>
            </w:pPr>
            <w:r w:rsidRPr="005419A3">
              <w:rPr>
                <w:rFonts w:ascii="Arial" w:hAnsi="Arial" w:cs="Arial"/>
                <w:lang w:val="es-DO"/>
              </w:rPr>
              <w:t>TRANS</w:t>
            </w:r>
          </w:p>
        </w:tc>
        <w:tc>
          <w:tcPr>
            <w:tcW w:w="1440" w:type="dxa"/>
          </w:tcPr>
          <w:p w14:paraId="52E5D5A7" w14:textId="77777777" w:rsidR="004D54F9" w:rsidRPr="005419A3" w:rsidRDefault="004D54F9" w:rsidP="005E142F">
            <w:pPr>
              <w:spacing w:after="240"/>
              <w:rPr>
                <w:rFonts w:ascii="Arial" w:hAnsi="Arial" w:cs="Arial"/>
                <w:lang w:val="es-DO"/>
              </w:rPr>
            </w:pPr>
            <w:r w:rsidRPr="005419A3">
              <w:rPr>
                <w:rFonts w:ascii="Arial" w:hAnsi="Arial" w:cs="Arial"/>
                <w:lang w:val="es-DO"/>
              </w:rPr>
              <w:t>17.2%</w:t>
            </w:r>
          </w:p>
        </w:tc>
        <w:tc>
          <w:tcPr>
            <w:tcW w:w="1890" w:type="dxa"/>
          </w:tcPr>
          <w:p w14:paraId="5642446E" w14:textId="77777777" w:rsidR="004D54F9" w:rsidRPr="005419A3" w:rsidRDefault="004D54F9" w:rsidP="005E142F">
            <w:pPr>
              <w:spacing w:after="240"/>
              <w:rPr>
                <w:rFonts w:ascii="Arial" w:hAnsi="Arial" w:cs="Arial"/>
                <w:lang w:val="es-DO"/>
              </w:rPr>
            </w:pPr>
            <w:r w:rsidRPr="005419A3">
              <w:rPr>
                <w:rFonts w:ascii="Arial" w:hAnsi="Arial" w:cs="Arial"/>
                <w:lang w:val="es-DO"/>
              </w:rPr>
              <w:t>23.6%</w:t>
            </w:r>
          </w:p>
        </w:tc>
        <w:tc>
          <w:tcPr>
            <w:tcW w:w="1170" w:type="dxa"/>
          </w:tcPr>
          <w:p w14:paraId="474804DB" w14:textId="77777777" w:rsidR="004D54F9" w:rsidRPr="005419A3" w:rsidRDefault="004D54F9" w:rsidP="005E142F">
            <w:pPr>
              <w:spacing w:after="240"/>
              <w:rPr>
                <w:rFonts w:ascii="Arial" w:hAnsi="Arial" w:cs="Arial"/>
                <w:lang w:val="es-DO"/>
              </w:rPr>
            </w:pPr>
            <w:r w:rsidRPr="005419A3">
              <w:rPr>
                <w:rFonts w:ascii="Arial" w:hAnsi="Arial" w:cs="Arial"/>
                <w:lang w:val="es-DO"/>
              </w:rPr>
              <w:t>33.3%</w:t>
            </w:r>
          </w:p>
        </w:tc>
        <w:tc>
          <w:tcPr>
            <w:tcW w:w="1440" w:type="dxa"/>
          </w:tcPr>
          <w:p w14:paraId="30EF17AE" w14:textId="77777777" w:rsidR="004D54F9" w:rsidRPr="005419A3" w:rsidRDefault="004D54F9" w:rsidP="005E142F">
            <w:pPr>
              <w:spacing w:after="240"/>
              <w:rPr>
                <w:rFonts w:ascii="Arial" w:hAnsi="Arial" w:cs="Arial"/>
                <w:lang w:val="es-DO"/>
              </w:rPr>
            </w:pPr>
            <w:r w:rsidRPr="005419A3">
              <w:rPr>
                <w:rFonts w:ascii="Arial" w:hAnsi="Arial" w:cs="Arial"/>
                <w:lang w:val="es-DO"/>
              </w:rPr>
              <w:t>24.7%</w:t>
            </w:r>
          </w:p>
        </w:tc>
      </w:tr>
      <w:tr w:rsidR="004D54F9" w:rsidRPr="007F1857" w14:paraId="7DEFA7B1" w14:textId="77777777" w:rsidTr="005419A3">
        <w:trPr>
          <w:trHeight w:hRule="exact" w:val="360"/>
        </w:trPr>
        <w:tc>
          <w:tcPr>
            <w:tcW w:w="3505" w:type="dxa"/>
          </w:tcPr>
          <w:p w14:paraId="5887E738" w14:textId="77777777" w:rsidR="004D54F9" w:rsidRPr="005419A3" w:rsidRDefault="004D54F9" w:rsidP="005E142F">
            <w:pPr>
              <w:spacing w:after="240"/>
              <w:rPr>
                <w:rFonts w:ascii="Arial" w:hAnsi="Arial" w:cs="Arial"/>
                <w:lang w:val="es-DO"/>
              </w:rPr>
            </w:pPr>
            <w:r w:rsidRPr="005419A3">
              <w:rPr>
                <w:rFonts w:ascii="Arial" w:hAnsi="Arial" w:cs="Arial"/>
                <w:lang w:val="es-DO"/>
              </w:rPr>
              <w:t>MTS</w:t>
            </w:r>
          </w:p>
        </w:tc>
        <w:tc>
          <w:tcPr>
            <w:tcW w:w="1440" w:type="dxa"/>
          </w:tcPr>
          <w:p w14:paraId="70BE43B4" w14:textId="77777777" w:rsidR="004D54F9" w:rsidRPr="005419A3" w:rsidRDefault="004D54F9" w:rsidP="005E142F">
            <w:pPr>
              <w:spacing w:after="240"/>
              <w:rPr>
                <w:rFonts w:ascii="Arial" w:hAnsi="Arial" w:cs="Arial"/>
                <w:lang w:val="es-DO"/>
              </w:rPr>
            </w:pPr>
            <w:r w:rsidRPr="005419A3">
              <w:rPr>
                <w:rFonts w:ascii="Arial" w:hAnsi="Arial" w:cs="Arial"/>
                <w:lang w:val="es-DO"/>
              </w:rPr>
              <w:t>3.3%</w:t>
            </w:r>
          </w:p>
        </w:tc>
        <w:tc>
          <w:tcPr>
            <w:tcW w:w="1890" w:type="dxa"/>
          </w:tcPr>
          <w:p w14:paraId="4E3853F7" w14:textId="77777777" w:rsidR="004D54F9" w:rsidRPr="005419A3" w:rsidRDefault="004D54F9" w:rsidP="005E142F">
            <w:pPr>
              <w:spacing w:after="240"/>
              <w:rPr>
                <w:rFonts w:ascii="Arial" w:hAnsi="Arial" w:cs="Arial"/>
                <w:lang w:val="es-DO"/>
              </w:rPr>
            </w:pPr>
            <w:r w:rsidRPr="005419A3">
              <w:rPr>
                <w:rFonts w:ascii="Arial" w:hAnsi="Arial" w:cs="Arial"/>
                <w:lang w:val="es-DO"/>
              </w:rPr>
              <w:t>6.7%</w:t>
            </w:r>
          </w:p>
        </w:tc>
        <w:tc>
          <w:tcPr>
            <w:tcW w:w="1170" w:type="dxa"/>
          </w:tcPr>
          <w:p w14:paraId="61FA0312" w14:textId="77777777" w:rsidR="004D54F9" w:rsidRPr="005419A3" w:rsidRDefault="004D54F9" w:rsidP="005E142F">
            <w:pPr>
              <w:spacing w:after="240"/>
              <w:rPr>
                <w:rFonts w:ascii="Arial" w:hAnsi="Arial" w:cs="Arial"/>
                <w:lang w:val="es-DO"/>
              </w:rPr>
            </w:pPr>
            <w:r w:rsidRPr="005419A3">
              <w:rPr>
                <w:rFonts w:ascii="Arial" w:hAnsi="Arial" w:cs="Arial"/>
                <w:lang w:val="es-DO"/>
              </w:rPr>
              <w:t>15.3%</w:t>
            </w:r>
          </w:p>
        </w:tc>
        <w:tc>
          <w:tcPr>
            <w:tcW w:w="1440" w:type="dxa"/>
          </w:tcPr>
          <w:p w14:paraId="4F54A94C" w14:textId="77777777" w:rsidR="004D54F9" w:rsidRPr="005419A3" w:rsidRDefault="004D54F9" w:rsidP="005E142F">
            <w:pPr>
              <w:spacing w:after="240"/>
              <w:rPr>
                <w:rFonts w:ascii="Arial" w:hAnsi="Arial" w:cs="Arial"/>
                <w:lang w:val="es-DO"/>
              </w:rPr>
            </w:pPr>
            <w:r w:rsidRPr="005419A3">
              <w:rPr>
                <w:rFonts w:ascii="Arial" w:hAnsi="Arial" w:cs="Arial"/>
                <w:lang w:val="es-DO"/>
              </w:rPr>
              <w:t>8.4%</w:t>
            </w:r>
          </w:p>
        </w:tc>
      </w:tr>
      <w:tr w:rsidR="004D54F9" w:rsidRPr="007F1857" w14:paraId="60EF3090" w14:textId="77777777" w:rsidTr="005419A3">
        <w:trPr>
          <w:trHeight w:hRule="exact" w:val="360"/>
        </w:trPr>
        <w:tc>
          <w:tcPr>
            <w:tcW w:w="3505" w:type="dxa"/>
          </w:tcPr>
          <w:p w14:paraId="6E011E65" w14:textId="77777777" w:rsidR="004D54F9" w:rsidRPr="005419A3" w:rsidRDefault="004D54F9" w:rsidP="005E142F">
            <w:pPr>
              <w:spacing w:after="240"/>
              <w:rPr>
                <w:rFonts w:ascii="Arial" w:hAnsi="Arial" w:cs="Arial"/>
                <w:lang w:val="es-DO"/>
              </w:rPr>
            </w:pPr>
            <w:r w:rsidRPr="005419A3">
              <w:rPr>
                <w:rFonts w:ascii="Arial" w:hAnsi="Arial" w:cs="Arial"/>
                <w:lang w:val="es-DO"/>
              </w:rPr>
              <w:t>Mujeres garífuna (urbano/rural)</w:t>
            </w:r>
          </w:p>
        </w:tc>
        <w:tc>
          <w:tcPr>
            <w:tcW w:w="1440" w:type="dxa"/>
          </w:tcPr>
          <w:p w14:paraId="3BF7F484" w14:textId="77777777" w:rsidR="004D54F9" w:rsidRPr="005419A3" w:rsidRDefault="004D54F9" w:rsidP="005E142F">
            <w:pPr>
              <w:spacing w:after="240"/>
              <w:rPr>
                <w:rFonts w:ascii="Arial" w:hAnsi="Arial" w:cs="Arial"/>
                <w:lang w:val="es-DO"/>
              </w:rPr>
            </w:pPr>
            <w:r w:rsidRPr="005419A3">
              <w:rPr>
                <w:rFonts w:ascii="Arial" w:hAnsi="Arial" w:cs="Arial"/>
                <w:lang w:val="es-DO"/>
              </w:rPr>
              <w:t>-</w:t>
            </w:r>
          </w:p>
        </w:tc>
        <w:tc>
          <w:tcPr>
            <w:tcW w:w="1890" w:type="dxa"/>
          </w:tcPr>
          <w:p w14:paraId="326C2E1E" w14:textId="77777777" w:rsidR="004D54F9" w:rsidRPr="005419A3" w:rsidRDefault="004D54F9" w:rsidP="005E142F">
            <w:pPr>
              <w:spacing w:after="240"/>
              <w:rPr>
                <w:rFonts w:ascii="Arial" w:hAnsi="Arial" w:cs="Arial"/>
                <w:lang w:val="es-DO"/>
              </w:rPr>
            </w:pPr>
            <w:r w:rsidRPr="005419A3">
              <w:rPr>
                <w:rFonts w:ascii="Arial" w:hAnsi="Arial" w:cs="Arial"/>
                <w:lang w:val="es-DO"/>
              </w:rPr>
              <w:t>-</w:t>
            </w:r>
          </w:p>
        </w:tc>
        <w:tc>
          <w:tcPr>
            <w:tcW w:w="1170" w:type="dxa"/>
          </w:tcPr>
          <w:p w14:paraId="7B31F748" w14:textId="77777777" w:rsidR="004D54F9" w:rsidRPr="005419A3" w:rsidRDefault="004D54F9" w:rsidP="005E142F">
            <w:pPr>
              <w:spacing w:after="240"/>
              <w:rPr>
                <w:rFonts w:ascii="Arial" w:hAnsi="Arial" w:cs="Arial"/>
                <w:lang w:val="es-DO"/>
              </w:rPr>
            </w:pPr>
            <w:r w:rsidRPr="005419A3">
              <w:rPr>
                <w:rFonts w:ascii="Arial" w:hAnsi="Arial" w:cs="Arial"/>
                <w:lang w:val="es-DO"/>
              </w:rPr>
              <w:t>-</w:t>
            </w:r>
          </w:p>
        </w:tc>
        <w:tc>
          <w:tcPr>
            <w:tcW w:w="1440" w:type="dxa"/>
          </w:tcPr>
          <w:p w14:paraId="46E882D0" w14:textId="77777777" w:rsidR="004D54F9" w:rsidRPr="005419A3" w:rsidRDefault="004D54F9" w:rsidP="005E142F">
            <w:pPr>
              <w:spacing w:after="240"/>
              <w:rPr>
                <w:rFonts w:ascii="Arial" w:hAnsi="Arial" w:cs="Arial"/>
                <w:lang w:val="es-DO"/>
              </w:rPr>
            </w:pPr>
            <w:r w:rsidRPr="005419A3">
              <w:rPr>
                <w:rFonts w:ascii="Arial" w:hAnsi="Arial" w:cs="Arial"/>
                <w:lang w:val="es-DO"/>
              </w:rPr>
              <w:t>4.6%/4.9%</w:t>
            </w:r>
          </w:p>
        </w:tc>
      </w:tr>
      <w:tr w:rsidR="004D54F9" w:rsidRPr="007F1857" w14:paraId="592A4AB8" w14:textId="77777777" w:rsidTr="005419A3">
        <w:trPr>
          <w:trHeight w:hRule="exact" w:val="360"/>
        </w:trPr>
        <w:tc>
          <w:tcPr>
            <w:tcW w:w="3505" w:type="dxa"/>
          </w:tcPr>
          <w:p w14:paraId="5326FDB2" w14:textId="77777777" w:rsidR="004D54F9" w:rsidRPr="005419A3" w:rsidRDefault="004D54F9" w:rsidP="005E142F">
            <w:pPr>
              <w:spacing w:after="240"/>
              <w:rPr>
                <w:rFonts w:ascii="Arial" w:hAnsi="Arial" w:cs="Arial"/>
                <w:lang w:val="es-DO"/>
              </w:rPr>
            </w:pPr>
            <w:r w:rsidRPr="005419A3">
              <w:rPr>
                <w:rFonts w:ascii="Arial" w:hAnsi="Arial" w:cs="Arial"/>
                <w:lang w:val="es-DO"/>
              </w:rPr>
              <w:t>Hombres garífuna (urbano/rural)</w:t>
            </w:r>
          </w:p>
        </w:tc>
        <w:tc>
          <w:tcPr>
            <w:tcW w:w="1440" w:type="dxa"/>
          </w:tcPr>
          <w:p w14:paraId="19DF7965" w14:textId="77777777" w:rsidR="004D54F9" w:rsidRPr="005419A3" w:rsidRDefault="004D54F9" w:rsidP="005E142F">
            <w:pPr>
              <w:spacing w:after="240"/>
              <w:rPr>
                <w:rFonts w:ascii="Arial" w:hAnsi="Arial" w:cs="Arial"/>
                <w:lang w:val="es-DO"/>
              </w:rPr>
            </w:pPr>
            <w:r w:rsidRPr="005419A3">
              <w:rPr>
                <w:rFonts w:ascii="Arial" w:hAnsi="Arial" w:cs="Arial"/>
                <w:lang w:val="es-DO"/>
              </w:rPr>
              <w:t>-</w:t>
            </w:r>
          </w:p>
        </w:tc>
        <w:tc>
          <w:tcPr>
            <w:tcW w:w="1890" w:type="dxa"/>
          </w:tcPr>
          <w:p w14:paraId="2D40E877" w14:textId="77777777" w:rsidR="004D54F9" w:rsidRPr="005419A3" w:rsidRDefault="004D54F9" w:rsidP="005E142F">
            <w:pPr>
              <w:spacing w:after="240"/>
              <w:rPr>
                <w:rFonts w:ascii="Arial" w:hAnsi="Arial" w:cs="Arial"/>
                <w:lang w:val="es-DO"/>
              </w:rPr>
            </w:pPr>
            <w:r w:rsidRPr="005419A3">
              <w:rPr>
                <w:rFonts w:ascii="Arial" w:hAnsi="Arial" w:cs="Arial"/>
                <w:lang w:val="es-DO"/>
              </w:rPr>
              <w:t>-</w:t>
            </w:r>
          </w:p>
        </w:tc>
        <w:tc>
          <w:tcPr>
            <w:tcW w:w="1170" w:type="dxa"/>
          </w:tcPr>
          <w:p w14:paraId="2E22EFBA" w14:textId="77777777" w:rsidR="004D54F9" w:rsidRPr="005419A3" w:rsidRDefault="004D54F9" w:rsidP="005E142F">
            <w:pPr>
              <w:spacing w:after="240"/>
              <w:rPr>
                <w:rFonts w:ascii="Arial" w:hAnsi="Arial" w:cs="Arial"/>
                <w:lang w:val="es-DO"/>
              </w:rPr>
            </w:pPr>
            <w:r w:rsidRPr="005419A3">
              <w:rPr>
                <w:rFonts w:ascii="Arial" w:hAnsi="Arial" w:cs="Arial"/>
                <w:lang w:val="es-DO"/>
              </w:rPr>
              <w:t>-</w:t>
            </w:r>
          </w:p>
        </w:tc>
        <w:tc>
          <w:tcPr>
            <w:tcW w:w="1440" w:type="dxa"/>
          </w:tcPr>
          <w:p w14:paraId="0D538BE3" w14:textId="77777777" w:rsidR="004D54F9" w:rsidRPr="005419A3" w:rsidRDefault="004D54F9" w:rsidP="005E142F">
            <w:pPr>
              <w:spacing w:after="240"/>
              <w:rPr>
                <w:rFonts w:ascii="Arial" w:hAnsi="Arial" w:cs="Arial"/>
                <w:lang w:val="es-DO"/>
              </w:rPr>
            </w:pPr>
            <w:r w:rsidRPr="005419A3">
              <w:rPr>
                <w:rFonts w:ascii="Arial" w:hAnsi="Arial" w:cs="Arial"/>
                <w:lang w:val="es-DO"/>
              </w:rPr>
              <w:t>4.4%/1.6%</w:t>
            </w:r>
          </w:p>
        </w:tc>
      </w:tr>
    </w:tbl>
    <w:p w14:paraId="7BA9063F" w14:textId="77ADF121" w:rsidR="004D54F9" w:rsidRDefault="004D54F9" w:rsidP="004460EC">
      <w:pPr>
        <w:spacing w:after="240"/>
        <w:rPr>
          <w:lang w:val="es-DO"/>
        </w:rPr>
      </w:pPr>
      <w:r w:rsidRPr="00D67264">
        <w:rPr>
          <w:i/>
          <w:sz w:val="18"/>
          <w:szCs w:val="18"/>
          <w:lang w:val="es-DO"/>
        </w:rPr>
        <w:t xml:space="preserve">Fuente: Elaboración de autores a partir </w:t>
      </w:r>
      <w:r w:rsidRPr="005A7D69">
        <w:rPr>
          <w:i/>
          <w:sz w:val="18"/>
          <w:szCs w:val="18"/>
          <w:lang w:val="es-DO"/>
        </w:rPr>
        <w:t>Encuesta Centroamericana de Vigilancia del Comportamiento Sexual y Prevalencia del VIH e ITS en poblaciones vulnerables (ECVC)</w:t>
      </w:r>
      <w:r>
        <w:rPr>
          <w:i/>
          <w:sz w:val="18"/>
          <w:szCs w:val="18"/>
          <w:lang w:val="es-DO"/>
        </w:rPr>
        <w:t>,</w:t>
      </w:r>
      <w:r w:rsidRPr="005A7D69">
        <w:rPr>
          <w:i/>
          <w:sz w:val="18"/>
          <w:szCs w:val="18"/>
          <w:lang w:val="es-DO"/>
        </w:rPr>
        <w:t xml:space="preserve"> 2012</w:t>
      </w:r>
      <w:r>
        <w:rPr>
          <w:i/>
          <w:sz w:val="18"/>
          <w:szCs w:val="18"/>
          <w:lang w:val="es-DO"/>
        </w:rPr>
        <w:t>.</w:t>
      </w:r>
    </w:p>
    <w:p w14:paraId="499D9C87" w14:textId="2314CFB0" w:rsidR="000D73FA" w:rsidRPr="000D73FA" w:rsidRDefault="000D73FA" w:rsidP="000D73FA">
      <w:pPr>
        <w:pStyle w:val="Caption"/>
        <w:rPr>
          <w:rStyle w:val="IntenseReference"/>
          <w:rFonts w:ascii="Arial" w:hAnsi="Arial" w:cs="Arial"/>
          <w:color w:val="auto"/>
          <w:sz w:val="22"/>
          <w:szCs w:val="22"/>
        </w:rPr>
      </w:pPr>
      <w:bookmarkStart w:id="30" w:name="_Toc8904099"/>
      <w:r w:rsidRPr="000D73FA">
        <w:rPr>
          <w:rFonts w:ascii="Arial" w:hAnsi="Arial" w:cs="Arial"/>
          <w:color w:val="auto"/>
          <w:sz w:val="22"/>
          <w:szCs w:val="22"/>
        </w:rPr>
        <w:t xml:space="preserve">Figura </w:t>
      </w:r>
      <w:r w:rsidRPr="000D73FA">
        <w:rPr>
          <w:rFonts w:ascii="Arial" w:hAnsi="Arial" w:cs="Arial"/>
          <w:color w:val="auto"/>
          <w:sz w:val="22"/>
          <w:szCs w:val="22"/>
        </w:rPr>
        <w:fldChar w:fldCharType="begin"/>
      </w:r>
      <w:r w:rsidRPr="000D73FA">
        <w:rPr>
          <w:rFonts w:ascii="Arial" w:hAnsi="Arial" w:cs="Arial"/>
          <w:color w:val="auto"/>
          <w:sz w:val="22"/>
          <w:szCs w:val="22"/>
        </w:rPr>
        <w:instrText xml:space="preserve"> SEQ Figura \* ARABIC </w:instrText>
      </w:r>
      <w:r w:rsidRPr="000D73FA">
        <w:rPr>
          <w:rFonts w:ascii="Arial" w:hAnsi="Arial" w:cs="Arial"/>
          <w:color w:val="auto"/>
          <w:sz w:val="22"/>
          <w:szCs w:val="22"/>
        </w:rPr>
        <w:fldChar w:fldCharType="separate"/>
      </w:r>
      <w:r w:rsidR="00004563">
        <w:rPr>
          <w:rFonts w:ascii="Arial" w:hAnsi="Arial" w:cs="Arial"/>
          <w:noProof/>
          <w:color w:val="auto"/>
          <w:sz w:val="22"/>
          <w:szCs w:val="22"/>
        </w:rPr>
        <w:t>2</w:t>
      </w:r>
      <w:r w:rsidRPr="000D73FA">
        <w:rPr>
          <w:rFonts w:ascii="Arial" w:hAnsi="Arial" w:cs="Arial"/>
          <w:color w:val="auto"/>
          <w:sz w:val="22"/>
          <w:szCs w:val="22"/>
        </w:rPr>
        <w:fldChar w:fldCharType="end"/>
      </w:r>
      <w:r w:rsidRPr="000D73FA">
        <w:rPr>
          <w:rFonts w:ascii="Arial" w:hAnsi="Arial" w:cs="Arial"/>
          <w:color w:val="auto"/>
          <w:sz w:val="22"/>
          <w:szCs w:val="22"/>
        </w:rPr>
        <w:t>. Tasa de notificación de casos VIH, según departamento, Honduras 2010-2014</w:t>
      </w:r>
      <w:bookmarkEnd w:id="30"/>
    </w:p>
    <w:bookmarkEnd w:id="28"/>
    <w:p w14:paraId="76B2D428" w14:textId="4DC5108C" w:rsidR="003A324D" w:rsidRPr="007E7C65" w:rsidRDefault="003A324D" w:rsidP="007E7C65">
      <w:pPr>
        <w:spacing w:after="240" w:line="240" w:lineRule="auto"/>
        <w:rPr>
          <w:rFonts w:ascii="Arial" w:hAnsi="Arial" w:cs="Arial"/>
          <w:lang w:val="es-DO"/>
        </w:rPr>
      </w:pPr>
      <w:r w:rsidRPr="00DD37EC">
        <w:rPr>
          <w:rFonts w:ascii="Arial" w:hAnsi="Arial" w:cs="Arial"/>
          <w:noProof/>
          <w:position w:val="10"/>
        </w:rPr>
        <w:drawing>
          <wp:inline distT="0" distB="0" distL="0" distR="0" wp14:anchorId="4AE1AF9E" wp14:editId="013D0699">
            <wp:extent cx="2604424" cy="1681826"/>
            <wp:effectExtent l="0" t="0" r="5715" b="0"/>
            <wp:docPr id="1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6.jpeg"/>
                    <pic:cNvPicPr/>
                  </pic:nvPicPr>
                  <pic:blipFill>
                    <a:blip r:embed="rId12" cstate="print"/>
                    <a:stretch>
                      <a:fillRect/>
                    </a:stretch>
                  </pic:blipFill>
                  <pic:spPr>
                    <a:xfrm>
                      <a:off x="0" y="0"/>
                      <a:ext cx="2645389" cy="1708279"/>
                    </a:xfrm>
                    <a:prstGeom prst="rect">
                      <a:avLst/>
                    </a:prstGeom>
                  </pic:spPr>
                </pic:pic>
              </a:graphicData>
            </a:graphic>
          </wp:inline>
        </w:drawing>
      </w:r>
      <w:r w:rsidRPr="00DD37EC">
        <w:rPr>
          <w:rFonts w:ascii="Arial" w:hAnsi="Arial" w:cs="Arial"/>
          <w:noProof/>
        </w:rPr>
        <w:drawing>
          <wp:inline distT="0" distB="0" distL="0" distR="0" wp14:anchorId="5FCA10CF" wp14:editId="17E71E97">
            <wp:extent cx="700104" cy="675504"/>
            <wp:effectExtent l="0" t="0" r="5080" b="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00104" cy="675504"/>
                    </a:xfrm>
                    <a:prstGeom prst="rect">
                      <a:avLst/>
                    </a:prstGeom>
                    <a:noFill/>
                    <a:ln>
                      <a:noFill/>
                    </a:ln>
                  </pic:spPr>
                </pic:pic>
              </a:graphicData>
            </a:graphic>
          </wp:inline>
        </w:drawing>
      </w:r>
    </w:p>
    <w:p w14:paraId="669329B5" w14:textId="619A70D7" w:rsidR="00601709" w:rsidRPr="00DD37EC" w:rsidRDefault="00601709" w:rsidP="0068285B">
      <w:pPr>
        <w:pStyle w:val="Heading2"/>
        <w:numPr>
          <w:ilvl w:val="1"/>
          <w:numId w:val="15"/>
        </w:numPr>
        <w:spacing w:before="0" w:after="240" w:line="240" w:lineRule="auto"/>
        <w:rPr>
          <w:rFonts w:ascii="Arial" w:hAnsi="Arial" w:cs="Arial"/>
          <w:sz w:val="22"/>
          <w:szCs w:val="22"/>
          <w:lang w:val="es-419"/>
        </w:rPr>
      </w:pPr>
      <w:bookmarkStart w:id="31" w:name="_Toc8905222"/>
      <w:r w:rsidRPr="00DD37EC">
        <w:rPr>
          <w:rFonts w:ascii="Arial" w:hAnsi="Arial" w:cs="Arial"/>
          <w:sz w:val="22"/>
          <w:szCs w:val="22"/>
          <w:lang w:val="es-419"/>
        </w:rPr>
        <w:t>Actividades de prevención y promoción</w:t>
      </w:r>
      <w:r w:rsidR="001F6642" w:rsidRPr="00DD37EC">
        <w:rPr>
          <w:rFonts w:ascii="Arial" w:hAnsi="Arial" w:cs="Arial"/>
          <w:sz w:val="22"/>
          <w:szCs w:val="22"/>
          <w:lang w:val="es-419"/>
        </w:rPr>
        <w:t>,</w:t>
      </w:r>
      <w:r w:rsidRPr="00DD37EC">
        <w:rPr>
          <w:rFonts w:ascii="Arial" w:hAnsi="Arial" w:cs="Arial"/>
          <w:sz w:val="22"/>
          <w:szCs w:val="22"/>
          <w:lang w:val="es-419"/>
        </w:rPr>
        <w:t xml:space="preserve"> fuerzas y debilidades</w:t>
      </w:r>
      <w:bookmarkEnd w:id="31"/>
      <w:r w:rsidRPr="00DD37EC">
        <w:rPr>
          <w:rFonts w:ascii="Arial" w:hAnsi="Arial" w:cs="Arial"/>
          <w:sz w:val="22"/>
          <w:szCs w:val="22"/>
          <w:lang w:val="es-419"/>
        </w:rPr>
        <w:t xml:space="preserve"> </w:t>
      </w:r>
    </w:p>
    <w:p w14:paraId="3EF563D4" w14:textId="41595743" w:rsidR="005E572A" w:rsidRPr="00DD37EC" w:rsidRDefault="00FB2567" w:rsidP="005E572A">
      <w:pPr>
        <w:spacing w:after="240" w:line="240" w:lineRule="auto"/>
        <w:jc w:val="both"/>
        <w:rPr>
          <w:rFonts w:ascii="Arial" w:hAnsi="Arial" w:cs="Arial"/>
          <w:lang w:val="es-DO"/>
        </w:rPr>
      </w:pPr>
      <w:r w:rsidRPr="00DD37EC">
        <w:rPr>
          <w:rFonts w:ascii="Arial" w:hAnsi="Arial" w:cs="Arial"/>
          <w:lang w:val="es-DO"/>
        </w:rPr>
        <w:t xml:space="preserve">La prevención de la transmisión sexual del VIH se ha enfocado en las poblaciones clave y en la población general y ha sido abordada principalmente por las </w:t>
      </w:r>
      <w:r w:rsidR="00562A34">
        <w:rPr>
          <w:rFonts w:ascii="Arial" w:hAnsi="Arial" w:cs="Arial"/>
          <w:lang w:val="es-DO"/>
        </w:rPr>
        <w:t>OSC</w:t>
      </w:r>
      <w:r w:rsidRPr="00DD37EC">
        <w:rPr>
          <w:rFonts w:ascii="Arial" w:hAnsi="Arial" w:cs="Arial"/>
          <w:lang w:val="es-DO"/>
        </w:rPr>
        <w:t xml:space="preserve"> y organizaciones no gubernamentales (ONG) y financiada por donantes externos como el FM, USAID y agencias de las Naciones Unidas</w:t>
      </w:r>
      <w:r w:rsidR="00CE72E8">
        <w:rPr>
          <w:rFonts w:ascii="Arial" w:hAnsi="Arial" w:cs="Arial"/>
          <w:lang w:val="es-DO"/>
        </w:rPr>
        <w:t xml:space="preserve"> (</w:t>
      </w:r>
      <w:r w:rsidR="00CE72E8" w:rsidRPr="00DD37EC">
        <w:rPr>
          <w:rFonts w:ascii="Arial" w:hAnsi="Arial" w:cs="Arial"/>
          <w:lang w:val="es-DO"/>
        </w:rPr>
        <w:t>más de $3 millones/año</w:t>
      </w:r>
      <w:r w:rsidR="00CE72E8">
        <w:rPr>
          <w:rFonts w:ascii="Arial" w:hAnsi="Arial" w:cs="Arial"/>
          <w:lang w:val="es-DO"/>
        </w:rPr>
        <w:t>)</w:t>
      </w:r>
      <w:r w:rsidRPr="00DD37EC">
        <w:rPr>
          <w:rFonts w:ascii="Arial" w:hAnsi="Arial" w:cs="Arial"/>
          <w:lang w:val="es-DO"/>
        </w:rPr>
        <w:t>.</w:t>
      </w:r>
      <w:r w:rsidR="00CE72E8" w:rsidRPr="00DD37EC">
        <w:rPr>
          <w:rStyle w:val="FootnoteReference"/>
          <w:rFonts w:ascii="Arial" w:hAnsi="Arial" w:cs="Arial"/>
          <w:lang w:val="es-DO"/>
        </w:rPr>
        <w:footnoteReference w:id="16"/>
      </w:r>
      <w:r w:rsidRPr="00DD37EC">
        <w:rPr>
          <w:rFonts w:ascii="Arial" w:hAnsi="Arial" w:cs="Arial"/>
          <w:lang w:val="es-DO"/>
        </w:rPr>
        <w:t xml:space="preserve"> El papel del Estado se ha enfocado específicamente la prevención de la transmisión </w:t>
      </w:r>
      <w:r w:rsidR="00F578C5">
        <w:rPr>
          <w:rFonts w:ascii="Arial" w:hAnsi="Arial" w:cs="Arial"/>
          <w:lang w:val="es-DO"/>
        </w:rPr>
        <w:t>materno-infantil (PTMI).</w:t>
      </w:r>
      <w:r w:rsidR="00210051">
        <w:rPr>
          <w:rFonts w:ascii="Arial" w:hAnsi="Arial" w:cs="Arial"/>
          <w:lang w:val="es-DO"/>
        </w:rPr>
        <w:t xml:space="preserve"> L</w:t>
      </w:r>
      <w:r w:rsidR="001C501F">
        <w:rPr>
          <w:rFonts w:ascii="Arial" w:hAnsi="Arial" w:cs="Arial"/>
          <w:lang w:val="es-DO"/>
        </w:rPr>
        <w:t>a</w:t>
      </w:r>
      <w:r w:rsidR="00210051">
        <w:rPr>
          <w:rFonts w:ascii="Arial" w:hAnsi="Arial" w:cs="Arial"/>
          <w:lang w:val="es-DO"/>
        </w:rPr>
        <w:t xml:space="preserve"> Evaluación </w:t>
      </w:r>
      <w:r w:rsidR="00FF1D0A">
        <w:rPr>
          <w:rFonts w:ascii="Arial" w:hAnsi="Arial" w:cs="Arial"/>
          <w:lang w:val="es-DO"/>
        </w:rPr>
        <w:t xml:space="preserve">Focalizada </w:t>
      </w:r>
      <w:r w:rsidR="00210051">
        <w:rPr>
          <w:rFonts w:ascii="Arial" w:hAnsi="Arial" w:cs="Arial"/>
          <w:lang w:val="es-DO"/>
        </w:rPr>
        <w:t xml:space="preserve">en VIH también </w:t>
      </w:r>
      <w:r w:rsidR="001C501F">
        <w:rPr>
          <w:rFonts w:ascii="Arial" w:hAnsi="Arial" w:cs="Arial"/>
          <w:lang w:val="es-DO"/>
        </w:rPr>
        <w:t>documentó</w:t>
      </w:r>
      <w:r w:rsidR="00210051">
        <w:rPr>
          <w:rFonts w:ascii="Arial" w:hAnsi="Arial" w:cs="Arial"/>
          <w:lang w:val="es-DO"/>
        </w:rPr>
        <w:t xml:space="preserve"> que el financiamiento en prevención para población clave </w:t>
      </w:r>
      <w:r w:rsidR="00472DD6">
        <w:rPr>
          <w:rFonts w:ascii="Arial" w:hAnsi="Arial" w:cs="Arial"/>
          <w:lang w:val="es-DO"/>
        </w:rPr>
        <w:t>es provist</w:t>
      </w:r>
      <w:r w:rsidR="001C501F">
        <w:rPr>
          <w:rFonts w:ascii="Arial" w:hAnsi="Arial" w:cs="Arial"/>
          <w:lang w:val="es-DO"/>
        </w:rPr>
        <w:t>o</w:t>
      </w:r>
      <w:r w:rsidR="00472DD6">
        <w:rPr>
          <w:rFonts w:ascii="Arial" w:hAnsi="Arial" w:cs="Arial"/>
          <w:lang w:val="es-DO"/>
        </w:rPr>
        <w:t xml:space="preserve"> solamente </w:t>
      </w:r>
      <w:r w:rsidR="001C501F">
        <w:rPr>
          <w:rFonts w:ascii="Arial" w:hAnsi="Arial" w:cs="Arial"/>
          <w:lang w:val="es-DO"/>
        </w:rPr>
        <w:t>por</w:t>
      </w:r>
      <w:r w:rsidR="00472DD6">
        <w:rPr>
          <w:rFonts w:ascii="Arial" w:hAnsi="Arial" w:cs="Arial"/>
          <w:lang w:val="es-DO"/>
        </w:rPr>
        <w:t xml:space="preserve"> donantes y/o agencias de cooperación.</w:t>
      </w:r>
      <w:r w:rsidR="002534BE">
        <w:rPr>
          <w:rStyle w:val="FootnoteReference"/>
          <w:rFonts w:ascii="Arial" w:hAnsi="Arial" w:cs="Arial"/>
          <w:lang w:val="es-DO"/>
        </w:rPr>
        <w:footnoteReference w:id="17"/>
      </w:r>
      <w:r w:rsidR="00472DD6">
        <w:rPr>
          <w:rFonts w:ascii="Arial" w:hAnsi="Arial" w:cs="Arial"/>
          <w:lang w:val="es-DO"/>
        </w:rPr>
        <w:t xml:space="preserve"> </w:t>
      </w:r>
    </w:p>
    <w:p w14:paraId="3124086F" w14:textId="0DEC60C6" w:rsidR="00FB2567" w:rsidRPr="00DD37EC" w:rsidRDefault="00FB2567" w:rsidP="005E572A">
      <w:pPr>
        <w:spacing w:after="240" w:line="240" w:lineRule="auto"/>
        <w:jc w:val="both"/>
        <w:rPr>
          <w:rFonts w:ascii="Arial" w:hAnsi="Arial" w:cs="Arial"/>
          <w:lang w:val="es-DO"/>
        </w:rPr>
      </w:pPr>
      <w:r w:rsidRPr="00DD37EC">
        <w:rPr>
          <w:rFonts w:ascii="Arial" w:hAnsi="Arial" w:cs="Arial"/>
          <w:color w:val="000000" w:themeColor="text1"/>
          <w:lang w:val="es-DO"/>
        </w:rPr>
        <w:t>Los programas de prevención para las poblaciones clave están concentrados en las principales ciudades y son proporcionados a través de ONG que a menudo carecen de la capacidad organizativa para ampliar sus servicios a más clientes o a sitios adicionales</w:t>
      </w:r>
      <w:r w:rsidR="0040358E">
        <w:rPr>
          <w:rFonts w:ascii="Arial" w:hAnsi="Arial" w:cs="Arial"/>
          <w:color w:val="000000" w:themeColor="text1"/>
          <w:lang w:val="es-DO"/>
        </w:rPr>
        <w:t>.</w:t>
      </w:r>
      <w:r w:rsidRPr="00DD37EC">
        <w:rPr>
          <w:rStyle w:val="FootnoteReference"/>
          <w:rFonts w:ascii="Arial" w:hAnsi="Arial" w:cs="Arial"/>
          <w:color w:val="000000" w:themeColor="text1"/>
          <w:lang w:val="es-DO"/>
        </w:rPr>
        <w:footnoteReference w:id="18"/>
      </w:r>
      <w:r w:rsidR="00054277">
        <w:rPr>
          <w:rFonts w:ascii="Arial" w:hAnsi="Arial" w:cs="Arial"/>
          <w:lang w:val="es-DO"/>
        </w:rPr>
        <w:t xml:space="preserve"> Estos programas </w:t>
      </w:r>
      <w:r w:rsidRPr="00DD37EC">
        <w:rPr>
          <w:rFonts w:ascii="Arial" w:hAnsi="Arial" w:cs="Arial"/>
          <w:lang w:val="es-DO"/>
        </w:rPr>
        <w:t xml:space="preserve">se ha enfocado en algunas estrategias prioritarias, tales como acciones para abordar cambios de comportamiento sexual a través de educación de pares, formación de líderes mentores y trabajo de extensión comunitaria, promoción y distribución de condones, prueba de VIH, el manejo sindrómico de las ITS por las Clínicas </w:t>
      </w:r>
      <w:r w:rsidRPr="00DD37EC">
        <w:rPr>
          <w:rFonts w:ascii="Arial" w:hAnsi="Arial" w:cs="Arial"/>
          <w:lang w:val="es-DO"/>
        </w:rPr>
        <w:lastRenderedPageBreak/>
        <w:t xml:space="preserve">de Vigilancia Centinela de las Infecciones de Transmisión Sexual (VICITS), el abordaje del estigma y la discriminación, y la protección de los derechos humanos, así como el fortalecimiento institucional de las ONG. </w:t>
      </w:r>
    </w:p>
    <w:p w14:paraId="7CC52C87" w14:textId="4F3D66C3" w:rsidR="00FB2567" w:rsidRDefault="00FB2567" w:rsidP="007E7C65">
      <w:pPr>
        <w:spacing w:after="240" w:line="240" w:lineRule="auto"/>
        <w:jc w:val="both"/>
        <w:rPr>
          <w:rFonts w:ascii="Arial" w:hAnsi="Arial" w:cs="Arial"/>
          <w:lang w:val="es-DO"/>
        </w:rPr>
      </w:pPr>
      <w:r w:rsidRPr="00DD37EC">
        <w:rPr>
          <w:rFonts w:ascii="Arial" w:hAnsi="Arial" w:cs="Arial"/>
          <w:lang w:val="es-DO"/>
        </w:rPr>
        <w:t xml:space="preserve">El impacto de los programas de prevención ha sido </w:t>
      </w:r>
      <w:r w:rsidR="00B019A0">
        <w:rPr>
          <w:rFonts w:ascii="Arial" w:hAnsi="Arial" w:cs="Arial"/>
          <w:lang w:val="es-DO"/>
        </w:rPr>
        <w:t xml:space="preserve">positivo pero limitado </w:t>
      </w:r>
      <w:r w:rsidRPr="00DD37EC">
        <w:rPr>
          <w:rFonts w:ascii="Arial" w:hAnsi="Arial" w:cs="Arial"/>
          <w:lang w:val="es-DO"/>
        </w:rPr>
        <w:t>en algunos grupos poblacionales</w:t>
      </w:r>
      <w:r w:rsidR="00596852" w:rsidRPr="00DD37EC">
        <w:rPr>
          <w:rFonts w:ascii="Arial" w:hAnsi="Arial" w:cs="Arial"/>
          <w:lang w:val="es-DO"/>
        </w:rPr>
        <w:t>, tales como MTS</w:t>
      </w:r>
      <w:r w:rsidR="00206A16" w:rsidRPr="00DD37EC">
        <w:rPr>
          <w:rFonts w:ascii="Arial" w:hAnsi="Arial" w:cs="Arial"/>
          <w:lang w:val="es-DO"/>
        </w:rPr>
        <w:t>,</w:t>
      </w:r>
      <w:r w:rsidR="00596852" w:rsidRPr="00DD37EC">
        <w:rPr>
          <w:rFonts w:ascii="Arial" w:hAnsi="Arial" w:cs="Arial"/>
          <w:lang w:val="es-DO"/>
        </w:rPr>
        <w:t xml:space="preserve"> HS</w:t>
      </w:r>
      <w:r w:rsidR="00206A16" w:rsidRPr="00DD37EC">
        <w:rPr>
          <w:rFonts w:ascii="Arial" w:hAnsi="Arial" w:cs="Arial"/>
          <w:lang w:val="es-DO"/>
        </w:rPr>
        <w:t>H</w:t>
      </w:r>
      <w:r w:rsidR="008B445D" w:rsidRPr="00DD37EC">
        <w:rPr>
          <w:rFonts w:ascii="Arial" w:hAnsi="Arial" w:cs="Arial"/>
          <w:lang w:val="es-DO"/>
        </w:rPr>
        <w:t>, personas y personas TRANS</w:t>
      </w:r>
      <w:r w:rsidRPr="00DD37EC">
        <w:rPr>
          <w:rFonts w:ascii="Arial" w:hAnsi="Arial" w:cs="Arial"/>
          <w:lang w:val="es-DO"/>
        </w:rPr>
        <w:t xml:space="preserve">. </w:t>
      </w:r>
      <w:r w:rsidR="00596852" w:rsidRPr="00DD37EC">
        <w:rPr>
          <w:rFonts w:ascii="Arial" w:hAnsi="Arial" w:cs="Arial"/>
          <w:lang w:val="es-DO"/>
        </w:rPr>
        <w:t>Esto s</w:t>
      </w:r>
      <w:r w:rsidRPr="00DD37EC">
        <w:rPr>
          <w:rFonts w:ascii="Arial" w:hAnsi="Arial" w:cs="Arial"/>
          <w:lang w:val="es-DO"/>
        </w:rPr>
        <w:t>e observa en las tasas de prevalencia del VIH</w:t>
      </w:r>
      <w:r w:rsidR="00E83F92" w:rsidRPr="00DD37EC">
        <w:rPr>
          <w:rFonts w:ascii="Arial" w:hAnsi="Arial" w:cs="Arial"/>
          <w:lang w:val="es-DO"/>
        </w:rPr>
        <w:t xml:space="preserve"> decrecientes en estos</w:t>
      </w:r>
      <w:r w:rsidRPr="00DD37EC">
        <w:rPr>
          <w:rFonts w:ascii="Arial" w:hAnsi="Arial" w:cs="Arial"/>
          <w:lang w:val="es-DO"/>
        </w:rPr>
        <w:t xml:space="preserve"> grup</w:t>
      </w:r>
      <w:r w:rsidR="002E3168" w:rsidRPr="00DD37EC">
        <w:rPr>
          <w:rFonts w:ascii="Arial" w:hAnsi="Arial" w:cs="Arial"/>
          <w:lang w:val="es-DO"/>
        </w:rPr>
        <w:t>o</w:t>
      </w:r>
      <w:r w:rsidRPr="00DD37EC">
        <w:rPr>
          <w:rFonts w:ascii="Arial" w:hAnsi="Arial" w:cs="Arial"/>
          <w:lang w:val="es-DO"/>
        </w:rPr>
        <w:t>s</w:t>
      </w:r>
      <w:r w:rsidR="002E3168" w:rsidRPr="00DD37EC">
        <w:rPr>
          <w:rFonts w:ascii="Arial" w:hAnsi="Arial" w:cs="Arial"/>
          <w:lang w:val="es-DO"/>
        </w:rPr>
        <w:t xml:space="preserve"> entre 2012 y 2017</w:t>
      </w:r>
      <w:r w:rsidRPr="00DD37EC">
        <w:rPr>
          <w:rFonts w:ascii="Arial" w:hAnsi="Arial" w:cs="Arial"/>
          <w:lang w:val="es-DO"/>
        </w:rPr>
        <w:t xml:space="preserve">, </w:t>
      </w:r>
      <w:r w:rsidR="00026975" w:rsidRPr="00DD37EC">
        <w:rPr>
          <w:rFonts w:ascii="Arial" w:hAnsi="Arial" w:cs="Arial"/>
          <w:lang w:val="es-DO"/>
        </w:rPr>
        <w:t>aunque en el caso de los HSH</w:t>
      </w:r>
      <w:r w:rsidR="00657C08" w:rsidRPr="00DD37EC">
        <w:rPr>
          <w:rFonts w:ascii="Arial" w:hAnsi="Arial" w:cs="Arial"/>
          <w:lang w:val="es-DO"/>
        </w:rPr>
        <w:t xml:space="preserve"> y</w:t>
      </w:r>
      <w:r w:rsidR="00206A16" w:rsidRPr="00DD37EC">
        <w:rPr>
          <w:rFonts w:ascii="Arial" w:hAnsi="Arial" w:cs="Arial"/>
          <w:lang w:val="es-DO"/>
        </w:rPr>
        <w:t xml:space="preserve"> las personas </w:t>
      </w:r>
      <w:r w:rsidR="00026975" w:rsidRPr="00DD37EC">
        <w:rPr>
          <w:rFonts w:ascii="Arial" w:hAnsi="Arial" w:cs="Arial"/>
          <w:lang w:val="es-DO"/>
        </w:rPr>
        <w:t>TRANS</w:t>
      </w:r>
      <w:r w:rsidR="0040358E">
        <w:rPr>
          <w:rFonts w:ascii="Arial" w:hAnsi="Arial" w:cs="Arial"/>
          <w:lang w:val="es-DO"/>
        </w:rPr>
        <w:t>,</w:t>
      </w:r>
      <w:r w:rsidR="00657C08" w:rsidRPr="00DD37EC">
        <w:rPr>
          <w:rFonts w:ascii="Arial" w:hAnsi="Arial" w:cs="Arial"/>
          <w:lang w:val="es-DO"/>
        </w:rPr>
        <w:t xml:space="preserve"> la prevalencia sigue siendo significativa</w:t>
      </w:r>
      <w:r w:rsidR="00376F9F" w:rsidRPr="00DD37EC">
        <w:rPr>
          <w:rFonts w:ascii="Arial" w:hAnsi="Arial" w:cs="Arial"/>
          <w:lang w:val="es-DO"/>
        </w:rPr>
        <w:t>.</w:t>
      </w:r>
      <w:r w:rsidRPr="00DD37EC">
        <w:rPr>
          <w:rStyle w:val="FootnoteReference"/>
          <w:rFonts w:ascii="Arial" w:hAnsi="Arial" w:cs="Arial"/>
          <w:lang w:val="es-DO"/>
        </w:rPr>
        <w:footnoteReference w:id="19"/>
      </w:r>
      <w:r w:rsidR="0040358E">
        <w:rPr>
          <w:rFonts w:ascii="Arial" w:hAnsi="Arial" w:cs="Arial"/>
          <w:vertAlign w:val="superscript"/>
          <w:lang w:val="es-DO"/>
        </w:rPr>
        <w:t>,</w:t>
      </w:r>
      <w:r w:rsidR="00376F9F" w:rsidRPr="00DD37EC">
        <w:rPr>
          <w:rStyle w:val="FootnoteReference"/>
          <w:rFonts w:ascii="Arial" w:hAnsi="Arial" w:cs="Arial"/>
          <w:lang w:val="es-DO"/>
        </w:rPr>
        <w:footnoteReference w:id="20"/>
      </w:r>
      <w:r w:rsidR="00376F9F" w:rsidRPr="00DD37EC">
        <w:rPr>
          <w:rFonts w:ascii="Arial" w:hAnsi="Arial" w:cs="Arial"/>
          <w:lang w:val="es-DO"/>
        </w:rPr>
        <w:t xml:space="preserve"> </w:t>
      </w:r>
    </w:p>
    <w:p w14:paraId="49F47197" w14:textId="4D318373" w:rsidR="007E7C65" w:rsidRPr="000D73FA" w:rsidRDefault="000D73FA" w:rsidP="000D73FA">
      <w:pPr>
        <w:pStyle w:val="Caption"/>
        <w:rPr>
          <w:rStyle w:val="IntenseReference"/>
          <w:rFonts w:ascii="Arial" w:hAnsi="Arial" w:cs="Arial"/>
          <w:b/>
          <w:bCs/>
          <w:smallCaps w:val="0"/>
          <w:color w:val="auto"/>
          <w:spacing w:val="0"/>
          <w:sz w:val="22"/>
          <w:lang w:val="es-DO"/>
        </w:rPr>
      </w:pPr>
      <w:bookmarkStart w:id="32" w:name="_Toc8904504"/>
      <w:r w:rsidRPr="000D73FA">
        <w:rPr>
          <w:rFonts w:ascii="Arial" w:hAnsi="Arial" w:cs="Arial"/>
          <w:color w:val="auto"/>
          <w:sz w:val="22"/>
        </w:rPr>
        <w:t xml:space="preserve">Tabla </w:t>
      </w:r>
      <w:r w:rsidRPr="000D73FA">
        <w:rPr>
          <w:rFonts w:ascii="Arial" w:hAnsi="Arial" w:cs="Arial"/>
          <w:color w:val="auto"/>
          <w:sz w:val="22"/>
        </w:rPr>
        <w:fldChar w:fldCharType="begin"/>
      </w:r>
      <w:r w:rsidRPr="000D73FA">
        <w:rPr>
          <w:rFonts w:ascii="Arial" w:hAnsi="Arial" w:cs="Arial"/>
          <w:color w:val="auto"/>
          <w:sz w:val="22"/>
        </w:rPr>
        <w:instrText xml:space="preserve"> SEQ Tabla \* ARABIC </w:instrText>
      </w:r>
      <w:r w:rsidRPr="000D73FA">
        <w:rPr>
          <w:rFonts w:ascii="Arial" w:hAnsi="Arial" w:cs="Arial"/>
          <w:color w:val="auto"/>
          <w:sz w:val="22"/>
        </w:rPr>
        <w:fldChar w:fldCharType="separate"/>
      </w:r>
      <w:r w:rsidR="00D447AE">
        <w:rPr>
          <w:rFonts w:ascii="Arial" w:hAnsi="Arial" w:cs="Arial"/>
          <w:noProof/>
          <w:color w:val="auto"/>
          <w:sz w:val="22"/>
        </w:rPr>
        <w:t>2</w:t>
      </w:r>
      <w:r w:rsidRPr="000D73FA">
        <w:rPr>
          <w:rFonts w:ascii="Arial" w:hAnsi="Arial" w:cs="Arial"/>
          <w:color w:val="auto"/>
          <w:sz w:val="22"/>
        </w:rPr>
        <w:fldChar w:fldCharType="end"/>
      </w:r>
      <w:r w:rsidRPr="000D73FA">
        <w:rPr>
          <w:rFonts w:ascii="Arial" w:hAnsi="Arial" w:cs="Arial"/>
          <w:color w:val="auto"/>
          <w:sz w:val="22"/>
        </w:rPr>
        <w:t>. Prevalencias del VIH en población clave, 2006-2017</w:t>
      </w:r>
      <w:bookmarkStart w:id="33" w:name="_Hlk535425807"/>
      <w:bookmarkEnd w:id="32"/>
    </w:p>
    <w:bookmarkEnd w:id="33"/>
    <w:tbl>
      <w:tblPr>
        <w:tblStyle w:val="GridTable4-Accent1"/>
        <w:tblW w:w="0" w:type="auto"/>
        <w:tblLook w:val="04A0" w:firstRow="1" w:lastRow="0" w:firstColumn="1" w:lastColumn="0" w:noHBand="0" w:noVBand="1"/>
      </w:tblPr>
      <w:tblGrid>
        <w:gridCol w:w="2245"/>
        <w:gridCol w:w="1594"/>
        <w:gridCol w:w="1884"/>
        <w:gridCol w:w="1950"/>
        <w:gridCol w:w="1677"/>
      </w:tblGrid>
      <w:tr w:rsidR="00376F9F" w:rsidRPr="00DD37EC" w14:paraId="3ADE2FC9" w14:textId="77777777" w:rsidTr="005419A3">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45" w:type="dxa"/>
            <w:shd w:val="clear" w:color="auto" w:fill="1F3864" w:themeFill="accent1" w:themeFillShade="80"/>
          </w:tcPr>
          <w:p w14:paraId="74F2E56A" w14:textId="77777777" w:rsidR="00376F9F" w:rsidRPr="00DD37EC" w:rsidRDefault="00376F9F" w:rsidP="00DD37EC">
            <w:pPr>
              <w:spacing w:after="240"/>
              <w:contextualSpacing/>
              <w:rPr>
                <w:rFonts w:ascii="Arial" w:hAnsi="Arial" w:cs="Arial"/>
                <w:highlight w:val="yellow"/>
                <w:lang w:val="es-419"/>
              </w:rPr>
            </w:pPr>
          </w:p>
        </w:tc>
        <w:tc>
          <w:tcPr>
            <w:tcW w:w="5428" w:type="dxa"/>
            <w:gridSpan w:val="3"/>
            <w:shd w:val="clear" w:color="auto" w:fill="1F3864" w:themeFill="accent1" w:themeFillShade="80"/>
          </w:tcPr>
          <w:p w14:paraId="2557F8E3" w14:textId="77777777" w:rsidR="00376F9F" w:rsidRPr="00DD37EC" w:rsidRDefault="00376F9F" w:rsidP="00DD37EC">
            <w:pPr>
              <w:spacing w:after="240"/>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lang w:val="es-419"/>
              </w:rPr>
            </w:pPr>
            <w:r w:rsidRPr="00DD37EC">
              <w:rPr>
                <w:rFonts w:ascii="Arial" w:hAnsi="Arial" w:cs="Arial"/>
                <w:lang w:val="es-419"/>
              </w:rPr>
              <w:t>Prevalencias de VIH</w:t>
            </w:r>
          </w:p>
        </w:tc>
        <w:tc>
          <w:tcPr>
            <w:tcW w:w="1677" w:type="dxa"/>
            <w:shd w:val="clear" w:color="auto" w:fill="1F3864" w:themeFill="accent1" w:themeFillShade="80"/>
          </w:tcPr>
          <w:p w14:paraId="3AF3ED2A" w14:textId="77777777" w:rsidR="00376F9F" w:rsidRPr="00DD37EC" w:rsidRDefault="00376F9F" w:rsidP="00DD37EC">
            <w:pPr>
              <w:spacing w:after="240"/>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lang w:val="es-419"/>
              </w:rPr>
            </w:pPr>
            <w:r w:rsidRPr="00DD37EC">
              <w:rPr>
                <w:rFonts w:ascii="Arial" w:hAnsi="Arial" w:cs="Arial"/>
                <w:lang w:val="es-419"/>
              </w:rPr>
              <w:t xml:space="preserve">Estimación de la población </w:t>
            </w:r>
          </w:p>
        </w:tc>
      </w:tr>
      <w:tr w:rsidR="00376F9F" w:rsidRPr="00DD37EC" w14:paraId="5F15C298" w14:textId="77777777" w:rsidTr="005419A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45" w:type="dxa"/>
            <w:shd w:val="clear" w:color="auto" w:fill="BFBFBF" w:themeFill="background1" w:themeFillShade="BF"/>
            <w:vAlign w:val="center"/>
          </w:tcPr>
          <w:p w14:paraId="78DC0F74" w14:textId="77777777" w:rsidR="00376F9F" w:rsidRPr="00DD37EC" w:rsidRDefault="00376F9F" w:rsidP="00DD37EC">
            <w:pPr>
              <w:spacing w:after="240"/>
              <w:contextualSpacing/>
              <w:jc w:val="center"/>
              <w:rPr>
                <w:rFonts w:ascii="Arial" w:hAnsi="Arial" w:cs="Arial"/>
                <w:highlight w:val="yellow"/>
                <w:lang w:val="es-419"/>
              </w:rPr>
            </w:pPr>
            <w:r w:rsidRPr="00DD37EC">
              <w:rPr>
                <w:rFonts w:ascii="Arial" w:hAnsi="Arial" w:cs="Arial"/>
                <w:lang w:val="es-419"/>
              </w:rPr>
              <w:t>Población clave</w:t>
            </w:r>
          </w:p>
        </w:tc>
        <w:tc>
          <w:tcPr>
            <w:tcW w:w="1594" w:type="dxa"/>
            <w:shd w:val="clear" w:color="auto" w:fill="BFBFBF" w:themeFill="background1" w:themeFillShade="BF"/>
            <w:vAlign w:val="center"/>
          </w:tcPr>
          <w:p w14:paraId="2D49C263" w14:textId="77777777" w:rsidR="00376F9F" w:rsidRPr="00DD37EC" w:rsidRDefault="00376F9F" w:rsidP="00DD37EC">
            <w:pPr>
              <w:spacing w:after="240"/>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i/>
                <w:lang w:val="es-419"/>
              </w:rPr>
            </w:pPr>
            <w:r w:rsidRPr="00DD37EC">
              <w:rPr>
                <w:rFonts w:ascii="Arial" w:hAnsi="Arial" w:cs="Arial"/>
                <w:b/>
                <w:lang w:val="es-419"/>
              </w:rPr>
              <w:t>2006</w:t>
            </w:r>
          </w:p>
        </w:tc>
        <w:tc>
          <w:tcPr>
            <w:tcW w:w="1884" w:type="dxa"/>
            <w:shd w:val="clear" w:color="auto" w:fill="BFBFBF" w:themeFill="background1" w:themeFillShade="BF"/>
            <w:vAlign w:val="center"/>
          </w:tcPr>
          <w:p w14:paraId="01B32384" w14:textId="77777777" w:rsidR="00376F9F" w:rsidRPr="00DD37EC" w:rsidRDefault="00376F9F" w:rsidP="00DD37EC">
            <w:pPr>
              <w:spacing w:after="240"/>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i/>
                <w:lang w:val="es-419"/>
              </w:rPr>
            </w:pPr>
            <w:r w:rsidRPr="00DD37EC">
              <w:rPr>
                <w:rFonts w:ascii="Arial" w:hAnsi="Arial" w:cs="Arial"/>
                <w:b/>
                <w:lang w:val="es-419"/>
              </w:rPr>
              <w:t>2012</w:t>
            </w:r>
          </w:p>
        </w:tc>
        <w:tc>
          <w:tcPr>
            <w:tcW w:w="1950" w:type="dxa"/>
            <w:shd w:val="clear" w:color="auto" w:fill="BFBFBF" w:themeFill="background1" w:themeFillShade="BF"/>
            <w:vAlign w:val="center"/>
          </w:tcPr>
          <w:p w14:paraId="5066205F" w14:textId="77777777" w:rsidR="00376F9F" w:rsidRPr="00DD37EC" w:rsidRDefault="00376F9F" w:rsidP="00DD37EC">
            <w:pPr>
              <w:spacing w:after="240"/>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i/>
                <w:lang w:val="es-419"/>
              </w:rPr>
            </w:pPr>
            <w:r w:rsidRPr="00DD37EC">
              <w:rPr>
                <w:rFonts w:ascii="Arial" w:hAnsi="Arial" w:cs="Arial"/>
                <w:b/>
                <w:lang w:val="es-419"/>
              </w:rPr>
              <w:t>2017</w:t>
            </w:r>
          </w:p>
        </w:tc>
        <w:tc>
          <w:tcPr>
            <w:tcW w:w="1677" w:type="dxa"/>
            <w:shd w:val="clear" w:color="auto" w:fill="BFBFBF" w:themeFill="background1" w:themeFillShade="BF"/>
            <w:vAlign w:val="center"/>
          </w:tcPr>
          <w:p w14:paraId="78F4B6CD" w14:textId="77777777" w:rsidR="00376F9F" w:rsidRPr="00DD37EC" w:rsidRDefault="00376F9F" w:rsidP="00DD37EC">
            <w:pPr>
              <w:spacing w:after="240"/>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b/>
                <w:lang w:val="es-419"/>
              </w:rPr>
            </w:pPr>
            <w:r w:rsidRPr="00DD37EC">
              <w:rPr>
                <w:rFonts w:ascii="Arial" w:hAnsi="Arial" w:cs="Arial"/>
                <w:b/>
                <w:lang w:val="es-419"/>
              </w:rPr>
              <w:t>2017</w:t>
            </w:r>
          </w:p>
        </w:tc>
      </w:tr>
      <w:tr w:rsidR="00376F9F" w:rsidRPr="00DD37EC" w14:paraId="05EFA8A8" w14:textId="77777777" w:rsidTr="007E7C65">
        <w:trPr>
          <w:trHeight w:val="20"/>
        </w:trPr>
        <w:tc>
          <w:tcPr>
            <w:cnfStyle w:val="001000000000" w:firstRow="0" w:lastRow="0" w:firstColumn="1" w:lastColumn="0" w:oddVBand="0" w:evenVBand="0" w:oddHBand="0" w:evenHBand="0" w:firstRowFirstColumn="0" w:firstRowLastColumn="0" w:lastRowFirstColumn="0" w:lastRowLastColumn="0"/>
            <w:tcW w:w="2245" w:type="dxa"/>
          </w:tcPr>
          <w:p w14:paraId="60D71F41" w14:textId="77777777" w:rsidR="00376F9F" w:rsidRPr="00DD37EC" w:rsidRDefault="00376F9F" w:rsidP="00DD37EC">
            <w:pPr>
              <w:spacing w:after="240"/>
              <w:contextualSpacing/>
              <w:rPr>
                <w:rFonts w:ascii="Arial" w:hAnsi="Arial" w:cs="Arial"/>
                <w:b w:val="0"/>
                <w:highlight w:val="yellow"/>
                <w:lang w:val="es-419"/>
              </w:rPr>
            </w:pPr>
            <w:r w:rsidRPr="00DD37EC">
              <w:rPr>
                <w:rFonts w:ascii="Arial" w:hAnsi="Arial" w:cs="Arial"/>
                <w:b w:val="0"/>
                <w:lang w:val="es-DO"/>
              </w:rPr>
              <w:t>MTS</w:t>
            </w:r>
          </w:p>
        </w:tc>
        <w:tc>
          <w:tcPr>
            <w:tcW w:w="1594" w:type="dxa"/>
          </w:tcPr>
          <w:p w14:paraId="37D6D8E1" w14:textId="77777777" w:rsidR="00376F9F" w:rsidRPr="00DD37EC" w:rsidRDefault="00376F9F" w:rsidP="00DD37EC">
            <w:pPr>
              <w:spacing w:after="240"/>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lang w:val="es-419"/>
              </w:rPr>
            </w:pPr>
            <w:r w:rsidRPr="00DD37EC">
              <w:rPr>
                <w:rFonts w:ascii="Arial" w:hAnsi="Arial" w:cs="Arial"/>
                <w:lang w:val="es-419"/>
              </w:rPr>
              <w:t>4.1%</w:t>
            </w:r>
          </w:p>
        </w:tc>
        <w:tc>
          <w:tcPr>
            <w:tcW w:w="1884" w:type="dxa"/>
          </w:tcPr>
          <w:p w14:paraId="484B0887" w14:textId="77777777" w:rsidR="00376F9F" w:rsidRPr="00DD37EC" w:rsidRDefault="00376F9F" w:rsidP="00DD37EC">
            <w:pPr>
              <w:spacing w:after="240"/>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lang w:val="es-419"/>
              </w:rPr>
            </w:pPr>
            <w:r w:rsidRPr="00DD37EC">
              <w:rPr>
                <w:rFonts w:ascii="Arial" w:hAnsi="Arial" w:cs="Arial"/>
                <w:lang w:val="es-419"/>
              </w:rPr>
              <w:t>5.9%</w:t>
            </w:r>
          </w:p>
        </w:tc>
        <w:tc>
          <w:tcPr>
            <w:tcW w:w="1950" w:type="dxa"/>
          </w:tcPr>
          <w:p w14:paraId="01930641" w14:textId="77777777" w:rsidR="00376F9F" w:rsidRPr="00DD37EC" w:rsidRDefault="00376F9F" w:rsidP="00DD37EC">
            <w:pPr>
              <w:spacing w:after="240"/>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lang w:val="es-419"/>
              </w:rPr>
            </w:pPr>
            <w:r w:rsidRPr="00DD37EC">
              <w:rPr>
                <w:rFonts w:ascii="Arial" w:hAnsi="Arial" w:cs="Arial"/>
                <w:lang w:val="es-419"/>
              </w:rPr>
              <w:t>3.6%</w:t>
            </w:r>
          </w:p>
        </w:tc>
        <w:tc>
          <w:tcPr>
            <w:tcW w:w="1677" w:type="dxa"/>
          </w:tcPr>
          <w:p w14:paraId="00638B9D" w14:textId="77777777" w:rsidR="00376F9F" w:rsidRPr="00DD37EC" w:rsidRDefault="00376F9F" w:rsidP="00DD37EC">
            <w:pPr>
              <w:spacing w:after="240"/>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lang w:val="es-419"/>
              </w:rPr>
            </w:pPr>
            <w:r w:rsidRPr="00DD37EC">
              <w:rPr>
                <w:rFonts w:ascii="Arial" w:hAnsi="Arial" w:cs="Arial"/>
                <w:lang w:val="es-419"/>
              </w:rPr>
              <w:t>22,761</w:t>
            </w:r>
          </w:p>
        </w:tc>
      </w:tr>
      <w:tr w:rsidR="00376F9F" w:rsidRPr="00DD37EC" w14:paraId="2B627239" w14:textId="77777777" w:rsidTr="005419A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45" w:type="dxa"/>
            <w:shd w:val="clear" w:color="auto" w:fill="F2F2F2" w:themeFill="background1" w:themeFillShade="F2"/>
          </w:tcPr>
          <w:p w14:paraId="5625F0DC" w14:textId="77777777" w:rsidR="00376F9F" w:rsidRPr="00DD37EC" w:rsidRDefault="00376F9F" w:rsidP="00DD37EC">
            <w:pPr>
              <w:spacing w:after="240"/>
              <w:contextualSpacing/>
              <w:rPr>
                <w:rFonts w:ascii="Arial" w:hAnsi="Arial" w:cs="Arial"/>
                <w:b w:val="0"/>
                <w:lang w:val="es-419"/>
              </w:rPr>
            </w:pPr>
            <w:r w:rsidRPr="00DD37EC">
              <w:rPr>
                <w:rFonts w:ascii="Arial" w:hAnsi="Arial" w:cs="Arial"/>
                <w:b w:val="0"/>
                <w:lang w:val="es-DO"/>
              </w:rPr>
              <w:t>HSH</w:t>
            </w:r>
          </w:p>
        </w:tc>
        <w:tc>
          <w:tcPr>
            <w:tcW w:w="1594" w:type="dxa"/>
            <w:shd w:val="clear" w:color="auto" w:fill="F2F2F2" w:themeFill="background1" w:themeFillShade="F2"/>
          </w:tcPr>
          <w:p w14:paraId="0896025C" w14:textId="77777777" w:rsidR="00376F9F" w:rsidRPr="00DD37EC" w:rsidRDefault="00376F9F" w:rsidP="00DD37EC">
            <w:pPr>
              <w:spacing w:after="240"/>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lang w:val="es-419"/>
              </w:rPr>
            </w:pPr>
            <w:r w:rsidRPr="00DD37EC">
              <w:rPr>
                <w:rFonts w:ascii="Arial" w:hAnsi="Arial" w:cs="Arial"/>
                <w:lang w:val="es-419"/>
              </w:rPr>
              <w:t>6.9%</w:t>
            </w:r>
          </w:p>
        </w:tc>
        <w:tc>
          <w:tcPr>
            <w:tcW w:w="1884" w:type="dxa"/>
            <w:shd w:val="clear" w:color="auto" w:fill="F2F2F2" w:themeFill="background1" w:themeFillShade="F2"/>
          </w:tcPr>
          <w:p w14:paraId="7DE53878" w14:textId="77777777" w:rsidR="00376F9F" w:rsidRPr="00DD37EC" w:rsidRDefault="00376F9F" w:rsidP="00DD37EC">
            <w:pPr>
              <w:spacing w:after="240"/>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lang w:val="es-419"/>
              </w:rPr>
            </w:pPr>
            <w:r w:rsidRPr="00DD37EC">
              <w:rPr>
                <w:rFonts w:ascii="Arial" w:hAnsi="Arial" w:cs="Arial"/>
                <w:lang w:val="es-419"/>
              </w:rPr>
              <w:t>14.3%</w:t>
            </w:r>
          </w:p>
        </w:tc>
        <w:tc>
          <w:tcPr>
            <w:tcW w:w="1950" w:type="dxa"/>
            <w:shd w:val="clear" w:color="auto" w:fill="F2F2F2" w:themeFill="background1" w:themeFillShade="F2"/>
          </w:tcPr>
          <w:p w14:paraId="5DB44482" w14:textId="77777777" w:rsidR="00376F9F" w:rsidRPr="00DD37EC" w:rsidRDefault="00376F9F" w:rsidP="00DD37EC">
            <w:pPr>
              <w:spacing w:after="240"/>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lang w:val="es-419"/>
              </w:rPr>
            </w:pPr>
            <w:r w:rsidRPr="00DD37EC">
              <w:rPr>
                <w:rFonts w:ascii="Arial" w:hAnsi="Arial" w:cs="Arial"/>
                <w:lang w:val="es-419"/>
              </w:rPr>
              <w:t>12.4%</w:t>
            </w:r>
          </w:p>
        </w:tc>
        <w:tc>
          <w:tcPr>
            <w:tcW w:w="1677" w:type="dxa"/>
            <w:shd w:val="clear" w:color="auto" w:fill="F2F2F2" w:themeFill="background1" w:themeFillShade="F2"/>
          </w:tcPr>
          <w:p w14:paraId="67B5253D" w14:textId="77777777" w:rsidR="00376F9F" w:rsidRPr="00DD37EC" w:rsidRDefault="00376F9F" w:rsidP="00DD37EC">
            <w:pPr>
              <w:spacing w:after="240"/>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lang w:val="es-419"/>
              </w:rPr>
            </w:pPr>
            <w:r w:rsidRPr="00DD37EC">
              <w:rPr>
                <w:rFonts w:ascii="Arial" w:hAnsi="Arial" w:cs="Arial"/>
                <w:lang w:val="es-419"/>
              </w:rPr>
              <w:t>55,934</w:t>
            </w:r>
          </w:p>
        </w:tc>
      </w:tr>
      <w:tr w:rsidR="00376F9F" w:rsidRPr="00DD37EC" w14:paraId="3A1C25E3" w14:textId="77777777" w:rsidTr="007E7C65">
        <w:trPr>
          <w:trHeight w:val="20"/>
        </w:trPr>
        <w:tc>
          <w:tcPr>
            <w:cnfStyle w:val="001000000000" w:firstRow="0" w:lastRow="0" w:firstColumn="1" w:lastColumn="0" w:oddVBand="0" w:evenVBand="0" w:oddHBand="0" w:evenHBand="0" w:firstRowFirstColumn="0" w:firstRowLastColumn="0" w:lastRowFirstColumn="0" w:lastRowLastColumn="0"/>
            <w:tcW w:w="2245" w:type="dxa"/>
          </w:tcPr>
          <w:p w14:paraId="7AC4BF1C" w14:textId="77777777" w:rsidR="00376F9F" w:rsidRPr="00DD37EC" w:rsidRDefault="00376F9F" w:rsidP="00DD37EC">
            <w:pPr>
              <w:spacing w:after="240"/>
              <w:contextualSpacing/>
              <w:rPr>
                <w:rFonts w:ascii="Arial" w:hAnsi="Arial" w:cs="Arial"/>
                <w:b w:val="0"/>
                <w:lang w:val="es-419"/>
              </w:rPr>
            </w:pPr>
            <w:r w:rsidRPr="00DD37EC">
              <w:rPr>
                <w:rFonts w:ascii="Arial" w:hAnsi="Arial" w:cs="Arial"/>
                <w:b w:val="0"/>
                <w:lang w:val="es-419"/>
              </w:rPr>
              <w:t xml:space="preserve">Garífunas </w:t>
            </w:r>
          </w:p>
        </w:tc>
        <w:tc>
          <w:tcPr>
            <w:tcW w:w="1594" w:type="dxa"/>
          </w:tcPr>
          <w:p w14:paraId="68E47D2C" w14:textId="77777777" w:rsidR="00376F9F" w:rsidRPr="00DD37EC" w:rsidRDefault="00376F9F" w:rsidP="00DD37EC">
            <w:pPr>
              <w:spacing w:after="240"/>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lang w:val="es-419"/>
              </w:rPr>
            </w:pPr>
            <w:r w:rsidRPr="00DD37EC">
              <w:rPr>
                <w:rFonts w:ascii="Arial" w:hAnsi="Arial" w:cs="Arial"/>
                <w:lang w:val="es-419"/>
              </w:rPr>
              <w:t>4.5%</w:t>
            </w:r>
          </w:p>
        </w:tc>
        <w:tc>
          <w:tcPr>
            <w:tcW w:w="1884" w:type="dxa"/>
          </w:tcPr>
          <w:p w14:paraId="20A2DF52" w14:textId="77777777" w:rsidR="00376F9F" w:rsidRPr="00DD37EC" w:rsidRDefault="00376F9F" w:rsidP="00DD37EC">
            <w:pPr>
              <w:spacing w:after="240"/>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lang w:val="es-419"/>
              </w:rPr>
            </w:pPr>
            <w:r w:rsidRPr="00DD37EC">
              <w:rPr>
                <w:rFonts w:ascii="Arial" w:hAnsi="Arial" w:cs="Arial"/>
                <w:lang w:val="es-419"/>
              </w:rPr>
              <w:t>3.6%</w:t>
            </w:r>
          </w:p>
        </w:tc>
        <w:tc>
          <w:tcPr>
            <w:tcW w:w="1950" w:type="dxa"/>
          </w:tcPr>
          <w:p w14:paraId="235E1A91" w14:textId="77777777" w:rsidR="00376F9F" w:rsidRPr="00DD37EC" w:rsidRDefault="00376F9F" w:rsidP="00DD37EC">
            <w:pPr>
              <w:spacing w:after="240"/>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lang w:val="es-419"/>
              </w:rPr>
            </w:pPr>
            <w:r w:rsidRPr="00DD37EC">
              <w:rPr>
                <w:rFonts w:ascii="Arial" w:hAnsi="Arial" w:cs="Arial"/>
                <w:lang w:val="es-419"/>
              </w:rPr>
              <w:t>-</w:t>
            </w:r>
          </w:p>
        </w:tc>
        <w:tc>
          <w:tcPr>
            <w:tcW w:w="1677" w:type="dxa"/>
          </w:tcPr>
          <w:p w14:paraId="6C2DF4FB" w14:textId="77777777" w:rsidR="00376F9F" w:rsidRPr="00DD37EC" w:rsidRDefault="00376F9F" w:rsidP="00DD37EC">
            <w:pPr>
              <w:spacing w:after="240"/>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lang w:val="es-419"/>
              </w:rPr>
            </w:pPr>
            <w:r w:rsidRPr="00DD37EC">
              <w:rPr>
                <w:rFonts w:ascii="Arial" w:hAnsi="Arial" w:cs="Arial"/>
                <w:lang w:val="es-419"/>
              </w:rPr>
              <w:t>46,448</w:t>
            </w:r>
          </w:p>
        </w:tc>
      </w:tr>
      <w:tr w:rsidR="00376F9F" w:rsidRPr="00DD37EC" w14:paraId="25ABCC1F" w14:textId="77777777" w:rsidTr="005419A3">
        <w:trPr>
          <w:cnfStyle w:val="000000100000" w:firstRow="0" w:lastRow="0" w:firstColumn="0" w:lastColumn="0" w:oddVBand="0" w:evenVBand="0" w:oddHBand="1"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2245" w:type="dxa"/>
            <w:shd w:val="clear" w:color="auto" w:fill="F2F2F2" w:themeFill="background1" w:themeFillShade="F2"/>
          </w:tcPr>
          <w:p w14:paraId="64E65419" w14:textId="77777777" w:rsidR="00376F9F" w:rsidRPr="00DD37EC" w:rsidRDefault="00376F9F" w:rsidP="00DD37EC">
            <w:pPr>
              <w:spacing w:after="240"/>
              <w:contextualSpacing/>
              <w:rPr>
                <w:rFonts w:ascii="Arial" w:hAnsi="Arial" w:cs="Arial"/>
                <w:b w:val="0"/>
                <w:lang w:val="es-419"/>
              </w:rPr>
            </w:pPr>
            <w:r w:rsidRPr="00DD37EC">
              <w:rPr>
                <w:rFonts w:ascii="Arial" w:hAnsi="Arial" w:cs="Arial"/>
                <w:b w:val="0"/>
                <w:lang w:val="es-DO"/>
              </w:rPr>
              <w:t>Personas TRANS</w:t>
            </w:r>
          </w:p>
        </w:tc>
        <w:tc>
          <w:tcPr>
            <w:tcW w:w="1594" w:type="dxa"/>
            <w:shd w:val="clear" w:color="auto" w:fill="F2F2F2" w:themeFill="background1" w:themeFillShade="F2"/>
          </w:tcPr>
          <w:p w14:paraId="73352CBA" w14:textId="77777777" w:rsidR="00376F9F" w:rsidRPr="00DD37EC" w:rsidRDefault="00376F9F" w:rsidP="00DD37EC">
            <w:pPr>
              <w:spacing w:after="240"/>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lang w:val="es-419"/>
              </w:rPr>
            </w:pPr>
            <w:r w:rsidRPr="00DD37EC">
              <w:rPr>
                <w:rFonts w:ascii="Arial" w:hAnsi="Arial" w:cs="Arial"/>
                <w:lang w:val="es-419"/>
              </w:rPr>
              <w:t>-</w:t>
            </w:r>
          </w:p>
        </w:tc>
        <w:tc>
          <w:tcPr>
            <w:tcW w:w="1884" w:type="dxa"/>
            <w:shd w:val="clear" w:color="auto" w:fill="F2F2F2" w:themeFill="background1" w:themeFillShade="F2"/>
          </w:tcPr>
          <w:p w14:paraId="5A01E01E" w14:textId="77777777" w:rsidR="00376F9F" w:rsidRPr="00DD37EC" w:rsidRDefault="00376F9F" w:rsidP="00DD37EC">
            <w:pPr>
              <w:spacing w:after="240"/>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lang w:val="es-419"/>
              </w:rPr>
            </w:pPr>
            <w:r w:rsidRPr="00DD37EC">
              <w:rPr>
                <w:rFonts w:ascii="Arial" w:hAnsi="Arial" w:cs="Arial"/>
                <w:lang w:val="es-419"/>
              </w:rPr>
              <w:t>13.3%</w:t>
            </w:r>
          </w:p>
        </w:tc>
        <w:tc>
          <w:tcPr>
            <w:tcW w:w="1950" w:type="dxa"/>
            <w:shd w:val="clear" w:color="auto" w:fill="F2F2F2" w:themeFill="background1" w:themeFillShade="F2"/>
          </w:tcPr>
          <w:p w14:paraId="14FFC52E" w14:textId="77777777" w:rsidR="00376F9F" w:rsidRPr="00DD37EC" w:rsidRDefault="00376F9F" w:rsidP="00DD37EC">
            <w:pPr>
              <w:spacing w:after="240"/>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lang w:val="es-419"/>
              </w:rPr>
            </w:pPr>
            <w:r w:rsidRPr="00DD37EC">
              <w:rPr>
                <w:rFonts w:ascii="Arial" w:hAnsi="Arial" w:cs="Arial"/>
                <w:lang w:val="es-419"/>
              </w:rPr>
              <w:t>9.7%</w:t>
            </w:r>
          </w:p>
        </w:tc>
        <w:tc>
          <w:tcPr>
            <w:tcW w:w="1677" w:type="dxa"/>
            <w:shd w:val="clear" w:color="auto" w:fill="F2F2F2" w:themeFill="background1" w:themeFillShade="F2"/>
          </w:tcPr>
          <w:p w14:paraId="333C26DD" w14:textId="77777777" w:rsidR="00376F9F" w:rsidRPr="00DD37EC" w:rsidRDefault="00376F9F" w:rsidP="00DD37EC">
            <w:pPr>
              <w:spacing w:after="240"/>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lang w:val="es-419"/>
              </w:rPr>
            </w:pPr>
            <w:r w:rsidRPr="00DD37EC">
              <w:rPr>
                <w:rFonts w:ascii="Arial" w:hAnsi="Arial" w:cs="Arial"/>
                <w:lang w:val="es-419"/>
              </w:rPr>
              <w:t>2,975</w:t>
            </w:r>
          </w:p>
        </w:tc>
      </w:tr>
      <w:tr w:rsidR="00376F9F" w:rsidRPr="00DD37EC" w14:paraId="4FAF6DBA" w14:textId="77777777" w:rsidTr="007E7C65">
        <w:trPr>
          <w:trHeight w:val="20"/>
        </w:trPr>
        <w:tc>
          <w:tcPr>
            <w:cnfStyle w:val="001000000000" w:firstRow="0" w:lastRow="0" w:firstColumn="1" w:lastColumn="0" w:oddVBand="0" w:evenVBand="0" w:oddHBand="0" w:evenHBand="0" w:firstRowFirstColumn="0" w:firstRowLastColumn="0" w:lastRowFirstColumn="0" w:lastRowLastColumn="0"/>
            <w:tcW w:w="2245" w:type="dxa"/>
          </w:tcPr>
          <w:p w14:paraId="4AC280F3" w14:textId="77777777" w:rsidR="00376F9F" w:rsidRPr="00DD37EC" w:rsidRDefault="00376F9F" w:rsidP="00DD37EC">
            <w:pPr>
              <w:spacing w:after="240"/>
              <w:contextualSpacing/>
              <w:rPr>
                <w:rFonts w:ascii="Arial" w:hAnsi="Arial" w:cs="Arial"/>
                <w:b w:val="0"/>
                <w:lang w:val="es-419"/>
              </w:rPr>
            </w:pPr>
            <w:r w:rsidRPr="00DD37EC">
              <w:rPr>
                <w:rFonts w:ascii="Arial" w:hAnsi="Arial" w:cs="Arial"/>
                <w:b w:val="0"/>
                <w:lang w:val="es-DO"/>
              </w:rPr>
              <w:t>Privados de libertad</w:t>
            </w:r>
          </w:p>
        </w:tc>
        <w:tc>
          <w:tcPr>
            <w:tcW w:w="1594" w:type="dxa"/>
          </w:tcPr>
          <w:p w14:paraId="22D9D341" w14:textId="77777777" w:rsidR="00376F9F" w:rsidRPr="00DD37EC" w:rsidRDefault="00376F9F" w:rsidP="00DD37EC">
            <w:pPr>
              <w:spacing w:after="240"/>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lang w:val="es-419"/>
              </w:rPr>
            </w:pPr>
            <w:r w:rsidRPr="00DD37EC">
              <w:rPr>
                <w:rFonts w:ascii="Arial" w:hAnsi="Arial" w:cs="Arial"/>
                <w:lang w:val="es-419"/>
              </w:rPr>
              <w:t>-</w:t>
            </w:r>
          </w:p>
        </w:tc>
        <w:tc>
          <w:tcPr>
            <w:tcW w:w="1884" w:type="dxa"/>
          </w:tcPr>
          <w:p w14:paraId="198A2A73" w14:textId="77777777" w:rsidR="00376F9F" w:rsidRPr="00DD37EC" w:rsidRDefault="00376F9F" w:rsidP="00DD37EC">
            <w:pPr>
              <w:spacing w:after="240"/>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lang w:val="es-419"/>
              </w:rPr>
            </w:pPr>
            <w:r w:rsidRPr="00DD37EC">
              <w:rPr>
                <w:rFonts w:ascii="Arial" w:hAnsi="Arial" w:cs="Arial"/>
                <w:lang w:val="es-419"/>
              </w:rPr>
              <w:t>-</w:t>
            </w:r>
          </w:p>
        </w:tc>
        <w:tc>
          <w:tcPr>
            <w:tcW w:w="1950" w:type="dxa"/>
          </w:tcPr>
          <w:p w14:paraId="648B3C57" w14:textId="77777777" w:rsidR="00376F9F" w:rsidRPr="00DD37EC" w:rsidRDefault="00376F9F" w:rsidP="00DD37EC">
            <w:pPr>
              <w:spacing w:after="240"/>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lang w:val="es-419"/>
              </w:rPr>
            </w:pPr>
            <w:r w:rsidRPr="00DD37EC">
              <w:rPr>
                <w:rFonts w:ascii="Arial" w:hAnsi="Arial" w:cs="Arial"/>
                <w:lang w:val="es-419"/>
              </w:rPr>
              <w:t>1.7%</w:t>
            </w:r>
          </w:p>
        </w:tc>
        <w:tc>
          <w:tcPr>
            <w:tcW w:w="1677" w:type="dxa"/>
          </w:tcPr>
          <w:p w14:paraId="4C96C925" w14:textId="77777777" w:rsidR="00376F9F" w:rsidRPr="00DD37EC" w:rsidRDefault="00376F9F" w:rsidP="00DD37EC">
            <w:pPr>
              <w:spacing w:after="240"/>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lang w:val="es-419"/>
              </w:rPr>
            </w:pPr>
            <w:r w:rsidRPr="00DD37EC">
              <w:rPr>
                <w:rFonts w:ascii="Arial" w:hAnsi="Arial" w:cs="Arial"/>
                <w:lang w:val="es-419"/>
              </w:rPr>
              <w:t>13,349</w:t>
            </w:r>
          </w:p>
        </w:tc>
      </w:tr>
    </w:tbl>
    <w:p w14:paraId="4A0BA261" w14:textId="247795FF" w:rsidR="007E7C65" w:rsidRPr="00167C47" w:rsidRDefault="00FB2567" w:rsidP="007E7C65">
      <w:pPr>
        <w:spacing w:after="240" w:line="240" w:lineRule="auto"/>
        <w:jc w:val="both"/>
        <w:rPr>
          <w:rFonts w:ascii="Arial" w:hAnsi="Arial" w:cs="Arial"/>
          <w:i/>
          <w:sz w:val="18"/>
          <w:lang w:val="es-DO"/>
        </w:rPr>
      </w:pPr>
      <w:r w:rsidRPr="00167C47">
        <w:rPr>
          <w:rFonts w:ascii="Arial" w:hAnsi="Arial" w:cs="Arial"/>
          <w:i/>
          <w:sz w:val="18"/>
          <w:lang w:val="es-DO"/>
        </w:rPr>
        <w:t>Fuente: Elaborada por autores</w:t>
      </w:r>
      <w:r w:rsidR="00376F9F" w:rsidRPr="00167C47">
        <w:rPr>
          <w:rFonts w:ascii="Arial" w:hAnsi="Arial" w:cs="Arial"/>
          <w:i/>
          <w:sz w:val="18"/>
          <w:lang w:val="es-DO"/>
        </w:rPr>
        <w:t xml:space="preserve"> a partir de datos de la ECVC del 2006 y 2012. Reporte de la vigilancia centinela para las prevalencias del 2017, Factsheet de ONUSIDA del 2017 y Nota Conceptual FM/VIH 2016-2019 para los datos de la estimación de población.</w:t>
      </w:r>
    </w:p>
    <w:p w14:paraId="67C7206D" w14:textId="424ABEAB" w:rsidR="00FB2567" w:rsidRPr="00DD37EC" w:rsidRDefault="00FB2567" w:rsidP="007E7C65">
      <w:pPr>
        <w:spacing w:after="240" w:line="240" w:lineRule="auto"/>
        <w:jc w:val="both"/>
        <w:rPr>
          <w:rFonts w:ascii="Arial" w:hAnsi="Arial" w:cs="Arial"/>
          <w:lang w:val="es-DO"/>
        </w:rPr>
      </w:pPr>
      <w:r w:rsidRPr="00DD37EC">
        <w:rPr>
          <w:rFonts w:ascii="Arial" w:hAnsi="Arial" w:cs="Arial"/>
          <w:lang w:val="es-DO"/>
        </w:rPr>
        <w:t>De acuerdo al PENSIDA IV, muchas metodologías para el cambio de comportamiento son diseñadas de forma empírica por las mismas poblaciones, sin pruebas que sustenten su efectividad, y con poca o ninguna guía de expertos. Algunas ONG ejecutoras reconocen que los cambios no son los esperados y que persisten los comportamientos de riesgo</w:t>
      </w:r>
      <w:r w:rsidR="0040358E">
        <w:rPr>
          <w:rFonts w:ascii="Arial" w:hAnsi="Arial" w:cs="Arial"/>
          <w:lang w:val="es-DO"/>
        </w:rPr>
        <w:t>.</w:t>
      </w:r>
      <w:r w:rsidRPr="00DD37EC">
        <w:rPr>
          <w:rStyle w:val="FootnoteReference"/>
          <w:rFonts w:ascii="Arial" w:hAnsi="Arial" w:cs="Arial"/>
          <w:lang w:val="es-DO"/>
        </w:rPr>
        <w:footnoteReference w:id="21"/>
      </w:r>
    </w:p>
    <w:p w14:paraId="3BEC093A" w14:textId="77E21CD5" w:rsidR="00767567" w:rsidRDefault="007E7C65" w:rsidP="007E7C65">
      <w:pPr>
        <w:spacing w:after="240" w:line="240" w:lineRule="auto"/>
        <w:jc w:val="both"/>
        <w:rPr>
          <w:rFonts w:ascii="Arial" w:hAnsi="Arial" w:cs="Arial"/>
          <w:lang w:val="es-DO"/>
        </w:rPr>
      </w:pPr>
      <w:r>
        <w:rPr>
          <w:rFonts w:ascii="Arial" w:hAnsi="Arial" w:cs="Arial"/>
          <w:lang w:val="es-DO"/>
        </w:rPr>
        <w:t>En</w:t>
      </w:r>
      <w:r w:rsidR="00FB2567" w:rsidRPr="00DD37EC">
        <w:rPr>
          <w:rFonts w:ascii="Arial" w:hAnsi="Arial" w:cs="Arial"/>
          <w:lang w:val="es-DO"/>
        </w:rPr>
        <w:t xml:space="preserve"> 2017, la cobertura de las poblaciones clave </w:t>
      </w:r>
      <w:r>
        <w:rPr>
          <w:rFonts w:ascii="Arial" w:hAnsi="Arial" w:cs="Arial"/>
          <w:lang w:val="es-DO"/>
        </w:rPr>
        <w:t>en</w:t>
      </w:r>
      <w:r w:rsidR="00FB2567" w:rsidRPr="00DD37EC">
        <w:rPr>
          <w:rFonts w:ascii="Arial" w:hAnsi="Arial" w:cs="Arial"/>
          <w:lang w:val="es-DO"/>
        </w:rPr>
        <w:t xml:space="preserve"> programas de prevención combinada </w:t>
      </w:r>
      <w:r>
        <w:rPr>
          <w:rFonts w:ascii="Arial" w:hAnsi="Arial" w:cs="Arial"/>
          <w:lang w:val="es-DO"/>
        </w:rPr>
        <w:t>fue</w:t>
      </w:r>
      <w:r w:rsidR="00FB2567" w:rsidRPr="00DD37EC">
        <w:rPr>
          <w:rFonts w:ascii="Arial" w:hAnsi="Arial" w:cs="Arial"/>
          <w:lang w:val="es-DO"/>
        </w:rPr>
        <w:t xml:space="preserve"> variable. Los HSH tienen un 70.6% de cobertura a programas de prevención y 84% uso del condón</w:t>
      </w:r>
      <w:r w:rsidR="00D3400B">
        <w:rPr>
          <w:rFonts w:ascii="Arial" w:hAnsi="Arial" w:cs="Arial"/>
          <w:lang w:val="es-DO"/>
        </w:rPr>
        <w:t>.</w:t>
      </w:r>
      <w:r w:rsidR="00FB2567" w:rsidRPr="00DD37EC">
        <w:rPr>
          <w:rStyle w:val="FootnoteReference"/>
          <w:rFonts w:ascii="Arial" w:hAnsi="Arial" w:cs="Arial"/>
          <w:lang w:val="es-DO"/>
        </w:rPr>
        <w:footnoteReference w:id="22"/>
      </w:r>
      <w:r w:rsidR="00FB2567" w:rsidRPr="00DD37EC">
        <w:rPr>
          <w:rFonts w:ascii="Arial" w:hAnsi="Arial" w:cs="Arial"/>
          <w:lang w:val="es-DO"/>
        </w:rPr>
        <w:t xml:space="preserve">  Entre l</w:t>
      </w:r>
      <w:r w:rsidR="000F7EF7">
        <w:rPr>
          <w:rFonts w:ascii="Arial" w:hAnsi="Arial" w:cs="Arial"/>
          <w:lang w:val="es-DO"/>
        </w:rPr>
        <w:t>a</w:t>
      </w:r>
      <w:r w:rsidR="00FB2567" w:rsidRPr="00DD37EC">
        <w:rPr>
          <w:rFonts w:ascii="Arial" w:hAnsi="Arial" w:cs="Arial"/>
          <w:lang w:val="es-DO"/>
        </w:rPr>
        <w:t>s trabajador</w:t>
      </w:r>
      <w:r w:rsidR="000F7EF7">
        <w:rPr>
          <w:rFonts w:ascii="Arial" w:hAnsi="Arial" w:cs="Arial"/>
          <w:lang w:val="es-DO"/>
        </w:rPr>
        <w:t>a</w:t>
      </w:r>
      <w:r w:rsidR="00FB2567" w:rsidRPr="00DD37EC">
        <w:rPr>
          <w:rFonts w:ascii="Arial" w:hAnsi="Arial" w:cs="Arial"/>
          <w:lang w:val="es-DO"/>
        </w:rPr>
        <w:t>s del sexo se reporta un 93% en el uso del condón; mientras que las personas TRANS tienen un 83% de cobertura a programas de prevención combinad</w:t>
      </w:r>
      <w:r>
        <w:rPr>
          <w:rFonts w:ascii="Arial" w:hAnsi="Arial" w:cs="Arial"/>
          <w:lang w:val="es-DO"/>
        </w:rPr>
        <w:t>a</w:t>
      </w:r>
      <w:r w:rsidR="00FB2567" w:rsidRPr="00DD37EC">
        <w:rPr>
          <w:rFonts w:ascii="Arial" w:hAnsi="Arial" w:cs="Arial"/>
          <w:lang w:val="es-DO"/>
        </w:rPr>
        <w:t xml:space="preserve"> y un 91% en el uso del condón</w:t>
      </w:r>
      <w:r w:rsidR="00D3400B">
        <w:rPr>
          <w:rFonts w:ascii="Arial" w:hAnsi="Arial" w:cs="Arial"/>
          <w:lang w:val="es-DO"/>
        </w:rPr>
        <w:t>.</w:t>
      </w:r>
      <w:r w:rsidR="00FB2567" w:rsidRPr="00DD37EC">
        <w:rPr>
          <w:rStyle w:val="FootnoteReference"/>
          <w:rFonts w:ascii="Arial" w:hAnsi="Arial" w:cs="Arial"/>
          <w:lang w:val="es-DO"/>
        </w:rPr>
        <w:footnoteReference w:id="23"/>
      </w:r>
      <w:r w:rsidR="00FB2567" w:rsidRPr="00DD37EC">
        <w:rPr>
          <w:rFonts w:ascii="Arial" w:hAnsi="Arial" w:cs="Arial"/>
          <w:lang w:val="es-DO"/>
        </w:rPr>
        <w:t xml:space="preserve">. Algunas barreras </w:t>
      </w:r>
      <w:r w:rsidR="000F7EF7">
        <w:rPr>
          <w:rFonts w:ascii="Arial" w:hAnsi="Arial" w:cs="Arial"/>
          <w:lang w:val="es-DO"/>
        </w:rPr>
        <w:t xml:space="preserve">que </w:t>
      </w:r>
      <w:r w:rsidR="0080669E">
        <w:rPr>
          <w:rFonts w:ascii="Arial" w:hAnsi="Arial" w:cs="Arial"/>
          <w:lang w:val="es-DO"/>
        </w:rPr>
        <w:t>debilitan</w:t>
      </w:r>
      <w:r w:rsidR="000F7EF7">
        <w:rPr>
          <w:rFonts w:ascii="Arial" w:hAnsi="Arial" w:cs="Arial"/>
          <w:lang w:val="es-DO"/>
        </w:rPr>
        <w:t xml:space="preserve"> el impacto de </w:t>
      </w:r>
      <w:r w:rsidR="00BB6103">
        <w:rPr>
          <w:rFonts w:ascii="Arial" w:hAnsi="Arial" w:cs="Arial"/>
          <w:lang w:val="es-DO"/>
        </w:rPr>
        <w:t>estos</w:t>
      </w:r>
      <w:r w:rsidR="000F7EF7">
        <w:rPr>
          <w:rFonts w:ascii="Arial" w:hAnsi="Arial" w:cs="Arial"/>
          <w:lang w:val="es-DO"/>
        </w:rPr>
        <w:t xml:space="preserve"> programas </w:t>
      </w:r>
      <w:r w:rsidR="00BB6103">
        <w:rPr>
          <w:rFonts w:ascii="Arial" w:hAnsi="Arial" w:cs="Arial"/>
          <w:lang w:val="es-DO"/>
        </w:rPr>
        <w:t>son:</w:t>
      </w:r>
      <w:r w:rsidR="00FB2567" w:rsidRPr="00DD37EC">
        <w:rPr>
          <w:rFonts w:ascii="Arial" w:hAnsi="Arial" w:cs="Arial"/>
          <w:lang w:val="es-DO"/>
        </w:rPr>
        <w:t xml:space="preserve"> el acceso a pruebas de VIH y condones en lugares poco amigables a las poblaciones clave,</w:t>
      </w:r>
      <w:r w:rsidR="0080669E">
        <w:rPr>
          <w:rFonts w:ascii="Arial" w:hAnsi="Arial" w:cs="Arial"/>
          <w:lang w:val="es-DO"/>
        </w:rPr>
        <w:t xml:space="preserve"> </w:t>
      </w:r>
      <w:r w:rsidR="001821D7">
        <w:rPr>
          <w:rFonts w:ascii="Arial" w:hAnsi="Arial" w:cs="Arial"/>
          <w:lang w:val="es-DO"/>
        </w:rPr>
        <w:t>un in</w:t>
      </w:r>
      <w:r w:rsidR="00FB2567" w:rsidRPr="00DD37EC">
        <w:rPr>
          <w:rFonts w:ascii="Arial" w:hAnsi="Arial" w:cs="Arial"/>
          <w:lang w:val="es-DO"/>
        </w:rPr>
        <w:t>adecuado sistema de referencias a los servicios de salud con estrategias de comunicación para el cambio de comportamiento</w:t>
      </w:r>
      <w:r w:rsidR="00A152D1">
        <w:rPr>
          <w:rFonts w:ascii="Arial" w:hAnsi="Arial" w:cs="Arial"/>
          <w:lang w:val="es-DO"/>
        </w:rPr>
        <w:t>,</w:t>
      </w:r>
      <w:r w:rsidR="00FB2567" w:rsidRPr="00DD37EC">
        <w:rPr>
          <w:rFonts w:ascii="Arial" w:hAnsi="Arial" w:cs="Arial"/>
          <w:lang w:val="es-DO"/>
        </w:rPr>
        <w:t xml:space="preserve"> y la</w:t>
      </w:r>
      <w:r w:rsidR="001821D7">
        <w:rPr>
          <w:rFonts w:ascii="Arial" w:hAnsi="Arial" w:cs="Arial"/>
          <w:lang w:val="es-DO"/>
        </w:rPr>
        <w:t xml:space="preserve"> falta de</w:t>
      </w:r>
      <w:r w:rsidR="00FB2567" w:rsidRPr="00DD37EC">
        <w:rPr>
          <w:rFonts w:ascii="Arial" w:hAnsi="Arial" w:cs="Arial"/>
          <w:lang w:val="es-DO"/>
        </w:rPr>
        <w:t xml:space="preserve"> captación de las MTS desde modalidades menos convencionales. Además, se reporta,</w:t>
      </w:r>
      <w:r w:rsidR="009667EC">
        <w:rPr>
          <w:rFonts w:ascii="Arial" w:hAnsi="Arial" w:cs="Arial"/>
          <w:lang w:val="es-DO"/>
        </w:rPr>
        <w:t xml:space="preserve"> la</w:t>
      </w:r>
      <w:r w:rsidR="00FB2567" w:rsidRPr="00DD37EC">
        <w:rPr>
          <w:rFonts w:ascii="Arial" w:hAnsi="Arial" w:cs="Arial"/>
          <w:lang w:val="es-DO"/>
        </w:rPr>
        <w:t xml:space="preserve"> falta de presupuesto para las VICITS, la ausencia de leyes que prote</w:t>
      </w:r>
      <w:r>
        <w:rPr>
          <w:rFonts w:ascii="Arial" w:hAnsi="Arial" w:cs="Arial"/>
          <w:lang w:val="es-DO"/>
        </w:rPr>
        <w:t>jan</w:t>
      </w:r>
      <w:r w:rsidR="00FB2567" w:rsidRPr="00DD37EC">
        <w:rPr>
          <w:rFonts w:ascii="Arial" w:hAnsi="Arial" w:cs="Arial"/>
          <w:lang w:val="es-DO"/>
        </w:rPr>
        <w:t xml:space="preserve"> los derechos humanos de las personas lesbianas, gay, bisexual</w:t>
      </w:r>
      <w:r w:rsidR="002400D9">
        <w:rPr>
          <w:rFonts w:ascii="Arial" w:hAnsi="Arial" w:cs="Arial"/>
          <w:lang w:val="es-DO"/>
        </w:rPr>
        <w:t xml:space="preserve"> y tran</w:t>
      </w:r>
      <w:r w:rsidR="00382544">
        <w:rPr>
          <w:rFonts w:ascii="Arial" w:hAnsi="Arial" w:cs="Arial"/>
          <w:lang w:val="es-DO"/>
        </w:rPr>
        <w:t>sgénero</w:t>
      </w:r>
      <w:r w:rsidR="00FB2567" w:rsidRPr="00DD37EC">
        <w:rPr>
          <w:rFonts w:ascii="Arial" w:hAnsi="Arial" w:cs="Arial"/>
          <w:lang w:val="es-DO"/>
        </w:rPr>
        <w:t xml:space="preserve"> (LG</w:t>
      </w:r>
      <w:r w:rsidR="002400D9">
        <w:rPr>
          <w:rFonts w:ascii="Arial" w:hAnsi="Arial" w:cs="Arial"/>
          <w:lang w:val="es-DO"/>
        </w:rPr>
        <w:t>BT</w:t>
      </w:r>
      <w:r w:rsidR="00FB2567" w:rsidRPr="00DD37EC">
        <w:rPr>
          <w:rFonts w:ascii="Arial" w:hAnsi="Arial" w:cs="Arial"/>
          <w:lang w:val="es-DO"/>
        </w:rPr>
        <w:t>) y el estigma y discriminación relacionadas al VIH</w:t>
      </w:r>
      <w:r w:rsidR="00A152D1">
        <w:rPr>
          <w:rFonts w:ascii="Arial" w:hAnsi="Arial" w:cs="Arial"/>
          <w:lang w:val="es-DO"/>
        </w:rPr>
        <w:t>.</w:t>
      </w:r>
      <w:r w:rsidR="00FB2567" w:rsidRPr="00DD37EC">
        <w:rPr>
          <w:rStyle w:val="FootnoteReference"/>
          <w:rFonts w:ascii="Arial" w:hAnsi="Arial" w:cs="Arial"/>
          <w:lang w:val="es-DO"/>
        </w:rPr>
        <w:footnoteReference w:id="24"/>
      </w:r>
    </w:p>
    <w:p w14:paraId="3DD27BCC" w14:textId="1F2394BC" w:rsidR="007E7C65" w:rsidRPr="004E5F27" w:rsidRDefault="00FD3545" w:rsidP="007E7C65">
      <w:pPr>
        <w:spacing w:after="240" w:line="240" w:lineRule="auto"/>
        <w:jc w:val="both"/>
        <w:rPr>
          <w:rFonts w:ascii="Arial" w:hAnsi="Arial" w:cs="Arial"/>
          <w:lang w:val="es-DO"/>
        </w:rPr>
      </w:pPr>
      <w:r w:rsidRPr="00DD37EC">
        <w:rPr>
          <w:rFonts w:ascii="Arial" w:hAnsi="Arial" w:cs="Arial"/>
          <w:lang w:val="es-DO"/>
        </w:rPr>
        <w:lastRenderedPageBreak/>
        <w:t xml:space="preserve">La </w:t>
      </w:r>
      <w:r w:rsidR="000F44D7">
        <w:rPr>
          <w:rFonts w:ascii="Arial" w:hAnsi="Arial" w:cs="Arial"/>
          <w:lang w:val="es-DO"/>
        </w:rPr>
        <w:t>PTMI</w:t>
      </w:r>
      <w:r w:rsidRPr="00DD37EC">
        <w:rPr>
          <w:rFonts w:ascii="Arial" w:hAnsi="Arial" w:cs="Arial"/>
          <w:lang w:val="es-DO"/>
        </w:rPr>
        <w:t xml:space="preserve"> es uno de los servicios de prevención priorizados por el PENSIDA IV</w:t>
      </w:r>
      <w:r w:rsidR="00F1506E">
        <w:rPr>
          <w:rFonts w:ascii="Arial" w:hAnsi="Arial" w:cs="Arial"/>
          <w:lang w:val="es-DO"/>
        </w:rPr>
        <w:t>, y se encuentra</w:t>
      </w:r>
      <w:r w:rsidRPr="00DD37EC">
        <w:rPr>
          <w:rFonts w:ascii="Arial" w:hAnsi="Arial" w:cs="Arial"/>
          <w:lang w:val="es-DO"/>
        </w:rPr>
        <w:t xml:space="preserve"> integrad</w:t>
      </w:r>
      <w:r w:rsidR="00F1506E">
        <w:rPr>
          <w:rFonts w:ascii="Arial" w:hAnsi="Arial" w:cs="Arial"/>
          <w:lang w:val="es-DO"/>
        </w:rPr>
        <w:t>a</w:t>
      </w:r>
      <w:r w:rsidRPr="00DD37EC">
        <w:rPr>
          <w:rFonts w:ascii="Arial" w:hAnsi="Arial" w:cs="Arial"/>
          <w:lang w:val="es-DO"/>
        </w:rPr>
        <w:t xml:space="preserve"> en los servicios de salud matern</w:t>
      </w:r>
      <w:r>
        <w:rPr>
          <w:rFonts w:ascii="Arial" w:hAnsi="Arial" w:cs="Arial"/>
          <w:lang w:val="es-DO"/>
        </w:rPr>
        <w:t>o-</w:t>
      </w:r>
      <w:r w:rsidRPr="00DD37EC">
        <w:rPr>
          <w:rFonts w:ascii="Arial" w:hAnsi="Arial" w:cs="Arial"/>
          <w:lang w:val="es-DO"/>
        </w:rPr>
        <w:t>infantil.</w:t>
      </w:r>
      <w:r w:rsidR="009667EC">
        <w:rPr>
          <w:rFonts w:ascii="Arial" w:hAnsi="Arial" w:cs="Arial"/>
          <w:lang w:val="es-DO"/>
        </w:rPr>
        <w:t xml:space="preserve"> </w:t>
      </w:r>
      <w:r w:rsidR="00767567" w:rsidRPr="00DD37EC">
        <w:rPr>
          <w:rFonts w:ascii="Arial" w:hAnsi="Arial" w:cs="Arial"/>
          <w:lang w:val="es-DO"/>
        </w:rPr>
        <w:t xml:space="preserve">A pesar </w:t>
      </w:r>
      <w:r w:rsidR="009667EC">
        <w:rPr>
          <w:rFonts w:ascii="Arial" w:hAnsi="Arial" w:cs="Arial"/>
          <w:lang w:val="es-DO"/>
        </w:rPr>
        <w:t>de su priorización,</w:t>
      </w:r>
      <w:r w:rsidR="00767567" w:rsidRPr="00DD37EC">
        <w:rPr>
          <w:rFonts w:ascii="Arial" w:hAnsi="Arial" w:cs="Arial"/>
          <w:lang w:val="es-DO"/>
        </w:rPr>
        <w:t xml:space="preserve"> una de </w:t>
      </w:r>
      <w:r w:rsidR="00F15CBF">
        <w:rPr>
          <w:rFonts w:ascii="Arial" w:hAnsi="Arial" w:cs="Arial"/>
          <w:lang w:val="es-DO"/>
        </w:rPr>
        <w:t>sus principales limitantes</w:t>
      </w:r>
      <w:r w:rsidR="00767567" w:rsidRPr="00DD37EC">
        <w:rPr>
          <w:rFonts w:ascii="Arial" w:hAnsi="Arial" w:cs="Arial"/>
          <w:lang w:val="es-DO"/>
        </w:rPr>
        <w:t xml:space="preserve"> continúa siendo la insuficiente disponibilidad de pruebas para la captación de mujeres embarazadas con VIH</w:t>
      </w:r>
      <w:r w:rsidR="009667EC">
        <w:rPr>
          <w:rFonts w:ascii="Arial" w:hAnsi="Arial" w:cs="Arial"/>
          <w:lang w:val="es-DO"/>
        </w:rPr>
        <w:t xml:space="preserve"> y </w:t>
      </w:r>
      <w:r w:rsidR="0059305F">
        <w:rPr>
          <w:rFonts w:ascii="Arial" w:hAnsi="Arial" w:cs="Arial"/>
          <w:lang w:val="es-DO"/>
        </w:rPr>
        <w:t>e</w:t>
      </w:r>
      <w:r w:rsidR="009667EC">
        <w:rPr>
          <w:rFonts w:ascii="Arial" w:hAnsi="Arial" w:cs="Arial"/>
          <w:lang w:val="es-DO"/>
        </w:rPr>
        <w:t>l insuficiente recurso humano capacitado para la realización de pruebas rápidas</w:t>
      </w:r>
      <w:r w:rsidR="00767567" w:rsidRPr="00DD37EC">
        <w:rPr>
          <w:rFonts w:ascii="Arial" w:hAnsi="Arial" w:cs="Arial"/>
          <w:lang w:val="es-DO"/>
        </w:rPr>
        <w:t>.</w:t>
      </w:r>
      <w:r w:rsidR="00767567" w:rsidRPr="00DD37EC">
        <w:rPr>
          <w:rStyle w:val="FootnoteReference"/>
          <w:rFonts w:ascii="Arial" w:hAnsi="Arial" w:cs="Arial"/>
          <w:lang w:val="es-DO"/>
        </w:rPr>
        <w:footnoteReference w:id="25"/>
      </w:r>
      <w:r w:rsidR="009667EC">
        <w:rPr>
          <w:rFonts w:ascii="Arial" w:hAnsi="Arial" w:cs="Arial"/>
          <w:lang w:val="es-DO"/>
        </w:rPr>
        <w:t xml:space="preserve"> </w:t>
      </w:r>
      <w:r w:rsidR="00767567" w:rsidRPr="00DD37EC">
        <w:rPr>
          <w:rFonts w:ascii="Arial" w:hAnsi="Arial" w:cs="Arial"/>
          <w:lang w:val="es-DO"/>
        </w:rPr>
        <w:t>Estudios recientes muestran que del 97% de las mujeres</w:t>
      </w:r>
      <w:r w:rsidR="009667EC">
        <w:rPr>
          <w:rFonts w:ascii="Arial" w:hAnsi="Arial" w:cs="Arial"/>
          <w:lang w:val="es-DO"/>
        </w:rPr>
        <w:t xml:space="preserve"> embarazadas</w:t>
      </w:r>
      <w:r w:rsidR="00767567" w:rsidRPr="00DD37EC">
        <w:rPr>
          <w:rFonts w:ascii="Arial" w:hAnsi="Arial" w:cs="Arial"/>
          <w:lang w:val="es-DO"/>
        </w:rPr>
        <w:t xml:space="preserve"> que acuden a la atención prenatal, </w:t>
      </w:r>
      <w:r w:rsidR="00F74A70">
        <w:rPr>
          <w:rFonts w:ascii="Arial" w:hAnsi="Arial" w:cs="Arial"/>
          <w:lang w:val="es-DO"/>
        </w:rPr>
        <w:t>al</w:t>
      </w:r>
      <w:r w:rsidR="00767567" w:rsidRPr="00DD37EC">
        <w:rPr>
          <w:rFonts w:ascii="Arial" w:hAnsi="Arial" w:cs="Arial"/>
          <w:lang w:val="es-DO"/>
        </w:rPr>
        <w:t xml:space="preserve"> 75% se</w:t>
      </w:r>
      <w:r w:rsidR="00F74A70">
        <w:rPr>
          <w:rFonts w:ascii="Arial" w:hAnsi="Arial" w:cs="Arial"/>
          <w:lang w:val="es-DO"/>
        </w:rPr>
        <w:t xml:space="preserve"> le</w:t>
      </w:r>
      <w:r w:rsidR="00767567" w:rsidRPr="00DD37EC">
        <w:rPr>
          <w:rFonts w:ascii="Arial" w:hAnsi="Arial" w:cs="Arial"/>
          <w:lang w:val="es-DO"/>
        </w:rPr>
        <w:t xml:space="preserve"> realiza la prueba del VIH con consejería, sin embargo, únicamente el 53%</w:t>
      </w:r>
      <w:r w:rsidR="009667EC">
        <w:rPr>
          <w:rFonts w:ascii="Arial" w:hAnsi="Arial" w:cs="Arial"/>
          <w:lang w:val="es-DO"/>
        </w:rPr>
        <w:t xml:space="preserve"> </w:t>
      </w:r>
      <w:r w:rsidR="00767567" w:rsidRPr="00DD37EC">
        <w:rPr>
          <w:rFonts w:ascii="Arial" w:hAnsi="Arial" w:cs="Arial"/>
          <w:lang w:val="es-DO"/>
        </w:rPr>
        <w:t>recibe</w:t>
      </w:r>
      <w:r w:rsidR="009667EC">
        <w:rPr>
          <w:rFonts w:ascii="Arial" w:hAnsi="Arial" w:cs="Arial"/>
          <w:lang w:val="es-DO"/>
        </w:rPr>
        <w:t xml:space="preserve"> </w:t>
      </w:r>
      <w:r w:rsidR="00767567" w:rsidRPr="00DD37EC">
        <w:rPr>
          <w:rFonts w:ascii="Arial" w:hAnsi="Arial" w:cs="Arial"/>
          <w:lang w:val="es-DO"/>
        </w:rPr>
        <w:t>ARV.</w:t>
      </w:r>
      <w:r w:rsidR="00767567" w:rsidRPr="00DD37EC">
        <w:rPr>
          <w:rStyle w:val="FootnoteReference"/>
          <w:rFonts w:ascii="Arial" w:hAnsi="Arial" w:cs="Arial"/>
          <w:lang w:val="es-DO"/>
        </w:rPr>
        <w:footnoteReference w:id="26"/>
      </w:r>
      <w:r w:rsidR="00D50FB4">
        <w:rPr>
          <w:rFonts w:ascii="Arial" w:hAnsi="Arial" w:cs="Arial"/>
          <w:lang w:val="es-DO"/>
        </w:rPr>
        <w:t xml:space="preserve"> </w:t>
      </w:r>
      <w:r w:rsidR="00767567" w:rsidRPr="00DD37EC">
        <w:rPr>
          <w:rFonts w:ascii="Arial" w:hAnsi="Arial" w:cs="Arial"/>
          <w:lang w:val="es-DO"/>
        </w:rPr>
        <w:t>Documentos oficiales proponen mejoras con énfasis en mujeres de poblaciones clave de mayor riesgo y grupos vulnerable</w:t>
      </w:r>
      <w:r w:rsidR="009667EC">
        <w:rPr>
          <w:rFonts w:ascii="Arial" w:hAnsi="Arial" w:cs="Arial"/>
          <w:lang w:val="es-DO"/>
        </w:rPr>
        <w:t>s con menor</w:t>
      </w:r>
      <w:r w:rsidR="00767567" w:rsidRPr="00DD37EC">
        <w:rPr>
          <w:rFonts w:ascii="Arial" w:hAnsi="Arial" w:cs="Arial"/>
          <w:lang w:val="es-DO"/>
        </w:rPr>
        <w:t xml:space="preserve"> acceso a los servicios de salud, así como en el fortalecimiento del seguimiento y referencia activa a servicios de atención integral y terapia antirretroviral.</w:t>
      </w:r>
      <w:r w:rsidR="00767567" w:rsidRPr="00DD37EC">
        <w:rPr>
          <w:rStyle w:val="FootnoteReference"/>
          <w:rFonts w:ascii="Arial" w:hAnsi="Arial" w:cs="Arial"/>
          <w:lang w:val="es-DO"/>
        </w:rPr>
        <w:footnoteReference w:id="27"/>
      </w:r>
      <w:r w:rsidR="007B6D99">
        <w:rPr>
          <w:rFonts w:ascii="Arial" w:hAnsi="Arial" w:cs="Arial"/>
          <w:vertAlign w:val="superscript"/>
          <w:lang w:val="es-DO"/>
        </w:rPr>
        <w:t>,</w:t>
      </w:r>
      <w:r w:rsidR="00767567" w:rsidRPr="00DD37EC">
        <w:rPr>
          <w:rStyle w:val="FootnoteReference"/>
          <w:rFonts w:ascii="Arial" w:hAnsi="Arial" w:cs="Arial"/>
          <w:lang w:val="es-DO"/>
        </w:rPr>
        <w:footnoteReference w:id="28"/>
      </w:r>
    </w:p>
    <w:tbl>
      <w:tblPr>
        <w:tblStyle w:val="PlainTable3"/>
        <w:tblW w:w="0" w:type="auto"/>
        <w:tblLook w:val="04A0" w:firstRow="1" w:lastRow="0" w:firstColumn="1" w:lastColumn="0" w:noHBand="0" w:noVBand="1"/>
      </w:tblPr>
      <w:tblGrid>
        <w:gridCol w:w="1800"/>
        <w:gridCol w:w="7560"/>
        <w:gridCol w:w="450"/>
      </w:tblGrid>
      <w:tr w:rsidR="00FB2567" w:rsidRPr="00392E34" w14:paraId="01FC7C95" w14:textId="77777777" w:rsidTr="00D34080">
        <w:trPr>
          <w:gridAfter w:val="1"/>
          <w:cnfStyle w:val="100000000000" w:firstRow="1" w:lastRow="0" w:firstColumn="0" w:lastColumn="0" w:oddVBand="0" w:evenVBand="0" w:oddHBand="0" w:evenHBand="0" w:firstRowFirstColumn="0" w:firstRowLastColumn="0" w:lastRowFirstColumn="0" w:lastRowLastColumn="0"/>
          <w:wAfter w:w="450" w:type="dxa"/>
        </w:trPr>
        <w:tc>
          <w:tcPr>
            <w:cnfStyle w:val="001000000100" w:firstRow="0" w:lastRow="0" w:firstColumn="1" w:lastColumn="0" w:oddVBand="0" w:evenVBand="0" w:oddHBand="0" w:evenHBand="0" w:firstRowFirstColumn="1" w:firstRowLastColumn="0" w:lastRowFirstColumn="0" w:lastRowLastColumn="0"/>
            <w:tcW w:w="9360" w:type="dxa"/>
            <w:gridSpan w:val="2"/>
          </w:tcPr>
          <w:p w14:paraId="4E2524AA" w14:textId="4D74A93B" w:rsidR="00FB2567" w:rsidRPr="00DD37EC" w:rsidRDefault="00FB2567" w:rsidP="007E7C65">
            <w:pPr>
              <w:spacing w:after="240"/>
              <w:jc w:val="both"/>
              <w:rPr>
                <w:rFonts w:ascii="Arial" w:hAnsi="Arial" w:cs="Arial"/>
                <w:b w:val="0"/>
                <w:lang w:val="es-DO"/>
              </w:rPr>
            </w:pPr>
            <w:r w:rsidRPr="00DD37EC">
              <w:rPr>
                <w:rFonts w:ascii="Arial" w:hAnsi="Arial" w:cs="Arial"/>
                <w:b w:val="0"/>
                <w:lang w:val="es-DO"/>
              </w:rPr>
              <w:t>Resumen de Fortalezas y debilidades en la prevenci</w:t>
            </w:r>
            <w:r w:rsidR="005E572A">
              <w:rPr>
                <w:rFonts w:ascii="Arial" w:hAnsi="Arial" w:cs="Arial"/>
                <w:b w:val="0"/>
                <w:lang w:val="es-DO"/>
              </w:rPr>
              <w:t>ó</w:t>
            </w:r>
            <w:r w:rsidRPr="00DD37EC">
              <w:rPr>
                <w:rFonts w:ascii="Arial" w:hAnsi="Arial" w:cs="Arial"/>
                <w:b w:val="0"/>
                <w:lang w:val="es-DO"/>
              </w:rPr>
              <w:t>n y promoci</w:t>
            </w:r>
            <w:r w:rsidR="005E572A">
              <w:rPr>
                <w:rFonts w:ascii="Arial" w:hAnsi="Arial" w:cs="Arial"/>
                <w:b w:val="0"/>
                <w:lang w:val="es-DO"/>
              </w:rPr>
              <w:t>ó</w:t>
            </w:r>
            <w:r w:rsidRPr="00DD37EC">
              <w:rPr>
                <w:rFonts w:ascii="Arial" w:hAnsi="Arial" w:cs="Arial"/>
                <w:b w:val="0"/>
                <w:lang w:val="es-DO"/>
              </w:rPr>
              <w:t xml:space="preserve">n del vih </w:t>
            </w:r>
          </w:p>
        </w:tc>
      </w:tr>
      <w:tr w:rsidR="00FB2567" w:rsidRPr="00392E34" w14:paraId="3B9D995E" w14:textId="77777777" w:rsidTr="005F40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Pr>
          <w:p w14:paraId="4E44060B" w14:textId="77777777" w:rsidR="00FB2567" w:rsidRPr="00DD37EC" w:rsidRDefault="00FB2567" w:rsidP="00DD37EC">
            <w:pPr>
              <w:spacing w:after="240"/>
              <w:contextualSpacing/>
              <w:jc w:val="both"/>
              <w:rPr>
                <w:rFonts w:ascii="Arial" w:hAnsi="Arial" w:cs="Arial"/>
                <w:lang w:val="es-DO"/>
              </w:rPr>
            </w:pPr>
            <w:r w:rsidRPr="00DD37EC">
              <w:rPr>
                <w:rFonts w:ascii="Arial" w:hAnsi="Arial" w:cs="Arial"/>
                <w:lang w:val="es-DO"/>
              </w:rPr>
              <w:t>fortalezas</w:t>
            </w:r>
          </w:p>
        </w:tc>
        <w:tc>
          <w:tcPr>
            <w:tcW w:w="8010" w:type="dxa"/>
            <w:gridSpan w:val="2"/>
          </w:tcPr>
          <w:p w14:paraId="22A8AA65" w14:textId="77777777" w:rsidR="00FB2567" w:rsidRPr="00DD37EC" w:rsidRDefault="00FB2567" w:rsidP="00DD37EC">
            <w:pPr>
              <w:spacing w:after="240"/>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lang w:val="es-DO"/>
              </w:rPr>
            </w:pPr>
            <w:r w:rsidRPr="00DD37EC">
              <w:rPr>
                <w:rFonts w:ascii="Arial" w:hAnsi="Arial" w:cs="Arial"/>
                <w:lang w:val="es-DO"/>
              </w:rPr>
              <w:t>Estrategia de Abordaje Integral (EAI) del VIH e ITS en el Marco de la Reforma del Sector Salud</w:t>
            </w:r>
          </w:p>
        </w:tc>
      </w:tr>
      <w:tr w:rsidR="00FB2567" w:rsidRPr="00392E34" w14:paraId="4358CFAF" w14:textId="77777777" w:rsidTr="005F4042">
        <w:tc>
          <w:tcPr>
            <w:cnfStyle w:val="001000000000" w:firstRow="0" w:lastRow="0" w:firstColumn="1" w:lastColumn="0" w:oddVBand="0" w:evenVBand="0" w:oddHBand="0" w:evenHBand="0" w:firstRowFirstColumn="0" w:firstRowLastColumn="0" w:lastRowFirstColumn="0" w:lastRowLastColumn="0"/>
            <w:tcW w:w="1800" w:type="dxa"/>
          </w:tcPr>
          <w:p w14:paraId="2811793A" w14:textId="77777777" w:rsidR="00FB2567" w:rsidRPr="00DD37EC" w:rsidRDefault="00FB2567" w:rsidP="00DD37EC">
            <w:pPr>
              <w:spacing w:after="240"/>
              <w:contextualSpacing/>
              <w:jc w:val="both"/>
              <w:rPr>
                <w:rFonts w:ascii="Arial" w:hAnsi="Arial" w:cs="Arial"/>
                <w:lang w:val="es-DO"/>
              </w:rPr>
            </w:pPr>
          </w:p>
        </w:tc>
        <w:tc>
          <w:tcPr>
            <w:tcW w:w="8010" w:type="dxa"/>
            <w:gridSpan w:val="2"/>
          </w:tcPr>
          <w:p w14:paraId="416463E3" w14:textId="77777777" w:rsidR="00FB2567" w:rsidRPr="00DD37EC" w:rsidRDefault="00FB2567" w:rsidP="00DD37EC">
            <w:pPr>
              <w:spacing w:after="240"/>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lang w:val="es-DO"/>
              </w:rPr>
            </w:pPr>
            <w:r w:rsidRPr="00DD37EC">
              <w:rPr>
                <w:rFonts w:ascii="Arial" w:hAnsi="Arial" w:cs="Arial"/>
                <w:lang w:val="es-DO"/>
              </w:rPr>
              <w:t xml:space="preserve">Normativas y guía para el manejo de poblaciones clave sin estigma y discriminación </w:t>
            </w:r>
          </w:p>
        </w:tc>
      </w:tr>
      <w:tr w:rsidR="00FB2567" w:rsidRPr="00392E34" w14:paraId="0D7CD6EB" w14:textId="77777777" w:rsidTr="005F40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Pr>
          <w:p w14:paraId="41244CB5" w14:textId="77777777" w:rsidR="00FB2567" w:rsidRPr="00DD37EC" w:rsidRDefault="00FB2567" w:rsidP="00DD37EC">
            <w:pPr>
              <w:spacing w:after="240"/>
              <w:contextualSpacing/>
              <w:jc w:val="both"/>
              <w:rPr>
                <w:rFonts w:ascii="Arial" w:hAnsi="Arial" w:cs="Arial"/>
                <w:b w:val="0"/>
                <w:lang w:val="es-DO"/>
              </w:rPr>
            </w:pPr>
          </w:p>
        </w:tc>
        <w:tc>
          <w:tcPr>
            <w:tcW w:w="8010" w:type="dxa"/>
            <w:gridSpan w:val="2"/>
          </w:tcPr>
          <w:p w14:paraId="289F9751" w14:textId="03F9100E" w:rsidR="00FB2567" w:rsidRPr="00DD37EC" w:rsidRDefault="00FB2567" w:rsidP="00DD37EC">
            <w:pPr>
              <w:spacing w:after="240"/>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lang w:val="es-DO"/>
              </w:rPr>
            </w:pPr>
            <w:r w:rsidRPr="00DD37EC">
              <w:rPr>
                <w:rFonts w:ascii="Arial" w:hAnsi="Arial" w:cs="Arial"/>
                <w:lang w:val="es-DO"/>
              </w:rPr>
              <w:t xml:space="preserve">Estudios/ datos sobre la cobertura de los grupos y dimensionamiento (total de población y ubicación geográfica) </w:t>
            </w:r>
          </w:p>
        </w:tc>
      </w:tr>
      <w:tr w:rsidR="00FB2567" w:rsidRPr="00DD37EC" w14:paraId="5740F147" w14:textId="77777777" w:rsidTr="005F4042">
        <w:tc>
          <w:tcPr>
            <w:cnfStyle w:val="001000000000" w:firstRow="0" w:lastRow="0" w:firstColumn="1" w:lastColumn="0" w:oddVBand="0" w:evenVBand="0" w:oddHBand="0" w:evenHBand="0" w:firstRowFirstColumn="0" w:firstRowLastColumn="0" w:lastRowFirstColumn="0" w:lastRowLastColumn="0"/>
            <w:tcW w:w="1800" w:type="dxa"/>
          </w:tcPr>
          <w:p w14:paraId="094DBCB5" w14:textId="77777777" w:rsidR="00FB2567" w:rsidRPr="00DD37EC" w:rsidRDefault="00FB2567" w:rsidP="00DD37EC">
            <w:pPr>
              <w:spacing w:after="240"/>
              <w:contextualSpacing/>
              <w:jc w:val="both"/>
              <w:rPr>
                <w:rFonts w:ascii="Arial" w:hAnsi="Arial" w:cs="Arial"/>
                <w:b w:val="0"/>
                <w:lang w:val="es-DO"/>
              </w:rPr>
            </w:pPr>
          </w:p>
        </w:tc>
        <w:tc>
          <w:tcPr>
            <w:tcW w:w="8010" w:type="dxa"/>
            <w:gridSpan w:val="2"/>
          </w:tcPr>
          <w:p w14:paraId="064D1C3D" w14:textId="23ECE803" w:rsidR="00FB2567" w:rsidRPr="00DD37EC" w:rsidRDefault="004E5F27" w:rsidP="00DD37EC">
            <w:pPr>
              <w:spacing w:after="240"/>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lang w:val="es-DO"/>
              </w:rPr>
            </w:pPr>
            <w:r>
              <w:rPr>
                <w:rFonts w:ascii="Arial" w:hAnsi="Arial" w:cs="Arial"/>
                <w:lang w:val="es-DO"/>
              </w:rPr>
              <w:t xml:space="preserve">Estrategia y clínicas </w:t>
            </w:r>
            <w:r w:rsidR="00FB2567" w:rsidRPr="00DD37EC">
              <w:rPr>
                <w:rFonts w:ascii="Arial" w:hAnsi="Arial" w:cs="Arial"/>
                <w:lang w:val="es-DO"/>
              </w:rPr>
              <w:t>VICITS</w:t>
            </w:r>
          </w:p>
        </w:tc>
      </w:tr>
      <w:tr w:rsidR="00FB2567" w:rsidRPr="00392E34" w14:paraId="5099E41B" w14:textId="77777777" w:rsidTr="005F40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Pr>
          <w:p w14:paraId="71751592" w14:textId="77777777" w:rsidR="00FB2567" w:rsidRPr="00DD37EC" w:rsidRDefault="00FB2567" w:rsidP="00DD37EC">
            <w:pPr>
              <w:spacing w:after="240"/>
              <w:contextualSpacing/>
              <w:jc w:val="both"/>
              <w:rPr>
                <w:rFonts w:ascii="Arial" w:hAnsi="Arial" w:cs="Arial"/>
                <w:b w:val="0"/>
                <w:lang w:val="es-DO"/>
              </w:rPr>
            </w:pPr>
          </w:p>
        </w:tc>
        <w:tc>
          <w:tcPr>
            <w:tcW w:w="8010" w:type="dxa"/>
            <w:gridSpan w:val="2"/>
          </w:tcPr>
          <w:p w14:paraId="33C967A5" w14:textId="77777777" w:rsidR="00FB2567" w:rsidRPr="00DD37EC" w:rsidRDefault="00FB2567" w:rsidP="00DD37EC">
            <w:pPr>
              <w:spacing w:after="240"/>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lang w:val="es-DO"/>
              </w:rPr>
            </w:pPr>
            <w:r w:rsidRPr="00DD37EC">
              <w:rPr>
                <w:rFonts w:ascii="Arial" w:hAnsi="Arial" w:cs="Arial"/>
                <w:lang w:val="es-DO"/>
              </w:rPr>
              <w:t>Estrategia Integral dirigida a la Niñez Huérfana y Vulnerable al VIH</w:t>
            </w:r>
          </w:p>
        </w:tc>
      </w:tr>
      <w:tr w:rsidR="00FB2567" w:rsidRPr="00392E34" w14:paraId="00F3ED53" w14:textId="77777777" w:rsidTr="005F4042">
        <w:tc>
          <w:tcPr>
            <w:cnfStyle w:val="001000000000" w:firstRow="0" w:lastRow="0" w:firstColumn="1" w:lastColumn="0" w:oddVBand="0" w:evenVBand="0" w:oddHBand="0" w:evenHBand="0" w:firstRowFirstColumn="0" w:firstRowLastColumn="0" w:lastRowFirstColumn="0" w:lastRowLastColumn="0"/>
            <w:tcW w:w="1800" w:type="dxa"/>
          </w:tcPr>
          <w:p w14:paraId="3AD0BE5E" w14:textId="77777777" w:rsidR="00FB2567" w:rsidRPr="00DD37EC" w:rsidRDefault="00FB2567" w:rsidP="00DD37EC">
            <w:pPr>
              <w:spacing w:after="240"/>
              <w:contextualSpacing/>
              <w:jc w:val="both"/>
              <w:rPr>
                <w:rFonts w:ascii="Arial" w:hAnsi="Arial" w:cs="Arial"/>
                <w:b w:val="0"/>
                <w:lang w:val="es-DO"/>
              </w:rPr>
            </w:pPr>
          </w:p>
        </w:tc>
        <w:tc>
          <w:tcPr>
            <w:tcW w:w="8010" w:type="dxa"/>
            <w:gridSpan w:val="2"/>
          </w:tcPr>
          <w:p w14:paraId="7523FED3" w14:textId="04E99320" w:rsidR="00FB2567" w:rsidRPr="00DD37EC" w:rsidRDefault="004E5F27" w:rsidP="00DD37EC">
            <w:pPr>
              <w:spacing w:after="240"/>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lang w:val="es-DO"/>
              </w:rPr>
            </w:pPr>
            <w:r>
              <w:rPr>
                <w:rFonts w:ascii="Arial" w:hAnsi="Arial" w:cs="Arial"/>
                <w:lang w:val="es-DO"/>
              </w:rPr>
              <w:t>P</w:t>
            </w:r>
            <w:r w:rsidR="00FB2567" w:rsidRPr="00DD37EC">
              <w:rPr>
                <w:rFonts w:ascii="Arial" w:hAnsi="Arial" w:cs="Arial"/>
                <w:lang w:val="es-DO"/>
              </w:rPr>
              <w:t>rov</w:t>
            </w:r>
            <w:r>
              <w:rPr>
                <w:rFonts w:ascii="Arial" w:hAnsi="Arial" w:cs="Arial"/>
                <w:lang w:val="es-DO"/>
              </w:rPr>
              <w:t>isión de</w:t>
            </w:r>
            <w:r w:rsidR="00FB2567" w:rsidRPr="00DD37EC">
              <w:rPr>
                <w:rFonts w:ascii="Arial" w:hAnsi="Arial" w:cs="Arial"/>
                <w:lang w:val="es-DO"/>
              </w:rPr>
              <w:t xml:space="preserve"> condones </w:t>
            </w:r>
            <w:r>
              <w:rPr>
                <w:rFonts w:ascii="Arial" w:hAnsi="Arial" w:cs="Arial"/>
                <w:lang w:val="es-DO"/>
              </w:rPr>
              <w:t xml:space="preserve">por parte del </w:t>
            </w:r>
            <w:r w:rsidR="00CB4C31">
              <w:rPr>
                <w:rFonts w:ascii="Arial" w:hAnsi="Arial" w:cs="Arial"/>
                <w:lang w:val="es-DO"/>
              </w:rPr>
              <w:t>g</w:t>
            </w:r>
            <w:r>
              <w:rPr>
                <w:rFonts w:ascii="Arial" w:hAnsi="Arial" w:cs="Arial"/>
                <w:lang w:val="es-DO"/>
              </w:rPr>
              <w:t>obierno</w:t>
            </w:r>
          </w:p>
        </w:tc>
      </w:tr>
      <w:tr w:rsidR="00FB2567" w:rsidRPr="00392E34" w14:paraId="3EEC3E4B" w14:textId="77777777" w:rsidTr="005F40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Pr>
          <w:p w14:paraId="28E4489E" w14:textId="77777777" w:rsidR="00FB2567" w:rsidRPr="00DD37EC" w:rsidRDefault="00FB2567" w:rsidP="00DD37EC">
            <w:pPr>
              <w:spacing w:after="240"/>
              <w:contextualSpacing/>
              <w:jc w:val="both"/>
              <w:rPr>
                <w:rFonts w:ascii="Arial" w:hAnsi="Arial" w:cs="Arial"/>
                <w:lang w:val="es-DO"/>
              </w:rPr>
            </w:pPr>
            <w:r w:rsidRPr="00DD37EC">
              <w:rPr>
                <w:rFonts w:ascii="Arial" w:hAnsi="Arial" w:cs="Arial"/>
                <w:lang w:val="es-DO"/>
              </w:rPr>
              <w:t>Debilidades</w:t>
            </w:r>
          </w:p>
        </w:tc>
        <w:tc>
          <w:tcPr>
            <w:tcW w:w="8010" w:type="dxa"/>
            <w:gridSpan w:val="2"/>
          </w:tcPr>
          <w:p w14:paraId="58C2A978" w14:textId="77777777" w:rsidR="00FB2567" w:rsidRPr="00DD37EC" w:rsidRDefault="00FB2567" w:rsidP="00DD37EC">
            <w:pPr>
              <w:spacing w:after="240"/>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lang w:val="es-DO"/>
              </w:rPr>
            </w:pPr>
            <w:r w:rsidRPr="00DD37EC">
              <w:rPr>
                <w:rFonts w:ascii="Arial" w:hAnsi="Arial" w:cs="Arial"/>
                <w:lang w:val="es-DO"/>
              </w:rPr>
              <w:t xml:space="preserve">Financiamiento en prevención de intervenciones para población clave es a través de ONG y provistas por donantes y/o agencias de cooperación </w:t>
            </w:r>
          </w:p>
        </w:tc>
      </w:tr>
      <w:tr w:rsidR="00FB2567" w:rsidRPr="00392E34" w14:paraId="1CEB6F29" w14:textId="77777777" w:rsidTr="005F4042">
        <w:tc>
          <w:tcPr>
            <w:cnfStyle w:val="001000000000" w:firstRow="0" w:lastRow="0" w:firstColumn="1" w:lastColumn="0" w:oddVBand="0" w:evenVBand="0" w:oddHBand="0" w:evenHBand="0" w:firstRowFirstColumn="0" w:firstRowLastColumn="0" w:lastRowFirstColumn="0" w:lastRowLastColumn="0"/>
            <w:tcW w:w="1800" w:type="dxa"/>
          </w:tcPr>
          <w:p w14:paraId="081E8F61" w14:textId="77777777" w:rsidR="00FB2567" w:rsidRPr="00DD37EC" w:rsidRDefault="00FB2567" w:rsidP="00DD37EC">
            <w:pPr>
              <w:spacing w:after="240"/>
              <w:contextualSpacing/>
              <w:jc w:val="both"/>
              <w:rPr>
                <w:rFonts w:ascii="Arial" w:hAnsi="Arial" w:cs="Arial"/>
                <w:b w:val="0"/>
                <w:lang w:val="es-DO"/>
              </w:rPr>
            </w:pPr>
          </w:p>
        </w:tc>
        <w:tc>
          <w:tcPr>
            <w:tcW w:w="8010" w:type="dxa"/>
            <w:gridSpan w:val="2"/>
          </w:tcPr>
          <w:p w14:paraId="176F1E55" w14:textId="77777777" w:rsidR="00FB2567" w:rsidRPr="00DD37EC" w:rsidRDefault="00FB2567" w:rsidP="00DD37EC">
            <w:pPr>
              <w:spacing w:after="240"/>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lang w:val="es-DO"/>
              </w:rPr>
            </w:pPr>
            <w:r w:rsidRPr="00DD37EC">
              <w:rPr>
                <w:rFonts w:ascii="Arial" w:hAnsi="Arial" w:cs="Arial"/>
                <w:lang w:val="es-DO"/>
              </w:rPr>
              <w:t xml:space="preserve">El Estado se ha concentrado en la prevención de la transmisión de madre a hijo/a y no en otros grupos vulnerables </w:t>
            </w:r>
          </w:p>
        </w:tc>
      </w:tr>
      <w:tr w:rsidR="00FB2567" w:rsidRPr="00392E34" w14:paraId="76E9B67D" w14:textId="77777777" w:rsidTr="005F40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Pr>
          <w:p w14:paraId="0F1427ED" w14:textId="77777777" w:rsidR="00FB2567" w:rsidRPr="00DD37EC" w:rsidRDefault="00FB2567" w:rsidP="00DD37EC">
            <w:pPr>
              <w:spacing w:after="240"/>
              <w:contextualSpacing/>
              <w:jc w:val="both"/>
              <w:rPr>
                <w:rFonts w:ascii="Arial" w:hAnsi="Arial" w:cs="Arial"/>
                <w:b w:val="0"/>
                <w:lang w:val="es-DO"/>
              </w:rPr>
            </w:pPr>
          </w:p>
        </w:tc>
        <w:tc>
          <w:tcPr>
            <w:tcW w:w="8010" w:type="dxa"/>
            <w:gridSpan w:val="2"/>
          </w:tcPr>
          <w:p w14:paraId="134C7323" w14:textId="758C51C5" w:rsidR="00FB2567" w:rsidRPr="00DD37EC" w:rsidRDefault="00FB2567" w:rsidP="00DD37EC">
            <w:pPr>
              <w:spacing w:after="240"/>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lang w:val="es-DO"/>
              </w:rPr>
            </w:pPr>
            <w:r w:rsidRPr="00DD37EC">
              <w:rPr>
                <w:rFonts w:ascii="Arial" w:hAnsi="Arial" w:cs="Arial"/>
                <w:lang w:val="es-DO"/>
              </w:rPr>
              <w:t>Prevalencia de grupos clave no ha disminuido</w:t>
            </w:r>
            <w:r w:rsidR="00B019A0">
              <w:rPr>
                <w:rFonts w:ascii="Arial" w:hAnsi="Arial" w:cs="Arial"/>
                <w:lang w:val="es-DO"/>
              </w:rPr>
              <w:t xml:space="preserve"> significativamente</w:t>
            </w:r>
          </w:p>
        </w:tc>
      </w:tr>
      <w:tr w:rsidR="00FB2567" w:rsidRPr="00392E34" w14:paraId="3A199A13" w14:textId="77777777" w:rsidTr="005F4042">
        <w:trPr>
          <w:trHeight w:val="117"/>
        </w:trPr>
        <w:tc>
          <w:tcPr>
            <w:cnfStyle w:val="001000000000" w:firstRow="0" w:lastRow="0" w:firstColumn="1" w:lastColumn="0" w:oddVBand="0" w:evenVBand="0" w:oddHBand="0" w:evenHBand="0" w:firstRowFirstColumn="0" w:firstRowLastColumn="0" w:lastRowFirstColumn="0" w:lastRowLastColumn="0"/>
            <w:tcW w:w="1800" w:type="dxa"/>
          </w:tcPr>
          <w:p w14:paraId="7F0AE320" w14:textId="77777777" w:rsidR="00FB2567" w:rsidRPr="00DD37EC" w:rsidRDefault="00FB2567" w:rsidP="00DD37EC">
            <w:pPr>
              <w:spacing w:after="240"/>
              <w:contextualSpacing/>
              <w:jc w:val="both"/>
              <w:rPr>
                <w:rFonts w:ascii="Arial" w:hAnsi="Arial" w:cs="Arial"/>
                <w:b w:val="0"/>
                <w:lang w:val="es-DO"/>
              </w:rPr>
            </w:pPr>
          </w:p>
        </w:tc>
        <w:tc>
          <w:tcPr>
            <w:tcW w:w="8010" w:type="dxa"/>
            <w:gridSpan w:val="2"/>
          </w:tcPr>
          <w:p w14:paraId="5FB83D6E" w14:textId="64CAEDFE" w:rsidR="00FB2567" w:rsidRPr="00120C34" w:rsidRDefault="00B019A0" w:rsidP="00DD37EC">
            <w:pPr>
              <w:spacing w:after="240"/>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lang w:val="es-419"/>
              </w:rPr>
            </w:pPr>
            <w:r w:rsidRPr="00DD37EC">
              <w:rPr>
                <w:rFonts w:ascii="Arial" w:hAnsi="Arial" w:cs="Arial"/>
                <w:lang w:val="es-DO"/>
              </w:rPr>
              <w:t>Experiencias de trabajo en prevención con grupos clave solo a través de ONG y proyectos no sistematizad</w:t>
            </w:r>
            <w:r>
              <w:rPr>
                <w:rFonts w:ascii="Arial" w:hAnsi="Arial" w:cs="Arial"/>
                <w:lang w:val="es-DO"/>
              </w:rPr>
              <w:t>o</w:t>
            </w:r>
            <w:r w:rsidRPr="00DD37EC">
              <w:rPr>
                <w:rFonts w:ascii="Arial" w:hAnsi="Arial" w:cs="Arial"/>
                <w:lang w:val="es-DO"/>
              </w:rPr>
              <w:t xml:space="preserve">s y no se conoce su </w:t>
            </w:r>
            <w:r w:rsidR="00F200B6" w:rsidRPr="001D1A74">
              <w:rPr>
                <w:rFonts w:ascii="Arial" w:hAnsi="Arial" w:cs="Arial"/>
                <w:lang w:val="es-DO"/>
              </w:rPr>
              <w:t>efectividad</w:t>
            </w:r>
          </w:p>
        </w:tc>
      </w:tr>
      <w:tr w:rsidR="00B019A0" w:rsidRPr="00392E34" w14:paraId="3335E76A" w14:textId="77777777" w:rsidTr="005F4042">
        <w:trPr>
          <w:cnfStyle w:val="000000100000" w:firstRow="0" w:lastRow="0" w:firstColumn="0" w:lastColumn="0" w:oddVBand="0" w:evenVBand="0" w:oddHBand="1" w:evenHBand="0" w:firstRowFirstColumn="0" w:firstRowLastColumn="0" w:lastRowFirstColumn="0" w:lastRowLastColumn="0"/>
          <w:trHeight w:val="117"/>
        </w:trPr>
        <w:tc>
          <w:tcPr>
            <w:cnfStyle w:val="001000000000" w:firstRow="0" w:lastRow="0" w:firstColumn="1" w:lastColumn="0" w:oddVBand="0" w:evenVBand="0" w:oddHBand="0" w:evenHBand="0" w:firstRowFirstColumn="0" w:firstRowLastColumn="0" w:lastRowFirstColumn="0" w:lastRowLastColumn="0"/>
            <w:tcW w:w="1800" w:type="dxa"/>
          </w:tcPr>
          <w:p w14:paraId="0338A113" w14:textId="77777777" w:rsidR="00B019A0" w:rsidRPr="00DD37EC" w:rsidRDefault="00B019A0" w:rsidP="00B019A0">
            <w:pPr>
              <w:spacing w:after="240"/>
              <w:contextualSpacing/>
              <w:jc w:val="both"/>
              <w:rPr>
                <w:rFonts w:ascii="Arial" w:hAnsi="Arial" w:cs="Arial"/>
                <w:b w:val="0"/>
                <w:lang w:val="es-DO"/>
              </w:rPr>
            </w:pPr>
          </w:p>
        </w:tc>
        <w:tc>
          <w:tcPr>
            <w:tcW w:w="8010" w:type="dxa"/>
            <w:gridSpan w:val="2"/>
          </w:tcPr>
          <w:p w14:paraId="2E880509" w14:textId="185FD0AA" w:rsidR="00B019A0" w:rsidRPr="00DD37EC" w:rsidRDefault="00B019A0" w:rsidP="00B019A0">
            <w:pPr>
              <w:spacing w:after="240"/>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lang w:val="es-DO"/>
              </w:rPr>
            </w:pPr>
            <w:r w:rsidRPr="00DD37EC">
              <w:rPr>
                <w:rFonts w:ascii="Arial" w:hAnsi="Arial" w:cs="Arial"/>
                <w:lang w:val="es-DO"/>
              </w:rPr>
              <w:t xml:space="preserve">Ausencia de un marco normativo oficial para la prevención combinada </w:t>
            </w:r>
          </w:p>
        </w:tc>
      </w:tr>
      <w:tr w:rsidR="00DF3230" w:rsidRPr="00392E34" w14:paraId="0BCA2EED" w14:textId="77777777" w:rsidTr="005F4042">
        <w:trPr>
          <w:trHeight w:val="117"/>
        </w:trPr>
        <w:tc>
          <w:tcPr>
            <w:cnfStyle w:val="001000000000" w:firstRow="0" w:lastRow="0" w:firstColumn="1" w:lastColumn="0" w:oddVBand="0" w:evenVBand="0" w:oddHBand="0" w:evenHBand="0" w:firstRowFirstColumn="0" w:firstRowLastColumn="0" w:lastRowFirstColumn="0" w:lastRowLastColumn="0"/>
            <w:tcW w:w="1800" w:type="dxa"/>
          </w:tcPr>
          <w:p w14:paraId="35FBA061" w14:textId="77777777" w:rsidR="00DF3230" w:rsidRPr="00DD37EC" w:rsidRDefault="00DF3230" w:rsidP="00DF3230">
            <w:pPr>
              <w:spacing w:after="240"/>
              <w:contextualSpacing/>
              <w:jc w:val="both"/>
              <w:rPr>
                <w:rFonts w:ascii="Arial" w:hAnsi="Arial" w:cs="Arial"/>
                <w:b w:val="0"/>
                <w:lang w:val="es-DO"/>
              </w:rPr>
            </w:pPr>
          </w:p>
        </w:tc>
        <w:tc>
          <w:tcPr>
            <w:tcW w:w="8010" w:type="dxa"/>
            <w:gridSpan w:val="2"/>
          </w:tcPr>
          <w:p w14:paraId="11447F09" w14:textId="029EABB8" w:rsidR="00DF3230" w:rsidRPr="00DD37EC" w:rsidRDefault="00DF3230" w:rsidP="00DF3230">
            <w:pPr>
              <w:spacing w:after="240"/>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lang w:val="es-DO"/>
              </w:rPr>
            </w:pPr>
            <w:r w:rsidRPr="00DD37EC">
              <w:rPr>
                <w:rFonts w:ascii="Arial" w:hAnsi="Arial" w:cs="Arial"/>
                <w:lang w:val="es-DO"/>
              </w:rPr>
              <w:t>Solo un 25% del gasto en prevención del VIH es por fuente pública</w:t>
            </w:r>
          </w:p>
        </w:tc>
      </w:tr>
      <w:tr w:rsidR="00DF3230" w:rsidRPr="00392E34" w14:paraId="3092F01A" w14:textId="77777777" w:rsidTr="005F4042">
        <w:trPr>
          <w:cnfStyle w:val="000000100000" w:firstRow="0" w:lastRow="0" w:firstColumn="0" w:lastColumn="0" w:oddVBand="0" w:evenVBand="0" w:oddHBand="1" w:evenHBand="0" w:firstRowFirstColumn="0" w:firstRowLastColumn="0" w:lastRowFirstColumn="0" w:lastRowLastColumn="0"/>
          <w:trHeight w:val="117"/>
        </w:trPr>
        <w:tc>
          <w:tcPr>
            <w:cnfStyle w:val="001000000000" w:firstRow="0" w:lastRow="0" w:firstColumn="1" w:lastColumn="0" w:oddVBand="0" w:evenVBand="0" w:oddHBand="0" w:evenHBand="0" w:firstRowFirstColumn="0" w:firstRowLastColumn="0" w:lastRowFirstColumn="0" w:lastRowLastColumn="0"/>
            <w:tcW w:w="1800" w:type="dxa"/>
          </w:tcPr>
          <w:p w14:paraId="6676E57B" w14:textId="77777777" w:rsidR="00DF3230" w:rsidRPr="00DD37EC" w:rsidRDefault="00DF3230" w:rsidP="00DF3230">
            <w:pPr>
              <w:spacing w:after="240"/>
              <w:contextualSpacing/>
              <w:jc w:val="both"/>
              <w:rPr>
                <w:rFonts w:ascii="Arial" w:hAnsi="Arial" w:cs="Arial"/>
                <w:b w:val="0"/>
                <w:lang w:val="es-DO"/>
              </w:rPr>
            </w:pPr>
          </w:p>
        </w:tc>
        <w:tc>
          <w:tcPr>
            <w:tcW w:w="8010" w:type="dxa"/>
            <w:gridSpan w:val="2"/>
          </w:tcPr>
          <w:p w14:paraId="7A4E800A" w14:textId="6F884F7E" w:rsidR="00DF3230" w:rsidRPr="00120C34" w:rsidRDefault="00DF3230" w:rsidP="00DF3230">
            <w:pPr>
              <w:spacing w:after="240"/>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lang w:val="es-419"/>
              </w:rPr>
            </w:pPr>
            <w:r w:rsidRPr="00DD37EC">
              <w:rPr>
                <w:rFonts w:ascii="Arial" w:hAnsi="Arial" w:cs="Arial"/>
                <w:lang w:val="es-DO"/>
              </w:rPr>
              <w:t xml:space="preserve">Servicios poco amigables para el diagnóstico y la referencia de la población </w:t>
            </w:r>
            <w:r w:rsidR="00F200B6" w:rsidRPr="00F15B66">
              <w:rPr>
                <w:rFonts w:ascii="Arial" w:hAnsi="Arial" w:cs="Arial"/>
                <w:lang w:val="es-DO"/>
              </w:rPr>
              <w:t>clave</w:t>
            </w:r>
          </w:p>
        </w:tc>
      </w:tr>
    </w:tbl>
    <w:p w14:paraId="7923A1A1" w14:textId="77777777" w:rsidR="00FB2567" w:rsidRPr="00DD37EC" w:rsidRDefault="00FB2567" w:rsidP="00DD37EC">
      <w:pPr>
        <w:spacing w:after="240" w:line="240" w:lineRule="auto"/>
        <w:rPr>
          <w:rFonts w:ascii="Arial" w:hAnsi="Arial" w:cs="Arial"/>
          <w:lang w:val="es-MX"/>
        </w:rPr>
      </w:pPr>
    </w:p>
    <w:p w14:paraId="3D978866" w14:textId="66160364" w:rsidR="00FA5879" w:rsidRPr="006D2E03" w:rsidRDefault="004B6BFF" w:rsidP="0068285B">
      <w:pPr>
        <w:pStyle w:val="Heading2"/>
        <w:numPr>
          <w:ilvl w:val="1"/>
          <w:numId w:val="15"/>
        </w:numPr>
        <w:spacing w:before="0" w:after="240" w:line="240" w:lineRule="auto"/>
        <w:rPr>
          <w:rFonts w:ascii="Arial" w:hAnsi="Arial" w:cs="Arial"/>
          <w:sz w:val="22"/>
          <w:szCs w:val="22"/>
          <w:lang w:val="es-419"/>
        </w:rPr>
      </w:pPr>
      <w:bookmarkStart w:id="34" w:name="_Toc8905223"/>
      <w:r w:rsidRPr="00DD37EC">
        <w:rPr>
          <w:rFonts w:ascii="Arial" w:hAnsi="Arial" w:cs="Arial"/>
          <w:sz w:val="22"/>
          <w:szCs w:val="22"/>
          <w:lang w:val="es-419"/>
        </w:rPr>
        <w:t>Cascada del 90-90-90</w:t>
      </w:r>
      <w:bookmarkEnd w:id="34"/>
    </w:p>
    <w:p w14:paraId="0D3DD989" w14:textId="7A782922" w:rsidR="004460EC" w:rsidRDefault="004460EC" w:rsidP="004460EC">
      <w:pPr>
        <w:spacing w:after="240" w:line="240" w:lineRule="auto"/>
        <w:rPr>
          <w:rFonts w:ascii="Arial" w:hAnsi="Arial" w:cs="Arial"/>
          <w:lang w:val="es-DO"/>
        </w:rPr>
      </w:pPr>
      <w:bookmarkStart w:id="35" w:name="_Hlk535426247"/>
      <w:r w:rsidRPr="004460EC">
        <w:rPr>
          <w:rFonts w:ascii="Arial" w:hAnsi="Arial" w:cs="Arial"/>
          <w:lang w:val="es-DO"/>
        </w:rPr>
        <w:t>El 90-90-90 para Honduras para el 2017, el 62% (13,611) de las personas con VIH (PVIH) conocen su estatus serológico, el 84% (11,506) de las PVIH reciben ARV y el 68% (7,875) de las PVIH están en supresión viral.</w:t>
      </w:r>
    </w:p>
    <w:p w14:paraId="6ECEFBD4" w14:textId="159FE53C" w:rsidR="000D73FA" w:rsidRDefault="000D73FA" w:rsidP="004460EC">
      <w:pPr>
        <w:spacing w:after="240" w:line="240" w:lineRule="auto"/>
        <w:rPr>
          <w:rFonts w:ascii="Arial" w:hAnsi="Arial" w:cs="Arial"/>
          <w:lang w:val="es-DO"/>
        </w:rPr>
      </w:pPr>
    </w:p>
    <w:p w14:paraId="3229F3F5" w14:textId="77777777" w:rsidR="000D73FA" w:rsidRDefault="000D73FA" w:rsidP="004460EC">
      <w:pPr>
        <w:spacing w:after="240" w:line="240" w:lineRule="auto"/>
        <w:rPr>
          <w:rFonts w:ascii="Arial" w:hAnsi="Arial" w:cs="Arial"/>
          <w:lang w:val="es-DO"/>
        </w:rPr>
      </w:pPr>
    </w:p>
    <w:p w14:paraId="15424CAC" w14:textId="6C8B6B9D" w:rsidR="007525D8" w:rsidRPr="000D73FA" w:rsidRDefault="000D73FA" w:rsidP="000D73FA">
      <w:pPr>
        <w:pStyle w:val="Caption"/>
        <w:rPr>
          <w:rFonts w:ascii="Arial" w:hAnsi="Arial" w:cs="Arial"/>
          <w:color w:val="auto"/>
          <w:sz w:val="22"/>
          <w:szCs w:val="22"/>
          <w:lang w:val="es-DO"/>
        </w:rPr>
      </w:pPr>
      <w:bookmarkStart w:id="36" w:name="_Toc8904100"/>
      <w:r w:rsidRPr="000D73FA">
        <w:rPr>
          <w:rFonts w:ascii="Arial" w:hAnsi="Arial" w:cs="Arial"/>
          <w:color w:val="auto"/>
          <w:sz w:val="22"/>
          <w:szCs w:val="22"/>
        </w:rPr>
        <w:lastRenderedPageBreak/>
        <w:t xml:space="preserve">Figura </w:t>
      </w:r>
      <w:r w:rsidRPr="000D73FA">
        <w:rPr>
          <w:rFonts w:ascii="Arial" w:hAnsi="Arial" w:cs="Arial"/>
          <w:color w:val="auto"/>
          <w:sz w:val="22"/>
          <w:szCs w:val="22"/>
        </w:rPr>
        <w:fldChar w:fldCharType="begin"/>
      </w:r>
      <w:r w:rsidRPr="000D73FA">
        <w:rPr>
          <w:rFonts w:ascii="Arial" w:hAnsi="Arial" w:cs="Arial"/>
          <w:color w:val="auto"/>
          <w:sz w:val="22"/>
          <w:szCs w:val="22"/>
        </w:rPr>
        <w:instrText xml:space="preserve"> SEQ Figura \* ARABIC </w:instrText>
      </w:r>
      <w:r w:rsidRPr="000D73FA">
        <w:rPr>
          <w:rFonts w:ascii="Arial" w:hAnsi="Arial" w:cs="Arial"/>
          <w:color w:val="auto"/>
          <w:sz w:val="22"/>
          <w:szCs w:val="22"/>
        </w:rPr>
        <w:fldChar w:fldCharType="separate"/>
      </w:r>
      <w:r w:rsidR="00004563">
        <w:rPr>
          <w:rFonts w:ascii="Arial" w:hAnsi="Arial" w:cs="Arial"/>
          <w:noProof/>
          <w:color w:val="auto"/>
          <w:sz w:val="22"/>
          <w:szCs w:val="22"/>
        </w:rPr>
        <w:t>3</w:t>
      </w:r>
      <w:r w:rsidRPr="000D73FA">
        <w:rPr>
          <w:rFonts w:ascii="Arial" w:hAnsi="Arial" w:cs="Arial"/>
          <w:color w:val="auto"/>
          <w:sz w:val="22"/>
          <w:szCs w:val="22"/>
        </w:rPr>
        <w:fldChar w:fldCharType="end"/>
      </w:r>
      <w:r w:rsidRPr="000D73FA">
        <w:rPr>
          <w:rFonts w:ascii="Arial" w:hAnsi="Arial" w:cs="Arial"/>
          <w:color w:val="auto"/>
          <w:sz w:val="22"/>
          <w:szCs w:val="22"/>
        </w:rPr>
        <w:t>. La cascada del continuo de la atención en VIH</w:t>
      </w:r>
      <w:r w:rsidR="00776040">
        <w:rPr>
          <w:rFonts w:ascii="Arial" w:hAnsi="Arial" w:cs="Arial"/>
          <w:color w:val="auto"/>
          <w:sz w:val="22"/>
          <w:szCs w:val="22"/>
        </w:rPr>
        <w:t xml:space="preserve"> en 2017</w:t>
      </w:r>
      <w:r w:rsidRPr="000D73FA">
        <w:rPr>
          <w:rFonts w:ascii="Arial" w:hAnsi="Arial" w:cs="Arial"/>
          <w:color w:val="auto"/>
          <w:sz w:val="22"/>
          <w:szCs w:val="22"/>
        </w:rPr>
        <w:t>, Honduras</w:t>
      </w:r>
      <w:bookmarkEnd w:id="35"/>
      <w:bookmarkEnd w:id="36"/>
    </w:p>
    <w:tbl>
      <w:tblPr>
        <w:tblStyle w:val="PlainTable4"/>
        <w:tblW w:w="5840" w:type="dxa"/>
        <w:jc w:val="center"/>
        <w:tblLook w:val="04A0" w:firstRow="1" w:lastRow="0" w:firstColumn="1" w:lastColumn="0" w:noHBand="0" w:noVBand="1"/>
      </w:tblPr>
      <w:tblGrid>
        <w:gridCol w:w="1660"/>
        <w:gridCol w:w="1840"/>
        <w:gridCol w:w="1360"/>
        <w:gridCol w:w="980"/>
      </w:tblGrid>
      <w:tr w:rsidR="00FB2567" w:rsidRPr="00DD37EC" w14:paraId="3756173B" w14:textId="77777777" w:rsidTr="00C40874">
        <w:trPr>
          <w:cnfStyle w:val="100000000000" w:firstRow="1" w:lastRow="0" w:firstColumn="0" w:lastColumn="0" w:oddVBand="0" w:evenVBand="0" w:oddHBand="0" w:evenHBand="0" w:firstRowFirstColumn="0" w:firstRowLastColumn="0" w:lastRowFirstColumn="0" w:lastRowLastColumn="0"/>
          <w:trHeight w:hRule="exact" w:val="288"/>
          <w:jc w:val="center"/>
        </w:trPr>
        <w:tc>
          <w:tcPr>
            <w:cnfStyle w:val="001000000000" w:firstRow="0" w:lastRow="0" w:firstColumn="1" w:lastColumn="0" w:oddVBand="0" w:evenVBand="0" w:oddHBand="0" w:evenHBand="0" w:firstRowFirstColumn="0" w:firstRowLastColumn="0" w:lastRowFirstColumn="0" w:lastRowLastColumn="0"/>
            <w:tcW w:w="1660" w:type="dxa"/>
            <w:noWrap/>
            <w:hideMark/>
          </w:tcPr>
          <w:p w14:paraId="0485DE23" w14:textId="77777777" w:rsidR="00FB2567" w:rsidRPr="00DD37EC" w:rsidRDefault="00FB2567" w:rsidP="00DD37EC">
            <w:pPr>
              <w:spacing w:after="240"/>
              <w:jc w:val="center"/>
              <w:rPr>
                <w:rFonts w:ascii="Arial" w:eastAsia="Times New Roman" w:hAnsi="Arial" w:cs="Arial"/>
                <w:color w:val="000000"/>
                <w:lang w:val="es-DO"/>
              </w:rPr>
            </w:pPr>
            <w:r w:rsidRPr="00DD37EC">
              <w:rPr>
                <w:rFonts w:ascii="Arial" w:eastAsia="Times New Roman" w:hAnsi="Arial" w:cs="Arial"/>
                <w:color w:val="000000"/>
                <w:lang w:val="es-DO"/>
              </w:rPr>
              <w:t>Indicador</w:t>
            </w:r>
          </w:p>
        </w:tc>
        <w:tc>
          <w:tcPr>
            <w:tcW w:w="1840" w:type="dxa"/>
            <w:noWrap/>
            <w:hideMark/>
          </w:tcPr>
          <w:p w14:paraId="1EA7847D" w14:textId="77777777" w:rsidR="00FB2567" w:rsidRPr="00DD37EC" w:rsidRDefault="00FB2567" w:rsidP="00DD37EC">
            <w:pPr>
              <w:spacing w:after="24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val="es-DO"/>
              </w:rPr>
            </w:pPr>
            <w:r w:rsidRPr="00DD37EC">
              <w:rPr>
                <w:rFonts w:ascii="Arial" w:eastAsia="Times New Roman" w:hAnsi="Arial" w:cs="Arial"/>
                <w:color w:val="000000"/>
                <w:lang w:val="es-DO"/>
              </w:rPr>
              <w:t>Meta 2020</w:t>
            </w:r>
          </w:p>
        </w:tc>
        <w:tc>
          <w:tcPr>
            <w:tcW w:w="1360" w:type="dxa"/>
            <w:noWrap/>
            <w:hideMark/>
          </w:tcPr>
          <w:p w14:paraId="1B92637D" w14:textId="5F0EF4C6" w:rsidR="00FB2567" w:rsidRPr="00DD37EC" w:rsidRDefault="00FB2567" w:rsidP="00DD37EC">
            <w:pPr>
              <w:spacing w:after="24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val="es-DO"/>
              </w:rPr>
            </w:pPr>
            <w:r w:rsidRPr="00DD37EC">
              <w:rPr>
                <w:rFonts w:ascii="Arial" w:eastAsia="Times New Roman" w:hAnsi="Arial" w:cs="Arial"/>
                <w:color w:val="000000"/>
                <w:lang w:val="es-DO"/>
              </w:rPr>
              <w:t>Avance 201</w:t>
            </w:r>
          </w:p>
        </w:tc>
        <w:tc>
          <w:tcPr>
            <w:tcW w:w="980" w:type="dxa"/>
            <w:noWrap/>
            <w:hideMark/>
          </w:tcPr>
          <w:p w14:paraId="59FF6F1A" w14:textId="77777777" w:rsidR="00FB2567" w:rsidRPr="00DD37EC" w:rsidRDefault="00FB2567" w:rsidP="004460EC">
            <w:pPr>
              <w:spacing w:after="240"/>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val="es-DO"/>
              </w:rPr>
            </w:pPr>
            <w:r w:rsidRPr="00DD37EC">
              <w:rPr>
                <w:rFonts w:ascii="Arial" w:eastAsia="Times New Roman" w:hAnsi="Arial" w:cs="Arial"/>
                <w:color w:val="000000"/>
                <w:lang w:val="es-DO"/>
              </w:rPr>
              <w:t>Brecha</w:t>
            </w:r>
          </w:p>
        </w:tc>
      </w:tr>
      <w:tr w:rsidR="00FB2567" w:rsidRPr="00DD37EC" w14:paraId="5CBA284D" w14:textId="77777777" w:rsidTr="00C40874">
        <w:trPr>
          <w:cnfStyle w:val="000000100000" w:firstRow="0" w:lastRow="0" w:firstColumn="0" w:lastColumn="0" w:oddVBand="0" w:evenVBand="0" w:oddHBand="1" w:evenHBand="0" w:firstRowFirstColumn="0" w:firstRowLastColumn="0" w:lastRowFirstColumn="0" w:lastRowLastColumn="0"/>
          <w:trHeight w:hRule="exact" w:val="288"/>
          <w:jc w:val="center"/>
        </w:trPr>
        <w:tc>
          <w:tcPr>
            <w:cnfStyle w:val="001000000000" w:firstRow="0" w:lastRow="0" w:firstColumn="1" w:lastColumn="0" w:oddVBand="0" w:evenVBand="0" w:oddHBand="0" w:evenHBand="0" w:firstRowFirstColumn="0" w:firstRowLastColumn="0" w:lastRowFirstColumn="0" w:lastRowLastColumn="0"/>
            <w:tcW w:w="1660" w:type="dxa"/>
            <w:noWrap/>
            <w:hideMark/>
          </w:tcPr>
          <w:p w14:paraId="7CC603A7" w14:textId="77777777" w:rsidR="00FB2567" w:rsidRPr="00DD37EC" w:rsidRDefault="00FB2567" w:rsidP="00DD37EC">
            <w:pPr>
              <w:spacing w:after="240"/>
              <w:jc w:val="center"/>
              <w:rPr>
                <w:rFonts w:ascii="Arial" w:eastAsia="Times New Roman" w:hAnsi="Arial" w:cs="Arial"/>
                <w:color w:val="000000"/>
                <w:lang w:val="es-DO"/>
              </w:rPr>
            </w:pPr>
            <w:r w:rsidRPr="00DD37EC">
              <w:rPr>
                <w:rFonts w:ascii="Arial" w:eastAsia="Times New Roman" w:hAnsi="Arial" w:cs="Arial"/>
                <w:color w:val="000000"/>
                <w:lang w:val="es-DO"/>
              </w:rPr>
              <w:t>1er 90</w:t>
            </w:r>
          </w:p>
        </w:tc>
        <w:tc>
          <w:tcPr>
            <w:tcW w:w="1840" w:type="dxa"/>
            <w:noWrap/>
            <w:hideMark/>
          </w:tcPr>
          <w:p w14:paraId="538719F9" w14:textId="644C52BC" w:rsidR="00FB2567" w:rsidRPr="00DD37EC" w:rsidRDefault="00FB2567" w:rsidP="00DD37EC">
            <w:pPr>
              <w:spacing w:after="24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DO"/>
              </w:rPr>
            </w:pPr>
            <w:r w:rsidRPr="00DD37EC">
              <w:rPr>
                <w:rFonts w:ascii="Arial" w:eastAsia="Times New Roman" w:hAnsi="Arial" w:cs="Arial"/>
                <w:color w:val="000000"/>
                <w:lang w:val="es-DO"/>
              </w:rPr>
              <w:t>19,8</w:t>
            </w:r>
            <w:r w:rsidR="004460EC">
              <w:rPr>
                <w:rFonts w:ascii="Arial" w:eastAsia="Times New Roman" w:hAnsi="Arial" w:cs="Arial"/>
                <w:color w:val="000000"/>
                <w:lang w:val="es-DO"/>
              </w:rPr>
              <w:t>99</w:t>
            </w:r>
          </w:p>
        </w:tc>
        <w:tc>
          <w:tcPr>
            <w:tcW w:w="1360" w:type="dxa"/>
            <w:noWrap/>
            <w:hideMark/>
          </w:tcPr>
          <w:p w14:paraId="00FC4C7D" w14:textId="6F3646CF" w:rsidR="00FB2567" w:rsidRPr="00DD37EC" w:rsidRDefault="004460EC" w:rsidP="00DD37EC">
            <w:pPr>
              <w:spacing w:after="24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DO"/>
              </w:rPr>
            </w:pPr>
            <w:r>
              <w:rPr>
                <w:rFonts w:ascii="Arial" w:eastAsia="Times New Roman" w:hAnsi="Arial" w:cs="Arial"/>
                <w:color w:val="000000"/>
                <w:lang w:val="es-DO"/>
              </w:rPr>
              <w:t>13,611</w:t>
            </w:r>
          </w:p>
        </w:tc>
        <w:tc>
          <w:tcPr>
            <w:tcW w:w="980" w:type="dxa"/>
            <w:noWrap/>
            <w:hideMark/>
          </w:tcPr>
          <w:p w14:paraId="6A0F0185" w14:textId="112DACAB" w:rsidR="00FB2567" w:rsidRPr="00DD37EC" w:rsidRDefault="004460EC" w:rsidP="00DD37EC">
            <w:pPr>
              <w:spacing w:after="24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DO"/>
              </w:rPr>
            </w:pPr>
            <w:r>
              <w:rPr>
                <w:rFonts w:ascii="Arial" w:eastAsia="Times New Roman" w:hAnsi="Arial" w:cs="Arial"/>
                <w:color w:val="000000"/>
                <w:lang w:val="es-DO"/>
              </w:rPr>
              <w:t>6,288</w:t>
            </w:r>
          </w:p>
        </w:tc>
      </w:tr>
      <w:tr w:rsidR="00FB2567" w:rsidRPr="00DD37EC" w14:paraId="29116C91" w14:textId="77777777" w:rsidTr="00C40874">
        <w:trPr>
          <w:trHeight w:hRule="exact" w:val="288"/>
          <w:jc w:val="center"/>
        </w:trPr>
        <w:tc>
          <w:tcPr>
            <w:cnfStyle w:val="001000000000" w:firstRow="0" w:lastRow="0" w:firstColumn="1" w:lastColumn="0" w:oddVBand="0" w:evenVBand="0" w:oddHBand="0" w:evenHBand="0" w:firstRowFirstColumn="0" w:firstRowLastColumn="0" w:lastRowFirstColumn="0" w:lastRowLastColumn="0"/>
            <w:tcW w:w="1660" w:type="dxa"/>
            <w:noWrap/>
            <w:hideMark/>
          </w:tcPr>
          <w:p w14:paraId="6CA9073C" w14:textId="77777777" w:rsidR="00FB2567" w:rsidRPr="00DD37EC" w:rsidRDefault="00FB2567" w:rsidP="00DD37EC">
            <w:pPr>
              <w:spacing w:after="240"/>
              <w:jc w:val="center"/>
              <w:rPr>
                <w:rFonts w:ascii="Arial" w:eastAsia="Times New Roman" w:hAnsi="Arial" w:cs="Arial"/>
                <w:color w:val="000000"/>
                <w:lang w:val="es-DO"/>
              </w:rPr>
            </w:pPr>
            <w:r w:rsidRPr="00DD37EC">
              <w:rPr>
                <w:rFonts w:ascii="Arial" w:eastAsia="Times New Roman" w:hAnsi="Arial" w:cs="Arial"/>
                <w:color w:val="000000"/>
                <w:lang w:val="es-DO"/>
              </w:rPr>
              <w:t>2do 90</w:t>
            </w:r>
          </w:p>
        </w:tc>
        <w:tc>
          <w:tcPr>
            <w:tcW w:w="1840" w:type="dxa"/>
            <w:noWrap/>
            <w:hideMark/>
          </w:tcPr>
          <w:p w14:paraId="2B876CE7" w14:textId="6FC735BB" w:rsidR="00FB2567" w:rsidRPr="00DD37EC" w:rsidRDefault="00FB2567" w:rsidP="00DD37EC">
            <w:pPr>
              <w:spacing w:after="24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DO"/>
              </w:rPr>
            </w:pPr>
            <w:r w:rsidRPr="00DD37EC">
              <w:rPr>
                <w:rFonts w:ascii="Arial" w:eastAsia="Times New Roman" w:hAnsi="Arial" w:cs="Arial"/>
                <w:color w:val="000000"/>
                <w:lang w:val="es-DO"/>
              </w:rPr>
              <w:t>17,</w:t>
            </w:r>
            <w:r w:rsidR="004460EC">
              <w:rPr>
                <w:rFonts w:ascii="Arial" w:eastAsia="Times New Roman" w:hAnsi="Arial" w:cs="Arial"/>
                <w:color w:val="000000"/>
                <w:lang w:val="es-DO"/>
              </w:rPr>
              <w:t>909</w:t>
            </w:r>
          </w:p>
        </w:tc>
        <w:tc>
          <w:tcPr>
            <w:tcW w:w="1360" w:type="dxa"/>
            <w:noWrap/>
            <w:hideMark/>
          </w:tcPr>
          <w:p w14:paraId="0569A72C" w14:textId="42DE85D8" w:rsidR="00FB2567" w:rsidRPr="00DD37EC" w:rsidRDefault="00FB2567" w:rsidP="00DD37EC">
            <w:pPr>
              <w:spacing w:after="24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DO"/>
              </w:rPr>
            </w:pPr>
            <w:r w:rsidRPr="00DD37EC">
              <w:rPr>
                <w:rFonts w:ascii="Arial" w:eastAsia="Times New Roman" w:hAnsi="Arial" w:cs="Arial"/>
                <w:color w:val="000000"/>
                <w:lang w:val="es-DO"/>
              </w:rPr>
              <w:t>1</w:t>
            </w:r>
            <w:r w:rsidR="004460EC">
              <w:rPr>
                <w:rFonts w:ascii="Arial" w:eastAsia="Times New Roman" w:hAnsi="Arial" w:cs="Arial"/>
                <w:color w:val="000000"/>
                <w:lang w:val="es-DO"/>
              </w:rPr>
              <w:t>1,506</w:t>
            </w:r>
          </w:p>
        </w:tc>
        <w:tc>
          <w:tcPr>
            <w:tcW w:w="980" w:type="dxa"/>
            <w:noWrap/>
            <w:hideMark/>
          </w:tcPr>
          <w:p w14:paraId="413F00E0" w14:textId="47969BD3" w:rsidR="00FB2567" w:rsidRPr="00DD37EC" w:rsidRDefault="004460EC" w:rsidP="00DD37EC">
            <w:pPr>
              <w:spacing w:after="24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DO"/>
              </w:rPr>
            </w:pPr>
            <w:r>
              <w:rPr>
                <w:rFonts w:ascii="Arial" w:eastAsia="Times New Roman" w:hAnsi="Arial" w:cs="Arial"/>
                <w:color w:val="000000"/>
                <w:lang w:val="es-DO"/>
              </w:rPr>
              <w:t>6,403</w:t>
            </w:r>
          </w:p>
        </w:tc>
      </w:tr>
      <w:tr w:rsidR="00FB2567" w:rsidRPr="00DD37EC" w14:paraId="1ACB4F51" w14:textId="77777777" w:rsidTr="00C40874">
        <w:trPr>
          <w:cnfStyle w:val="000000100000" w:firstRow="0" w:lastRow="0" w:firstColumn="0" w:lastColumn="0" w:oddVBand="0" w:evenVBand="0" w:oddHBand="1" w:evenHBand="0" w:firstRowFirstColumn="0" w:firstRowLastColumn="0" w:lastRowFirstColumn="0" w:lastRowLastColumn="0"/>
          <w:trHeight w:hRule="exact" w:val="288"/>
          <w:jc w:val="center"/>
        </w:trPr>
        <w:tc>
          <w:tcPr>
            <w:cnfStyle w:val="001000000000" w:firstRow="0" w:lastRow="0" w:firstColumn="1" w:lastColumn="0" w:oddVBand="0" w:evenVBand="0" w:oddHBand="0" w:evenHBand="0" w:firstRowFirstColumn="0" w:firstRowLastColumn="0" w:lastRowFirstColumn="0" w:lastRowLastColumn="0"/>
            <w:tcW w:w="1660" w:type="dxa"/>
            <w:noWrap/>
            <w:hideMark/>
          </w:tcPr>
          <w:p w14:paraId="1C7EAC54" w14:textId="77777777" w:rsidR="00FB2567" w:rsidRPr="00DD37EC" w:rsidRDefault="00FB2567" w:rsidP="00DD37EC">
            <w:pPr>
              <w:spacing w:after="240"/>
              <w:jc w:val="center"/>
              <w:rPr>
                <w:rFonts w:ascii="Arial" w:eastAsia="Times New Roman" w:hAnsi="Arial" w:cs="Arial"/>
                <w:color w:val="000000"/>
                <w:lang w:val="es-DO"/>
              </w:rPr>
            </w:pPr>
            <w:r w:rsidRPr="00DD37EC">
              <w:rPr>
                <w:rFonts w:ascii="Arial" w:eastAsia="Times New Roman" w:hAnsi="Arial" w:cs="Arial"/>
                <w:color w:val="000000"/>
                <w:lang w:val="es-DO"/>
              </w:rPr>
              <w:t>3er 90</w:t>
            </w:r>
          </w:p>
        </w:tc>
        <w:tc>
          <w:tcPr>
            <w:tcW w:w="1840" w:type="dxa"/>
            <w:noWrap/>
            <w:hideMark/>
          </w:tcPr>
          <w:p w14:paraId="42A5C817" w14:textId="462035EC" w:rsidR="00FB2567" w:rsidRPr="00DD37EC" w:rsidRDefault="00FB2567" w:rsidP="00DD37EC">
            <w:pPr>
              <w:spacing w:after="24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DO"/>
              </w:rPr>
            </w:pPr>
            <w:r w:rsidRPr="00DD37EC">
              <w:rPr>
                <w:rFonts w:ascii="Arial" w:eastAsia="Times New Roman" w:hAnsi="Arial" w:cs="Arial"/>
                <w:color w:val="000000"/>
                <w:lang w:val="es-DO"/>
              </w:rPr>
              <w:t>16,</w:t>
            </w:r>
            <w:r w:rsidR="004460EC">
              <w:rPr>
                <w:rFonts w:ascii="Arial" w:eastAsia="Times New Roman" w:hAnsi="Arial" w:cs="Arial"/>
                <w:color w:val="000000"/>
                <w:lang w:val="es-DO"/>
              </w:rPr>
              <w:t>118</w:t>
            </w:r>
          </w:p>
        </w:tc>
        <w:tc>
          <w:tcPr>
            <w:tcW w:w="1360" w:type="dxa"/>
            <w:noWrap/>
            <w:hideMark/>
          </w:tcPr>
          <w:p w14:paraId="6CF9EF52" w14:textId="44F79D0E" w:rsidR="00FB2567" w:rsidRPr="00DD37EC" w:rsidRDefault="004460EC" w:rsidP="00DD37EC">
            <w:pPr>
              <w:spacing w:after="24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DO"/>
              </w:rPr>
            </w:pPr>
            <w:r>
              <w:rPr>
                <w:rFonts w:ascii="Arial" w:eastAsia="Times New Roman" w:hAnsi="Arial" w:cs="Arial"/>
                <w:color w:val="000000"/>
                <w:lang w:val="es-DO"/>
              </w:rPr>
              <w:t>7,875</w:t>
            </w:r>
          </w:p>
        </w:tc>
        <w:tc>
          <w:tcPr>
            <w:tcW w:w="980" w:type="dxa"/>
            <w:noWrap/>
            <w:hideMark/>
          </w:tcPr>
          <w:p w14:paraId="4B5F1C3E" w14:textId="675684A4" w:rsidR="00FB2567" w:rsidRPr="00DD37EC" w:rsidRDefault="004460EC" w:rsidP="00DD37EC">
            <w:pPr>
              <w:spacing w:after="24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DO"/>
              </w:rPr>
            </w:pPr>
            <w:r>
              <w:rPr>
                <w:rFonts w:ascii="Arial" w:eastAsia="Times New Roman" w:hAnsi="Arial" w:cs="Arial"/>
                <w:color w:val="000000"/>
                <w:lang w:val="es-DO"/>
              </w:rPr>
              <w:t>8,243</w:t>
            </w:r>
          </w:p>
        </w:tc>
      </w:tr>
    </w:tbl>
    <w:p w14:paraId="0EEDCB49" w14:textId="5B1C60E6" w:rsidR="00FB2567" w:rsidRPr="00DD37EC" w:rsidRDefault="00FB2567" w:rsidP="00DD37EC">
      <w:pPr>
        <w:spacing w:after="240" w:line="240" w:lineRule="auto"/>
        <w:contextualSpacing/>
        <w:rPr>
          <w:rFonts w:ascii="Arial" w:hAnsi="Arial" w:cs="Arial"/>
          <w:lang w:val="es-DO"/>
        </w:rPr>
      </w:pPr>
    </w:p>
    <w:p w14:paraId="5C64CF83" w14:textId="77777777" w:rsidR="004460EC" w:rsidRDefault="004460EC" w:rsidP="006D2E03">
      <w:pPr>
        <w:spacing w:after="240" w:line="240" w:lineRule="auto"/>
        <w:contextualSpacing/>
        <w:jc w:val="center"/>
        <w:rPr>
          <w:rFonts w:ascii="Arial" w:hAnsi="Arial" w:cs="Arial"/>
          <w:lang w:val="es-DO"/>
        </w:rPr>
      </w:pPr>
      <w:r>
        <w:rPr>
          <w:noProof/>
        </w:rPr>
        <w:drawing>
          <wp:inline distT="0" distB="0" distL="0" distR="0" wp14:anchorId="4934990D" wp14:editId="01E07160">
            <wp:extent cx="4822190" cy="3060700"/>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22190" cy="3060700"/>
                    </a:xfrm>
                    <a:prstGeom prst="rect">
                      <a:avLst/>
                    </a:prstGeom>
                    <a:noFill/>
                  </pic:spPr>
                </pic:pic>
              </a:graphicData>
            </a:graphic>
          </wp:inline>
        </w:drawing>
      </w:r>
    </w:p>
    <w:p w14:paraId="6ABE4D44" w14:textId="3B2FFC9A" w:rsidR="00FB2567" w:rsidRPr="00DD37EC" w:rsidRDefault="00FB2567" w:rsidP="006D2E03">
      <w:pPr>
        <w:spacing w:after="240" w:line="240" w:lineRule="auto"/>
        <w:contextualSpacing/>
        <w:jc w:val="center"/>
        <w:rPr>
          <w:rFonts w:ascii="Arial" w:hAnsi="Arial" w:cs="Arial"/>
          <w:lang w:val="es-DO"/>
        </w:rPr>
      </w:pPr>
    </w:p>
    <w:p w14:paraId="2C1C901E" w14:textId="0B81BC7C" w:rsidR="00FB2567" w:rsidRPr="00980FA1" w:rsidRDefault="00002628" w:rsidP="0063690F">
      <w:pPr>
        <w:spacing w:after="240" w:line="240" w:lineRule="auto"/>
        <w:ind w:left="720"/>
        <w:contextualSpacing/>
        <w:rPr>
          <w:rStyle w:val="Hyperlink"/>
          <w:rFonts w:ascii="Arial" w:hAnsi="Arial" w:cs="Arial"/>
          <w:i/>
          <w:sz w:val="18"/>
        </w:rPr>
      </w:pPr>
      <w:r w:rsidRPr="00167C47">
        <w:rPr>
          <w:rFonts w:ascii="Arial" w:hAnsi="Arial" w:cs="Arial"/>
          <w:i/>
          <w:sz w:val="18"/>
          <w:lang w:val="es-DO"/>
        </w:rPr>
        <w:t xml:space="preserve">Fuente: </w:t>
      </w:r>
      <w:r w:rsidR="0080245B" w:rsidRPr="0080245B">
        <w:rPr>
          <w:rFonts w:ascii="Arial" w:hAnsi="Arial" w:cs="Arial"/>
          <w:i/>
          <w:sz w:val="18"/>
          <w:lang w:val="es-DO"/>
        </w:rPr>
        <w:t>Secretaria de Salud de Honduras, Estimaciones y proyecciones de la epidemia de VIH, Unidad de Gestión de la Información. Honduras 2017</w:t>
      </w:r>
    </w:p>
    <w:p w14:paraId="149A173C" w14:textId="77777777" w:rsidR="007525D8" w:rsidRPr="00980FA1" w:rsidRDefault="007525D8" w:rsidP="007F5C96">
      <w:pPr>
        <w:spacing w:after="240" w:line="240" w:lineRule="auto"/>
        <w:contextualSpacing/>
        <w:rPr>
          <w:rFonts w:ascii="Arial" w:hAnsi="Arial" w:cs="Arial"/>
          <w:i/>
          <w:sz w:val="18"/>
        </w:rPr>
      </w:pPr>
    </w:p>
    <w:p w14:paraId="51996A1C" w14:textId="64191ACA" w:rsidR="00FA5879" w:rsidRPr="00DD37EC" w:rsidRDefault="00C40874" w:rsidP="00DD37EC">
      <w:pPr>
        <w:pStyle w:val="Heading3"/>
        <w:spacing w:before="0" w:after="240" w:line="240" w:lineRule="auto"/>
        <w:rPr>
          <w:rFonts w:ascii="Arial" w:hAnsi="Arial" w:cs="Arial"/>
          <w:sz w:val="22"/>
          <w:szCs w:val="22"/>
          <w:lang w:val="es-DO"/>
        </w:rPr>
      </w:pPr>
      <w:bookmarkStart w:id="37" w:name="_Toc8905224"/>
      <w:r>
        <w:rPr>
          <w:rFonts w:ascii="Arial" w:hAnsi="Arial" w:cs="Arial"/>
          <w:sz w:val="22"/>
          <w:szCs w:val="22"/>
          <w:lang w:val="es-DO"/>
        </w:rPr>
        <w:t>4</w:t>
      </w:r>
      <w:r w:rsidR="004F0CE9" w:rsidRPr="00DD37EC">
        <w:rPr>
          <w:rFonts w:ascii="Arial" w:hAnsi="Arial" w:cs="Arial"/>
          <w:sz w:val="22"/>
          <w:szCs w:val="22"/>
          <w:lang w:val="es-DO"/>
        </w:rPr>
        <w:t>.</w:t>
      </w:r>
      <w:r w:rsidR="00651171">
        <w:rPr>
          <w:rFonts w:ascii="Arial" w:hAnsi="Arial" w:cs="Arial"/>
          <w:sz w:val="22"/>
          <w:szCs w:val="22"/>
          <w:lang w:val="es-DO"/>
        </w:rPr>
        <w:t>4</w:t>
      </w:r>
      <w:r w:rsidR="004F0CE9" w:rsidRPr="00DD37EC">
        <w:rPr>
          <w:rFonts w:ascii="Arial" w:hAnsi="Arial" w:cs="Arial"/>
          <w:sz w:val="22"/>
          <w:szCs w:val="22"/>
          <w:lang w:val="es-DO"/>
        </w:rPr>
        <w:t>.1</w:t>
      </w:r>
      <w:r w:rsidR="00FA5879" w:rsidRPr="00DD37EC">
        <w:rPr>
          <w:rFonts w:ascii="Arial" w:hAnsi="Arial" w:cs="Arial"/>
          <w:sz w:val="22"/>
          <w:szCs w:val="22"/>
          <w:lang w:val="es-DO"/>
        </w:rPr>
        <w:t>. Actividades de diagnóstico</w:t>
      </w:r>
      <w:r w:rsidR="004B6BFF" w:rsidRPr="00DD37EC">
        <w:rPr>
          <w:rFonts w:ascii="Arial" w:hAnsi="Arial" w:cs="Arial"/>
          <w:sz w:val="22"/>
          <w:szCs w:val="22"/>
          <w:lang w:val="es-DO"/>
        </w:rPr>
        <w:t xml:space="preserve"> (1er 90),</w:t>
      </w:r>
      <w:r w:rsidR="00FA5879" w:rsidRPr="00DD37EC">
        <w:rPr>
          <w:rFonts w:ascii="Arial" w:hAnsi="Arial" w:cs="Arial"/>
          <w:sz w:val="22"/>
          <w:szCs w:val="22"/>
          <w:lang w:val="es-DO"/>
        </w:rPr>
        <w:t xml:space="preserve"> </w:t>
      </w:r>
      <w:r w:rsidR="004B6BFF" w:rsidRPr="00DD37EC">
        <w:rPr>
          <w:rFonts w:ascii="Arial" w:hAnsi="Arial" w:cs="Arial"/>
          <w:sz w:val="22"/>
          <w:szCs w:val="22"/>
          <w:lang w:val="es-419"/>
        </w:rPr>
        <w:t>fuerzas y debilidades</w:t>
      </w:r>
      <w:bookmarkEnd w:id="37"/>
    </w:p>
    <w:tbl>
      <w:tblPr>
        <w:tblStyle w:val="TableGridLight"/>
        <w:tblpPr w:leftFromText="180" w:rightFromText="180" w:vertAnchor="text" w:horzAnchor="margin" w:tblpXSpec="right" w:tblpY="43"/>
        <w:tblW w:w="0" w:type="auto"/>
        <w:shd w:val="clear" w:color="auto" w:fill="D9E2F3" w:themeFill="accent1" w:themeFillTint="33"/>
        <w:tblLook w:val="04A0" w:firstRow="1" w:lastRow="0" w:firstColumn="1" w:lastColumn="0" w:noHBand="0" w:noVBand="1"/>
      </w:tblPr>
      <w:tblGrid>
        <w:gridCol w:w="2472"/>
      </w:tblGrid>
      <w:tr w:rsidR="006D2E03" w:rsidRPr="00DD37EC" w14:paraId="444CAFC5" w14:textId="77777777" w:rsidTr="006D2E03">
        <w:trPr>
          <w:trHeight w:val="283"/>
        </w:trPr>
        <w:tc>
          <w:tcPr>
            <w:tcW w:w="2472" w:type="dxa"/>
            <w:shd w:val="clear" w:color="auto" w:fill="D9E2F3" w:themeFill="accent1" w:themeFillTint="33"/>
          </w:tcPr>
          <w:p w14:paraId="3015284D" w14:textId="77777777" w:rsidR="006D2E03" w:rsidRPr="00DD37EC" w:rsidRDefault="006D2E03" w:rsidP="006D2E03">
            <w:pPr>
              <w:spacing w:after="240"/>
              <w:contextualSpacing/>
              <w:jc w:val="center"/>
              <w:rPr>
                <w:rFonts w:ascii="Arial" w:hAnsi="Arial" w:cs="Arial"/>
                <w:color w:val="000000" w:themeColor="text1"/>
                <w:lang w:val="es-DO"/>
              </w:rPr>
            </w:pPr>
          </w:p>
          <w:p w14:paraId="36B7E944" w14:textId="16F778BE" w:rsidR="006D2E03" w:rsidRPr="00DD37EC" w:rsidRDefault="006D2E03" w:rsidP="006D2E03">
            <w:pPr>
              <w:spacing w:after="240"/>
              <w:contextualSpacing/>
              <w:jc w:val="center"/>
              <w:rPr>
                <w:rFonts w:ascii="Arial" w:hAnsi="Arial" w:cs="Arial"/>
                <w:color w:val="000000" w:themeColor="text1"/>
                <w:lang w:val="es-DO"/>
              </w:rPr>
            </w:pPr>
            <w:r w:rsidRPr="00DD37EC">
              <w:rPr>
                <w:rFonts w:ascii="Arial" w:hAnsi="Arial" w:cs="Arial"/>
                <w:b/>
                <w:i/>
                <w:color w:val="000000" w:themeColor="text1"/>
                <w:lang w:val="es-DO"/>
              </w:rPr>
              <w:t xml:space="preserve">Población total que conoce </w:t>
            </w:r>
            <w:r w:rsidR="002859BF">
              <w:rPr>
                <w:rFonts w:ascii="Arial" w:hAnsi="Arial" w:cs="Arial"/>
                <w:b/>
                <w:i/>
                <w:color w:val="000000" w:themeColor="text1"/>
                <w:lang w:val="es-DO"/>
              </w:rPr>
              <w:t>s</w:t>
            </w:r>
            <w:r w:rsidRPr="00DD37EC">
              <w:rPr>
                <w:rFonts w:ascii="Arial" w:hAnsi="Arial" w:cs="Arial"/>
                <w:b/>
                <w:i/>
                <w:color w:val="000000" w:themeColor="text1"/>
                <w:lang w:val="es-DO"/>
              </w:rPr>
              <w:t>u estatu</w:t>
            </w:r>
            <w:r w:rsidRPr="00DD37EC">
              <w:rPr>
                <w:rFonts w:ascii="Arial" w:hAnsi="Arial" w:cs="Arial"/>
                <w:b/>
                <w:color w:val="000000" w:themeColor="text1"/>
                <w:lang w:val="es-DO"/>
              </w:rPr>
              <w:t>s</w:t>
            </w:r>
            <w:r w:rsidRPr="00DD37EC">
              <w:rPr>
                <w:rFonts w:ascii="Arial" w:hAnsi="Arial" w:cs="Arial"/>
                <w:color w:val="000000" w:themeColor="text1"/>
                <w:lang w:val="es-DO"/>
              </w:rPr>
              <w:t>: 1</w:t>
            </w:r>
            <w:r w:rsidR="005B79FD">
              <w:rPr>
                <w:rFonts w:ascii="Arial" w:hAnsi="Arial" w:cs="Arial"/>
                <w:color w:val="000000" w:themeColor="text1"/>
                <w:lang w:val="es-DO"/>
              </w:rPr>
              <w:t>3,611</w:t>
            </w:r>
            <w:r w:rsidRPr="00DD37EC">
              <w:rPr>
                <w:rFonts w:ascii="Arial" w:hAnsi="Arial" w:cs="Arial"/>
                <w:color w:val="000000" w:themeColor="text1"/>
                <w:lang w:val="es-DO"/>
              </w:rPr>
              <w:t xml:space="preserve"> PVIH</w:t>
            </w:r>
          </w:p>
          <w:p w14:paraId="487CA0A2" w14:textId="52CCCDA9" w:rsidR="006D2E03" w:rsidRPr="00167C47" w:rsidRDefault="004A7018" w:rsidP="006D2E03">
            <w:pPr>
              <w:spacing w:after="240"/>
              <w:contextualSpacing/>
              <w:jc w:val="center"/>
              <w:rPr>
                <w:rFonts w:ascii="Arial" w:hAnsi="Arial" w:cs="Arial"/>
                <w:i/>
                <w:color w:val="000000" w:themeColor="text1"/>
                <w:sz w:val="14"/>
                <w:szCs w:val="14"/>
                <w:lang w:val="es-DO"/>
              </w:rPr>
            </w:pPr>
            <w:r>
              <w:rPr>
                <w:rFonts w:ascii="Arial" w:hAnsi="Arial" w:cs="Arial"/>
                <w:i/>
                <w:color w:val="000000" w:themeColor="text1"/>
                <w:sz w:val="14"/>
                <w:szCs w:val="14"/>
                <w:lang w:val="es-DO"/>
              </w:rPr>
              <w:t>SESAL, 2017</w:t>
            </w:r>
          </w:p>
          <w:p w14:paraId="702B32E7" w14:textId="77777777" w:rsidR="006D2E03" w:rsidRPr="00DD37EC" w:rsidRDefault="006D2E03" w:rsidP="006D2E03">
            <w:pPr>
              <w:spacing w:after="240"/>
              <w:contextualSpacing/>
              <w:rPr>
                <w:rFonts w:ascii="Arial" w:hAnsi="Arial" w:cs="Arial"/>
                <w:color w:val="000000" w:themeColor="text1"/>
                <w:lang w:val="es-DO"/>
              </w:rPr>
            </w:pPr>
          </w:p>
        </w:tc>
      </w:tr>
    </w:tbl>
    <w:p w14:paraId="64E9A5B6" w14:textId="6797A57F" w:rsidR="00FB2567" w:rsidRPr="00DD37EC" w:rsidRDefault="00FB2567" w:rsidP="006D2E03">
      <w:pPr>
        <w:spacing w:after="240" w:line="240" w:lineRule="auto"/>
        <w:jc w:val="both"/>
        <w:rPr>
          <w:rFonts w:ascii="Arial" w:hAnsi="Arial" w:cs="Arial"/>
          <w:color w:val="000000" w:themeColor="text1"/>
          <w:lang w:val="es-DO"/>
        </w:rPr>
      </w:pPr>
      <w:r w:rsidRPr="00DD37EC">
        <w:rPr>
          <w:rFonts w:ascii="Arial" w:hAnsi="Arial" w:cs="Arial"/>
          <w:color w:val="000000" w:themeColor="text1"/>
          <w:lang w:val="es-DO"/>
        </w:rPr>
        <w:t xml:space="preserve">Solo </w:t>
      </w:r>
      <w:r w:rsidRPr="00167C47">
        <w:rPr>
          <w:rFonts w:ascii="Arial" w:hAnsi="Arial" w:cs="Arial"/>
          <w:color w:val="000000" w:themeColor="text1"/>
          <w:lang w:val="es-DO"/>
        </w:rPr>
        <w:t>el</w:t>
      </w:r>
      <w:r w:rsidRPr="00DD37EC">
        <w:rPr>
          <w:rFonts w:ascii="Arial" w:hAnsi="Arial" w:cs="Arial"/>
          <w:b/>
          <w:color w:val="000000" w:themeColor="text1"/>
          <w:lang w:val="es-DO"/>
        </w:rPr>
        <w:t xml:space="preserve"> 6</w:t>
      </w:r>
      <w:r w:rsidR="001759D1">
        <w:rPr>
          <w:rFonts w:ascii="Arial" w:hAnsi="Arial" w:cs="Arial"/>
          <w:b/>
          <w:color w:val="000000" w:themeColor="text1"/>
          <w:lang w:val="es-DO"/>
        </w:rPr>
        <w:t>2</w:t>
      </w:r>
      <w:r w:rsidRPr="00DD37EC">
        <w:rPr>
          <w:rFonts w:ascii="Arial" w:hAnsi="Arial" w:cs="Arial"/>
          <w:b/>
          <w:color w:val="000000" w:themeColor="text1"/>
          <w:lang w:val="es-DO"/>
        </w:rPr>
        <w:t>% (1</w:t>
      </w:r>
      <w:r w:rsidR="001759D1">
        <w:rPr>
          <w:rFonts w:ascii="Arial" w:hAnsi="Arial" w:cs="Arial"/>
          <w:b/>
          <w:color w:val="000000" w:themeColor="text1"/>
          <w:lang w:val="es-DO"/>
        </w:rPr>
        <w:t>3</w:t>
      </w:r>
      <w:r w:rsidRPr="00DD37EC">
        <w:rPr>
          <w:rFonts w:ascii="Arial" w:hAnsi="Arial" w:cs="Arial"/>
          <w:b/>
          <w:color w:val="000000" w:themeColor="text1"/>
          <w:lang w:val="es-DO"/>
        </w:rPr>
        <w:t>,</w:t>
      </w:r>
      <w:r w:rsidR="001759D1">
        <w:rPr>
          <w:rFonts w:ascii="Arial" w:hAnsi="Arial" w:cs="Arial"/>
          <w:b/>
          <w:color w:val="000000" w:themeColor="text1"/>
          <w:lang w:val="es-DO"/>
        </w:rPr>
        <w:t>611</w:t>
      </w:r>
      <w:r w:rsidRPr="00DD37EC">
        <w:rPr>
          <w:rFonts w:ascii="Arial" w:hAnsi="Arial" w:cs="Arial"/>
          <w:color w:val="000000" w:themeColor="text1"/>
          <w:lang w:val="es-DO"/>
        </w:rPr>
        <w:t xml:space="preserve">) de las personas con VIH en Honduras conoce su estatus en el 2017, dejando una brecha de </w:t>
      </w:r>
      <w:r w:rsidR="001759D1">
        <w:rPr>
          <w:rFonts w:ascii="Arial" w:hAnsi="Arial" w:cs="Arial"/>
          <w:color w:val="000000" w:themeColor="text1"/>
          <w:lang w:val="es-DO"/>
        </w:rPr>
        <w:t>6</w:t>
      </w:r>
      <w:r w:rsidRPr="00DD37EC">
        <w:rPr>
          <w:rFonts w:ascii="Arial" w:hAnsi="Arial" w:cs="Arial"/>
          <w:color w:val="000000" w:themeColor="text1"/>
          <w:lang w:val="es-DO"/>
        </w:rPr>
        <w:t>,</w:t>
      </w:r>
      <w:r w:rsidR="001759D1">
        <w:rPr>
          <w:rFonts w:ascii="Arial" w:hAnsi="Arial" w:cs="Arial"/>
          <w:color w:val="000000" w:themeColor="text1"/>
          <w:lang w:val="es-DO"/>
        </w:rPr>
        <w:t>288</w:t>
      </w:r>
      <w:r w:rsidRPr="00DD37EC">
        <w:rPr>
          <w:rFonts w:ascii="Arial" w:hAnsi="Arial" w:cs="Arial"/>
          <w:color w:val="000000" w:themeColor="text1"/>
          <w:lang w:val="es-DO"/>
        </w:rPr>
        <w:t xml:space="preserve"> personas con VIH para el 2020. Las políticas nacionales abordan actualmente la realización de pruebas de VIH en adolescentes, grupos poblacionales clave y en embarazadas, así como el uso de la modalidad PITC (Provider Initiated Counseling and Testing). Sin embargo, no abordan la realización de estas pruebas en menores de 18 años, excepto en casos especiales en los que se requiere el consentimiento informado de los padres o responsables; y tampoco avalan su realización por servicios comunitarios.</w:t>
      </w:r>
    </w:p>
    <w:p w14:paraId="46BE6958" w14:textId="37E10FC5" w:rsidR="00FB2567" w:rsidRPr="00DD37EC" w:rsidRDefault="00FB2567" w:rsidP="006D2E03">
      <w:pPr>
        <w:spacing w:after="240" w:line="240" w:lineRule="auto"/>
        <w:jc w:val="both"/>
        <w:rPr>
          <w:rFonts w:ascii="Arial" w:hAnsi="Arial" w:cs="Arial"/>
          <w:color w:val="000000" w:themeColor="text1"/>
          <w:lang w:val="es-DO"/>
        </w:rPr>
      </w:pPr>
      <w:r w:rsidRPr="00DD37EC">
        <w:rPr>
          <w:rFonts w:ascii="Arial" w:hAnsi="Arial" w:cs="Arial"/>
          <w:color w:val="000000" w:themeColor="text1"/>
          <w:lang w:val="es-DO"/>
        </w:rPr>
        <w:t>La prueba del VIH está disponible en los servicios de la SESAL, el IHSS y algunas ONG. Los servicios de la prueba de VIH con la consejería pre y post prueba están integrados en todos los Servicios de Atención Integral (SAI), clínicas VICITS y centros de salud con laboratorio. Además, el servicio es proporcionado por algunas ONG subcontratadas por la SESAL (con asistencia de USAID) y por otras que ejecutan proyectos con esta línea de servicios (subvencionadas por el Fondo Mundial)</w:t>
      </w:r>
      <w:r w:rsidR="001A55A0">
        <w:rPr>
          <w:rFonts w:ascii="Arial" w:hAnsi="Arial" w:cs="Arial"/>
          <w:color w:val="000000" w:themeColor="text1"/>
          <w:lang w:val="es-DO"/>
        </w:rPr>
        <w:t>.</w:t>
      </w:r>
      <w:r w:rsidRPr="00DD37EC">
        <w:rPr>
          <w:rStyle w:val="FootnoteReference"/>
          <w:rFonts w:ascii="Arial" w:hAnsi="Arial" w:cs="Arial"/>
          <w:color w:val="000000" w:themeColor="text1"/>
          <w:lang w:val="es-DO"/>
        </w:rPr>
        <w:footnoteReference w:id="29"/>
      </w:r>
      <w:r w:rsidRPr="00DD37EC">
        <w:rPr>
          <w:rFonts w:ascii="Arial" w:hAnsi="Arial" w:cs="Arial"/>
          <w:color w:val="000000" w:themeColor="text1"/>
          <w:lang w:val="es-DO"/>
        </w:rPr>
        <w:t xml:space="preserve"> Sin </w:t>
      </w:r>
      <w:r w:rsidRPr="00DD37EC">
        <w:rPr>
          <w:rFonts w:ascii="Arial" w:hAnsi="Arial" w:cs="Arial"/>
          <w:color w:val="000000" w:themeColor="text1"/>
          <w:lang w:val="es-DO"/>
        </w:rPr>
        <w:lastRenderedPageBreak/>
        <w:t xml:space="preserve">embargo, en el 2015 el 10.5% (612) de establecimientos de salud que ofrecen </w:t>
      </w:r>
      <w:r w:rsidR="002859BF">
        <w:rPr>
          <w:rFonts w:ascii="Arial" w:hAnsi="Arial" w:cs="Arial"/>
          <w:color w:val="000000" w:themeColor="text1"/>
          <w:lang w:val="es-DO"/>
        </w:rPr>
        <w:t>kits</w:t>
      </w:r>
      <w:r w:rsidRPr="00DD37EC">
        <w:rPr>
          <w:rFonts w:ascii="Arial" w:hAnsi="Arial" w:cs="Arial"/>
          <w:color w:val="000000" w:themeColor="text1"/>
          <w:lang w:val="es-DO"/>
        </w:rPr>
        <w:t xml:space="preserve"> de pruebas rápidas para detección de VIH tuvieron desabastecimiento</w:t>
      </w:r>
      <w:r w:rsidR="00A25FAB">
        <w:rPr>
          <w:rFonts w:ascii="Arial" w:hAnsi="Arial" w:cs="Arial"/>
          <w:color w:val="000000" w:themeColor="text1"/>
          <w:lang w:val="es-DO"/>
        </w:rPr>
        <w:t>.</w:t>
      </w:r>
      <w:r w:rsidRPr="00DD37EC">
        <w:rPr>
          <w:rStyle w:val="FootnoteReference"/>
          <w:rFonts w:ascii="Arial" w:hAnsi="Arial" w:cs="Arial"/>
          <w:color w:val="000000" w:themeColor="text1"/>
          <w:lang w:val="es-DO"/>
        </w:rPr>
        <w:footnoteReference w:id="30"/>
      </w:r>
    </w:p>
    <w:p w14:paraId="4519A299" w14:textId="5D7FAD77" w:rsidR="00FB2567" w:rsidRPr="00DD37EC" w:rsidRDefault="00FB2567" w:rsidP="006D2E03">
      <w:pPr>
        <w:spacing w:after="240" w:line="240" w:lineRule="auto"/>
        <w:jc w:val="both"/>
        <w:rPr>
          <w:rFonts w:ascii="Arial" w:hAnsi="Arial" w:cs="Arial"/>
          <w:color w:val="000000" w:themeColor="text1"/>
          <w:lang w:val="es-DO"/>
        </w:rPr>
      </w:pPr>
      <w:r w:rsidRPr="00DD37EC">
        <w:rPr>
          <w:rFonts w:ascii="Arial" w:hAnsi="Arial" w:cs="Arial"/>
          <w:color w:val="000000" w:themeColor="text1"/>
          <w:lang w:val="es-DO"/>
        </w:rPr>
        <w:t>Según los datos de la ENDESA 2011-2012 se muestra un aumento significativo en la realización de la prueba del VIH en la población general. La mayoría de las mujeres y hombres entre 15 y 49 años sabían dónde hacerse la prueba de VIH, y la mitad de</w:t>
      </w:r>
      <w:r w:rsidRPr="00DD37EC">
        <w:rPr>
          <w:rFonts w:ascii="Arial" w:hAnsi="Arial" w:cs="Arial"/>
          <w:lang w:val="es-DO"/>
        </w:rPr>
        <w:t xml:space="preserve"> </w:t>
      </w:r>
      <w:r w:rsidRPr="00DD37EC">
        <w:rPr>
          <w:rFonts w:ascii="Arial" w:hAnsi="Arial" w:cs="Arial"/>
          <w:color w:val="000000" w:themeColor="text1"/>
          <w:lang w:val="es-DO"/>
        </w:rPr>
        <w:t>las mujeres y un tercio de los hombres se ha</w:t>
      </w:r>
      <w:r w:rsidR="007C248D">
        <w:rPr>
          <w:rFonts w:ascii="Arial" w:hAnsi="Arial" w:cs="Arial"/>
          <w:color w:val="000000" w:themeColor="text1"/>
          <w:lang w:val="es-DO"/>
        </w:rPr>
        <w:t xml:space="preserve">bían </w:t>
      </w:r>
      <w:r w:rsidRPr="00DD37EC">
        <w:rPr>
          <w:rFonts w:ascii="Arial" w:hAnsi="Arial" w:cs="Arial"/>
          <w:color w:val="000000" w:themeColor="text1"/>
          <w:lang w:val="es-DO"/>
        </w:rPr>
        <w:t>hecho la prueba y rec</w:t>
      </w:r>
      <w:r w:rsidR="007C248D">
        <w:rPr>
          <w:rFonts w:ascii="Arial" w:hAnsi="Arial" w:cs="Arial"/>
          <w:color w:val="000000" w:themeColor="text1"/>
          <w:lang w:val="es-DO"/>
        </w:rPr>
        <w:t>ibido</w:t>
      </w:r>
      <w:r w:rsidRPr="00DD37EC">
        <w:rPr>
          <w:rFonts w:ascii="Arial" w:hAnsi="Arial" w:cs="Arial"/>
          <w:color w:val="000000" w:themeColor="text1"/>
          <w:lang w:val="es-DO"/>
        </w:rPr>
        <w:t xml:space="preserve"> el resultado. Sin embargo, datos del 2014 reflejan un uso muy limitado de pruebas VIH en población del sexo masculino con solo el 11.7% del total de pruebas realizadas en ambos sexos en ese mismo año; y un enfoque hacia embarazadas, ya que, del total de pruebas de VIH realizadas en población del sexo femenino, el 88.2% correspondió a </w:t>
      </w:r>
      <w:r w:rsidR="00DE0B1B" w:rsidRPr="00DD37EC">
        <w:rPr>
          <w:rFonts w:ascii="Arial" w:hAnsi="Arial" w:cs="Arial"/>
          <w:color w:val="000000" w:themeColor="text1"/>
          <w:lang w:val="es-DO"/>
        </w:rPr>
        <w:t>este grupo</w:t>
      </w:r>
      <w:r w:rsidR="00DE0B1B">
        <w:rPr>
          <w:rStyle w:val="FootnoteReference"/>
          <w:rFonts w:ascii="Arial" w:hAnsi="Arial" w:cs="Arial"/>
          <w:color w:val="000000" w:themeColor="text1"/>
          <w:lang w:val="es-DO"/>
        </w:rPr>
        <w:footnoteReference w:id="31"/>
      </w:r>
      <w:r w:rsidR="00DE0B1B">
        <w:rPr>
          <w:rFonts w:ascii="Arial" w:hAnsi="Arial" w:cs="Arial"/>
          <w:color w:val="000000" w:themeColor="text1"/>
          <w:vertAlign w:val="superscript"/>
          <w:lang w:val="es-DO"/>
        </w:rPr>
        <w:t>,</w:t>
      </w:r>
      <w:r w:rsidR="00DE0B1B">
        <w:rPr>
          <w:rStyle w:val="FootnoteReference"/>
          <w:rFonts w:ascii="Arial" w:hAnsi="Arial" w:cs="Arial"/>
          <w:color w:val="000000" w:themeColor="text1"/>
          <w:lang w:val="es-DO"/>
        </w:rPr>
        <w:footnoteReference w:id="32"/>
      </w:r>
      <w:r w:rsidR="00DE0B1B" w:rsidRPr="00DD37EC">
        <w:rPr>
          <w:rFonts w:ascii="Arial" w:hAnsi="Arial" w:cs="Arial"/>
          <w:color w:val="000000" w:themeColor="text1"/>
          <w:lang w:val="es-DO"/>
        </w:rPr>
        <w:t>.</w:t>
      </w:r>
    </w:p>
    <w:p w14:paraId="7529665B" w14:textId="43C69AAF" w:rsidR="00FB2567" w:rsidRPr="00DD37EC" w:rsidRDefault="007376E6" w:rsidP="006D2E03">
      <w:pPr>
        <w:spacing w:after="240" w:line="240" w:lineRule="auto"/>
        <w:jc w:val="both"/>
        <w:rPr>
          <w:rFonts w:ascii="Arial" w:hAnsi="Arial" w:cs="Arial"/>
          <w:color w:val="000000" w:themeColor="text1"/>
          <w:lang w:val="es-DO"/>
        </w:rPr>
      </w:pPr>
      <w:r>
        <w:rPr>
          <w:rFonts w:ascii="Arial" w:hAnsi="Arial" w:cs="Arial"/>
          <w:color w:val="000000" w:themeColor="text1"/>
          <w:lang w:val="es-DO"/>
        </w:rPr>
        <w:t>Destacan l</w:t>
      </w:r>
      <w:r w:rsidR="00725E82">
        <w:rPr>
          <w:rFonts w:ascii="Arial" w:hAnsi="Arial" w:cs="Arial"/>
          <w:color w:val="000000" w:themeColor="text1"/>
          <w:lang w:val="es-DO"/>
        </w:rPr>
        <w:t>os</w:t>
      </w:r>
      <w:r>
        <w:rPr>
          <w:rFonts w:ascii="Arial" w:hAnsi="Arial" w:cs="Arial"/>
          <w:color w:val="000000" w:themeColor="text1"/>
          <w:lang w:val="es-DO"/>
        </w:rPr>
        <w:t xml:space="preserve"> bajos</w:t>
      </w:r>
      <w:r w:rsidR="00FB2567" w:rsidRPr="00DD37EC">
        <w:rPr>
          <w:rFonts w:ascii="Arial" w:hAnsi="Arial" w:cs="Arial"/>
          <w:color w:val="000000" w:themeColor="text1"/>
          <w:lang w:val="es-DO"/>
        </w:rPr>
        <w:t xml:space="preserve"> niveles de realización de una prueba de VIH y conocimiento de sus resultados en la población clave incluyendo HSH (55%), MTS (63%), mujeres TRANS (64%) y población garífuna (22% hombres; 3</w:t>
      </w:r>
      <w:r w:rsidR="00EE193A">
        <w:rPr>
          <w:rFonts w:ascii="Arial" w:hAnsi="Arial" w:cs="Arial"/>
          <w:color w:val="000000" w:themeColor="text1"/>
          <w:lang w:val="es-DO"/>
        </w:rPr>
        <w:t>9</w:t>
      </w:r>
      <w:r w:rsidR="00FB2567" w:rsidRPr="00DD37EC">
        <w:rPr>
          <w:rFonts w:ascii="Arial" w:hAnsi="Arial" w:cs="Arial"/>
          <w:color w:val="000000" w:themeColor="text1"/>
          <w:lang w:val="es-DO"/>
        </w:rPr>
        <w:t>% mujeres) y poblaciones clave menores de 25 años</w:t>
      </w:r>
      <w:r>
        <w:rPr>
          <w:rFonts w:ascii="Arial" w:hAnsi="Arial" w:cs="Arial"/>
          <w:color w:val="000000" w:themeColor="text1"/>
          <w:lang w:val="es-DO"/>
        </w:rPr>
        <w:t>, esto</w:t>
      </w:r>
      <w:r w:rsidR="00FB2567" w:rsidRPr="00DD37EC">
        <w:rPr>
          <w:rFonts w:ascii="Arial" w:hAnsi="Arial" w:cs="Arial"/>
          <w:color w:val="000000" w:themeColor="text1"/>
          <w:lang w:val="es-DO"/>
        </w:rPr>
        <w:t xml:space="preserve"> debido a la baja disponibilidad de pruebas y a las restricciones que impone el marco jurídico a las personas menores de 18 años.</w:t>
      </w:r>
      <w:r w:rsidR="00725E82">
        <w:rPr>
          <w:rStyle w:val="FootnoteReference"/>
          <w:rFonts w:ascii="Arial" w:hAnsi="Arial" w:cs="Arial"/>
          <w:color w:val="000000" w:themeColor="text1"/>
          <w:lang w:val="es-DO"/>
        </w:rPr>
        <w:footnoteReference w:id="33"/>
      </w:r>
      <w:r w:rsidR="00FB2567" w:rsidRPr="00DD37EC">
        <w:rPr>
          <w:rFonts w:ascii="Arial" w:hAnsi="Arial" w:cs="Arial"/>
          <w:color w:val="000000" w:themeColor="text1"/>
          <w:lang w:val="es-DO"/>
        </w:rPr>
        <w:t xml:space="preserve"> </w:t>
      </w:r>
      <w:r w:rsidR="00725E82">
        <w:rPr>
          <w:rFonts w:ascii="Arial" w:hAnsi="Arial" w:cs="Arial"/>
          <w:color w:val="000000" w:themeColor="text1"/>
          <w:lang w:val="es-DO"/>
        </w:rPr>
        <w:t>También sobresalen l</w:t>
      </w:r>
      <w:r w:rsidR="00FB2567" w:rsidRPr="00DD37EC">
        <w:rPr>
          <w:rFonts w:ascii="Arial" w:hAnsi="Arial" w:cs="Arial"/>
          <w:color w:val="000000" w:themeColor="text1"/>
          <w:lang w:val="es-DO"/>
        </w:rPr>
        <w:t>os niveles limitados del uso consistente del condón por parte de las parejas</w:t>
      </w:r>
      <w:r w:rsidR="00725E82">
        <w:rPr>
          <w:rFonts w:ascii="Arial" w:hAnsi="Arial" w:cs="Arial"/>
          <w:color w:val="000000" w:themeColor="text1"/>
          <w:lang w:val="es-DO"/>
        </w:rPr>
        <w:t xml:space="preserve"> estables</w:t>
      </w:r>
      <w:r w:rsidR="006719E5">
        <w:rPr>
          <w:rFonts w:ascii="Arial" w:hAnsi="Arial" w:cs="Arial"/>
          <w:color w:val="000000" w:themeColor="text1"/>
          <w:lang w:val="es-DO"/>
        </w:rPr>
        <w:t>, así</w:t>
      </w:r>
      <w:r w:rsidR="00FB2567" w:rsidRPr="00DD37EC">
        <w:rPr>
          <w:rFonts w:ascii="Arial" w:hAnsi="Arial" w:cs="Arial"/>
          <w:color w:val="000000" w:themeColor="text1"/>
          <w:lang w:val="es-DO"/>
        </w:rPr>
        <w:t xml:space="preserve"> como</w:t>
      </w:r>
      <w:r w:rsidR="006719E5">
        <w:rPr>
          <w:rFonts w:ascii="Arial" w:hAnsi="Arial" w:cs="Arial"/>
          <w:color w:val="000000" w:themeColor="text1"/>
          <w:lang w:val="es-DO"/>
        </w:rPr>
        <w:t xml:space="preserve"> el conocimiento moderado</w:t>
      </w:r>
      <w:r w:rsidR="00FB2567" w:rsidRPr="00DD37EC">
        <w:rPr>
          <w:rFonts w:ascii="Arial" w:hAnsi="Arial" w:cs="Arial"/>
          <w:color w:val="000000" w:themeColor="text1"/>
          <w:lang w:val="es-DO"/>
        </w:rPr>
        <w:t xml:space="preserve"> sobre las formas de prevención y transmisión del VIH en grupos de HSH, mujeres TRANS y población garífuna</w:t>
      </w:r>
      <w:r w:rsidR="00FC3DB0">
        <w:rPr>
          <w:rFonts w:ascii="Arial" w:hAnsi="Arial" w:cs="Arial"/>
          <w:color w:val="000000" w:themeColor="text1"/>
          <w:lang w:val="es-DO"/>
        </w:rPr>
        <w:t>.</w:t>
      </w:r>
      <w:r w:rsidR="00FB2567" w:rsidRPr="00DD37EC">
        <w:rPr>
          <w:rStyle w:val="FootnoteReference"/>
          <w:rFonts w:ascii="Arial" w:hAnsi="Arial" w:cs="Arial"/>
          <w:color w:val="000000" w:themeColor="text1"/>
          <w:lang w:val="es-DO"/>
        </w:rPr>
        <w:footnoteReference w:id="34"/>
      </w:r>
    </w:p>
    <w:p w14:paraId="3D9951C6" w14:textId="6D2A84C3" w:rsidR="00FB2567" w:rsidRPr="00DD37EC" w:rsidRDefault="00FB2567" w:rsidP="006D2E03">
      <w:pPr>
        <w:spacing w:after="240" w:line="240" w:lineRule="auto"/>
        <w:jc w:val="both"/>
        <w:rPr>
          <w:rFonts w:ascii="Arial" w:hAnsi="Arial" w:cs="Arial"/>
          <w:color w:val="000000" w:themeColor="text1"/>
          <w:lang w:val="es-DO"/>
        </w:rPr>
      </w:pPr>
      <w:r w:rsidRPr="00DD37EC">
        <w:rPr>
          <w:rFonts w:ascii="Arial" w:hAnsi="Arial" w:cs="Arial"/>
          <w:color w:val="000000" w:themeColor="text1"/>
          <w:lang w:val="es-DO"/>
        </w:rPr>
        <w:t xml:space="preserve">La importancia del diagnóstico temprano de </w:t>
      </w:r>
      <w:r w:rsidR="002D7D80">
        <w:rPr>
          <w:rFonts w:ascii="Arial" w:hAnsi="Arial" w:cs="Arial"/>
          <w:color w:val="000000" w:themeColor="text1"/>
          <w:lang w:val="es-DO"/>
        </w:rPr>
        <w:t>ITS y</w:t>
      </w:r>
      <w:r w:rsidRPr="00DD37EC">
        <w:rPr>
          <w:rFonts w:ascii="Arial" w:hAnsi="Arial" w:cs="Arial"/>
          <w:color w:val="000000" w:themeColor="text1"/>
          <w:lang w:val="es-DO"/>
        </w:rPr>
        <w:t xml:space="preserve"> del VIH es un elemento fundamental para reducir la transmisión del virus. En los últimos 10 años </w:t>
      </w:r>
      <w:r w:rsidR="002D7D80" w:rsidRPr="00DD37EC">
        <w:rPr>
          <w:rFonts w:ascii="Arial" w:hAnsi="Arial" w:cs="Arial"/>
          <w:color w:val="000000" w:themeColor="text1"/>
          <w:lang w:val="es-DO"/>
        </w:rPr>
        <w:t>a pesar de que</w:t>
      </w:r>
      <w:r w:rsidRPr="00DD37EC">
        <w:rPr>
          <w:rFonts w:ascii="Arial" w:hAnsi="Arial" w:cs="Arial"/>
          <w:color w:val="000000" w:themeColor="text1"/>
          <w:lang w:val="es-DO"/>
        </w:rPr>
        <w:t xml:space="preserve"> se ha incrementado 12 veces la cantidad de establecimientos en los que se realiza la prueba de VIH</w:t>
      </w:r>
      <w:r w:rsidRPr="00DD37EC">
        <w:rPr>
          <w:rStyle w:val="FootnoteReference"/>
          <w:rFonts w:ascii="Arial" w:hAnsi="Arial" w:cs="Arial"/>
          <w:color w:val="000000" w:themeColor="text1"/>
          <w:lang w:val="es-DO"/>
        </w:rPr>
        <w:footnoteReference w:id="35"/>
      </w:r>
      <w:r w:rsidRPr="00DD37EC">
        <w:rPr>
          <w:rFonts w:ascii="Arial" w:hAnsi="Arial" w:cs="Arial"/>
          <w:color w:val="000000" w:themeColor="text1"/>
          <w:lang w:val="es-DO"/>
        </w:rPr>
        <w:t>, no necesariamente ha significado mayor acceso al diagnóstico, particularmente para MTS y HSH. Esto debido a múltiples razones, dentro de las se resaltan los desabastecimientos de los kits de pruebas y lugares poco amigables</w:t>
      </w:r>
      <w:r w:rsidR="007376E6">
        <w:rPr>
          <w:rFonts w:ascii="Arial" w:hAnsi="Arial" w:cs="Arial"/>
          <w:color w:val="000000" w:themeColor="text1"/>
          <w:lang w:val="es-DO"/>
        </w:rPr>
        <w:t xml:space="preserve"> para</w:t>
      </w:r>
      <w:r w:rsidRPr="00DD37EC">
        <w:rPr>
          <w:rFonts w:ascii="Arial" w:hAnsi="Arial" w:cs="Arial"/>
          <w:color w:val="000000" w:themeColor="text1"/>
          <w:lang w:val="es-DO"/>
        </w:rPr>
        <w:t xml:space="preserve"> que la población clave se realice la prueba</w:t>
      </w:r>
      <w:r w:rsidR="00327E87">
        <w:rPr>
          <w:rFonts w:ascii="Arial" w:hAnsi="Arial" w:cs="Arial"/>
          <w:color w:val="000000" w:themeColor="text1"/>
          <w:lang w:val="es-DO"/>
        </w:rPr>
        <w:t xml:space="preserve"> – hallazgos apoyados, también, por el análisis de la Evaluación </w:t>
      </w:r>
      <w:r w:rsidR="00672819">
        <w:rPr>
          <w:rFonts w:ascii="Arial" w:hAnsi="Arial" w:cs="Arial"/>
          <w:color w:val="000000" w:themeColor="text1"/>
          <w:lang w:val="es-DO"/>
        </w:rPr>
        <w:t>Focalizada</w:t>
      </w:r>
      <w:r w:rsidR="004F2526">
        <w:rPr>
          <w:rFonts w:ascii="Arial" w:hAnsi="Arial" w:cs="Arial"/>
          <w:color w:val="000000" w:themeColor="text1"/>
          <w:lang w:val="es-DO"/>
        </w:rPr>
        <w:t>.</w:t>
      </w:r>
      <w:r w:rsidR="002534BE">
        <w:rPr>
          <w:rStyle w:val="FootnoteReference"/>
          <w:rFonts w:ascii="Arial" w:hAnsi="Arial" w:cs="Arial"/>
          <w:color w:val="000000" w:themeColor="text1"/>
          <w:lang w:val="es-DO"/>
        </w:rPr>
        <w:footnoteReference w:id="36"/>
      </w:r>
    </w:p>
    <w:tbl>
      <w:tblPr>
        <w:tblStyle w:val="PlainTable3"/>
        <w:tblW w:w="9990" w:type="dxa"/>
        <w:tblLook w:val="04A0" w:firstRow="1" w:lastRow="0" w:firstColumn="1" w:lastColumn="0" w:noHBand="0" w:noVBand="1"/>
      </w:tblPr>
      <w:tblGrid>
        <w:gridCol w:w="1800"/>
        <w:gridCol w:w="7560"/>
        <w:gridCol w:w="630"/>
      </w:tblGrid>
      <w:tr w:rsidR="000C53F6" w:rsidRPr="00392E34" w14:paraId="20D79688" w14:textId="77777777" w:rsidTr="005F4042">
        <w:trPr>
          <w:gridAfter w:val="1"/>
          <w:cnfStyle w:val="100000000000" w:firstRow="1" w:lastRow="0" w:firstColumn="0" w:lastColumn="0" w:oddVBand="0" w:evenVBand="0" w:oddHBand="0" w:evenHBand="0" w:firstRowFirstColumn="0" w:firstRowLastColumn="0" w:lastRowFirstColumn="0" w:lastRowLastColumn="0"/>
          <w:wAfter w:w="630" w:type="dxa"/>
        </w:trPr>
        <w:tc>
          <w:tcPr>
            <w:cnfStyle w:val="001000000100" w:firstRow="0" w:lastRow="0" w:firstColumn="1" w:lastColumn="0" w:oddVBand="0" w:evenVBand="0" w:oddHBand="0" w:evenHBand="0" w:firstRowFirstColumn="1" w:firstRowLastColumn="0" w:lastRowFirstColumn="0" w:lastRowLastColumn="0"/>
            <w:tcW w:w="9360" w:type="dxa"/>
            <w:gridSpan w:val="2"/>
          </w:tcPr>
          <w:p w14:paraId="39DAFAE3" w14:textId="77777777" w:rsidR="000C53F6" w:rsidRPr="00DD37EC" w:rsidRDefault="000C53F6" w:rsidP="00DD37EC">
            <w:pPr>
              <w:spacing w:after="240"/>
              <w:contextualSpacing/>
              <w:jc w:val="both"/>
              <w:rPr>
                <w:rFonts w:ascii="Arial" w:hAnsi="Arial" w:cs="Arial"/>
                <w:b w:val="0"/>
                <w:lang w:val="es-DO"/>
              </w:rPr>
            </w:pPr>
            <w:r w:rsidRPr="00DD37EC">
              <w:rPr>
                <w:rFonts w:ascii="Arial" w:hAnsi="Arial" w:cs="Arial"/>
                <w:b w:val="0"/>
                <w:lang w:val="es-DO"/>
              </w:rPr>
              <w:t>Resumen de Fortalezas y debilidades en el diagnostico (1er 90)</w:t>
            </w:r>
          </w:p>
        </w:tc>
      </w:tr>
      <w:tr w:rsidR="000C53F6" w:rsidRPr="00392E34" w14:paraId="05DED760" w14:textId="77777777" w:rsidTr="005F40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Pr>
          <w:p w14:paraId="09B69E80" w14:textId="77777777" w:rsidR="000C53F6" w:rsidRPr="00DD37EC" w:rsidRDefault="000C53F6" w:rsidP="00DD37EC">
            <w:pPr>
              <w:spacing w:after="240"/>
              <w:contextualSpacing/>
              <w:jc w:val="both"/>
              <w:rPr>
                <w:rFonts w:ascii="Arial" w:hAnsi="Arial" w:cs="Arial"/>
                <w:lang w:val="es-DO"/>
              </w:rPr>
            </w:pPr>
            <w:r w:rsidRPr="00DD37EC">
              <w:rPr>
                <w:rFonts w:ascii="Arial" w:hAnsi="Arial" w:cs="Arial"/>
                <w:lang w:val="es-DO"/>
              </w:rPr>
              <w:t>fortalezas</w:t>
            </w:r>
          </w:p>
        </w:tc>
        <w:tc>
          <w:tcPr>
            <w:tcW w:w="8190" w:type="dxa"/>
            <w:gridSpan w:val="2"/>
          </w:tcPr>
          <w:p w14:paraId="3DEB45BA" w14:textId="6C1F46D5" w:rsidR="000C53F6" w:rsidRPr="00DD37EC" w:rsidRDefault="000C53F6" w:rsidP="00DD37EC">
            <w:pPr>
              <w:spacing w:after="240"/>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lang w:val="es-DO"/>
              </w:rPr>
            </w:pPr>
            <w:r w:rsidRPr="00DD37EC">
              <w:rPr>
                <w:rFonts w:ascii="Arial" w:hAnsi="Arial" w:cs="Arial"/>
                <w:lang w:val="es-DO"/>
              </w:rPr>
              <w:t>Políticas públicas y normativas</w:t>
            </w:r>
            <w:r w:rsidR="000419EE">
              <w:rPr>
                <w:rFonts w:ascii="Arial" w:hAnsi="Arial" w:cs="Arial"/>
                <w:lang w:val="es-DO"/>
              </w:rPr>
              <w:t xml:space="preserve"> </w:t>
            </w:r>
            <w:r w:rsidRPr="00DD37EC">
              <w:rPr>
                <w:rFonts w:ascii="Arial" w:hAnsi="Arial" w:cs="Arial"/>
                <w:lang w:val="es-DO"/>
              </w:rPr>
              <w:t>/ guías de realización de la prueba de VIH a población general y clave</w:t>
            </w:r>
          </w:p>
        </w:tc>
      </w:tr>
      <w:tr w:rsidR="000C53F6" w:rsidRPr="00392E34" w14:paraId="7CC66ABA" w14:textId="77777777" w:rsidTr="005F4042">
        <w:tc>
          <w:tcPr>
            <w:cnfStyle w:val="001000000000" w:firstRow="0" w:lastRow="0" w:firstColumn="1" w:lastColumn="0" w:oddVBand="0" w:evenVBand="0" w:oddHBand="0" w:evenHBand="0" w:firstRowFirstColumn="0" w:firstRowLastColumn="0" w:lastRowFirstColumn="0" w:lastRowLastColumn="0"/>
            <w:tcW w:w="1800" w:type="dxa"/>
          </w:tcPr>
          <w:p w14:paraId="50F93971" w14:textId="77777777" w:rsidR="000C53F6" w:rsidRPr="00DD37EC" w:rsidRDefault="000C53F6" w:rsidP="00DD37EC">
            <w:pPr>
              <w:spacing w:after="240"/>
              <w:contextualSpacing/>
              <w:jc w:val="both"/>
              <w:rPr>
                <w:rFonts w:ascii="Arial" w:hAnsi="Arial" w:cs="Arial"/>
                <w:b w:val="0"/>
                <w:lang w:val="es-DO"/>
              </w:rPr>
            </w:pPr>
          </w:p>
        </w:tc>
        <w:tc>
          <w:tcPr>
            <w:tcW w:w="8190" w:type="dxa"/>
            <w:gridSpan w:val="2"/>
          </w:tcPr>
          <w:p w14:paraId="041D8D67" w14:textId="77777777" w:rsidR="000C53F6" w:rsidRPr="00DD37EC" w:rsidRDefault="000C53F6" w:rsidP="00DD37EC">
            <w:pPr>
              <w:spacing w:after="240"/>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lang w:val="es-DO"/>
              </w:rPr>
            </w:pPr>
            <w:r w:rsidRPr="00DD37EC">
              <w:rPr>
                <w:rFonts w:ascii="Arial" w:hAnsi="Arial" w:cs="Arial"/>
                <w:lang w:val="es-DO"/>
              </w:rPr>
              <w:t xml:space="preserve">Realización de pruebas a las embarazadas y guía de manejo </w:t>
            </w:r>
          </w:p>
        </w:tc>
      </w:tr>
      <w:tr w:rsidR="000C53F6" w:rsidRPr="00392E34" w14:paraId="449CF738" w14:textId="77777777" w:rsidTr="005F40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Pr>
          <w:p w14:paraId="62F95841" w14:textId="77777777" w:rsidR="000C53F6" w:rsidRPr="00DD37EC" w:rsidRDefault="000C53F6" w:rsidP="00DD37EC">
            <w:pPr>
              <w:spacing w:after="240"/>
              <w:contextualSpacing/>
              <w:jc w:val="both"/>
              <w:rPr>
                <w:rFonts w:ascii="Arial" w:hAnsi="Arial" w:cs="Arial"/>
                <w:lang w:val="es-DO"/>
              </w:rPr>
            </w:pPr>
            <w:r w:rsidRPr="00DD37EC">
              <w:rPr>
                <w:rFonts w:ascii="Arial" w:hAnsi="Arial" w:cs="Arial"/>
                <w:lang w:val="es-DO"/>
              </w:rPr>
              <w:t>Debilidades</w:t>
            </w:r>
          </w:p>
        </w:tc>
        <w:tc>
          <w:tcPr>
            <w:tcW w:w="8190" w:type="dxa"/>
            <w:gridSpan w:val="2"/>
          </w:tcPr>
          <w:p w14:paraId="12BBAB07" w14:textId="77777777" w:rsidR="000C53F6" w:rsidRPr="00DD37EC" w:rsidRDefault="000C53F6" w:rsidP="00DD37EC">
            <w:pPr>
              <w:spacing w:after="240"/>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lang w:val="es-DO"/>
              </w:rPr>
            </w:pPr>
            <w:r w:rsidRPr="00DD37EC">
              <w:rPr>
                <w:rFonts w:ascii="Arial" w:hAnsi="Arial" w:cs="Arial"/>
                <w:lang w:val="es-DO"/>
              </w:rPr>
              <w:t>Limitado acceso a pruebas de VIH y condones, la falta de presupuesto para las VICITS</w:t>
            </w:r>
          </w:p>
        </w:tc>
      </w:tr>
      <w:tr w:rsidR="000C53F6" w:rsidRPr="00392E34" w14:paraId="71E1B030" w14:textId="77777777" w:rsidTr="005F4042">
        <w:tc>
          <w:tcPr>
            <w:cnfStyle w:val="001000000000" w:firstRow="0" w:lastRow="0" w:firstColumn="1" w:lastColumn="0" w:oddVBand="0" w:evenVBand="0" w:oddHBand="0" w:evenHBand="0" w:firstRowFirstColumn="0" w:firstRowLastColumn="0" w:lastRowFirstColumn="0" w:lastRowLastColumn="0"/>
            <w:tcW w:w="1800" w:type="dxa"/>
          </w:tcPr>
          <w:p w14:paraId="54C50AB7" w14:textId="77777777" w:rsidR="000C53F6" w:rsidRPr="00DD37EC" w:rsidRDefault="000C53F6" w:rsidP="00DD37EC">
            <w:pPr>
              <w:spacing w:after="240"/>
              <w:contextualSpacing/>
              <w:jc w:val="both"/>
              <w:rPr>
                <w:rFonts w:ascii="Arial" w:hAnsi="Arial" w:cs="Arial"/>
                <w:b w:val="0"/>
                <w:lang w:val="es-DO"/>
              </w:rPr>
            </w:pPr>
          </w:p>
        </w:tc>
        <w:tc>
          <w:tcPr>
            <w:tcW w:w="8190" w:type="dxa"/>
            <w:gridSpan w:val="2"/>
          </w:tcPr>
          <w:p w14:paraId="2638F37C" w14:textId="7BE43724" w:rsidR="000C53F6" w:rsidRPr="00DD37EC" w:rsidRDefault="000C53F6" w:rsidP="00DD37EC">
            <w:pPr>
              <w:spacing w:after="240"/>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lang w:val="es-DO"/>
              </w:rPr>
            </w:pPr>
            <w:r w:rsidRPr="00DD37EC">
              <w:rPr>
                <w:rFonts w:ascii="Arial" w:hAnsi="Arial" w:cs="Arial"/>
                <w:lang w:val="es-DO"/>
              </w:rPr>
              <w:t xml:space="preserve">Desabastecimiento de pruebas en el 10.5% los establecimientos </w:t>
            </w:r>
            <w:r w:rsidR="00EC53EE">
              <w:rPr>
                <w:rFonts w:ascii="Arial" w:hAnsi="Arial" w:cs="Arial"/>
                <w:lang w:val="es-DO"/>
              </w:rPr>
              <w:t>en</w:t>
            </w:r>
            <w:r w:rsidRPr="00DD37EC">
              <w:rPr>
                <w:rFonts w:ascii="Arial" w:hAnsi="Arial" w:cs="Arial"/>
                <w:lang w:val="es-DO"/>
              </w:rPr>
              <w:t xml:space="preserve"> 2015 </w:t>
            </w:r>
          </w:p>
        </w:tc>
      </w:tr>
      <w:tr w:rsidR="000C53F6" w:rsidRPr="00392E34" w14:paraId="79261170" w14:textId="77777777" w:rsidTr="005F40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Pr>
          <w:p w14:paraId="7A3120F6" w14:textId="77777777" w:rsidR="000C53F6" w:rsidRPr="00DD37EC" w:rsidRDefault="000C53F6" w:rsidP="00DD37EC">
            <w:pPr>
              <w:spacing w:after="240"/>
              <w:contextualSpacing/>
              <w:jc w:val="both"/>
              <w:rPr>
                <w:rFonts w:ascii="Arial" w:hAnsi="Arial" w:cs="Arial"/>
                <w:b w:val="0"/>
                <w:lang w:val="es-DO"/>
              </w:rPr>
            </w:pPr>
          </w:p>
        </w:tc>
        <w:tc>
          <w:tcPr>
            <w:tcW w:w="8190" w:type="dxa"/>
            <w:gridSpan w:val="2"/>
          </w:tcPr>
          <w:p w14:paraId="49CA8390" w14:textId="77777777" w:rsidR="000C53F6" w:rsidRPr="00DD37EC" w:rsidRDefault="000C53F6" w:rsidP="00DD37EC">
            <w:pPr>
              <w:spacing w:after="240"/>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lang w:val="es-DO"/>
              </w:rPr>
            </w:pPr>
            <w:r w:rsidRPr="00DD37EC">
              <w:rPr>
                <w:rFonts w:ascii="Arial" w:hAnsi="Arial" w:cs="Arial"/>
                <w:lang w:val="es-DO"/>
              </w:rPr>
              <w:t>Limitadas intervenciones de promoción para la realización de la prueba dirigida a las poblaciones clave (estrategias particulares)</w:t>
            </w:r>
          </w:p>
        </w:tc>
      </w:tr>
      <w:tr w:rsidR="000C53F6" w:rsidRPr="00392E34" w14:paraId="17FFEE5C" w14:textId="77777777" w:rsidTr="005F4042">
        <w:trPr>
          <w:trHeight w:val="117"/>
        </w:trPr>
        <w:tc>
          <w:tcPr>
            <w:cnfStyle w:val="001000000000" w:firstRow="0" w:lastRow="0" w:firstColumn="1" w:lastColumn="0" w:oddVBand="0" w:evenVBand="0" w:oddHBand="0" w:evenHBand="0" w:firstRowFirstColumn="0" w:firstRowLastColumn="0" w:lastRowFirstColumn="0" w:lastRowLastColumn="0"/>
            <w:tcW w:w="1800" w:type="dxa"/>
          </w:tcPr>
          <w:p w14:paraId="4477E5A1" w14:textId="77777777" w:rsidR="000C53F6" w:rsidRPr="00DD37EC" w:rsidRDefault="000C53F6" w:rsidP="00DD37EC">
            <w:pPr>
              <w:spacing w:after="240"/>
              <w:contextualSpacing/>
              <w:jc w:val="both"/>
              <w:rPr>
                <w:rFonts w:ascii="Arial" w:hAnsi="Arial" w:cs="Arial"/>
                <w:b w:val="0"/>
                <w:lang w:val="es-DO"/>
              </w:rPr>
            </w:pPr>
          </w:p>
        </w:tc>
        <w:tc>
          <w:tcPr>
            <w:tcW w:w="8190" w:type="dxa"/>
            <w:gridSpan w:val="2"/>
          </w:tcPr>
          <w:p w14:paraId="46B139B7" w14:textId="77777777" w:rsidR="000C53F6" w:rsidRPr="00DD37EC" w:rsidRDefault="000C53F6" w:rsidP="00DD37EC">
            <w:pPr>
              <w:spacing w:after="240"/>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lang w:val="es-DO"/>
              </w:rPr>
            </w:pPr>
            <w:r w:rsidRPr="00DD37EC">
              <w:rPr>
                <w:rFonts w:ascii="Arial" w:hAnsi="Arial" w:cs="Arial"/>
                <w:lang w:val="es-DO"/>
              </w:rPr>
              <w:t>Niveles bajos de conocimiento sobre el VIH y comportamientos de riesgo en población clave</w:t>
            </w:r>
          </w:p>
        </w:tc>
      </w:tr>
      <w:tr w:rsidR="000C53F6" w:rsidRPr="00392E34" w14:paraId="0C890120" w14:textId="77777777" w:rsidTr="005F4042">
        <w:trPr>
          <w:cnfStyle w:val="000000100000" w:firstRow="0" w:lastRow="0" w:firstColumn="0" w:lastColumn="0" w:oddVBand="0" w:evenVBand="0" w:oddHBand="1" w:evenHBand="0" w:firstRowFirstColumn="0" w:firstRowLastColumn="0" w:lastRowFirstColumn="0" w:lastRowLastColumn="0"/>
          <w:trHeight w:val="117"/>
        </w:trPr>
        <w:tc>
          <w:tcPr>
            <w:cnfStyle w:val="001000000000" w:firstRow="0" w:lastRow="0" w:firstColumn="1" w:lastColumn="0" w:oddVBand="0" w:evenVBand="0" w:oddHBand="0" w:evenHBand="0" w:firstRowFirstColumn="0" w:firstRowLastColumn="0" w:lastRowFirstColumn="0" w:lastRowLastColumn="0"/>
            <w:tcW w:w="1800" w:type="dxa"/>
          </w:tcPr>
          <w:p w14:paraId="506800D5" w14:textId="77777777" w:rsidR="000C53F6" w:rsidRPr="00DD37EC" w:rsidRDefault="000C53F6" w:rsidP="00DD37EC">
            <w:pPr>
              <w:spacing w:after="240"/>
              <w:contextualSpacing/>
              <w:jc w:val="both"/>
              <w:rPr>
                <w:rFonts w:ascii="Arial" w:hAnsi="Arial" w:cs="Arial"/>
                <w:b w:val="0"/>
                <w:lang w:val="es-DO"/>
              </w:rPr>
            </w:pPr>
          </w:p>
        </w:tc>
        <w:tc>
          <w:tcPr>
            <w:tcW w:w="8190" w:type="dxa"/>
            <w:gridSpan w:val="2"/>
          </w:tcPr>
          <w:p w14:paraId="40F4DB2C" w14:textId="7D245556" w:rsidR="000C53F6" w:rsidRPr="00DD37EC" w:rsidRDefault="000C53F6" w:rsidP="00DD37EC">
            <w:pPr>
              <w:spacing w:after="240"/>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lang w:val="es-DO"/>
              </w:rPr>
            </w:pPr>
            <w:r w:rsidRPr="00DD37EC">
              <w:rPr>
                <w:rFonts w:ascii="Arial" w:hAnsi="Arial" w:cs="Arial"/>
                <w:lang w:val="es-DO"/>
              </w:rPr>
              <w:t xml:space="preserve">Limitado número de pruebas realizadas a población clave de MTS, HSH y </w:t>
            </w:r>
            <w:r w:rsidR="00EC53EE">
              <w:rPr>
                <w:rFonts w:ascii="Arial" w:hAnsi="Arial" w:cs="Arial"/>
                <w:lang w:val="es-DO"/>
              </w:rPr>
              <w:t>g</w:t>
            </w:r>
            <w:r w:rsidRPr="00DD37EC">
              <w:rPr>
                <w:rFonts w:ascii="Arial" w:hAnsi="Arial" w:cs="Arial"/>
                <w:lang w:val="es-DO"/>
              </w:rPr>
              <w:t>arífunas</w:t>
            </w:r>
          </w:p>
        </w:tc>
      </w:tr>
      <w:tr w:rsidR="000C53F6" w:rsidRPr="00392E34" w14:paraId="3C99589C" w14:textId="77777777" w:rsidTr="005F4042">
        <w:trPr>
          <w:trHeight w:val="117"/>
        </w:trPr>
        <w:tc>
          <w:tcPr>
            <w:cnfStyle w:val="001000000000" w:firstRow="0" w:lastRow="0" w:firstColumn="1" w:lastColumn="0" w:oddVBand="0" w:evenVBand="0" w:oddHBand="0" w:evenHBand="0" w:firstRowFirstColumn="0" w:firstRowLastColumn="0" w:lastRowFirstColumn="0" w:lastRowLastColumn="0"/>
            <w:tcW w:w="1800" w:type="dxa"/>
          </w:tcPr>
          <w:p w14:paraId="7EFCEFCE" w14:textId="77777777" w:rsidR="000C53F6" w:rsidRPr="00DD37EC" w:rsidRDefault="000C53F6" w:rsidP="00DD37EC">
            <w:pPr>
              <w:spacing w:after="240"/>
              <w:contextualSpacing/>
              <w:jc w:val="both"/>
              <w:rPr>
                <w:rFonts w:ascii="Arial" w:hAnsi="Arial" w:cs="Arial"/>
                <w:b w:val="0"/>
                <w:lang w:val="es-DO"/>
              </w:rPr>
            </w:pPr>
          </w:p>
        </w:tc>
        <w:tc>
          <w:tcPr>
            <w:tcW w:w="8190" w:type="dxa"/>
            <w:gridSpan w:val="2"/>
          </w:tcPr>
          <w:p w14:paraId="4888A11B" w14:textId="77777777" w:rsidR="000C53F6" w:rsidRPr="00DD37EC" w:rsidRDefault="000C53F6" w:rsidP="00DD37EC">
            <w:pPr>
              <w:spacing w:after="240"/>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lang w:val="es-DO"/>
              </w:rPr>
            </w:pPr>
            <w:r w:rsidRPr="00DD37EC">
              <w:rPr>
                <w:rFonts w:ascii="Arial" w:hAnsi="Arial" w:cs="Arial"/>
                <w:lang w:val="es-DO"/>
              </w:rPr>
              <w:t>Adquisición de pruebas rápidas de forma descentralizada por las regiones de salud y a través de donantes y provistas por ONG</w:t>
            </w:r>
          </w:p>
        </w:tc>
      </w:tr>
      <w:tr w:rsidR="000C53F6" w:rsidRPr="00392E34" w14:paraId="371DDDAC" w14:textId="77777777" w:rsidTr="005F4042">
        <w:trPr>
          <w:cnfStyle w:val="000000100000" w:firstRow="0" w:lastRow="0" w:firstColumn="0" w:lastColumn="0" w:oddVBand="0" w:evenVBand="0" w:oddHBand="1" w:evenHBand="0" w:firstRowFirstColumn="0" w:firstRowLastColumn="0" w:lastRowFirstColumn="0" w:lastRowLastColumn="0"/>
          <w:trHeight w:val="117"/>
        </w:trPr>
        <w:tc>
          <w:tcPr>
            <w:cnfStyle w:val="001000000000" w:firstRow="0" w:lastRow="0" w:firstColumn="1" w:lastColumn="0" w:oddVBand="0" w:evenVBand="0" w:oddHBand="0" w:evenHBand="0" w:firstRowFirstColumn="0" w:firstRowLastColumn="0" w:lastRowFirstColumn="0" w:lastRowLastColumn="0"/>
            <w:tcW w:w="1800" w:type="dxa"/>
          </w:tcPr>
          <w:p w14:paraId="61E91D4E" w14:textId="77777777" w:rsidR="000C53F6" w:rsidRPr="00DD37EC" w:rsidRDefault="000C53F6" w:rsidP="00DD37EC">
            <w:pPr>
              <w:spacing w:after="240"/>
              <w:contextualSpacing/>
              <w:jc w:val="both"/>
              <w:rPr>
                <w:rFonts w:ascii="Arial" w:hAnsi="Arial" w:cs="Arial"/>
                <w:b w:val="0"/>
                <w:lang w:val="es-DO"/>
              </w:rPr>
            </w:pPr>
          </w:p>
        </w:tc>
        <w:tc>
          <w:tcPr>
            <w:tcW w:w="8190" w:type="dxa"/>
            <w:gridSpan w:val="2"/>
          </w:tcPr>
          <w:p w14:paraId="471621DC" w14:textId="77777777" w:rsidR="000C53F6" w:rsidRPr="00DD37EC" w:rsidRDefault="000C53F6" w:rsidP="00DD37EC">
            <w:pPr>
              <w:spacing w:after="240"/>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lang w:val="es-DO"/>
              </w:rPr>
            </w:pPr>
            <w:r w:rsidRPr="00DD37EC">
              <w:rPr>
                <w:rFonts w:ascii="Arial" w:hAnsi="Arial" w:cs="Arial"/>
                <w:lang w:val="es-DO"/>
              </w:rPr>
              <w:t xml:space="preserve">No se tiene el dato oficial de personas que conocen su estatus </w:t>
            </w:r>
          </w:p>
        </w:tc>
      </w:tr>
      <w:tr w:rsidR="000C53F6" w:rsidRPr="00392E34" w14:paraId="09ED0480" w14:textId="77777777" w:rsidTr="005F4042">
        <w:trPr>
          <w:trHeight w:val="117"/>
        </w:trPr>
        <w:tc>
          <w:tcPr>
            <w:cnfStyle w:val="001000000000" w:firstRow="0" w:lastRow="0" w:firstColumn="1" w:lastColumn="0" w:oddVBand="0" w:evenVBand="0" w:oddHBand="0" w:evenHBand="0" w:firstRowFirstColumn="0" w:firstRowLastColumn="0" w:lastRowFirstColumn="0" w:lastRowLastColumn="0"/>
            <w:tcW w:w="1800" w:type="dxa"/>
          </w:tcPr>
          <w:p w14:paraId="07DFBC1A" w14:textId="77777777" w:rsidR="000C53F6" w:rsidRPr="00DD37EC" w:rsidRDefault="000C53F6" w:rsidP="00DD37EC">
            <w:pPr>
              <w:spacing w:after="240"/>
              <w:contextualSpacing/>
              <w:jc w:val="both"/>
              <w:rPr>
                <w:rFonts w:ascii="Arial" w:hAnsi="Arial" w:cs="Arial"/>
                <w:b w:val="0"/>
                <w:lang w:val="es-DO"/>
              </w:rPr>
            </w:pPr>
          </w:p>
        </w:tc>
        <w:tc>
          <w:tcPr>
            <w:tcW w:w="8190" w:type="dxa"/>
            <w:gridSpan w:val="2"/>
          </w:tcPr>
          <w:p w14:paraId="2D3FF6D5" w14:textId="77777777" w:rsidR="000C53F6" w:rsidRPr="00DD37EC" w:rsidRDefault="000C53F6" w:rsidP="00DD37EC">
            <w:pPr>
              <w:spacing w:after="240"/>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lang w:val="es-DO"/>
              </w:rPr>
            </w:pPr>
            <w:r w:rsidRPr="00DD37EC">
              <w:rPr>
                <w:rFonts w:ascii="Arial" w:hAnsi="Arial" w:cs="Arial"/>
                <w:lang w:val="es-DO"/>
              </w:rPr>
              <w:t xml:space="preserve">No se realizan pruebas a menores de 18 años y a nivel comunitario </w:t>
            </w:r>
          </w:p>
        </w:tc>
      </w:tr>
    </w:tbl>
    <w:p w14:paraId="55B8B2BE" w14:textId="77777777" w:rsidR="000419EE" w:rsidRDefault="000419EE" w:rsidP="00DD37EC">
      <w:pPr>
        <w:pStyle w:val="Heading3"/>
        <w:spacing w:before="0" w:after="240" w:line="240" w:lineRule="auto"/>
        <w:rPr>
          <w:rFonts w:ascii="Arial" w:hAnsi="Arial" w:cs="Arial"/>
          <w:sz w:val="22"/>
          <w:szCs w:val="22"/>
          <w:lang w:val="es-419"/>
        </w:rPr>
      </w:pPr>
    </w:p>
    <w:p w14:paraId="675FCCB7" w14:textId="06ED3937" w:rsidR="004B6BFF" w:rsidRPr="00DD37EC" w:rsidRDefault="00C47D54" w:rsidP="00DD37EC">
      <w:pPr>
        <w:pStyle w:val="Heading3"/>
        <w:spacing w:before="0" w:after="240" w:line="240" w:lineRule="auto"/>
        <w:rPr>
          <w:rFonts w:ascii="Arial" w:hAnsi="Arial" w:cs="Arial"/>
          <w:sz w:val="22"/>
          <w:szCs w:val="22"/>
          <w:lang w:val="es-419"/>
        </w:rPr>
      </w:pPr>
      <w:bookmarkStart w:id="39" w:name="_Toc8905225"/>
      <w:r>
        <w:rPr>
          <w:rFonts w:ascii="Arial" w:hAnsi="Arial" w:cs="Arial"/>
          <w:sz w:val="22"/>
          <w:szCs w:val="22"/>
          <w:lang w:val="es-419"/>
        </w:rPr>
        <w:t>4.</w:t>
      </w:r>
      <w:r w:rsidR="00651171">
        <w:rPr>
          <w:rFonts w:ascii="Arial" w:hAnsi="Arial" w:cs="Arial"/>
          <w:sz w:val="22"/>
          <w:szCs w:val="22"/>
          <w:lang w:val="es-419"/>
        </w:rPr>
        <w:t>4</w:t>
      </w:r>
      <w:r>
        <w:rPr>
          <w:rFonts w:ascii="Arial" w:hAnsi="Arial" w:cs="Arial"/>
          <w:sz w:val="22"/>
          <w:szCs w:val="22"/>
          <w:lang w:val="es-419"/>
        </w:rPr>
        <w:t>.2</w:t>
      </w:r>
      <w:r w:rsidR="004F0CE9" w:rsidRPr="00DD37EC">
        <w:rPr>
          <w:rFonts w:ascii="Arial" w:hAnsi="Arial" w:cs="Arial"/>
          <w:sz w:val="22"/>
          <w:szCs w:val="22"/>
          <w:lang w:val="es-419"/>
        </w:rPr>
        <w:t xml:space="preserve"> </w:t>
      </w:r>
      <w:r w:rsidR="00100BDB" w:rsidRPr="00DD37EC">
        <w:rPr>
          <w:rFonts w:ascii="Arial" w:hAnsi="Arial" w:cs="Arial"/>
          <w:sz w:val="22"/>
          <w:szCs w:val="22"/>
          <w:lang w:val="es-419"/>
        </w:rPr>
        <w:t xml:space="preserve">Actividades de tratamiento </w:t>
      </w:r>
      <w:r w:rsidR="004B6BFF" w:rsidRPr="00DD37EC">
        <w:rPr>
          <w:rFonts w:ascii="Arial" w:hAnsi="Arial" w:cs="Arial"/>
          <w:sz w:val="22"/>
          <w:szCs w:val="22"/>
          <w:lang w:val="es-419"/>
        </w:rPr>
        <w:t>(2do 90)</w:t>
      </w:r>
      <w:r w:rsidR="001F6642" w:rsidRPr="00DD37EC">
        <w:rPr>
          <w:rFonts w:ascii="Arial" w:hAnsi="Arial" w:cs="Arial"/>
          <w:sz w:val="22"/>
          <w:szCs w:val="22"/>
          <w:lang w:val="es-419"/>
        </w:rPr>
        <w:t>,</w:t>
      </w:r>
      <w:r w:rsidR="00100BDB" w:rsidRPr="00DD37EC">
        <w:rPr>
          <w:rFonts w:ascii="Arial" w:hAnsi="Arial" w:cs="Arial"/>
          <w:sz w:val="22"/>
          <w:szCs w:val="22"/>
          <w:lang w:val="es-419"/>
        </w:rPr>
        <w:t xml:space="preserve"> fuerzas y debilidades</w:t>
      </w:r>
      <w:bookmarkEnd w:id="39"/>
      <w:r w:rsidR="00100BDB" w:rsidRPr="00DD37EC">
        <w:rPr>
          <w:rFonts w:ascii="Arial" w:hAnsi="Arial" w:cs="Arial"/>
          <w:sz w:val="22"/>
          <w:szCs w:val="22"/>
          <w:lang w:val="es-419"/>
        </w:rPr>
        <w:t xml:space="preserve"> </w:t>
      </w:r>
    </w:p>
    <w:tbl>
      <w:tblPr>
        <w:tblStyle w:val="TableGridLight"/>
        <w:tblpPr w:leftFromText="180" w:rightFromText="180" w:vertAnchor="text" w:horzAnchor="margin" w:tblpXSpec="right" w:tblpY="120"/>
        <w:tblW w:w="0" w:type="auto"/>
        <w:shd w:val="clear" w:color="auto" w:fill="D9E2F3" w:themeFill="accent1" w:themeFillTint="33"/>
        <w:tblLook w:val="04A0" w:firstRow="1" w:lastRow="0" w:firstColumn="1" w:lastColumn="0" w:noHBand="0" w:noVBand="1"/>
      </w:tblPr>
      <w:tblGrid>
        <w:gridCol w:w="1965"/>
      </w:tblGrid>
      <w:tr w:rsidR="009A2CDC" w:rsidRPr="004326C6" w14:paraId="0CFBB5D7" w14:textId="77777777" w:rsidTr="009A2CDC">
        <w:trPr>
          <w:trHeight w:val="801"/>
        </w:trPr>
        <w:tc>
          <w:tcPr>
            <w:tcW w:w="1965" w:type="dxa"/>
            <w:shd w:val="clear" w:color="auto" w:fill="D9E2F3" w:themeFill="accent1" w:themeFillTint="33"/>
          </w:tcPr>
          <w:p w14:paraId="611A06F2" w14:textId="77777777" w:rsidR="009A2CDC" w:rsidRPr="00167C47" w:rsidRDefault="009A2CDC" w:rsidP="009A2CDC">
            <w:pPr>
              <w:contextualSpacing/>
              <w:jc w:val="center"/>
              <w:rPr>
                <w:rFonts w:ascii="Arial" w:hAnsi="Arial" w:cs="Arial"/>
                <w:color w:val="000000" w:themeColor="text1"/>
                <w:sz w:val="12"/>
                <w:lang w:val="es-DO"/>
              </w:rPr>
            </w:pPr>
          </w:p>
          <w:p w14:paraId="3E894ADB" w14:textId="10789CC4" w:rsidR="009A2CDC" w:rsidRPr="004A7018" w:rsidRDefault="009A2CDC" w:rsidP="009A2CDC">
            <w:pPr>
              <w:contextualSpacing/>
              <w:jc w:val="center"/>
              <w:rPr>
                <w:rFonts w:ascii="Arial" w:hAnsi="Arial" w:cs="Arial"/>
                <w:color w:val="000000" w:themeColor="text1"/>
              </w:rPr>
            </w:pPr>
            <w:r w:rsidRPr="004A7018">
              <w:rPr>
                <w:rFonts w:ascii="Arial" w:hAnsi="Arial" w:cs="Arial"/>
                <w:b/>
                <w:i/>
                <w:color w:val="000000" w:themeColor="text1"/>
              </w:rPr>
              <w:t>PVIH en TARV</w:t>
            </w:r>
            <w:r w:rsidRPr="004A7018">
              <w:rPr>
                <w:rFonts w:ascii="Arial" w:hAnsi="Arial" w:cs="Arial"/>
                <w:color w:val="000000" w:themeColor="text1"/>
              </w:rPr>
              <w:t xml:space="preserve">: </w:t>
            </w:r>
          </w:p>
          <w:p w14:paraId="34097E57" w14:textId="7E22CEB6" w:rsidR="009A2CDC" w:rsidRPr="004A7018" w:rsidRDefault="009A2CDC" w:rsidP="009A2CDC">
            <w:pPr>
              <w:contextualSpacing/>
              <w:jc w:val="center"/>
              <w:rPr>
                <w:rFonts w:ascii="Arial" w:hAnsi="Arial" w:cs="Arial"/>
                <w:color w:val="000000" w:themeColor="text1"/>
              </w:rPr>
            </w:pPr>
            <w:r w:rsidRPr="004A7018">
              <w:rPr>
                <w:rFonts w:ascii="Arial" w:hAnsi="Arial" w:cs="Arial"/>
                <w:color w:val="000000" w:themeColor="text1"/>
              </w:rPr>
              <w:t>10,024 PVIH</w:t>
            </w:r>
          </w:p>
          <w:p w14:paraId="6B408DB8" w14:textId="15B5021C" w:rsidR="009A2CDC" w:rsidRPr="004A7018" w:rsidRDefault="004A7018" w:rsidP="009A2CDC">
            <w:pPr>
              <w:contextualSpacing/>
              <w:jc w:val="center"/>
              <w:rPr>
                <w:rFonts w:ascii="Arial" w:hAnsi="Arial" w:cs="Arial"/>
                <w:i/>
                <w:color w:val="000000" w:themeColor="text1"/>
              </w:rPr>
            </w:pPr>
            <w:r w:rsidRPr="004A7018">
              <w:rPr>
                <w:rFonts w:ascii="Arial" w:hAnsi="Arial" w:cs="Arial"/>
                <w:i/>
                <w:color w:val="000000" w:themeColor="text1"/>
                <w:sz w:val="14"/>
              </w:rPr>
              <w:t>S</w:t>
            </w:r>
            <w:r>
              <w:rPr>
                <w:rFonts w:ascii="Arial" w:hAnsi="Arial" w:cs="Arial"/>
                <w:i/>
                <w:color w:val="000000" w:themeColor="text1"/>
                <w:sz w:val="14"/>
              </w:rPr>
              <w:t>ESAL, 2017</w:t>
            </w:r>
          </w:p>
          <w:p w14:paraId="2689BBF0" w14:textId="77777777" w:rsidR="009A2CDC" w:rsidRPr="004A7018" w:rsidRDefault="009A2CDC" w:rsidP="009A2CDC">
            <w:pPr>
              <w:contextualSpacing/>
              <w:rPr>
                <w:color w:val="000000" w:themeColor="text1"/>
                <w:sz w:val="12"/>
              </w:rPr>
            </w:pPr>
          </w:p>
        </w:tc>
      </w:tr>
    </w:tbl>
    <w:p w14:paraId="7A1310D9" w14:textId="2FB44299" w:rsidR="000C53F6" w:rsidRPr="00DD37EC" w:rsidRDefault="000C53F6" w:rsidP="006D2E03">
      <w:pPr>
        <w:spacing w:after="240" w:line="240" w:lineRule="auto"/>
        <w:jc w:val="both"/>
        <w:rPr>
          <w:rFonts w:ascii="Arial" w:hAnsi="Arial" w:cs="Arial"/>
          <w:color w:val="000000" w:themeColor="text1"/>
          <w:lang w:val="es-DO"/>
        </w:rPr>
      </w:pPr>
      <w:r w:rsidRPr="00DD37EC">
        <w:rPr>
          <w:rFonts w:ascii="Arial" w:hAnsi="Arial" w:cs="Arial"/>
          <w:color w:val="000000" w:themeColor="text1"/>
          <w:lang w:val="es-DO"/>
        </w:rPr>
        <w:t xml:space="preserve">El </w:t>
      </w:r>
      <w:r w:rsidRPr="00DD37EC">
        <w:rPr>
          <w:rFonts w:ascii="Arial" w:hAnsi="Arial" w:cs="Arial"/>
          <w:b/>
          <w:color w:val="000000" w:themeColor="text1"/>
          <w:lang w:val="es-DO"/>
        </w:rPr>
        <w:t>8</w:t>
      </w:r>
      <w:r w:rsidR="004A7018">
        <w:rPr>
          <w:rFonts w:ascii="Arial" w:hAnsi="Arial" w:cs="Arial"/>
          <w:b/>
          <w:color w:val="000000" w:themeColor="text1"/>
          <w:lang w:val="es-DO"/>
        </w:rPr>
        <w:t>4</w:t>
      </w:r>
      <w:r w:rsidRPr="00DD37EC">
        <w:rPr>
          <w:rFonts w:ascii="Arial" w:hAnsi="Arial" w:cs="Arial"/>
          <w:b/>
          <w:color w:val="000000" w:themeColor="text1"/>
          <w:lang w:val="es-DO"/>
        </w:rPr>
        <w:t>% (1</w:t>
      </w:r>
      <w:r w:rsidR="004A7018">
        <w:rPr>
          <w:rFonts w:ascii="Arial" w:hAnsi="Arial" w:cs="Arial"/>
          <w:b/>
          <w:color w:val="000000" w:themeColor="text1"/>
          <w:lang w:val="es-DO"/>
        </w:rPr>
        <w:t>1,506</w:t>
      </w:r>
      <w:r w:rsidRPr="00DD37EC">
        <w:rPr>
          <w:rFonts w:ascii="Arial" w:hAnsi="Arial" w:cs="Arial"/>
          <w:b/>
          <w:color w:val="000000" w:themeColor="text1"/>
          <w:lang w:val="es-DO"/>
        </w:rPr>
        <w:t>)</w:t>
      </w:r>
      <w:r w:rsidRPr="00DD37EC">
        <w:rPr>
          <w:rFonts w:ascii="Arial" w:hAnsi="Arial" w:cs="Arial"/>
          <w:color w:val="000000" w:themeColor="text1"/>
          <w:lang w:val="es-DO"/>
        </w:rPr>
        <w:t xml:space="preserve"> de las personas con VIH diagnosticadas reciben terapia con ARV en el 2017, dejando una brecha de </w:t>
      </w:r>
      <w:r w:rsidR="004A7018" w:rsidRPr="004A7018">
        <w:rPr>
          <w:rFonts w:ascii="Arial" w:hAnsi="Arial" w:cs="Arial"/>
          <w:color w:val="000000" w:themeColor="text1"/>
          <w:lang w:val="es-DO"/>
        </w:rPr>
        <w:t>6,403</w:t>
      </w:r>
      <w:r w:rsidR="004A7018">
        <w:rPr>
          <w:rFonts w:ascii="Arial" w:hAnsi="Arial" w:cs="Arial"/>
          <w:color w:val="000000" w:themeColor="text1"/>
          <w:lang w:val="es-DO"/>
        </w:rPr>
        <w:t xml:space="preserve"> </w:t>
      </w:r>
      <w:r w:rsidRPr="00DD37EC">
        <w:rPr>
          <w:rFonts w:ascii="Arial" w:hAnsi="Arial" w:cs="Arial"/>
          <w:color w:val="000000" w:themeColor="text1"/>
          <w:lang w:val="es-DO"/>
        </w:rPr>
        <w:t xml:space="preserve">de PVIH que requerirán TARV para el 2020. La SESAL reglamentó la provisión de la terapia con ARV en el año 2002. En la actualidad, el país cuenta con recursos </w:t>
      </w:r>
      <w:r w:rsidR="00F21680">
        <w:rPr>
          <w:rFonts w:ascii="Arial" w:hAnsi="Arial" w:cs="Arial"/>
          <w:color w:val="000000" w:themeColor="text1"/>
          <w:lang w:val="es-DO"/>
        </w:rPr>
        <w:t>públicos</w:t>
      </w:r>
      <w:r w:rsidRPr="00DD37EC">
        <w:rPr>
          <w:rFonts w:ascii="Arial" w:hAnsi="Arial" w:cs="Arial"/>
          <w:color w:val="000000" w:themeColor="text1"/>
          <w:lang w:val="es-DO"/>
        </w:rPr>
        <w:t xml:space="preserve"> que cubren el 90% del costo de los antirretrovirales y donantes como el FM proveen 10% de medicamentos e insumos</w:t>
      </w:r>
      <w:r w:rsidR="006F4CA8">
        <w:rPr>
          <w:rFonts w:ascii="Arial" w:hAnsi="Arial" w:cs="Arial"/>
          <w:color w:val="000000" w:themeColor="text1"/>
          <w:lang w:val="es-DO"/>
        </w:rPr>
        <w:t>.</w:t>
      </w:r>
      <w:r w:rsidRPr="00DD37EC">
        <w:rPr>
          <w:rStyle w:val="FootnoteReference"/>
          <w:rFonts w:ascii="Arial" w:hAnsi="Arial" w:cs="Arial"/>
          <w:color w:val="000000" w:themeColor="text1"/>
          <w:lang w:val="es-DO"/>
        </w:rPr>
        <w:footnoteReference w:id="37"/>
      </w:r>
    </w:p>
    <w:p w14:paraId="28CC2F9D" w14:textId="4C0BC950" w:rsidR="009E1DB2" w:rsidRPr="00DD37EC" w:rsidRDefault="000C53F6" w:rsidP="006D2E03">
      <w:pPr>
        <w:spacing w:after="240" w:line="240" w:lineRule="auto"/>
        <w:jc w:val="both"/>
        <w:rPr>
          <w:rFonts w:ascii="Arial" w:hAnsi="Arial" w:cs="Arial"/>
          <w:color w:val="000000" w:themeColor="text1"/>
          <w:lang w:val="es-DO"/>
        </w:rPr>
      </w:pPr>
      <w:r w:rsidRPr="00DD37EC">
        <w:rPr>
          <w:rFonts w:ascii="Arial" w:hAnsi="Arial" w:cs="Arial"/>
          <w:color w:val="000000" w:themeColor="text1"/>
          <w:lang w:val="es-DO"/>
        </w:rPr>
        <w:t>En el 2014, se proveyeron servicios descentralizados en 49 SAI</w:t>
      </w:r>
      <w:r w:rsidR="00376B95" w:rsidRPr="00DD37EC">
        <w:rPr>
          <w:rFonts w:ascii="Arial" w:hAnsi="Arial" w:cs="Arial"/>
          <w:color w:val="000000" w:themeColor="text1"/>
          <w:lang w:val="es-DO"/>
        </w:rPr>
        <w:t xml:space="preserve"> o Centros de Atención Integral (CAI)</w:t>
      </w:r>
      <w:r w:rsidRPr="00DD37EC">
        <w:rPr>
          <w:rFonts w:ascii="Arial" w:hAnsi="Arial" w:cs="Arial"/>
          <w:color w:val="000000" w:themeColor="text1"/>
          <w:lang w:val="es-DO"/>
        </w:rPr>
        <w:t xml:space="preserve"> distribuidos en las 20 regiones departamentales del país y en 21 centros con servicios de atención integral en pediatría, funcionando bajo un sistema único de suministro y distribución de antirretrovirales</w:t>
      </w:r>
      <w:r w:rsidR="00DD673D">
        <w:rPr>
          <w:rFonts w:ascii="Arial" w:hAnsi="Arial" w:cs="Arial"/>
          <w:color w:val="000000" w:themeColor="text1"/>
          <w:lang w:val="es-DO"/>
        </w:rPr>
        <w:t>.</w:t>
      </w:r>
      <w:r w:rsidRPr="00DD37EC">
        <w:rPr>
          <w:rStyle w:val="FootnoteReference"/>
          <w:rFonts w:ascii="Arial" w:hAnsi="Arial" w:cs="Arial"/>
          <w:color w:val="000000" w:themeColor="text1"/>
          <w:lang w:val="es-DO"/>
        </w:rPr>
        <w:footnoteReference w:id="38"/>
      </w:r>
      <w:r w:rsidRPr="00DD37EC">
        <w:rPr>
          <w:rFonts w:ascii="Arial" w:hAnsi="Arial" w:cs="Arial"/>
          <w:color w:val="000000" w:themeColor="text1"/>
          <w:lang w:val="es-DO"/>
        </w:rPr>
        <w:t xml:space="preserve"> No se </w:t>
      </w:r>
      <w:r w:rsidR="00312F17">
        <w:rPr>
          <w:rFonts w:ascii="Arial" w:hAnsi="Arial" w:cs="Arial"/>
          <w:color w:val="000000" w:themeColor="text1"/>
          <w:lang w:val="es-DO"/>
        </w:rPr>
        <w:t>pudo verificar</w:t>
      </w:r>
      <w:r w:rsidRPr="00DD37EC">
        <w:rPr>
          <w:rFonts w:ascii="Arial" w:hAnsi="Arial" w:cs="Arial"/>
          <w:color w:val="000000" w:themeColor="text1"/>
          <w:lang w:val="es-DO"/>
        </w:rPr>
        <w:t xml:space="preserve"> si la ubicación de los SAI responde a concentración geográfica de los casos de VIH y población clave. </w:t>
      </w:r>
    </w:p>
    <w:p w14:paraId="157F4A3A" w14:textId="3FB252CD" w:rsidR="000C53F6" w:rsidRPr="00DD37EC" w:rsidRDefault="009E1DB2" w:rsidP="0042227F">
      <w:pPr>
        <w:spacing w:after="240" w:line="240" w:lineRule="auto"/>
        <w:jc w:val="both"/>
        <w:rPr>
          <w:rFonts w:ascii="Arial" w:hAnsi="Arial" w:cs="Arial"/>
          <w:color w:val="000000" w:themeColor="text1"/>
          <w:lang w:val="es-DO"/>
        </w:rPr>
      </w:pPr>
      <w:r w:rsidRPr="00DD37EC">
        <w:rPr>
          <w:rFonts w:ascii="Arial" w:hAnsi="Arial" w:cs="Arial"/>
          <w:color w:val="000000" w:themeColor="text1"/>
          <w:lang w:val="es-DO"/>
        </w:rPr>
        <w:t>Las Unidades de Manejo Integral de Enfermedades de Transmisión Sexual/Vigilancia Centinela de Infecciones de Transmisión Sexual (UMIETS/VICITS) realizan referencias de las personas con VIH recién diagnosticadas a los servicios de atención integral. A menudo, estos servicios se encuentran en el mismo establecimiento, por lo que la vinculación es apoyada por el personal de salud que acompaña a la persona con nuevo diagnóstico.</w:t>
      </w:r>
    </w:p>
    <w:p w14:paraId="3182C150" w14:textId="6CA785A2" w:rsidR="000C53F6" w:rsidRPr="00DD37EC" w:rsidRDefault="000C53F6" w:rsidP="006D2E03">
      <w:pPr>
        <w:spacing w:after="240" w:line="240" w:lineRule="auto"/>
        <w:jc w:val="both"/>
        <w:rPr>
          <w:rFonts w:ascii="Arial" w:hAnsi="Arial" w:cs="Arial"/>
          <w:color w:val="000000" w:themeColor="text1"/>
          <w:lang w:val="es-DO"/>
        </w:rPr>
      </w:pPr>
      <w:r w:rsidRPr="00DD37EC">
        <w:rPr>
          <w:rFonts w:ascii="Arial" w:hAnsi="Arial" w:cs="Arial"/>
          <w:color w:val="000000" w:themeColor="text1"/>
          <w:lang w:val="es-DO"/>
        </w:rPr>
        <w:t xml:space="preserve">Fuentes consultadas </w:t>
      </w:r>
      <w:r w:rsidR="0042227F">
        <w:rPr>
          <w:rFonts w:ascii="Arial" w:hAnsi="Arial" w:cs="Arial"/>
          <w:color w:val="000000" w:themeColor="text1"/>
          <w:lang w:val="es-DO"/>
        </w:rPr>
        <w:t xml:space="preserve">sugieren que </w:t>
      </w:r>
      <w:r w:rsidRPr="00DD37EC">
        <w:rPr>
          <w:rFonts w:ascii="Arial" w:hAnsi="Arial" w:cs="Arial"/>
          <w:color w:val="000000" w:themeColor="text1"/>
          <w:lang w:val="es-DO"/>
        </w:rPr>
        <w:t xml:space="preserve">el pago de la cuota de recuperación por parte de PVIH, </w:t>
      </w:r>
      <w:r w:rsidR="0042227F">
        <w:rPr>
          <w:rFonts w:ascii="Arial" w:hAnsi="Arial" w:cs="Arial"/>
          <w:color w:val="000000" w:themeColor="text1"/>
          <w:lang w:val="es-DO"/>
        </w:rPr>
        <w:t>el desempleo</w:t>
      </w:r>
      <w:r w:rsidR="00A05696">
        <w:rPr>
          <w:rFonts w:ascii="Arial" w:hAnsi="Arial" w:cs="Arial"/>
          <w:color w:val="000000" w:themeColor="text1"/>
          <w:lang w:val="es-DO"/>
        </w:rPr>
        <w:t xml:space="preserve">, </w:t>
      </w:r>
      <w:r w:rsidR="00A05696" w:rsidRPr="00DD37EC">
        <w:rPr>
          <w:rFonts w:ascii="Arial" w:hAnsi="Arial" w:cs="Arial"/>
          <w:color w:val="000000" w:themeColor="text1"/>
          <w:lang w:val="es-DO"/>
        </w:rPr>
        <w:t>desabastecimientos de medicamentos ARV durante el 2017-2018 y cambios de esquemas de la 1era línea</w:t>
      </w:r>
      <w:r w:rsidR="00A05696" w:rsidRPr="00DD37EC">
        <w:rPr>
          <w:rStyle w:val="FootnoteReference"/>
          <w:rFonts w:ascii="Arial" w:hAnsi="Arial" w:cs="Arial"/>
          <w:color w:val="000000" w:themeColor="text1"/>
          <w:lang w:val="es-DO"/>
        </w:rPr>
        <w:footnoteReference w:id="39"/>
      </w:r>
      <w:r w:rsidR="00A05696">
        <w:rPr>
          <w:rFonts w:ascii="Arial" w:hAnsi="Arial" w:cs="Arial"/>
          <w:color w:val="000000" w:themeColor="text1"/>
          <w:lang w:val="es-DO"/>
        </w:rPr>
        <w:t xml:space="preserve"> son</w:t>
      </w:r>
      <w:r w:rsidR="0042227F">
        <w:rPr>
          <w:rFonts w:ascii="Arial" w:hAnsi="Arial" w:cs="Arial"/>
          <w:color w:val="000000" w:themeColor="text1"/>
          <w:lang w:val="es-DO"/>
        </w:rPr>
        <w:t xml:space="preserve"> algunas de las principales barreras </w:t>
      </w:r>
      <w:r w:rsidRPr="00DD37EC">
        <w:rPr>
          <w:rFonts w:ascii="Arial" w:hAnsi="Arial" w:cs="Arial"/>
          <w:color w:val="000000" w:themeColor="text1"/>
          <w:lang w:val="es-DO"/>
        </w:rPr>
        <w:t xml:space="preserve">que inciden en el abandono de la terapia por parte de PVIH. Además, </w:t>
      </w:r>
      <w:r w:rsidR="00A05696">
        <w:rPr>
          <w:rFonts w:ascii="Arial" w:hAnsi="Arial" w:cs="Arial"/>
          <w:color w:val="000000" w:themeColor="text1"/>
          <w:lang w:val="es-DO"/>
        </w:rPr>
        <w:t xml:space="preserve">se considera que </w:t>
      </w:r>
      <w:r w:rsidRPr="00DD37EC">
        <w:rPr>
          <w:rFonts w:ascii="Arial" w:hAnsi="Arial" w:cs="Arial"/>
          <w:color w:val="000000" w:themeColor="text1"/>
          <w:lang w:val="es-DO"/>
        </w:rPr>
        <w:t xml:space="preserve">el estigma y discriminación en los establecimientos de salud </w:t>
      </w:r>
      <w:r w:rsidR="00A05696">
        <w:rPr>
          <w:rFonts w:ascii="Arial" w:hAnsi="Arial" w:cs="Arial"/>
          <w:color w:val="000000" w:themeColor="text1"/>
          <w:lang w:val="es-DO"/>
        </w:rPr>
        <w:t xml:space="preserve">es </w:t>
      </w:r>
      <w:r w:rsidRPr="00DD37EC">
        <w:rPr>
          <w:rFonts w:ascii="Arial" w:hAnsi="Arial" w:cs="Arial"/>
          <w:color w:val="000000" w:themeColor="text1"/>
          <w:lang w:val="es-DO"/>
        </w:rPr>
        <w:t>un factor importante para que las PVIH en especial de grupos clave no acudan a los servicios y no sean adherentes a la terapia</w:t>
      </w:r>
      <w:r w:rsidR="00A05696">
        <w:rPr>
          <w:rFonts w:ascii="Arial" w:hAnsi="Arial" w:cs="Arial"/>
          <w:color w:val="000000" w:themeColor="text1"/>
          <w:lang w:val="es-DO"/>
        </w:rPr>
        <w:t>.</w:t>
      </w:r>
      <w:r w:rsidRPr="00DD37EC">
        <w:rPr>
          <w:rStyle w:val="FootnoteReference"/>
          <w:rFonts w:ascii="Arial" w:hAnsi="Arial" w:cs="Arial"/>
          <w:color w:val="000000" w:themeColor="text1"/>
          <w:lang w:val="es-DO"/>
        </w:rPr>
        <w:footnoteReference w:id="40"/>
      </w:r>
    </w:p>
    <w:p w14:paraId="2D87BCD3" w14:textId="77777777" w:rsidR="00BD4FBA" w:rsidRPr="00DD37EC" w:rsidRDefault="00BD4FBA" w:rsidP="00BD4FBA">
      <w:pPr>
        <w:spacing w:after="240" w:line="240" w:lineRule="auto"/>
        <w:jc w:val="both"/>
        <w:rPr>
          <w:rFonts w:ascii="Arial" w:hAnsi="Arial" w:cs="Arial"/>
          <w:lang w:val="es-DO"/>
        </w:rPr>
      </w:pPr>
      <w:r w:rsidRPr="00DD37EC">
        <w:rPr>
          <w:rFonts w:ascii="Arial" w:hAnsi="Arial" w:cs="Arial"/>
          <w:color w:val="000000" w:themeColor="text1"/>
          <w:lang w:val="es-DO"/>
        </w:rPr>
        <w:t xml:space="preserve">En el 2014 se realizó la actualización del protocolo de atención, en el que se ampliaron los criterios de atención para la terapia con antirretrovirales en adultos (de &lt;350 a &lt;500 CD4/mm3). De acuerdo al protocolo de atención, existen tres esquemas de tratamiento. Sin embargo, en mayo del 2017 la SESAL emitió el oficio 1141-2017 DGRISS donde se informa que el país asume los lineamientos de la OMS e instruye al personal y establecimientos a incluir a las personas diagnosticadas nuevas con VIH a iniciar terapia con ARV independientemente de su estado inmunológico (CD4) y virológico (carga viral). </w:t>
      </w:r>
    </w:p>
    <w:p w14:paraId="269C19C0" w14:textId="61C47019" w:rsidR="000C53F6" w:rsidRPr="006D2E03" w:rsidRDefault="000C53F6" w:rsidP="00335BDE">
      <w:pPr>
        <w:spacing w:after="240" w:line="240" w:lineRule="auto"/>
        <w:jc w:val="both"/>
        <w:rPr>
          <w:rFonts w:ascii="Arial" w:hAnsi="Arial" w:cs="Arial"/>
          <w:lang w:val="es-DO"/>
        </w:rPr>
      </w:pPr>
      <w:r w:rsidRPr="00DD37EC">
        <w:rPr>
          <w:rFonts w:ascii="Arial" w:hAnsi="Arial" w:cs="Arial"/>
          <w:lang w:val="es-DO"/>
        </w:rPr>
        <w:t xml:space="preserve">Para la Prevención de la Transmisión Materno-Infantil (PTMI), el protocolo vigente recomienda iniciar TARV independientemente del nivel de CD4. Las directrices recomiendan el uso de ARV en todos los </w:t>
      </w:r>
      <w:r w:rsidRPr="00DD37EC">
        <w:rPr>
          <w:rFonts w:ascii="Arial" w:hAnsi="Arial" w:cs="Arial"/>
          <w:lang w:val="es-DO"/>
        </w:rPr>
        <w:lastRenderedPageBreak/>
        <w:t>pacientes VIH que presenten TB activa y en parejas sero-discordantes. La combinación TDF + 3TC (o FTC) + EFV</w:t>
      </w:r>
      <w:r w:rsidRPr="00DD37EC">
        <w:rPr>
          <w:rStyle w:val="FootnoteReference"/>
          <w:rFonts w:ascii="Arial" w:hAnsi="Arial" w:cs="Arial"/>
          <w:lang w:val="es-DO"/>
        </w:rPr>
        <w:footnoteReference w:id="41"/>
      </w:r>
      <w:r w:rsidRPr="00DD37EC">
        <w:rPr>
          <w:rFonts w:ascii="Arial" w:hAnsi="Arial" w:cs="Arial"/>
          <w:lang w:val="es-DO"/>
        </w:rPr>
        <w:t xml:space="preserve"> es la recomendada como tratamiento de primera línea en adolescentes y adultos; mientras que la combinación AZT + 3TC (o FTC) + ATV/r (o LPV/r)</w:t>
      </w:r>
      <w:r w:rsidRPr="00DD37EC">
        <w:rPr>
          <w:rStyle w:val="FootnoteReference"/>
          <w:rFonts w:ascii="Arial" w:hAnsi="Arial" w:cs="Arial"/>
          <w:lang w:val="es-DO"/>
        </w:rPr>
        <w:footnoteReference w:id="42"/>
      </w:r>
      <w:r w:rsidRPr="00DD37EC">
        <w:rPr>
          <w:rFonts w:ascii="Arial" w:hAnsi="Arial" w:cs="Arial"/>
          <w:lang w:val="es-DO"/>
        </w:rPr>
        <w:t xml:space="preserve"> es la recomendada como esquema de segunda línea.</w:t>
      </w:r>
    </w:p>
    <w:p w14:paraId="582D80AD" w14:textId="3FEFA2DD" w:rsidR="000C53F6" w:rsidRPr="00DD37EC" w:rsidRDefault="000C53F6" w:rsidP="00335BDE">
      <w:pPr>
        <w:spacing w:after="240" w:line="240" w:lineRule="auto"/>
        <w:jc w:val="both"/>
        <w:rPr>
          <w:rFonts w:ascii="Arial" w:hAnsi="Arial" w:cs="Arial"/>
          <w:lang w:val="es-DO"/>
        </w:rPr>
      </w:pPr>
      <w:r w:rsidRPr="00DD37EC">
        <w:rPr>
          <w:rFonts w:ascii="Arial" w:hAnsi="Arial" w:cs="Arial"/>
          <w:color w:val="000000" w:themeColor="text1"/>
          <w:lang w:val="es-DO"/>
        </w:rPr>
        <w:t>A</w:t>
      </w:r>
      <w:r w:rsidRPr="00DD37EC">
        <w:rPr>
          <w:rFonts w:ascii="Arial" w:hAnsi="Arial" w:cs="Arial"/>
          <w:lang w:val="es-DO"/>
        </w:rPr>
        <w:t xml:space="preserve"> finales del año 2014, el país utilizaba 13 esquemas de TAR de primera línea en adultos y adolescentes ≥10 años de edad, seropositivos para el VIH. </w:t>
      </w:r>
      <w:r w:rsidR="009C5E35">
        <w:rPr>
          <w:rFonts w:ascii="Arial" w:hAnsi="Arial" w:cs="Arial"/>
          <w:lang w:val="es-DO"/>
        </w:rPr>
        <w:t xml:space="preserve">De igual forma el país utilizaba </w:t>
      </w:r>
      <w:r w:rsidR="009C5E35" w:rsidRPr="00DD37EC">
        <w:rPr>
          <w:rFonts w:ascii="Arial" w:hAnsi="Arial" w:cs="Arial"/>
          <w:lang w:val="es-DO"/>
        </w:rPr>
        <w:t xml:space="preserve">13 </w:t>
      </w:r>
      <w:r w:rsidR="009C5E35">
        <w:rPr>
          <w:rFonts w:ascii="Arial" w:hAnsi="Arial" w:cs="Arial"/>
          <w:lang w:val="es-DO"/>
        </w:rPr>
        <w:t xml:space="preserve">y </w:t>
      </w:r>
      <w:r w:rsidR="009C5E35" w:rsidRPr="00DD37EC">
        <w:rPr>
          <w:rFonts w:ascii="Arial" w:hAnsi="Arial" w:cs="Arial"/>
          <w:lang w:val="es-DO"/>
        </w:rPr>
        <w:t xml:space="preserve">6 esquemas </w:t>
      </w:r>
      <w:r w:rsidR="009C5E35">
        <w:rPr>
          <w:rFonts w:ascii="Arial" w:hAnsi="Arial" w:cs="Arial"/>
          <w:lang w:val="es-DO"/>
        </w:rPr>
        <w:t xml:space="preserve">para </w:t>
      </w:r>
      <w:r w:rsidRPr="00DD37EC">
        <w:rPr>
          <w:rFonts w:ascii="Arial" w:hAnsi="Arial" w:cs="Arial"/>
          <w:lang w:val="es-DO"/>
        </w:rPr>
        <w:t>segunda</w:t>
      </w:r>
      <w:r w:rsidR="00773A07">
        <w:rPr>
          <w:rFonts w:ascii="Arial" w:hAnsi="Arial" w:cs="Arial"/>
          <w:lang w:val="es-DO"/>
        </w:rPr>
        <w:t xml:space="preserve"> y tercera</w:t>
      </w:r>
      <w:r w:rsidRPr="00DD37EC">
        <w:rPr>
          <w:rFonts w:ascii="Arial" w:hAnsi="Arial" w:cs="Arial"/>
          <w:lang w:val="es-DO"/>
        </w:rPr>
        <w:t xml:space="preserve"> línea, </w:t>
      </w:r>
      <w:r w:rsidR="00773A07">
        <w:rPr>
          <w:rFonts w:ascii="Arial" w:hAnsi="Arial" w:cs="Arial"/>
          <w:lang w:val="es-DO"/>
        </w:rPr>
        <w:t xml:space="preserve">respectivamente. De los esquemas de tercera línea </w:t>
      </w:r>
      <w:r w:rsidRPr="00DD37EC">
        <w:rPr>
          <w:rFonts w:ascii="Arial" w:hAnsi="Arial" w:cs="Arial"/>
          <w:lang w:val="es-DO"/>
        </w:rPr>
        <w:t xml:space="preserve">el 73% </w:t>
      </w:r>
      <w:r w:rsidR="00773A07">
        <w:rPr>
          <w:rFonts w:ascii="Arial" w:hAnsi="Arial" w:cs="Arial"/>
          <w:lang w:val="es-DO"/>
        </w:rPr>
        <w:t>de pacientes utiliza</w:t>
      </w:r>
      <w:r w:rsidRPr="00DD37EC">
        <w:rPr>
          <w:rFonts w:ascii="Arial" w:hAnsi="Arial" w:cs="Arial"/>
          <w:lang w:val="es-DO"/>
        </w:rPr>
        <w:t xml:space="preserve"> DRV </w:t>
      </w:r>
      <w:r w:rsidR="00773A07">
        <w:rPr>
          <w:rFonts w:ascii="Arial" w:hAnsi="Arial" w:cs="Arial"/>
          <w:lang w:val="es-DO"/>
        </w:rPr>
        <w:t>o</w:t>
      </w:r>
      <w:r w:rsidRPr="00DD37EC">
        <w:rPr>
          <w:rFonts w:ascii="Arial" w:hAnsi="Arial" w:cs="Arial"/>
          <w:lang w:val="es-DO"/>
        </w:rPr>
        <w:t xml:space="preserve"> RAL</w:t>
      </w:r>
      <w:r w:rsidRPr="00DD37EC">
        <w:rPr>
          <w:rStyle w:val="FootnoteReference"/>
          <w:rFonts w:ascii="Arial" w:hAnsi="Arial" w:cs="Arial"/>
          <w:lang w:val="es-DO"/>
        </w:rPr>
        <w:footnoteReference w:id="43"/>
      </w:r>
      <w:r w:rsidRPr="00DD37EC">
        <w:rPr>
          <w:rFonts w:ascii="Arial" w:hAnsi="Arial" w:cs="Arial"/>
          <w:lang w:val="es-DO"/>
        </w:rPr>
        <w:t xml:space="preserve">, el resto de </w:t>
      </w:r>
      <w:r w:rsidR="00FA5063" w:rsidRPr="00DD37EC">
        <w:rPr>
          <w:rFonts w:ascii="Arial" w:hAnsi="Arial" w:cs="Arial"/>
          <w:lang w:val="es-DO"/>
        </w:rPr>
        <w:t>los esquemas</w:t>
      </w:r>
      <w:r w:rsidRPr="00DD37EC">
        <w:rPr>
          <w:rFonts w:ascii="Arial" w:hAnsi="Arial" w:cs="Arial"/>
          <w:lang w:val="es-DO"/>
        </w:rPr>
        <w:t xml:space="preserve"> corresponden a pacientes que poseen contraindicación médica o presentan resistencia a algún ARV.</w:t>
      </w:r>
    </w:p>
    <w:p w14:paraId="6C045332" w14:textId="77777777" w:rsidR="007C0467" w:rsidRDefault="007C0467" w:rsidP="00335BDE">
      <w:pPr>
        <w:jc w:val="both"/>
        <w:rPr>
          <w:rFonts w:ascii="Arial" w:hAnsi="Arial" w:cs="Arial"/>
          <w:lang w:val="es-DO"/>
        </w:rPr>
      </w:pPr>
      <w:r w:rsidRPr="007C0467">
        <w:rPr>
          <w:rFonts w:ascii="Arial" w:hAnsi="Arial" w:cs="Arial"/>
          <w:lang w:val="es-DO"/>
        </w:rPr>
        <w:t>En 2018, con el apoyo de CDC/PEPFAR, se realizó una encuesta de resistencia del VIH a los ARV que mostró que la prevalencia de la resistencia pretratamiento al VIH en Honduras es de 29.1% y evidenció que la mayoría de las personas (78%) con VIH presentan falló a la TAR a los 12 meses de iniciada (resistencia adquirida). Así, la creciente resistencia a líneas de tratamiento para VIH en el país y la migración a esquemas de alto costo para ARV (2da y 3era línea) ponen en riesgo la sostenibilidad del financiamiento por fuente pública.</w:t>
      </w:r>
    </w:p>
    <w:p w14:paraId="11B7A698" w14:textId="62394A45" w:rsidR="000E4200" w:rsidRPr="000E4200" w:rsidRDefault="000E4200" w:rsidP="00335BDE">
      <w:pPr>
        <w:jc w:val="both"/>
        <w:rPr>
          <w:rFonts w:ascii="Arial" w:eastAsia="Calibri" w:hAnsi="Arial" w:cs="Arial"/>
          <w:lang w:val="es-DO"/>
        </w:rPr>
      </w:pPr>
      <w:r w:rsidRPr="000E4200">
        <w:rPr>
          <w:rFonts w:ascii="Arial" w:eastAsia="Calibri" w:hAnsi="Arial" w:cs="Arial"/>
          <w:b/>
          <w:lang w:val="es-DO"/>
        </w:rPr>
        <w:t>Resistencia pretratamiento:</w:t>
      </w:r>
      <w:r w:rsidRPr="000E4200">
        <w:rPr>
          <w:rFonts w:ascii="Arial" w:eastAsia="Calibri" w:hAnsi="Arial" w:cs="Arial"/>
          <w:lang w:val="es-DO"/>
        </w:rPr>
        <w:t xml:space="preserve"> La prevalencia de resistencia del VIH a los ARVs en personas previo a que iniciaran TAR de primera línea en Honduras fue de 29.1% (IC95% 22.7-36.4%), principalmente atribuida a resistencia a INNTI (27.3%, IC95% 21.1-34.5%). No se detectó resistencia asociada a IPs. La prevalencia de resistencia del VIH al régimen preferido de TAR de primera línea (TDF+FTC+EFV) fue de 27.3% (IC95% 21.1-34.5%). La prevalencia de resistencia del VIH al EFV fue de 26.1% (IC95%19.9-33.3%).</w:t>
      </w:r>
    </w:p>
    <w:p w14:paraId="4D7ECB17" w14:textId="64E668A0" w:rsidR="000E4200" w:rsidRPr="000E4200" w:rsidRDefault="000E4200" w:rsidP="00335BDE">
      <w:pPr>
        <w:jc w:val="both"/>
        <w:rPr>
          <w:rFonts w:ascii="Arial" w:eastAsia="Calibri" w:hAnsi="Arial" w:cs="Arial"/>
          <w:b/>
          <w:lang w:val="es-DO"/>
        </w:rPr>
      </w:pPr>
      <w:r w:rsidRPr="000E4200">
        <w:rPr>
          <w:rFonts w:ascii="Arial" w:eastAsia="Calibri" w:hAnsi="Arial" w:cs="Arial"/>
          <w:b/>
          <w:lang w:val="es-DO"/>
        </w:rPr>
        <w:t xml:space="preserve">Resistencia adquirida a los </w:t>
      </w:r>
      <w:r w:rsidR="00483C76">
        <w:rPr>
          <w:rFonts w:ascii="Arial" w:eastAsia="Calibri" w:hAnsi="Arial" w:cs="Arial"/>
          <w:b/>
          <w:lang w:val="es-DO"/>
        </w:rPr>
        <w:t>9-15 meses</w:t>
      </w:r>
      <w:r w:rsidRPr="000E4200">
        <w:rPr>
          <w:rFonts w:ascii="Arial" w:eastAsia="Calibri" w:hAnsi="Arial" w:cs="Arial"/>
          <w:b/>
          <w:lang w:val="es-DO"/>
        </w:rPr>
        <w:t xml:space="preserve"> de recibir TAR: </w:t>
      </w:r>
      <w:r w:rsidRPr="000E4200">
        <w:rPr>
          <w:rFonts w:ascii="Arial" w:eastAsia="Calibri" w:hAnsi="Arial" w:cs="Arial"/>
          <w:lang w:val="es-DO"/>
        </w:rPr>
        <w:t>La prevalencia de resistencia del VIH en personas que habían recibido TAR por 9-15 meses fue de 8.3% (IC95% 5.0-13.5%), con un 8.3% (IC95% 5.0-13.5%) atribuida a los INNTI, 5.9% (IC95% 3.3-10.6%) atribuida a los IN (t) TI y 0.6% (IC95% 0.1-3.3%) a IP.</w:t>
      </w:r>
      <w:r w:rsidRPr="000E4200">
        <w:rPr>
          <w:rFonts w:ascii="Arial" w:eastAsia="Calibri" w:hAnsi="Arial" w:cs="Arial"/>
          <w:b/>
          <w:lang w:val="es-DO"/>
        </w:rPr>
        <w:t xml:space="preserve"> </w:t>
      </w:r>
      <w:r w:rsidRPr="000E4200">
        <w:rPr>
          <w:rFonts w:ascii="Arial" w:eastAsia="Calibri" w:hAnsi="Arial" w:cs="Arial"/>
          <w:lang w:val="es-DO"/>
        </w:rPr>
        <w:t>No se detectó resistencia a ningún ARV en el 22.2% (IC 95% 9.0-45.2%) de las personas que habían recibido TAR por 9-15 meses y que tenían fallo virológico.</w:t>
      </w:r>
    </w:p>
    <w:p w14:paraId="3C06FD8A" w14:textId="77777777" w:rsidR="009B5EBE" w:rsidRDefault="000E4200" w:rsidP="00335BDE">
      <w:pPr>
        <w:jc w:val="both"/>
        <w:rPr>
          <w:rFonts w:ascii="Arial" w:eastAsia="Calibri" w:hAnsi="Arial" w:cs="Arial"/>
          <w:lang w:val="es-DO"/>
        </w:rPr>
      </w:pPr>
      <w:r w:rsidRPr="000E4200">
        <w:rPr>
          <w:rFonts w:ascii="Arial" w:eastAsia="Calibri" w:hAnsi="Arial" w:cs="Arial"/>
          <w:b/>
          <w:lang w:val="es-DO"/>
        </w:rPr>
        <w:t>Resistencia adquirida a &gt;48 meses de recibir TAR:</w:t>
      </w:r>
      <w:r w:rsidRPr="000E4200">
        <w:rPr>
          <w:rFonts w:ascii="Arial" w:eastAsia="Calibri" w:hAnsi="Arial" w:cs="Arial"/>
          <w:lang w:val="es-DO"/>
        </w:rPr>
        <w:t xml:space="preserve"> La prevalencia de supresión virológica del VIH en personas que habían recibido TAR por al menos 48 meses fue de 67.0% (IC95% 62.1-71.6%). La prevalencia de resistencia del VIH en personas que habían recibido TAR por al menos 48 meses fue de 23.9% (IC95%19.8-28.6%), observándose similar proporción de resistencia a los IN (t) TI (21.3% IC95%17.4-25.7%) ya los INNTI (23.2%, IC95%19.1-27.7%). No se detectó resistencia a ningún ARV en el 27.3% (IC 95% 20.1-35.8%) de las personas con fallo virológico que habían recibido TAR por 48 meses o más.</w:t>
      </w:r>
    </w:p>
    <w:p w14:paraId="73E77670" w14:textId="758423FE" w:rsidR="000E4200" w:rsidRPr="000E4200" w:rsidRDefault="00777261" w:rsidP="00335BDE">
      <w:pPr>
        <w:jc w:val="both"/>
        <w:rPr>
          <w:rFonts w:ascii="Arial" w:eastAsia="Calibri" w:hAnsi="Arial" w:cs="Arial"/>
          <w:lang w:val="es-DO"/>
        </w:rPr>
      </w:pPr>
      <w:r w:rsidRPr="007C0467">
        <w:rPr>
          <w:rFonts w:ascii="Arial" w:eastAsia="Calibri" w:hAnsi="Arial" w:cs="Arial"/>
          <w:lang w:val="es-DO"/>
        </w:rPr>
        <w:t xml:space="preserve">Independientemente </w:t>
      </w:r>
      <w:r w:rsidR="00072230" w:rsidRPr="007C0467">
        <w:rPr>
          <w:rFonts w:ascii="Arial" w:eastAsia="Calibri" w:hAnsi="Arial" w:cs="Arial"/>
          <w:lang w:val="es-DO"/>
        </w:rPr>
        <w:t>de la carga viral y</w:t>
      </w:r>
      <w:r w:rsidR="004332FD">
        <w:rPr>
          <w:rFonts w:ascii="Arial" w:eastAsia="Calibri" w:hAnsi="Arial" w:cs="Arial"/>
          <w:lang w:val="es-DO"/>
        </w:rPr>
        <w:t xml:space="preserve"> de las</w:t>
      </w:r>
      <w:r w:rsidR="00072230" w:rsidRPr="007C0467">
        <w:rPr>
          <w:rFonts w:ascii="Arial" w:eastAsia="Calibri" w:hAnsi="Arial" w:cs="Arial"/>
          <w:lang w:val="es-DO"/>
        </w:rPr>
        <w:t xml:space="preserve"> características</w:t>
      </w:r>
      <w:r w:rsidR="004332FD">
        <w:rPr>
          <w:rFonts w:ascii="Arial" w:eastAsia="Calibri" w:hAnsi="Arial" w:cs="Arial"/>
          <w:lang w:val="es-DO"/>
        </w:rPr>
        <w:t xml:space="preserve"> individuales</w:t>
      </w:r>
      <w:r w:rsidR="00072230" w:rsidRPr="007C0467">
        <w:rPr>
          <w:rFonts w:ascii="Arial" w:eastAsia="Calibri" w:hAnsi="Arial" w:cs="Arial"/>
          <w:lang w:val="es-DO"/>
        </w:rPr>
        <w:t xml:space="preserve"> de la enfermedad, actualmente, </w:t>
      </w:r>
      <w:r w:rsidR="004332FD">
        <w:rPr>
          <w:rFonts w:ascii="Arial" w:eastAsia="Calibri" w:hAnsi="Arial" w:cs="Arial"/>
          <w:lang w:val="es-DO"/>
        </w:rPr>
        <w:t>las PVIH</w:t>
      </w:r>
      <w:r w:rsidR="00072230" w:rsidRPr="007C0467">
        <w:rPr>
          <w:rFonts w:ascii="Arial" w:eastAsia="Calibri" w:hAnsi="Arial" w:cs="Arial"/>
          <w:lang w:val="es-DO"/>
        </w:rPr>
        <w:t xml:space="preserve"> </w:t>
      </w:r>
      <w:r w:rsidR="00DD7492" w:rsidRPr="007C0467">
        <w:rPr>
          <w:rFonts w:ascii="Arial" w:eastAsia="Calibri" w:hAnsi="Arial" w:cs="Arial"/>
          <w:lang w:val="es-DO"/>
        </w:rPr>
        <w:t>está</w:t>
      </w:r>
      <w:r w:rsidR="004332FD">
        <w:rPr>
          <w:rFonts w:ascii="Arial" w:eastAsia="Calibri" w:hAnsi="Arial" w:cs="Arial"/>
          <w:lang w:val="es-DO"/>
        </w:rPr>
        <w:t>n</w:t>
      </w:r>
      <w:r w:rsidR="00DD7492" w:rsidRPr="007C0467">
        <w:rPr>
          <w:rFonts w:ascii="Arial" w:eastAsia="Calibri" w:hAnsi="Arial" w:cs="Arial"/>
          <w:lang w:val="es-DO"/>
        </w:rPr>
        <w:t xml:space="preserve"> obligad</w:t>
      </w:r>
      <w:r w:rsidR="004332FD">
        <w:rPr>
          <w:rFonts w:ascii="Arial" w:eastAsia="Calibri" w:hAnsi="Arial" w:cs="Arial"/>
          <w:lang w:val="es-DO"/>
        </w:rPr>
        <w:t>as</w:t>
      </w:r>
      <w:r w:rsidR="00DD7492" w:rsidRPr="007C0467">
        <w:rPr>
          <w:rFonts w:ascii="Arial" w:eastAsia="Calibri" w:hAnsi="Arial" w:cs="Arial"/>
          <w:lang w:val="es-DO"/>
        </w:rPr>
        <w:t xml:space="preserve"> a</w:t>
      </w:r>
      <w:r w:rsidR="004332FD">
        <w:rPr>
          <w:rFonts w:ascii="Arial" w:eastAsia="Calibri" w:hAnsi="Arial" w:cs="Arial"/>
          <w:lang w:val="es-DO"/>
        </w:rPr>
        <w:t xml:space="preserve"> acudir a</w:t>
      </w:r>
      <w:r w:rsidR="00DD7492" w:rsidRPr="007C0467">
        <w:rPr>
          <w:rFonts w:ascii="Arial" w:eastAsia="Calibri" w:hAnsi="Arial" w:cs="Arial"/>
          <w:lang w:val="es-DO"/>
        </w:rPr>
        <w:t xml:space="preserve"> </w:t>
      </w:r>
      <w:r w:rsidR="004332FD">
        <w:rPr>
          <w:rFonts w:ascii="Arial" w:eastAsia="Calibri" w:hAnsi="Arial" w:cs="Arial"/>
          <w:lang w:val="es-DO"/>
        </w:rPr>
        <w:t>los Establecimientos de Salud para recibir</w:t>
      </w:r>
      <w:r w:rsidR="00072230" w:rsidRPr="007C0467">
        <w:rPr>
          <w:rFonts w:ascii="Arial" w:eastAsia="Calibri" w:hAnsi="Arial" w:cs="Arial"/>
          <w:lang w:val="es-DO"/>
        </w:rPr>
        <w:t xml:space="preserve"> cuidado </w:t>
      </w:r>
      <w:r w:rsidRPr="007C0467">
        <w:rPr>
          <w:rFonts w:ascii="Arial" w:eastAsia="Calibri" w:hAnsi="Arial" w:cs="Arial"/>
          <w:lang w:val="es-DO"/>
        </w:rPr>
        <w:t xml:space="preserve">médico </w:t>
      </w:r>
      <w:r w:rsidR="00072230" w:rsidRPr="007C0467">
        <w:rPr>
          <w:rFonts w:ascii="Arial" w:eastAsia="Calibri" w:hAnsi="Arial" w:cs="Arial"/>
          <w:lang w:val="es-DO"/>
        </w:rPr>
        <w:t>y medicamentos con la misma perio</w:t>
      </w:r>
      <w:r w:rsidRPr="007C0467">
        <w:rPr>
          <w:rFonts w:ascii="Arial" w:eastAsia="Calibri" w:hAnsi="Arial" w:cs="Arial"/>
          <w:lang w:val="es-DO"/>
        </w:rPr>
        <w:t>d</w:t>
      </w:r>
      <w:r w:rsidR="00072230" w:rsidRPr="007C0467">
        <w:rPr>
          <w:rFonts w:ascii="Arial" w:eastAsia="Calibri" w:hAnsi="Arial" w:cs="Arial"/>
          <w:lang w:val="es-DO"/>
        </w:rPr>
        <w:t>i</w:t>
      </w:r>
      <w:r w:rsidRPr="007C0467">
        <w:rPr>
          <w:rFonts w:ascii="Arial" w:eastAsia="Calibri" w:hAnsi="Arial" w:cs="Arial"/>
          <w:lang w:val="es-DO"/>
        </w:rPr>
        <w:t>ci</w:t>
      </w:r>
      <w:r w:rsidR="00072230" w:rsidRPr="007C0467">
        <w:rPr>
          <w:rFonts w:ascii="Arial" w:eastAsia="Calibri" w:hAnsi="Arial" w:cs="Arial"/>
          <w:lang w:val="es-DO"/>
        </w:rPr>
        <w:t>dad</w:t>
      </w:r>
      <w:r w:rsidRPr="007C0467">
        <w:rPr>
          <w:rFonts w:ascii="Arial" w:eastAsia="Calibri" w:hAnsi="Arial" w:cs="Arial"/>
          <w:lang w:val="es-DO"/>
        </w:rPr>
        <w:t xml:space="preserve"> -- </w:t>
      </w:r>
      <w:r w:rsidR="00B43F20" w:rsidRPr="007C0467">
        <w:rPr>
          <w:rFonts w:ascii="Arial" w:eastAsia="Calibri" w:hAnsi="Arial" w:cs="Arial"/>
          <w:lang w:val="es-DO"/>
        </w:rPr>
        <w:t>una vez cada mes</w:t>
      </w:r>
      <w:r w:rsidR="00072230" w:rsidRPr="007C0467">
        <w:rPr>
          <w:rFonts w:ascii="Arial" w:eastAsia="Calibri" w:hAnsi="Arial" w:cs="Arial"/>
          <w:lang w:val="es-DO"/>
        </w:rPr>
        <w:t>. Est</w:t>
      </w:r>
      <w:r w:rsidR="00B43F20" w:rsidRPr="007C0467">
        <w:rPr>
          <w:rFonts w:ascii="Arial" w:eastAsia="Calibri" w:hAnsi="Arial" w:cs="Arial"/>
          <w:lang w:val="es-DO"/>
        </w:rPr>
        <w:t>e</w:t>
      </w:r>
      <w:r w:rsidR="00072230" w:rsidRPr="007C0467">
        <w:rPr>
          <w:rFonts w:ascii="Arial" w:eastAsia="Calibri" w:hAnsi="Arial" w:cs="Arial"/>
          <w:lang w:val="es-DO"/>
        </w:rPr>
        <w:t xml:space="preserve"> sistema </w:t>
      </w:r>
      <w:r w:rsidR="00DD7492" w:rsidRPr="007C0467">
        <w:rPr>
          <w:rFonts w:ascii="Arial" w:eastAsia="Calibri" w:hAnsi="Arial" w:cs="Arial"/>
          <w:lang w:val="es-DO"/>
        </w:rPr>
        <w:t xml:space="preserve">de </w:t>
      </w:r>
      <w:r w:rsidR="00B85A7E">
        <w:rPr>
          <w:rFonts w:ascii="Arial" w:eastAsia="Calibri" w:hAnsi="Arial" w:cs="Arial"/>
          <w:lang w:val="es-DO"/>
        </w:rPr>
        <w:t xml:space="preserve">atención </w:t>
      </w:r>
      <w:r w:rsidR="00072230" w:rsidRPr="007C0467">
        <w:rPr>
          <w:rFonts w:ascii="Arial" w:eastAsia="Calibri" w:hAnsi="Arial" w:cs="Arial"/>
          <w:lang w:val="es-DO"/>
        </w:rPr>
        <w:t xml:space="preserve">causa una </w:t>
      </w:r>
      <w:r w:rsidRPr="007C0467">
        <w:rPr>
          <w:rFonts w:ascii="Arial" w:eastAsia="Calibri" w:hAnsi="Arial" w:cs="Arial"/>
          <w:lang w:val="es-DO"/>
        </w:rPr>
        <w:t>carga</w:t>
      </w:r>
      <w:r w:rsidR="00072230" w:rsidRPr="007C0467">
        <w:rPr>
          <w:rFonts w:ascii="Arial" w:eastAsia="Calibri" w:hAnsi="Arial" w:cs="Arial"/>
          <w:lang w:val="es-DO"/>
        </w:rPr>
        <w:t xml:space="preserve"> para las PVIH con enfermedades controladas, quienes necesitan llegar al centro de salud con </w:t>
      </w:r>
      <w:r w:rsidRPr="007C0467">
        <w:rPr>
          <w:rFonts w:ascii="Arial" w:eastAsia="Calibri" w:hAnsi="Arial" w:cs="Arial"/>
          <w:lang w:val="es-DO"/>
        </w:rPr>
        <w:t>más</w:t>
      </w:r>
      <w:r w:rsidR="00072230" w:rsidRPr="007C0467">
        <w:rPr>
          <w:rFonts w:ascii="Arial" w:eastAsia="Calibri" w:hAnsi="Arial" w:cs="Arial"/>
          <w:lang w:val="es-DO"/>
        </w:rPr>
        <w:t xml:space="preserve"> frecuencia</w:t>
      </w:r>
      <w:r w:rsidRPr="007C0467">
        <w:rPr>
          <w:rFonts w:ascii="Arial" w:eastAsia="Calibri" w:hAnsi="Arial" w:cs="Arial"/>
          <w:lang w:val="es-DO"/>
        </w:rPr>
        <w:t xml:space="preserve"> de lo que es necesario. Además, </w:t>
      </w:r>
      <w:r w:rsidR="00B85A7E">
        <w:rPr>
          <w:rFonts w:ascii="Arial" w:eastAsia="Calibri" w:hAnsi="Arial" w:cs="Arial"/>
          <w:lang w:val="es-DO"/>
        </w:rPr>
        <w:t xml:space="preserve">implica </w:t>
      </w:r>
      <w:r w:rsidR="00072230" w:rsidRPr="007C0467">
        <w:rPr>
          <w:rFonts w:ascii="Arial" w:eastAsia="Calibri" w:hAnsi="Arial" w:cs="Arial"/>
          <w:lang w:val="es-DO"/>
        </w:rPr>
        <w:t>un uso ineficiente de recursos humanos y financieros</w:t>
      </w:r>
      <w:r w:rsidRPr="007C0467">
        <w:rPr>
          <w:rFonts w:ascii="Arial" w:eastAsia="Calibri" w:hAnsi="Arial" w:cs="Arial"/>
          <w:lang w:val="es-DO"/>
        </w:rPr>
        <w:t xml:space="preserve"> </w:t>
      </w:r>
      <w:r w:rsidR="00B85A7E">
        <w:rPr>
          <w:rFonts w:ascii="Arial" w:eastAsia="Calibri" w:hAnsi="Arial" w:cs="Arial"/>
          <w:lang w:val="es-DO"/>
        </w:rPr>
        <w:t>d</w:t>
      </w:r>
      <w:r w:rsidRPr="007C0467">
        <w:rPr>
          <w:rFonts w:ascii="Arial" w:eastAsia="Calibri" w:hAnsi="Arial" w:cs="Arial"/>
          <w:lang w:val="es-DO"/>
        </w:rPr>
        <w:t>el sistema de salud y</w:t>
      </w:r>
      <w:r w:rsidR="00B85A7E">
        <w:rPr>
          <w:rFonts w:ascii="Arial" w:eastAsia="Calibri" w:hAnsi="Arial" w:cs="Arial"/>
          <w:lang w:val="es-DO"/>
        </w:rPr>
        <w:t xml:space="preserve"> de</w:t>
      </w:r>
      <w:r w:rsidRPr="007C0467">
        <w:rPr>
          <w:rFonts w:ascii="Arial" w:eastAsia="Calibri" w:hAnsi="Arial" w:cs="Arial"/>
          <w:lang w:val="es-DO"/>
        </w:rPr>
        <w:t xml:space="preserve"> la respuesta al VIH en el país</w:t>
      </w:r>
      <w:r w:rsidR="00B85A7E">
        <w:rPr>
          <w:rFonts w:ascii="Arial" w:eastAsia="Calibri" w:hAnsi="Arial" w:cs="Arial"/>
          <w:lang w:val="es-DO"/>
        </w:rPr>
        <w:t>.</w:t>
      </w:r>
      <w:r w:rsidRPr="007C0467">
        <w:rPr>
          <w:rFonts w:ascii="Arial" w:eastAsia="Calibri" w:hAnsi="Arial" w:cs="Arial"/>
          <w:lang w:val="es-DO"/>
        </w:rPr>
        <w:t xml:space="preserve"> </w:t>
      </w:r>
      <w:r w:rsidR="00DD7492" w:rsidRPr="007C0467">
        <w:rPr>
          <w:rFonts w:ascii="Arial" w:eastAsia="Calibri" w:hAnsi="Arial" w:cs="Arial"/>
          <w:lang w:val="es-DO"/>
        </w:rPr>
        <w:t xml:space="preserve">La Evaluación </w:t>
      </w:r>
      <w:r w:rsidR="00B85A7E">
        <w:rPr>
          <w:rFonts w:ascii="Arial" w:eastAsia="Calibri" w:hAnsi="Arial" w:cs="Arial"/>
          <w:lang w:val="es-DO"/>
        </w:rPr>
        <w:t>Focalizada</w:t>
      </w:r>
      <w:r w:rsidR="00DD7492" w:rsidRPr="007C0467">
        <w:rPr>
          <w:rFonts w:ascii="Arial" w:eastAsia="Calibri" w:hAnsi="Arial" w:cs="Arial"/>
          <w:lang w:val="es-DO"/>
        </w:rPr>
        <w:t xml:space="preserve"> </w:t>
      </w:r>
      <w:r w:rsidRPr="007C0467">
        <w:rPr>
          <w:rFonts w:ascii="Arial" w:eastAsia="Calibri" w:hAnsi="Arial" w:cs="Arial"/>
          <w:lang w:val="es-DO"/>
        </w:rPr>
        <w:t>también reconoc</w:t>
      </w:r>
      <w:r w:rsidR="00B85A7E">
        <w:rPr>
          <w:rFonts w:ascii="Arial" w:eastAsia="Calibri" w:hAnsi="Arial" w:cs="Arial"/>
          <w:lang w:val="es-DO"/>
        </w:rPr>
        <w:t>ió</w:t>
      </w:r>
      <w:r w:rsidRPr="007C0467">
        <w:rPr>
          <w:rFonts w:ascii="Arial" w:eastAsia="Calibri" w:hAnsi="Arial" w:cs="Arial"/>
          <w:lang w:val="es-DO"/>
        </w:rPr>
        <w:t xml:space="preserve"> este tipo de cuidado </w:t>
      </w:r>
      <w:r w:rsidR="00502567" w:rsidRPr="007C0467">
        <w:rPr>
          <w:rFonts w:ascii="Arial" w:eastAsia="Calibri" w:hAnsi="Arial" w:cs="Arial"/>
          <w:lang w:val="es-DO"/>
        </w:rPr>
        <w:t>generalizado</w:t>
      </w:r>
      <w:r w:rsidRPr="007C0467">
        <w:rPr>
          <w:rFonts w:ascii="Arial" w:eastAsia="Calibri" w:hAnsi="Arial" w:cs="Arial"/>
          <w:lang w:val="es-DO"/>
        </w:rPr>
        <w:t xml:space="preserve"> </w:t>
      </w:r>
      <w:r w:rsidR="00B85A7E">
        <w:rPr>
          <w:rFonts w:ascii="Arial" w:eastAsia="Calibri" w:hAnsi="Arial" w:cs="Arial"/>
          <w:lang w:val="es-DO"/>
        </w:rPr>
        <w:t xml:space="preserve">como </w:t>
      </w:r>
      <w:r w:rsidRPr="007C0467">
        <w:rPr>
          <w:rFonts w:ascii="Arial" w:eastAsia="Calibri" w:hAnsi="Arial" w:cs="Arial"/>
          <w:lang w:val="es-DO"/>
        </w:rPr>
        <w:t>problemátic</w:t>
      </w:r>
      <w:r w:rsidR="00B85A7E">
        <w:rPr>
          <w:rFonts w:ascii="Arial" w:eastAsia="Calibri" w:hAnsi="Arial" w:cs="Arial"/>
          <w:lang w:val="es-DO"/>
        </w:rPr>
        <w:t>o</w:t>
      </w:r>
      <w:r w:rsidRPr="007C0467">
        <w:rPr>
          <w:rFonts w:ascii="Arial" w:eastAsia="Calibri" w:hAnsi="Arial" w:cs="Arial"/>
          <w:lang w:val="es-DO"/>
        </w:rPr>
        <w:t xml:space="preserve"> e ineficiente, y </w:t>
      </w:r>
      <w:r w:rsidR="00DD7492" w:rsidRPr="007C0467">
        <w:rPr>
          <w:rFonts w:ascii="Arial" w:eastAsia="Calibri" w:hAnsi="Arial" w:cs="Arial"/>
          <w:lang w:val="es-DO"/>
        </w:rPr>
        <w:lastRenderedPageBreak/>
        <w:t xml:space="preserve">recomienda que una </w:t>
      </w:r>
      <w:r w:rsidR="00B85A7E">
        <w:rPr>
          <w:rFonts w:ascii="Arial" w:eastAsia="Calibri" w:hAnsi="Arial" w:cs="Arial"/>
          <w:lang w:val="es-DO"/>
        </w:rPr>
        <w:t xml:space="preserve">nueva </w:t>
      </w:r>
      <w:r w:rsidR="00B43F20" w:rsidRPr="007C0467">
        <w:rPr>
          <w:rFonts w:ascii="Arial" w:eastAsia="Calibri" w:hAnsi="Arial" w:cs="Arial"/>
          <w:lang w:val="es-DO"/>
        </w:rPr>
        <w:t xml:space="preserve">regulación clínica </w:t>
      </w:r>
      <w:r w:rsidR="00DD7492" w:rsidRPr="007C0467">
        <w:rPr>
          <w:rFonts w:ascii="Arial" w:eastAsia="Calibri" w:hAnsi="Arial" w:cs="Arial"/>
          <w:lang w:val="es-DO"/>
        </w:rPr>
        <w:t>sea implementada</w:t>
      </w:r>
      <w:r w:rsidRPr="007C0467">
        <w:rPr>
          <w:rFonts w:ascii="Arial" w:eastAsia="Calibri" w:hAnsi="Arial" w:cs="Arial"/>
          <w:lang w:val="es-DO"/>
        </w:rPr>
        <w:t>. Est</w:t>
      </w:r>
      <w:r w:rsidR="00502567" w:rsidRPr="007C0467">
        <w:rPr>
          <w:rFonts w:ascii="Arial" w:eastAsia="Calibri" w:hAnsi="Arial" w:cs="Arial"/>
          <w:lang w:val="es-DO"/>
        </w:rPr>
        <w:t>a</w:t>
      </w:r>
      <w:r w:rsidRPr="007C0467">
        <w:rPr>
          <w:rFonts w:ascii="Arial" w:eastAsia="Calibri" w:hAnsi="Arial" w:cs="Arial"/>
          <w:lang w:val="es-DO"/>
        </w:rPr>
        <w:t xml:space="preserve"> </w:t>
      </w:r>
      <w:r w:rsidR="00502567" w:rsidRPr="007C0467">
        <w:rPr>
          <w:rFonts w:ascii="Arial" w:eastAsia="Calibri" w:hAnsi="Arial" w:cs="Arial"/>
          <w:lang w:val="es-DO"/>
        </w:rPr>
        <w:t>propuesta</w:t>
      </w:r>
      <w:r w:rsidRPr="007C0467">
        <w:rPr>
          <w:rFonts w:ascii="Arial" w:eastAsia="Calibri" w:hAnsi="Arial" w:cs="Arial"/>
          <w:lang w:val="es-DO"/>
        </w:rPr>
        <w:t xml:space="preserve"> para cuidado diferenciado podría designar que </w:t>
      </w:r>
      <w:r w:rsidR="00DD7492" w:rsidRPr="007C0467">
        <w:rPr>
          <w:rFonts w:ascii="Arial" w:eastAsia="Calibri" w:hAnsi="Arial" w:cs="Arial"/>
          <w:lang w:val="es-DO"/>
        </w:rPr>
        <w:t xml:space="preserve">las PVIH con enfermedades controladas </w:t>
      </w:r>
      <w:r w:rsidRPr="007C0467">
        <w:rPr>
          <w:rFonts w:ascii="Arial" w:eastAsia="Calibri" w:hAnsi="Arial" w:cs="Arial"/>
          <w:lang w:val="es-DO"/>
        </w:rPr>
        <w:t xml:space="preserve">vendrán </w:t>
      </w:r>
      <w:r w:rsidR="00515A73" w:rsidRPr="007C0467">
        <w:rPr>
          <w:rFonts w:ascii="Arial" w:eastAsia="Calibri" w:hAnsi="Arial" w:cs="Arial"/>
          <w:lang w:val="es-DO"/>
        </w:rPr>
        <w:t>con menos frecuencia a los centros de salud – recibiendo una cantidad mas grande de medicamentos durante sus visitas</w:t>
      </w:r>
      <w:r w:rsidR="00B43F20" w:rsidRPr="007C0467">
        <w:rPr>
          <w:rFonts w:ascii="Arial" w:eastAsia="Calibri" w:hAnsi="Arial" w:cs="Arial"/>
          <w:lang w:val="es-DO"/>
        </w:rPr>
        <w:t>, quizás cada tres meses</w:t>
      </w:r>
      <w:r w:rsidR="00B43F20" w:rsidRPr="007C0467">
        <w:rPr>
          <w:rStyle w:val="FootnoteReference"/>
          <w:rFonts w:ascii="Arial" w:eastAsia="Calibri" w:hAnsi="Arial" w:cs="Arial"/>
          <w:lang w:val="es-DO"/>
        </w:rPr>
        <w:footnoteReference w:id="44"/>
      </w:r>
      <w:r w:rsidR="00515A73" w:rsidRPr="007C0467">
        <w:rPr>
          <w:rFonts w:ascii="Arial" w:eastAsia="Calibri" w:hAnsi="Arial" w:cs="Arial"/>
          <w:lang w:val="es-DO"/>
        </w:rPr>
        <w:t>.</w:t>
      </w:r>
    </w:p>
    <w:p w14:paraId="015BEB4E" w14:textId="6763A0B2" w:rsidR="00BD4FBA" w:rsidRPr="004514B7" w:rsidRDefault="003C5655" w:rsidP="00BD4FBA">
      <w:pPr>
        <w:spacing w:after="240" w:line="240" w:lineRule="auto"/>
        <w:jc w:val="both"/>
        <w:rPr>
          <w:rFonts w:ascii="Arial" w:hAnsi="Arial" w:cs="Arial"/>
          <w:lang w:val="es-DO"/>
        </w:rPr>
      </w:pPr>
      <w:r w:rsidRPr="00A338D6">
        <w:rPr>
          <w:rFonts w:ascii="Arial" w:hAnsi="Arial" w:cs="Arial"/>
          <w:lang w:val="es-DO"/>
        </w:rPr>
        <w:t xml:space="preserve"> </w:t>
      </w:r>
      <w:r w:rsidR="00BD4FBA" w:rsidRPr="00A338D6">
        <w:rPr>
          <w:rFonts w:ascii="Arial" w:hAnsi="Arial" w:cs="Arial"/>
          <w:lang w:val="es-DO"/>
        </w:rPr>
        <w:t>Todas las unidades de salud dispensan tratamiento anti-TB; 49 SAI dispensan TARV; y 16 establecimientos de salud dispensan ambos (ARV + anti-TB). Las políticas sobre coinfección TB/VIH están vigentes: profilaxis con isoniazida en personas con VIH, búsqueda intensificada de TB en personas con VIH y profilaxis con cotrimoxazol, tanto en adultos como en niños</w:t>
      </w:r>
      <w:r w:rsidR="00BD4FBA" w:rsidRPr="00A338D6">
        <w:rPr>
          <w:rStyle w:val="FootnoteReference"/>
          <w:rFonts w:ascii="Arial" w:hAnsi="Arial" w:cs="Arial"/>
          <w:lang w:val="es-DO"/>
        </w:rPr>
        <w:footnoteReference w:id="45"/>
      </w:r>
      <w:r w:rsidR="00BD4FBA" w:rsidRPr="00A338D6">
        <w:rPr>
          <w:rFonts w:ascii="Arial" w:hAnsi="Arial" w:cs="Arial"/>
          <w:lang w:val="es-DO"/>
        </w:rPr>
        <w:t xml:space="preserve">. Datos provistos por la SESAL para el 2008-2011, indica que </w:t>
      </w:r>
      <w:r w:rsidR="00BD4FBA" w:rsidRPr="00A338D6">
        <w:rPr>
          <w:rFonts w:ascii="Arial" w:hAnsi="Arial" w:cs="Arial"/>
          <w:color w:val="000000" w:themeColor="text1"/>
          <w:lang w:val="es-DO"/>
        </w:rPr>
        <w:t>la sobrevida a 12 meses después de iniciada la terapia, ha experimentado avances, de 72.8% en el 2008 a 83.7% en el 2011.</w:t>
      </w:r>
      <w:r w:rsidR="00BD4FBA" w:rsidRPr="00A338D6">
        <w:rPr>
          <w:rStyle w:val="FootnoteReference"/>
          <w:rFonts w:ascii="Arial" w:hAnsi="Arial" w:cs="Arial"/>
          <w:color w:val="000000" w:themeColor="text1"/>
          <w:lang w:val="es-DO"/>
        </w:rPr>
        <w:footnoteReference w:id="46"/>
      </w:r>
      <w:r w:rsidR="00BD4FBA" w:rsidRPr="00DD37EC">
        <w:rPr>
          <w:rFonts w:ascii="Arial" w:hAnsi="Arial" w:cs="Arial"/>
          <w:color w:val="000000" w:themeColor="text1"/>
          <w:lang w:val="es-DO"/>
        </w:rPr>
        <w:t xml:space="preserve"> </w:t>
      </w:r>
      <w:r w:rsidR="002814EA">
        <w:rPr>
          <w:rFonts w:ascii="Arial" w:hAnsi="Arial" w:cs="Arial"/>
          <w:color w:val="000000" w:themeColor="text1"/>
          <w:lang w:val="es-DO"/>
        </w:rPr>
        <w:t xml:space="preserve">Una proporción de los medicamentos para IO son provistos por donantes, y la Evaluación </w:t>
      </w:r>
      <w:r w:rsidR="00335BDE">
        <w:rPr>
          <w:rFonts w:ascii="Arial" w:hAnsi="Arial" w:cs="Arial"/>
          <w:color w:val="000000" w:themeColor="text1"/>
          <w:lang w:val="es-DO"/>
        </w:rPr>
        <w:t>Focalizada</w:t>
      </w:r>
      <w:r w:rsidR="002814EA">
        <w:rPr>
          <w:rFonts w:ascii="Arial" w:hAnsi="Arial" w:cs="Arial"/>
          <w:color w:val="000000" w:themeColor="text1"/>
          <w:lang w:val="es-DO"/>
        </w:rPr>
        <w:t xml:space="preserve"> de APMG indica </w:t>
      </w:r>
      <w:r w:rsidR="00D36300">
        <w:rPr>
          <w:rFonts w:ascii="Arial" w:hAnsi="Arial" w:cs="Arial"/>
          <w:color w:val="000000" w:themeColor="text1"/>
          <w:lang w:val="es-DO"/>
        </w:rPr>
        <w:t>que,</w:t>
      </w:r>
      <w:r w:rsidR="002814EA">
        <w:rPr>
          <w:rFonts w:ascii="Arial" w:hAnsi="Arial" w:cs="Arial"/>
          <w:color w:val="000000" w:themeColor="text1"/>
          <w:lang w:val="es-DO"/>
        </w:rPr>
        <w:t xml:space="preserve"> </w:t>
      </w:r>
      <w:r w:rsidR="00605682">
        <w:rPr>
          <w:rFonts w:ascii="Arial" w:hAnsi="Arial" w:cs="Arial"/>
          <w:color w:val="000000" w:themeColor="text1"/>
          <w:lang w:val="es-DO"/>
        </w:rPr>
        <w:t xml:space="preserve">en muchos casos, </w:t>
      </w:r>
      <w:r w:rsidR="002814EA">
        <w:rPr>
          <w:rFonts w:ascii="Arial" w:hAnsi="Arial" w:cs="Arial"/>
          <w:color w:val="000000" w:themeColor="text1"/>
          <w:lang w:val="es-DO"/>
        </w:rPr>
        <w:t xml:space="preserve">las PVIH pagan para tratamiento para IO con </w:t>
      </w:r>
      <w:r w:rsidR="00335BDE">
        <w:rPr>
          <w:rFonts w:ascii="Arial" w:hAnsi="Arial" w:cs="Arial"/>
          <w:color w:val="000000" w:themeColor="text1"/>
          <w:lang w:val="es-DO"/>
        </w:rPr>
        <w:t>sus recursos propios</w:t>
      </w:r>
      <w:r w:rsidR="002814EA">
        <w:rPr>
          <w:rFonts w:ascii="Arial" w:hAnsi="Arial" w:cs="Arial"/>
          <w:color w:val="000000" w:themeColor="text1"/>
          <w:lang w:val="es-DO"/>
        </w:rPr>
        <w:t>.</w:t>
      </w:r>
      <w:r w:rsidR="002814EA">
        <w:rPr>
          <w:rStyle w:val="FootnoteReference"/>
          <w:rFonts w:ascii="Arial" w:hAnsi="Arial" w:cs="Arial"/>
          <w:color w:val="000000" w:themeColor="text1"/>
          <w:lang w:val="es-DO"/>
        </w:rPr>
        <w:footnoteReference w:id="47"/>
      </w:r>
    </w:p>
    <w:p w14:paraId="3F2706E3" w14:textId="7418C705" w:rsidR="00776B88" w:rsidRPr="00DD37EC" w:rsidRDefault="000C53F6" w:rsidP="006D2E03">
      <w:pPr>
        <w:spacing w:after="240" w:line="240" w:lineRule="auto"/>
        <w:jc w:val="both"/>
        <w:rPr>
          <w:rFonts w:ascii="Arial" w:hAnsi="Arial" w:cs="Arial"/>
          <w:color w:val="000000" w:themeColor="text1"/>
          <w:lang w:val="es-DO"/>
        </w:rPr>
      </w:pPr>
      <w:r w:rsidRPr="00DD37EC">
        <w:rPr>
          <w:rFonts w:ascii="Arial" w:hAnsi="Arial" w:cs="Arial"/>
          <w:color w:val="000000" w:themeColor="text1"/>
          <w:lang w:val="es-DO"/>
        </w:rPr>
        <w:t>El Programa Mundial de Alimentos (PMA) desarrolla proyectos para mejorar la adherencia con la entrega de suministro de alimentos a personas con VIH menos adherentes, con menos recursos económicos y más vulnerables. Según la evaluación al PENSIDA III, éste es un programa efectivo pero insostenible</w:t>
      </w:r>
      <w:r w:rsidR="000721BD">
        <w:rPr>
          <w:rFonts w:ascii="Arial" w:hAnsi="Arial" w:cs="Arial"/>
          <w:color w:val="000000" w:themeColor="text1"/>
          <w:lang w:val="es-DO"/>
        </w:rPr>
        <w:t>.</w:t>
      </w:r>
      <w:r w:rsidRPr="00DD37EC">
        <w:rPr>
          <w:rStyle w:val="FootnoteReference"/>
          <w:rFonts w:ascii="Arial" w:hAnsi="Arial" w:cs="Arial"/>
          <w:color w:val="000000" w:themeColor="text1"/>
          <w:lang w:val="es-DO"/>
        </w:rPr>
        <w:footnoteReference w:id="48"/>
      </w:r>
      <w:r w:rsidRPr="00DD37EC">
        <w:rPr>
          <w:rFonts w:ascii="Arial" w:hAnsi="Arial" w:cs="Arial"/>
          <w:color w:val="000000" w:themeColor="text1"/>
          <w:lang w:val="es-DO"/>
        </w:rPr>
        <w:t>.</w:t>
      </w:r>
      <w:r w:rsidR="004514B7">
        <w:rPr>
          <w:rFonts w:ascii="Arial" w:hAnsi="Arial" w:cs="Arial"/>
          <w:color w:val="000000" w:themeColor="text1"/>
          <w:lang w:val="es-DO"/>
        </w:rPr>
        <w:t xml:space="preserve"> Así,</w:t>
      </w:r>
      <w:r w:rsidRPr="00DD37EC">
        <w:rPr>
          <w:rFonts w:ascii="Arial" w:hAnsi="Arial" w:cs="Arial"/>
          <w:color w:val="000000" w:themeColor="text1"/>
          <w:lang w:val="es-DO"/>
        </w:rPr>
        <w:t xml:space="preserve"> los avances en materia del paquete integral están limitados al tratamiento y existen brechas a nivel nacional</w:t>
      </w:r>
      <w:r w:rsidRPr="00DD37EC">
        <w:rPr>
          <w:rStyle w:val="FootnoteReference"/>
          <w:rFonts w:ascii="Arial" w:hAnsi="Arial" w:cs="Arial"/>
          <w:color w:val="000000" w:themeColor="text1"/>
          <w:lang w:val="es-DO"/>
        </w:rPr>
        <w:footnoteReference w:id="49"/>
      </w:r>
      <w:r w:rsidRPr="00DD37EC">
        <w:rPr>
          <w:rFonts w:ascii="Arial" w:hAnsi="Arial" w:cs="Arial"/>
          <w:color w:val="000000" w:themeColor="text1"/>
          <w:lang w:val="es-DO"/>
        </w:rPr>
        <w:t xml:space="preserve">. La actividades y financiamiento de la atención domiciliaria en seguimiento a los PVIH son provista en su totalidad por </w:t>
      </w:r>
      <w:r w:rsidR="006B7279" w:rsidRPr="00DD37EC">
        <w:rPr>
          <w:rFonts w:ascii="Arial" w:hAnsi="Arial" w:cs="Arial"/>
          <w:color w:val="000000" w:themeColor="text1"/>
          <w:lang w:val="es-DO"/>
        </w:rPr>
        <w:t xml:space="preserve">los principales </w:t>
      </w:r>
      <w:r w:rsidRPr="00DD37EC">
        <w:rPr>
          <w:rFonts w:ascii="Arial" w:hAnsi="Arial" w:cs="Arial"/>
          <w:color w:val="000000" w:themeColor="text1"/>
          <w:lang w:val="es-DO"/>
        </w:rPr>
        <w:t>donantes</w:t>
      </w:r>
      <w:r w:rsidR="006B7279" w:rsidRPr="00DD37EC">
        <w:rPr>
          <w:rFonts w:ascii="Arial" w:hAnsi="Arial" w:cs="Arial"/>
          <w:color w:val="000000" w:themeColor="text1"/>
          <w:lang w:val="es-DO"/>
        </w:rPr>
        <w:t>, el FM y PEPFAR</w:t>
      </w:r>
      <w:r w:rsidRPr="00DD37EC">
        <w:rPr>
          <w:rFonts w:ascii="Arial" w:hAnsi="Arial" w:cs="Arial"/>
          <w:color w:val="000000" w:themeColor="text1"/>
          <w:lang w:val="es-DO"/>
        </w:rPr>
        <w:t xml:space="preserve">. </w:t>
      </w:r>
    </w:p>
    <w:tbl>
      <w:tblPr>
        <w:tblStyle w:val="PlainTable3"/>
        <w:tblW w:w="0" w:type="auto"/>
        <w:tblLook w:val="04A0" w:firstRow="1" w:lastRow="0" w:firstColumn="1" w:lastColumn="0" w:noHBand="0" w:noVBand="1"/>
      </w:tblPr>
      <w:tblGrid>
        <w:gridCol w:w="1800"/>
        <w:gridCol w:w="7560"/>
        <w:gridCol w:w="540"/>
      </w:tblGrid>
      <w:tr w:rsidR="000C53F6" w:rsidRPr="00392E34" w14:paraId="72B0CBA5" w14:textId="77777777" w:rsidTr="00D34080">
        <w:trPr>
          <w:gridAfter w:val="1"/>
          <w:cnfStyle w:val="100000000000" w:firstRow="1" w:lastRow="0" w:firstColumn="0" w:lastColumn="0" w:oddVBand="0" w:evenVBand="0" w:oddHBand="0" w:evenHBand="0" w:firstRowFirstColumn="0" w:firstRowLastColumn="0" w:lastRowFirstColumn="0" w:lastRowLastColumn="0"/>
          <w:wAfter w:w="540" w:type="dxa"/>
        </w:trPr>
        <w:tc>
          <w:tcPr>
            <w:cnfStyle w:val="001000000100" w:firstRow="0" w:lastRow="0" w:firstColumn="1" w:lastColumn="0" w:oddVBand="0" w:evenVBand="0" w:oddHBand="0" w:evenHBand="0" w:firstRowFirstColumn="1" w:firstRowLastColumn="0" w:lastRowFirstColumn="0" w:lastRowLastColumn="0"/>
            <w:tcW w:w="9360" w:type="dxa"/>
            <w:gridSpan w:val="2"/>
          </w:tcPr>
          <w:p w14:paraId="0B951E1C" w14:textId="77777777" w:rsidR="000C53F6" w:rsidRPr="00DD37EC" w:rsidRDefault="000C53F6" w:rsidP="00DD37EC">
            <w:pPr>
              <w:spacing w:after="240"/>
              <w:contextualSpacing/>
              <w:jc w:val="both"/>
              <w:rPr>
                <w:rFonts w:ascii="Arial" w:hAnsi="Arial" w:cs="Arial"/>
                <w:b w:val="0"/>
                <w:lang w:val="es-DO"/>
              </w:rPr>
            </w:pPr>
            <w:r w:rsidRPr="00DD37EC">
              <w:rPr>
                <w:rFonts w:ascii="Arial" w:hAnsi="Arial" w:cs="Arial"/>
                <w:b w:val="0"/>
                <w:lang w:val="es-DO"/>
              </w:rPr>
              <w:t>Resumen de Fortalezas y debilidades en el tratamiento (2do 90)</w:t>
            </w:r>
          </w:p>
        </w:tc>
      </w:tr>
      <w:tr w:rsidR="000C53F6" w:rsidRPr="00392E34" w14:paraId="5492A595" w14:textId="77777777" w:rsidTr="005F40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Pr>
          <w:p w14:paraId="038170FB" w14:textId="77777777" w:rsidR="000C53F6" w:rsidRPr="00DD37EC" w:rsidRDefault="000C53F6" w:rsidP="00DD37EC">
            <w:pPr>
              <w:spacing w:after="240"/>
              <w:contextualSpacing/>
              <w:jc w:val="both"/>
              <w:rPr>
                <w:rFonts w:ascii="Arial" w:hAnsi="Arial" w:cs="Arial"/>
                <w:lang w:val="es-DO"/>
              </w:rPr>
            </w:pPr>
            <w:r w:rsidRPr="00DD37EC">
              <w:rPr>
                <w:rFonts w:ascii="Arial" w:hAnsi="Arial" w:cs="Arial"/>
                <w:lang w:val="es-DO"/>
              </w:rPr>
              <w:t>fortalezas</w:t>
            </w:r>
          </w:p>
        </w:tc>
        <w:tc>
          <w:tcPr>
            <w:tcW w:w="8100" w:type="dxa"/>
            <w:gridSpan w:val="2"/>
          </w:tcPr>
          <w:p w14:paraId="17D8005D" w14:textId="77777777" w:rsidR="000C53F6" w:rsidRPr="00DD37EC" w:rsidRDefault="000C53F6" w:rsidP="00DD37EC">
            <w:pPr>
              <w:spacing w:after="240"/>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lang w:val="es-DO"/>
              </w:rPr>
            </w:pPr>
            <w:r w:rsidRPr="00DD37EC">
              <w:rPr>
                <w:rFonts w:ascii="Arial" w:hAnsi="Arial" w:cs="Arial"/>
                <w:lang w:val="es-DO"/>
              </w:rPr>
              <w:t>El gobierno cubre el costo de los ARV en un 90%</w:t>
            </w:r>
          </w:p>
        </w:tc>
      </w:tr>
      <w:tr w:rsidR="000C53F6" w:rsidRPr="00DD37EC" w14:paraId="270D7A32" w14:textId="77777777" w:rsidTr="005F4042">
        <w:tc>
          <w:tcPr>
            <w:cnfStyle w:val="001000000000" w:firstRow="0" w:lastRow="0" w:firstColumn="1" w:lastColumn="0" w:oddVBand="0" w:evenVBand="0" w:oddHBand="0" w:evenHBand="0" w:firstRowFirstColumn="0" w:firstRowLastColumn="0" w:lastRowFirstColumn="0" w:lastRowLastColumn="0"/>
            <w:tcW w:w="1800" w:type="dxa"/>
          </w:tcPr>
          <w:p w14:paraId="18E72F01" w14:textId="77777777" w:rsidR="000C53F6" w:rsidRPr="00DD37EC" w:rsidRDefault="000C53F6" w:rsidP="00DD37EC">
            <w:pPr>
              <w:spacing w:after="240"/>
              <w:contextualSpacing/>
              <w:jc w:val="both"/>
              <w:rPr>
                <w:rFonts w:ascii="Arial" w:hAnsi="Arial" w:cs="Arial"/>
                <w:b w:val="0"/>
                <w:lang w:val="es-DO"/>
              </w:rPr>
            </w:pPr>
          </w:p>
        </w:tc>
        <w:tc>
          <w:tcPr>
            <w:tcW w:w="8100" w:type="dxa"/>
            <w:gridSpan w:val="2"/>
          </w:tcPr>
          <w:p w14:paraId="78030616" w14:textId="77777777" w:rsidR="000C53F6" w:rsidRPr="00DD37EC" w:rsidRDefault="000C53F6" w:rsidP="00DD37EC">
            <w:pPr>
              <w:spacing w:after="240"/>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lang w:val="es-DO"/>
              </w:rPr>
            </w:pPr>
            <w:r w:rsidRPr="00DD37EC">
              <w:rPr>
                <w:rFonts w:ascii="Arial" w:hAnsi="Arial" w:cs="Arial"/>
                <w:lang w:val="es-DO"/>
              </w:rPr>
              <w:t xml:space="preserve">Existencia de SAI descentralizados </w:t>
            </w:r>
          </w:p>
        </w:tc>
      </w:tr>
      <w:tr w:rsidR="000C53F6" w:rsidRPr="00392E34" w14:paraId="1E641878" w14:textId="77777777" w:rsidTr="005F40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Pr>
          <w:p w14:paraId="4B15A1E9" w14:textId="77777777" w:rsidR="000C53F6" w:rsidRPr="00DD37EC" w:rsidRDefault="000C53F6" w:rsidP="00DD37EC">
            <w:pPr>
              <w:spacing w:after="240"/>
              <w:contextualSpacing/>
              <w:jc w:val="both"/>
              <w:rPr>
                <w:rFonts w:ascii="Arial" w:hAnsi="Arial" w:cs="Arial"/>
                <w:lang w:val="es-DO"/>
              </w:rPr>
            </w:pPr>
          </w:p>
        </w:tc>
        <w:tc>
          <w:tcPr>
            <w:tcW w:w="8100" w:type="dxa"/>
            <w:gridSpan w:val="2"/>
          </w:tcPr>
          <w:p w14:paraId="17F14801" w14:textId="77777777" w:rsidR="000C53F6" w:rsidRPr="00DD37EC" w:rsidRDefault="000C53F6" w:rsidP="00DD37EC">
            <w:pPr>
              <w:spacing w:after="240"/>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lang w:val="es-DO"/>
              </w:rPr>
            </w:pPr>
            <w:r w:rsidRPr="00DD37EC">
              <w:rPr>
                <w:rFonts w:ascii="Arial" w:hAnsi="Arial" w:cs="Arial"/>
                <w:lang w:val="es-DO"/>
              </w:rPr>
              <w:t>Sistema Único de Suministro y compras conjuntas a través de OPS/OMS</w:t>
            </w:r>
          </w:p>
        </w:tc>
      </w:tr>
      <w:tr w:rsidR="000C53F6" w:rsidRPr="00392E34" w14:paraId="0BCCDA0A" w14:textId="77777777" w:rsidTr="005F4042">
        <w:tc>
          <w:tcPr>
            <w:cnfStyle w:val="001000000000" w:firstRow="0" w:lastRow="0" w:firstColumn="1" w:lastColumn="0" w:oddVBand="0" w:evenVBand="0" w:oddHBand="0" w:evenHBand="0" w:firstRowFirstColumn="0" w:firstRowLastColumn="0" w:lastRowFirstColumn="0" w:lastRowLastColumn="0"/>
            <w:tcW w:w="1800" w:type="dxa"/>
          </w:tcPr>
          <w:p w14:paraId="010B7FBA" w14:textId="77777777" w:rsidR="000C53F6" w:rsidRPr="00DD37EC" w:rsidRDefault="000C53F6" w:rsidP="00DD37EC">
            <w:pPr>
              <w:spacing w:after="240"/>
              <w:contextualSpacing/>
              <w:jc w:val="both"/>
              <w:rPr>
                <w:rFonts w:ascii="Arial" w:hAnsi="Arial" w:cs="Arial"/>
                <w:lang w:val="es-DO"/>
              </w:rPr>
            </w:pPr>
          </w:p>
        </w:tc>
        <w:tc>
          <w:tcPr>
            <w:tcW w:w="8100" w:type="dxa"/>
            <w:gridSpan w:val="2"/>
          </w:tcPr>
          <w:p w14:paraId="312FA4AA" w14:textId="77777777" w:rsidR="000C53F6" w:rsidRPr="00DD37EC" w:rsidRDefault="000C53F6" w:rsidP="00DD37EC">
            <w:pPr>
              <w:spacing w:after="240"/>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lang w:val="es-DO"/>
              </w:rPr>
            </w:pPr>
            <w:r w:rsidRPr="00DD37EC">
              <w:rPr>
                <w:rFonts w:ascii="Arial" w:hAnsi="Arial" w:cs="Arial"/>
                <w:lang w:val="es-DO"/>
              </w:rPr>
              <w:t>Monitoreo de la sobrevida luego de iniciada la terapia con ARV</w:t>
            </w:r>
          </w:p>
        </w:tc>
      </w:tr>
      <w:tr w:rsidR="000C53F6" w:rsidRPr="00392E34" w14:paraId="7F7C1310" w14:textId="77777777" w:rsidTr="005F40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Pr>
          <w:p w14:paraId="4CD56D2A" w14:textId="77777777" w:rsidR="000C53F6" w:rsidRPr="00DD37EC" w:rsidRDefault="000C53F6" w:rsidP="00DD37EC">
            <w:pPr>
              <w:spacing w:after="240"/>
              <w:contextualSpacing/>
              <w:jc w:val="both"/>
              <w:rPr>
                <w:rFonts w:ascii="Arial" w:hAnsi="Arial" w:cs="Arial"/>
                <w:lang w:val="es-DO"/>
              </w:rPr>
            </w:pPr>
          </w:p>
        </w:tc>
        <w:tc>
          <w:tcPr>
            <w:tcW w:w="8100" w:type="dxa"/>
            <w:gridSpan w:val="2"/>
          </w:tcPr>
          <w:p w14:paraId="32C9B6F1" w14:textId="7597FC68" w:rsidR="000C53F6" w:rsidRPr="00DD37EC" w:rsidRDefault="000C53F6" w:rsidP="00DD37EC">
            <w:pPr>
              <w:spacing w:after="240"/>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lang w:val="es-DO"/>
              </w:rPr>
            </w:pPr>
            <w:r w:rsidRPr="00DD37EC">
              <w:rPr>
                <w:rFonts w:ascii="Arial" w:hAnsi="Arial" w:cs="Arial"/>
                <w:lang w:val="es-DO"/>
              </w:rPr>
              <w:t xml:space="preserve">La proporción de PVIH en 1er, 2do y 3era línea se apega a estándares internacionales </w:t>
            </w:r>
          </w:p>
        </w:tc>
      </w:tr>
      <w:tr w:rsidR="000C53F6" w:rsidRPr="00392E34" w14:paraId="2F80F024" w14:textId="77777777" w:rsidTr="005F4042">
        <w:tc>
          <w:tcPr>
            <w:cnfStyle w:val="001000000000" w:firstRow="0" w:lastRow="0" w:firstColumn="1" w:lastColumn="0" w:oddVBand="0" w:evenVBand="0" w:oddHBand="0" w:evenHBand="0" w:firstRowFirstColumn="0" w:firstRowLastColumn="0" w:lastRowFirstColumn="0" w:lastRowLastColumn="0"/>
            <w:tcW w:w="1800" w:type="dxa"/>
          </w:tcPr>
          <w:p w14:paraId="55F45302" w14:textId="77777777" w:rsidR="000C53F6" w:rsidRPr="00DD37EC" w:rsidRDefault="000C53F6" w:rsidP="00DD37EC">
            <w:pPr>
              <w:spacing w:after="240"/>
              <w:contextualSpacing/>
              <w:jc w:val="both"/>
              <w:rPr>
                <w:rFonts w:ascii="Arial" w:hAnsi="Arial" w:cs="Arial"/>
                <w:b w:val="0"/>
                <w:lang w:val="es-DO"/>
              </w:rPr>
            </w:pPr>
            <w:r w:rsidRPr="00DD37EC">
              <w:rPr>
                <w:rFonts w:ascii="Arial" w:hAnsi="Arial" w:cs="Arial"/>
                <w:lang w:val="es-DO"/>
              </w:rPr>
              <w:t>Debilidades</w:t>
            </w:r>
          </w:p>
        </w:tc>
        <w:tc>
          <w:tcPr>
            <w:tcW w:w="8100" w:type="dxa"/>
            <w:gridSpan w:val="2"/>
          </w:tcPr>
          <w:p w14:paraId="192159DB" w14:textId="77777777" w:rsidR="000C53F6" w:rsidRPr="00DD37EC" w:rsidRDefault="000C53F6" w:rsidP="00DD37EC">
            <w:pPr>
              <w:spacing w:after="240"/>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lang w:val="es-DO"/>
              </w:rPr>
            </w:pPr>
            <w:r w:rsidRPr="00DD37EC">
              <w:rPr>
                <w:rFonts w:ascii="Arial" w:hAnsi="Arial" w:cs="Arial"/>
                <w:lang w:val="es-DO"/>
              </w:rPr>
              <w:t>Iniciativa para dispensar medicamentos en primer nivel (solo un piloto)</w:t>
            </w:r>
          </w:p>
        </w:tc>
      </w:tr>
      <w:tr w:rsidR="000C53F6" w:rsidRPr="00392E34" w14:paraId="5C63F197" w14:textId="77777777" w:rsidTr="005F40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Pr>
          <w:p w14:paraId="008956CB" w14:textId="77777777" w:rsidR="000C53F6" w:rsidRPr="00DD37EC" w:rsidRDefault="000C53F6" w:rsidP="00DD37EC">
            <w:pPr>
              <w:spacing w:after="240"/>
              <w:contextualSpacing/>
              <w:jc w:val="both"/>
              <w:rPr>
                <w:rFonts w:ascii="Arial" w:hAnsi="Arial" w:cs="Arial"/>
                <w:b w:val="0"/>
                <w:lang w:val="es-DO"/>
              </w:rPr>
            </w:pPr>
          </w:p>
        </w:tc>
        <w:tc>
          <w:tcPr>
            <w:tcW w:w="8100" w:type="dxa"/>
            <w:gridSpan w:val="2"/>
          </w:tcPr>
          <w:p w14:paraId="2FD368B0" w14:textId="7880C333" w:rsidR="000C53F6" w:rsidRPr="00DD37EC" w:rsidRDefault="000C53F6" w:rsidP="00DD37EC">
            <w:pPr>
              <w:spacing w:after="240"/>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lang w:val="es-DO"/>
              </w:rPr>
            </w:pPr>
            <w:r w:rsidRPr="00DD37EC">
              <w:rPr>
                <w:rFonts w:ascii="Arial" w:hAnsi="Arial" w:cs="Arial"/>
                <w:lang w:val="es-DO"/>
              </w:rPr>
              <w:t xml:space="preserve">Protocolo de atención no actualizado a tratamiento para todos, existe solo un oficio </w:t>
            </w:r>
          </w:p>
        </w:tc>
      </w:tr>
      <w:tr w:rsidR="000C53F6" w:rsidRPr="00392E34" w14:paraId="675D1EF8" w14:textId="77777777" w:rsidTr="005F4042">
        <w:tc>
          <w:tcPr>
            <w:cnfStyle w:val="001000000000" w:firstRow="0" w:lastRow="0" w:firstColumn="1" w:lastColumn="0" w:oddVBand="0" w:evenVBand="0" w:oddHBand="0" w:evenHBand="0" w:firstRowFirstColumn="0" w:firstRowLastColumn="0" w:lastRowFirstColumn="0" w:lastRowLastColumn="0"/>
            <w:tcW w:w="1800" w:type="dxa"/>
          </w:tcPr>
          <w:p w14:paraId="01382868" w14:textId="77777777" w:rsidR="000C53F6" w:rsidRPr="00DD37EC" w:rsidRDefault="000C53F6" w:rsidP="00DD37EC">
            <w:pPr>
              <w:spacing w:after="240"/>
              <w:contextualSpacing/>
              <w:jc w:val="both"/>
              <w:rPr>
                <w:rFonts w:ascii="Arial" w:hAnsi="Arial" w:cs="Arial"/>
                <w:b w:val="0"/>
                <w:lang w:val="es-DO"/>
              </w:rPr>
            </w:pPr>
          </w:p>
        </w:tc>
        <w:tc>
          <w:tcPr>
            <w:tcW w:w="8100" w:type="dxa"/>
            <w:gridSpan w:val="2"/>
          </w:tcPr>
          <w:p w14:paraId="6272C0D9" w14:textId="77777777" w:rsidR="000C53F6" w:rsidRPr="00DD37EC" w:rsidRDefault="000C53F6" w:rsidP="00DD37EC">
            <w:pPr>
              <w:spacing w:after="240"/>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lang w:val="es-DO"/>
              </w:rPr>
            </w:pPr>
            <w:r w:rsidRPr="00DD37EC">
              <w:rPr>
                <w:rFonts w:ascii="Arial" w:hAnsi="Arial" w:cs="Arial"/>
                <w:lang w:val="es-DO"/>
              </w:rPr>
              <w:t xml:space="preserve">Programa de alimentación en apoyo a la adherencia a través de la cooperación externa </w:t>
            </w:r>
          </w:p>
        </w:tc>
      </w:tr>
      <w:tr w:rsidR="000C53F6" w:rsidRPr="00392E34" w14:paraId="67FFBF31" w14:textId="77777777" w:rsidTr="005F40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Pr>
          <w:p w14:paraId="7A7A091A" w14:textId="77777777" w:rsidR="000C53F6" w:rsidRPr="00DD37EC" w:rsidRDefault="000C53F6" w:rsidP="00DD37EC">
            <w:pPr>
              <w:spacing w:after="240"/>
              <w:contextualSpacing/>
              <w:jc w:val="both"/>
              <w:rPr>
                <w:rFonts w:ascii="Arial" w:hAnsi="Arial" w:cs="Arial"/>
                <w:b w:val="0"/>
                <w:lang w:val="es-DO"/>
              </w:rPr>
            </w:pPr>
          </w:p>
        </w:tc>
        <w:tc>
          <w:tcPr>
            <w:tcW w:w="8100" w:type="dxa"/>
            <w:gridSpan w:val="2"/>
          </w:tcPr>
          <w:p w14:paraId="36BC11B3" w14:textId="77777777" w:rsidR="000C53F6" w:rsidRPr="00DD37EC" w:rsidRDefault="000C53F6" w:rsidP="00DD37EC">
            <w:pPr>
              <w:spacing w:after="240"/>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lang w:val="es-DO"/>
              </w:rPr>
            </w:pPr>
            <w:r w:rsidRPr="00DD37EC">
              <w:rPr>
                <w:rFonts w:ascii="Arial" w:hAnsi="Arial" w:cs="Arial"/>
                <w:lang w:val="es-DO"/>
              </w:rPr>
              <w:t xml:space="preserve">Proporción de los medicamentos para IO y ARV son provistos por donantes </w:t>
            </w:r>
          </w:p>
        </w:tc>
      </w:tr>
      <w:tr w:rsidR="000C53F6" w:rsidRPr="00392E34" w14:paraId="243C64C1" w14:textId="77777777" w:rsidTr="005F4042">
        <w:tc>
          <w:tcPr>
            <w:cnfStyle w:val="001000000000" w:firstRow="0" w:lastRow="0" w:firstColumn="1" w:lastColumn="0" w:oddVBand="0" w:evenVBand="0" w:oddHBand="0" w:evenHBand="0" w:firstRowFirstColumn="0" w:firstRowLastColumn="0" w:lastRowFirstColumn="0" w:lastRowLastColumn="0"/>
            <w:tcW w:w="1800" w:type="dxa"/>
          </w:tcPr>
          <w:p w14:paraId="5956995C" w14:textId="77777777" w:rsidR="000C53F6" w:rsidRPr="00DD37EC" w:rsidRDefault="000C53F6" w:rsidP="00DD37EC">
            <w:pPr>
              <w:spacing w:after="240"/>
              <w:contextualSpacing/>
              <w:jc w:val="both"/>
              <w:rPr>
                <w:rFonts w:ascii="Arial" w:hAnsi="Arial" w:cs="Arial"/>
                <w:b w:val="0"/>
                <w:lang w:val="es-DO"/>
              </w:rPr>
            </w:pPr>
          </w:p>
        </w:tc>
        <w:tc>
          <w:tcPr>
            <w:tcW w:w="8100" w:type="dxa"/>
            <w:gridSpan w:val="2"/>
          </w:tcPr>
          <w:p w14:paraId="6A46411A" w14:textId="62BB09B4" w:rsidR="000C53F6" w:rsidRPr="00DD37EC" w:rsidRDefault="000C53F6" w:rsidP="00DD37EC">
            <w:pPr>
              <w:spacing w:after="240"/>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lang w:val="es-DO"/>
              </w:rPr>
            </w:pPr>
            <w:r w:rsidRPr="00DD37EC">
              <w:rPr>
                <w:rFonts w:ascii="Arial" w:hAnsi="Arial" w:cs="Arial"/>
                <w:lang w:val="es-DO"/>
              </w:rPr>
              <w:t>La atención domiciliaria seguimiento al PVIH es provista por donantes</w:t>
            </w:r>
          </w:p>
        </w:tc>
      </w:tr>
      <w:tr w:rsidR="000C53F6" w:rsidRPr="00392E34" w14:paraId="244E77F1" w14:textId="77777777" w:rsidTr="005F40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Pr>
          <w:p w14:paraId="3BF1FF94" w14:textId="77777777" w:rsidR="000C53F6" w:rsidRPr="00DD37EC" w:rsidRDefault="000C53F6" w:rsidP="00DD37EC">
            <w:pPr>
              <w:spacing w:after="240"/>
              <w:contextualSpacing/>
              <w:jc w:val="both"/>
              <w:rPr>
                <w:rFonts w:ascii="Arial" w:hAnsi="Arial" w:cs="Arial"/>
                <w:b w:val="0"/>
                <w:lang w:val="es-DO"/>
              </w:rPr>
            </w:pPr>
          </w:p>
        </w:tc>
        <w:tc>
          <w:tcPr>
            <w:tcW w:w="8100" w:type="dxa"/>
            <w:gridSpan w:val="2"/>
          </w:tcPr>
          <w:p w14:paraId="4DE6A4D6" w14:textId="3C703C32" w:rsidR="000C53F6" w:rsidRPr="00DD37EC" w:rsidRDefault="000C53F6" w:rsidP="00DD37EC">
            <w:pPr>
              <w:spacing w:after="240"/>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lang w:val="es-DO"/>
              </w:rPr>
            </w:pPr>
            <w:r w:rsidRPr="00DD37EC">
              <w:rPr>
                <w:rFonts w:ascii="Arial" w:hAnsi="Arial" w:cs="Arial"/>
                <w:lang w:val="es-DO"/>
              </w:rPr>
              <w:t>Actividades de movilización comunitaria para la retención y adherencia de las PVIH a los ARV son provistas por donantes</w:t>
            </w:r>
          </w:p>
        </w:tc>
      </w:tr>
      <w:tr w:rsidR="000C53F6" w:rsidRPr="00392E34" w14:paraId="32C92CE7" w14:textId="77777777" w:rsidTr="005F4042">
        <w:tc>
          <w:tcPr>
            <w:cnfStyle w:val="001000000000" w:firstRow="0" w:lastRow="0" w:firstColumn="1" w:lastColumn="0" w:oddVBand="0" w:evenVBand="0" w:oddHBand="0" w:evenHBand="0" w:firstRowFirstColumn="0" w:firstRowLastColumn="0" w:lastRowFirstColumn="0" w:lastRowLastColumn="0"/>
            <w:tcW w:w="1800" w:type="dxa"/>
          </w:tcPr>
          <w:p w14:paraId="715C15FD" w14:textId="77777777" w:rsidR="000C53F6" w:rsidRPr="00DD37EC" w:rsidRDefault="000C53F6" w:rsidP="00DD37EC">
            <w:pPr>
              <w:spacing w:after="240"/>
              <w:contextualSpacing/>
              <w:jc w:val="both"/>
              <w:rPr>
                <w:rFonts w:ascii="Arial" w:hAnsi="Arial" w:cs="Arial"/>
                <w:b w:val="0"/>
                <w:lang w:val="es-DO"/>
              </w:rPr>
            </w:pPr>
          </w:p>
        </w:tc>
        <w:tc>
          <w:tcPr>
            <w:tcW w:w="8100" w:type="dxa"/>
            <w:gridSpan w:val="2"/>
          </w:tcPr>
          <w:p w14:paraId="15ABB9D9" w14:textId="2B8C7399" w:rsidR="000C53F6" w:rsidRDefault="000C53F6" w:rsidP="00DD37EC">
            <w:pPr>
              <w:spacing w:after="240"/>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lang w:val="es-DO"/>
              </w:rPr>
            </w:pPr>
            <w:r w:rsidRPr="00DD37EC">
              <w:rPr>
                <w:rFonts w:ascii="Arial" w:hAnsi="Arial" w:cs="Arial"/>
                <w:lang w:val="es-DO"/>
              </w:rPr>
              <w:t>Cuotas de recuperación pagadas por las PVIH</w:t>
            </w:r>
          </w:p>
          <w:p w14:paraId="74C48903" w14:textId="565DEC3F" w:rsidR="00D50FB4" w:rsidRPr="00DD37EC" w:rsidRDefault="00A24F60" w:rsidP="00DD37EC">
            <w:pPr>
              <w:spacing w:after="240"/>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lang w:val="es-DO"/>
              </w:rPr>
            </w:pPr>
            <w:r>
              <w:rPr>
                <w:rFonts w:ascii="Arial" w:hAnsi="Arial" w:cs="Arial"/>
                <w:lang w:val="es-DO"/>
              </w:rPr>
              <w:t>Mima</w:t>
            </w:r>
            <w:r w:rsidR="00D50FB4" w:rsidRPr="00D50FB4">
              <w:rPr>
                <w:rFonts w:ascii="Arial" w:hAnsi="Arial" w:cs="Arial"/>
                <w:lang w:val="es-DO"/>
              </w:rPr>
              <w:t xml:space="preserve"> </w:t>
            </w:r>
            <w:r>
              <w:rPr>
                <w:rFonts w:ascii="Arial" w:hAnsi="Arial" w:cs="Arial"/>
                <w:lang w:val="es-DO"/>
              </w:rPr>
              <w:t>f</w:t>
            </w:r>
            <w:r w:rsidR="00D50FB4" w:rsidRPr="00D50FB4">
              <w:rPr>
                <w:rFonts w:ascii="Arial" w:hAnsi="Arial" w:cs="Arial"/>
                <w:lang w:val="es-DO"/>
              </w:rPr>
              <w:t xml:space="preserve">recuencia de visitas </w:t>
            </w:r>
            <w:r>
              <w:rPr>
                <w:rFonts w:ascii="Arial" w:hAnsi="Arial" w:cs="Arial"/>
                <w:lang w:val="es-DO"/>
              </w:rPr>
              <w:t>para recibir</w:t>
            </w:r>
            <w:r w:rsidR="00D50FB4" w:rsidRPr="00D50FB4">
              <w:rPr>
                <w:rFonts w:ascii="Arial" w:hAnsi="Arial" w:cs="Arial"/>
                <w:lang w:val="es-DO"/>
              </w:rPr>
              <w:t xml:space="preserve"> servicios de salud y medicamentos, independientemente de la carga viral y el control de la enfermedad del paciente</w:t>
            </w:r>
          </w:p>
        </w:tc>
      </w:tr>
    </w:tbl>
    <w:p w14:paraId="103D45E9" w14:textId="4613BAD0" w:rsidR="004B6BFF" w:rsidRDefault="004B6BFF" w:rsidP="00280F5D">
      <w:pPr>
        <w:spacing w:after="240" w:line="240" w:lineRule="auto"/>
        <w:rPr>
          <w:rFonts w:ascii="Arial" w:hAnsi="Arial" w:cs="Arial"/>
          <w:lang w:val="es-DO"/>
        </w:rPr>
      </w:pPr>
    </w:p>
    <w:p w14:paraId="3C781D05" w14:textId="77777777" w:rsidR="005F4042" w:rsidRPr="00DD37EC" w:rsidRDefault="005F4042" w:rsidP="00280F5D">
      <w:pPr>
        <w:spacing w:after="240" w:line="240" w:lineRule="auto"/>
        <w:rPr>
          <w:rFonts w:ascii="Arial" w:hAnsi="Arial" w:cs="Arial"/>
          <w:lang w:val="es-DO"/>
        </w:rPr>
      </w:pPr>
    </w:p>
    <w:p w14:paraId="1DDB4B60" w14:textId="134CD725" w:rsidR="004B6BFF" w:rsidRPr="00DD37EC" w:rsidRDefault="00C47D54" w:rsidP="00DD37EC">
      <w:pPr>
        <w:pStyle w:val="Heading3"/>
        <w:spacing w:before="0" w:after="240" w:line="240" w:lineRule="auto"/>
        <w:rPr>
          <w:rFonts w:ascii="Arial" w:hAnsi="Arial" w:cs="Arial"/>
          <w:sz w:val="22"/>
          <w:szCs w:val="22"/>
          <w:lang w:val="es-DO"/>
        </w:rPr>
      </w:pPr>
      <w:bookmarkStart w:id="41" w:name="_Toc8905226"/>
      <w:r>
        <w:rPr>
          <w:rFonts w:ascii="Arial" w:hAnsi="Arial" w:cs="Arial"/>
          <w:sz w:val="22"/>
          <w:szCs w:val="22"/>
          <w:lang w:val="es-DO"/>
        </w:rPr>
        <w:t>4.</w:t>
      </w:r>
      <w:r w:rsidR="00A77B7F">
        <w:rPr>
          <w:rFonts w:ascii="Arial" w:hAnsi="Arial" w:cs="Arial"/>
          <w:sz w:val="22"/>
          <w:szCs w:val="22"/>
          <w:lang w:val="es-DO"/>
        </w:rPr>
        <w:t>4</w:t>
      </w:r>
      <w:r w:rsidR="004F0CE9" w:rsidRPr="00DD37EC">
        <w:rPr>
          <w:rFonts w:ascii="Arial" w:hAnsi="Arial" w:cs="Arial"/>
          <w:sz w:val="22"/>
          <w:szCs w:val="22"/>
          <w:lang w:val="es-DO"/>
        </w:rPr>
        <w:t>.3</w:t>
      </w:r>
      <w:r w:rsidR="004B6BFF" w:rsidRPr="00DD37EC">
        <w:rPr>
          <w:rFonts w:ascii="Arial" w:hAnsi="Arial" w:cs="Arial"/>
          <w:sz w:val="22"/>
          <w:szCs w:val="22"/>
          <w:lang w:val="es-DO"/>
        </w:rPr>
        <w:t xml:space="preserve"> Actividades de retención y supresión viral (3er 90), </w:t>
      </w:r>
      <w:r w:rsidR="004B6BFF" w:rsidRPr="00DD37EC">
        <w:rPr>
          <w:rFonts w:ascii="Arial" w:hAnsi="Arial" w:cs="Arial"/>
          <w:sz w:val="22"/>
          <w:szCs w:val="22"/>
          <w:lang w:val="es-419"/>
        </w:rPr>
        <w:t>fuerzas y debilidades</w:t>
      </w:r>
      <w:bookmarkEnd w:id="41"/>
      <w:r w:rsidR="004B6BFF" w:rsidRPr="00DD37EC">
        <w:rPr>
          <w:rFonts w:ascii="Arial" w:hAnsi="Arial" w:cs="Arial"/>
          <w:sz w:val="22"/>
          <w:szCs w:val="22"/>
          <w:lang w:val="es-419"/>
        </w:rPr>
        <w:t xml:space="preserve"> </w:t>
      </w:r>
      <w:r w:rsidR="004B6BFF" w:rsidRPr="00DD37EC">
        <w:rPr>
          <w:rFonts w:ascii="Arial" w:hAnsi="Arial" w:cs="Arial"/>
          <w:sz w:val="22"/>
          <w:szCs w:val="22"/>
          <w:lang w:val="es-DO"/>
        </w:rPr>
        <w:t xml:space="preserve"> </w:t>
      </w:r>
    </w:p>
    <w:tbl>
      <w:tblPr>
        <w:tblStyle w:val="TableGridLight"/>
        <w:tblpPr w:leftFromText="180" w:rightFromText="180" w:vertAnchor="text" w:horzAnchor="margin" w:tblpXSpec="right" w:tblpY="337"/>
        <w:tblW w:w="0" w:type="auto"/>
        <w:shd w:val="clear" w:color="auto" w:fill="D9E2F3" w:themeFill="accent1" w:themeFillTint="33"/>
        <w:tblLook w:val="04A0" w:firstRow="1" w:lastRow="0" w:firstColumn="1" w:lastColumn="0" w:noHBand="0" w:noVBand="1"/>
      </w:tblPr>
      <w:tblGrid>
        <w:gridCol w:w="2320"/>
      </w:tblGrid>
      <w:tr w:rsidR="000C53F6" w:rsidRPr="00392E34" w14:paraId="3DEDD69E" w14:textId="77777777" w:rsidTr="000C53F6">
        <w:trPr>
          <w:trHeight w:val="170"/>
        </w:trPr>
        <w:tc>
          <w:tcPr>
            <w:tcW w:w="2320" w:type="dxa"/>
            <w:shd w:val="clear" w:color="auto" w:fill="D9E2F3" w:themeFill="accent1" w:themeFillTint="33"/>
          </w:tcPr>
          <w:p w14:paraId="2437303D" w14:textId="77777777" w:rsidR="000C53F6" w:rsidRPr="00DD37EC" w:rsidRDefault="000C53F6" w:rsidP="00DD37EC">
            <w:pPr>
              <w:spacing w:after="240"/>
              <w:contextualSpacing/>
              <w:jc w:val="center"/>
              <w:rPr>
                <w:rFonts w:ascii="Arial" w:hAnsi="Arial" w:cs="Arial"/>
                <w:color w:val="000000" w:themeColor="text1"/>
                <w:lang w:val="es-DO"/>
              </w:rPr>
            </w:pPr>
          </w:p>
          <w:p w14:paraId="7442563E" w14:textId="5659C86E" w:rsidR="000C53F6" w:rsidRPr="00DD37EC" w:rsidRDefault="000C53F6" w:rsidP="00DD37EC">
            <w:pPr>
              <w:spacing w:after="240"/>
              <w:contextualSpacing/>
              <w:jc w:val="center"/>
              <w:rPr>
                <w:rFonts w:ascii="Arial" w:hAnsi="Arial" w:cs="Arial"/>
                <w:color w:val="000000" w:themeColor="text1"/>
                <w:lang w:val="es-DO"/>
              </w:rPr>
            </w:pPr>
            <w:r w:rsidRPr="00DD37EC">
              <w:rPr>
                <w:rFonts w:ascii="Arial" w:hAnsi="Arial" w:cs="Arial"/>
                <w:b/>
                <w:i/>
                <w:color w:val="000000" w:themeColor="text1"/>
                <w:lang w:val="es-DO"/>
              </w:rPr>
              <w:t>PVIH con CV suprimida</w:t>
            </w:r>
            <w:r w:rsidRPr="00DD37EC">
              <w:rPr>
                <w:rFonts w:ascii="Arial" w:hAnsi="Arial" w:cs="Arial"/>
                <w:color w:val="000000" w:themeColor="text1"/>
                <w:lang w:val="es-DO"/>
              </w:rPr>
              <w:t xml:space="preserve">: </w:t>
            </w:r>
          </w:p>
          <w:p w14:paraId="2FF390AB" w14:textId="5D851A96" w:rsidR="000C53F6" w:rsidRPr="00DD37EC" w:rsidRDefault="000C53F6" w:rsidP="00DD37EC">
            <w:pPr>
              <w:spacing w:after="240"/>
              <w:contextualSpacing/>
              <w:jc w:val="center"/>
              <w:rPr>
                <w:rFonts w:ascii="Arial" w:hAnsi="Arial" w:cs="Arial"/>
                <w:color w:val="000000" w:themeColor="text1"/>
                <w:lang w:val="es-DO"/>
              </w:rPr>
            </w:pPr>
            <w:r w:rsidRPr="00DD37EC">
              <w:rPr>
                <w:rFonts w:ascii="Arial" w:hAnsi="Arial" w:cs="Arial"/>
                <w:color w:val="000000" w:themeColor="text1"/>
                <w:lang w:val="es-DO"/>
              </w:rPr>
              <w:t>7,718 PVIH</w:t>
            </w:r>
          </w:p>
          <w:p w14:paraId="2E01CB9C" w14:textId="134BC9B0" w:rsidR="000C53F6" w:rsidRPr="00167C47" w:rsidRDefault="004A7018" w:rsidP="00DD37EC">
            <w:pPr>
              <w:spacing w:after="240"/>
              <w:contextualSpacing/>
              <w:jc w:val="center"/>
              <w:rPr>
                <w:rFonts w:ascii="Arial" w:hAnsi="Arial" w:cs="Arial"/>
                <w:i/>
                <w:color w:val="000000" w:themeColor="text1"/>
                <w:sz w:val="14"/>
                <w:szCs w:val="14"/>
                <w:lang w:val="es-DO"/>
              </w:rPr>
            </w:pPr>
            <w:r>
              <w:rPr>
                <w:rFonts w:ascii="Arial" w:hAnsi="Arial" w:cs="Arial"/>
                <w:i/>
                <w:color w:val="000000" w:themeColor="text1"/>
                <w:sz w:val="14"/>
                <w:szCs w:val="14"/>
                <w:lang w:val="es-DO"/>
              </w:rPr>
              <w:t>SESAL 2017</w:t>
            </w:r>
          </w:p>
          <w:p w14:paraId="15ECF132" w14:textId="77777777" w:rsidR="000C53F6" w:rsidRPr="00DD37EC" w:rsidRDefault="000C53F6" w:rsidP="00DD37EC">
            <w:pPr>
              <w:spacing w:after="240"/>
              <w:contextualSpacing/>
              <w:rPr>
                <w:rFonts w:ascii="Arial" w:hAnsi="Arial" w:cs="Arial"/>
                <w:color w:val="000000" w:themeColor="text1"/>
                <w:lang w:val="es-DO"/>
              </w:rPr>
            </w:pPr>
          </w:p>
        </w:tc>
      </w:tr>
    </w:tbl>
    <w:p w14:paraId="76BEA74E" w14:textId="64EE4562" w:rsidR="000C53F6" w:rsidRPr="006D2E03" w:rsidRDefault="000C53F6" w:rsidP="006D2E03">
      <w:pPr>
        <w:spacing w:after="240" w:line="240" w:lineRule="auto"/>
        <w:jc w:val="both"/>
        <w:rPr>
          <w:rFonts w:ascii="Arial" w:hAnsi="Arial" w:cs="Arial"/>
          <w:color w:val="000000" w:themeColor="text1"/>
          <w:lang w:val="es-DO"/>
        </w:rPr>
      </w:pPr>
      <w:r w:rsidRPr="00DD37EC">
        <w:rPr>
          <w:rFonts w:ascii="Arial" w:hAnsi="Arial" w:cs="Arial"/>
          <w:color w:val="000000" w:themeColor="text1"/>
          <w:lang w:val="es-DO"/>
        </w:rPr>
        <w:t xml:space="preserve">El </w:t>
      </w:r>
      <w:r w:rsidR="004A7018">
        <w:rPr>
          <w:rFonts w:ascii="Arial" w:hAnsi="Arial" w:cs="Arial"/>
          <w:b/>
          <w:color w:val="000000" w:themeColor="text1"/>
          <w:lang w:val="es-DO"/>
        </w:rPr>
        <w:t>68</w:t>
      </w:r>
      <w:r w:rsidRPr="00DD37EC">
        <w:rPr>
          <w:rFonts w:ascii="Arial" w:hAnsi="Arial" w:cs="Arial"/>
          <w:b/>
          <w:color w:val="000000" w:themeColor="text1"/>
          <w:lang w:val="es-DO"/>
        </w:rPr>
        <w:t>% (</w:t>
      </w:r>
      <w:r w:rsidR="004A7018">
        <w:rPr>
          <w:rFonts w:ascii="Arial" w:hAnsi="Arial" w:cs="Arial"/>
          <w:b/>
          <w:color w:val="000000" w:themeColor="text1"/>
          <w:lang w:val="es-DO"/>
        </w:rPr>
        <w:t>7,875</w:t>
      </w:r>
      <w:r w:rsidRPr="00DD37EC">
        <w:rPr>
          <w:rFonts w:ascii="Arial" w:hAnsi="Arial" w:cs="Arial"/>
          <w:b/>
          <w:color w:val="000000" w:themeColor="text1"/>
          <w:lang w:val="es-DO"/>
        </w:rPr>
        <w:t>)</w:t>
      </w:r>
      <w:r w:rsidRPr="00DD37EC">
        <w:rPr>
          <w:rFonts w:ascii="Arial" w:hAnsi="Arial" w:cs="Arial"/>
          <w:color w:val="000000" w:themeColor="text1"/>
          <w:lang w:val="es-DO"/>
        </w:rPr>
        <w:t xml:space="preserve"> de las PVIH en TARV poseen supresión viral en el 2017, dejando una brecha de </w:t>
      </w:r>
      <w:r w:rsidR="004A7018">
        <w:rPr>
          <w:rFonts w:ascii="Arial" w:eastAsia="Times New Roman" w:hAnsi="Arial" w:cs="Arial"/>
          <w:color w:val="000000"/>
          <w:lang w:val="es-DO"/>
        </w:rPr>
        <w:t xml:space="preserve">8,243 </w:t>
      </w:r>
      <w:r w:rsidRPr="00DD37EC">
        <w:rPr>
          <w:rFonts w:ascii="Arial" w:hAnsi="Arial" w:cs="Arial"/>
          <w:color w:val="000000" w:themeColor="text1"/>
          <w:lang w:val="es-DO"/>
        </w:rPr>
        <w:t>de PVIH en TARV que deberán tener carga viral suprimida para el 2020.</w:t>
      </w:r>
    </w:p>
    <w:p w14:paraId="2D11715D" w14:textId="2DBFB348" w:rsidR="000C53F6" w:rsidRPr="00DD37EC" w:rsidRDefault="000C53F6" w:rsidP="00923B98">
      <w:pPr>
        <w:spacing w:after="240" w:line="240" w:lineRule="auto"/>
        <w:jc w:val="both"/>
        <w:rPr>
          <w:rFonts w:ascii="Arial" w:hAnsi="Arial" w:cs="Arial"/>
          <w:lang w:val="es-DO"/>
        </w:rPr>
      </w:pPr>
      <w:bookmarkStart w:id="42" w:name="_Toc529882111"/>
      <w:r w:rsidRPr="00DD37EC">
        <w:rPr>
          <w:rFonts w:ascii="Arial" w:hAnsi="Arial" w:cs="Arial"/>
          <w:lang w:val="es-DO"/>
        </w:rPr>
        <w:t>En el año 2014 se tomaron 12,137 pruebas de CD4, de 9,926 personas con VIH (niños, adolescentes y adultos), que recibían un esquema ARV (primera, segunda o tercera línea) la proporción de personas por prueba fue de 1.2. En relación a las pruebas de carga viral, el 81.3% (7733/9926) de las personas en TARV se le realizó una prueba</w:t>
      </w:r>
      <w:r w:rsidR="00B666D0">
        <w:rPr>
          <w:rFonts w:ascii="Arial" w:hAnsi="Arial" w:cs="Arial"/>
          <w:lang w:val="es-DO"/>
        </w:rPr>
        <w:t>.</w:t>
      </w:r>
      <w:r w:rsidRPr="00DD37EC">
        <w:rPr>
          <w:rStyle w:val="FootnoteReference"/>
          <w:rFonts w:ascii="Arial" w:hAnsi="Arial" w:cs="Arial"/>
          <w:lang w:val="es-DO"/>
        </w:rPr>
        <w:footnoteReference w:id="50"/>
      </w:r>
      <w:bookmarkEnd w:id="42"/>
      <w:r w:rsidRPr="00DD37EC">
        <w:rPr>
          <w:rFonts w:ascii="Arial" w:hAnsi="Arial" w:cs="Arial"/>
          <w:lang w:val="es-DO"/>
        </w:rPr>
        <w:t xml:space="preserve"> </w:t>
      </w:r>
    </w:p>
    <w:p w14:paraId="7C50D246" w14:textId="7553D253" w:rsidR="000C53F6" w:rsidRPr="00DD37EC" w:rsidRDefault="000C53F6" w:rsidP="00923B98">
      <w:pPr>
        <w:spacing w:after="240" w:line="240" w:lineRule="auto"/>
        <w:jc w:val="both"/>
        <w:rPr>
          <w:rFonts w:ascii="Arial" w:hAnsi="Arial" w:cs="Arial"/>
          <w:lang w:val="es-DO"/>
        </w:rPr>
      </w:pPr>
      <w:r w:rsidRPr="00DD37EC">
        <w:rPr>
          <w:rFonts w:ascii="Arial" w:hAnsi="Arial" w:cs="Arial"/>
          <w:lang w:val="es-DO"/>
        </w:rPr>
        <w:t xml:space="preserve">Los reactivos para la carga viral son adquiridos en su totalidad a través del proyecto del FM y la SESAL adquiere los reactivos para los CD4. Estas pruebas se realizan en el laboratorio nacional de referencia. Esta situación atenta contra la sostenibilidad y el alcance del 3er 90, ya que los recursos económicos para la adquisición de la carga viral son por fuente internacional. Además, las pruebas se realizan en un solo laboratorio, lo que pudiera crear cuellos de botellas en el procesamiento de las muestras y no tener un resultado de forma oportuna. </w:t>
      </w:r>
    </w:p>
    <w:p w14:paraId="439FB8B9" w14:textId="6CE26413" w:rsidR="000C53F6" w:rsidRPr="00DD37EC" w:rsidRDefault="000C53F6" w:rsidP="00923B98">
      <w:pPr>
        <w:spacing w:after="240" w:line="240" w:lineRule="auto"/>
        <w:jc w:val="both"/>
        <w:rPr>
          <w:rFonts w:ascii="Arial" w:hAnsi="Arial" w:cs="Arial"/>
          <w:lang w:val="es-DO"/>
        </w:rPr>
      </w:pPr>
      <w:r w:rsidRPr="00DD37EC">
        <w:rPr>
          <w:rFonts w:ascii="Arial" w:hAnsi="Arial" w:cs="Arial"/>
          <w:lang w:val="es-DO"/>
        </w:rPr>
        <w:t xml:space="preserve">En el reporte de evaluación de la Respuesta Nacional del 2015, se presenta que en el 71% (34/49) de los SAI que brindan el servicio de </w:t>
      </w:r>
      <w:r w:rsidR="00B666D0">
        <w:rPr>
          <w:rFonts w:ascii="Arial" w:hAnsi="Arial" w:cs="Arial"/>
          <w:lang w:val="es-DO"/>
        </w:rPr>
        <w:t>c</w:t>
      </w:r>
      <w:r w:rsidRPr="00DD37EC">
        <w:rPr>
          <w:rFonts w:ascii="Arial" w:hAnsi="Arial" w:cs="Arial"/>
          <w:lang w:val="es-DO"/>
        </w:rPr>
        <w:t xml:space="preserve">arga </w:t>
      </w:r>
      <w:r w:rsidR="00B666D0">
        <w:rPr>
          <w:rFonts w:ascii="Arial" w:hAnsi="Arial" w:cs="Arial"/>
          <w:lang w:val="es-DO"/>
        </w:rPr>
        <w:t>v</w:t>
      </w:r>
      <w:r w:rsidRPr="00DD37EC">
        <w:rPr>
          <w:rFonts w:ascii="Arial" w:hAnsi="Arial" w:cs="Arial"/>
          <w:lang w:val="es-DO"/>
        </w:rPr>
        <w:t>iral solo 56% de las PVIH que reciben ARV se les realizó la prueba de la carga viral y registraron ≤ 1.000 copias tras 12 meses de tratamiento.</w:t>
      </w:r>
    </w:p>
    <w:tbl>
      <w:tblPr>
        <w:tblStyle w:val="PlainTable3"/>
        <w:tblW w:w="9990" w:type="dxa"/>
        <w:tblLook w:val="04A0" w:firstRow="1" w:lastRow="0" w:firstColumn="1" w:lastColumn="0" w:noHBand="0" w:noVBand="1"/>
      </w:tblPr>
      <w:tblGrid>
        <w:gridCol w:w="1800"/>
        <w:gridCol w:w="8190"/>
      </w:tblGrid>
      <w:tr w:rsidR="000C53F6" w:rsidRPr="00392E34" w14:paraId="0E76596B" w14:textId="77777777" w:rsidTr="005F404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990" w:type="dxa"/>
            <w:gridSpan w:val="2"/>
          </w:tcPr>
          <w:p w14:paraId="47CC94D4" w14:textId="77777777" w:rsidR="000C53F6" w:rsidRPr="00DD37EC" w:rsidRDefault="000C53F6" w:rsidP="00DD37EC">
            <w:pPr>
              <w:spacing w:after="240"/>
              <w:contextualSpacing/>
              <w:jc w:val="both"/>
              <w:rPr>
                <w:rFonts w:ascii="Arial" w:hAnsi="Arial" w:cs="Arial"/>
                <w:b w:val="0"/>
                <w:lang w:val="es-DO"/>
              </w:rPr>
            </w:pPr>
            <w:r w:rsidRPr="00DD37EC">
              <w:rPr>
                <w:rFonts w:ascii="Arial" w:hAnsi="Arial" w:cs="Arial"/>
                <w:b w:val="0"/>
                <w:lang w:val="es-DO"/>
              </w:rPr>
              <w:t>Resumen de Fortalezas y debilidades en la supresion viral (3er 90)</w:t>
            </w:r>
          </w:p>
        </w:tc>
      </w:tr>
      <w:tr w:rsidR="000C53F6" w:rsidRPr="00392E34" w14:paraId="1E79FFDF" w14:textId="77777777" w:rsidTr="005F40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Pr>
          <w:p w14:paraId="6D510D86" w14:textId="77777777" w:rsidR="000C53F6" w:rsidRPr="00DD37EC" w:rsidRDefault="000C53F6" w:rsidP="00DD37EC">
            <w:pPr>
              <w:spacing w:after="240"/>
              <w:contextualSpacing/>
              <w:jc w:val="both"/>
              <w:rPr>
                <w:rFonts w:ascii="Arial" w:hAnsi="Arial" w:cs="Arial"/>
                <w:lang w:val="es-DO"/>
              </w:rPr>
            </w:pPr>
            <w:r w:rsidRPr="00DD37EC">
              <w:rPr>
                <w:rFonts w:ascii="Arial" w:hAnsi="Arial" w:cs="Arial"/>
                <w:lang w:val="es-DO"/>
              </w:rPr>
              <w:t>fortalezas</w:t>
            </w:r>
          </w:p>
        </w:tc>
        <w:tc>
          <w:tcPr>
            <w:tcW w:w="8190" w:type="dxa"/>
          </w:tcPr>
          <w:p w14:paraId="3AA9C868" w14:textId="515A7196" w:rsidR="000C53F6" w:rsidRPr="00DD37EC" w:rsidRDefault="000C53F6" w:rsidP="00DD37EC">
            <w:pPr>
              <w:spacing w:after="240"/>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lang w:val="es-DO"/>
              </w:rPr>
            </w:pPr>
            <w:r w:rsidRPr="00DD37EC">
              <w:rPr>
                <w:rFonts w:ascii="Arial" w:hAnsi="Arial" w:cs="Arial"/>
                <w:lang w:val="es-DO"/>
              </w:rPr>
              <w:t>La realización de las pruebas de seguimiento inmunológico está protocolizada</w:t>
            </w:r>
          </w:p>
        </w:tc>
      </w:tr>
      <w:tr w:rsidR="000C53F6" w:rsidRPr="00392E34" w14:paraId="2791996E" w14:textId="77777777" w:rsidTr="005F4042">
        <w:tc>
          <w:tcPr>
            <w:cnfStyle w:val="001000000000" w:firstRow="0" w:lastRow="0" w:firstColumn="1" w:lastColumn="0" w:oddVBand="0" w:evenVBand="0" w:oddHBand="0" w:evenHBand="0" w:firstRowFirstColumn="0" w:firstRowLastColumn="0" w:lastRowFirstColumn="0" w:lastRowLastColumn="0"/>
            <w:tcW w:w="1800" w:type="dxa"/>
          </w:tcPr>
          <w:p w14:paraId="4959C96E" w14:textId="77777777" w:rsidR="000C53F6" w:rsidRPr="00DD37EC" w:rsidRDefault="000C53F6" w:rsidP="00DD37EC">
            <w:pPr>
              <w:spacing w:after="240"/>
              <w:contextualSpacing/>
              <w:jc w:val="both"/>
              <w:rPr>
                <w:rFonts w:ascii="Arial" w:hAnsi="Arial" w:cs="Arial"/>
                <w:lang w:val="es-DO"/>
              </w:rPr>
            </w:pPr>
          </w:p>
        </w:tc>
        <w:tc>
          <w:tcPr>
            <w:tcW w:w="8190" w:type="dxa"/>
          </w:tcPr>
          <w:p w14:paraId="14915C60" w14:textId="77777777" w:rsidR="000C53F6" w:rsidRPr="00DD37EC" w:rsidRDefault="000C53F6" w:rsidP="00DD37EC">
            <w:pPr>
              <w:spacing w:after="240"/>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lang w:val="es-DO"/>
              </w:rPr>
            </w:pPr>
            <w:r w:rsidRPr="00DD37EC">
              <w:rPr>
                <w:rFonts w:ascii="Arial" w:hAnsi="Arial" w:cs="Arial"/>
                <w:lang w:val="es-DO"/>
              </w:rPr>
              <w:t>Los reactivos de CD4 son provistos por la SESAL</w:t>
            </w:r>
          </w:p>
        </w:tc>
      </w:tr>
      <w:tr w:rsidR="000C53F6" w:rsidRPr="00392E34" w14:paraId="69D995CF" w14:textId="77777777" w:rsidTr="005F40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Pr>
          <w:p w14:paraId="17B7E08A" w14:textId="77777777" w:rsidR="000C53F6" w:rsidRPr="00DD37EC" w:rsidRDefault="000C53F6" w:rsidP="00DD37EC">
            <w:pPr>
              <w:spacing w:after="240"/>
              <w:contextualSpacing/>
              <w:jc w:val="both"/>
              <w:rPr>
                <w:rFonts w:ascii="Arial" w:hAnsi="Arial" w:cs="Arial"/>
                <w:b w:val="0"/>
                <w:lang w:val="es-DO"/>
              </w:rPr>
            </w:pPr>
            <w:r w:rsidRPr="00DD37EC">
              <w:rPr>
                <w:rFonts w:ascii="Arial" w:hAnsi="Arial" w:cs="Arial"/>
                <w:lang w:val="es-DO"/>
              </w:rPr>
              <w:t xml:space="preserve">Debilidades </w:t>
            </w:r>
          </w:p>
        </w:tc>
        <w:tc>
          <w:tcPr>
            <w:tcW w:w="8190" w:type="dxa"/>
          </w:tcPr>
          <w:p w14:paraId="042DBDDE" w14:textId="77777777" w:rsidR="000C53F6" w:rsidRPr="00DD37EC" w:rsidRDefault="000C53F6" w:rsidP="00DD37EC">
            <w:pPr>
              <w:spacing w:after="240"/>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lang w:val="es-DO"/>
              </w:rPr>
            </w:pPr>
            <w:r w:rsidRPr="00DD37EC">
              <w:rPr>
                <w:rFonts w:ascii="Arial" w:hAnsi="Arial" w:cs="Arial"/>
                <w:lang w:val="es-DO"/>
              </w:rPr>
              <w:t xml:space="preserve">Solo se realiza una prueba de CV y CD4 al año </w:t>
            </w:r>
          </w:p>
        </w:tc>
      </w:tr>
      <w:tr w:rsidR="000C53F6" w:rsidRPr="00392E34" w14:paraId="48AB129B" w14:textId="77777777" w:rsidTr="005F4042">
        <w:tc>
          <w:tcPr>
            <w:cnfStyle w:val="001000000000" w:firstRow="0" w:lastRow="0" w:firstColumn="1" w:lastColumn="0" w:oddVBand="0" w:evenVBand="0" w:oddHBand="0" w:evenHBand="0" w:firstRowFirstColumn="0" w:firstRowLastColumn="0" w:lastRowFirstColumn="0" w:lastRowLastColumn="0"/>
            <w:tcW w:w="1800" w:type="dxa"/>
          </w:tcPr>
          <w:p w14:paraId="5B550DD3" w14:textId="77777777" w:rsidR="000C53F6" w:rsidRPr="00DD37EC" w:rsidRDefault="000C53F6" w:rsidP="00DD37EC">
            <w:pPr>
              <w:spacing w:after="240"/>
              <w:contextualSpacing/>
              <w:jc w:val="both"/>
              <w:rPr>
                <w:rFonts w:ascii="Arial" w:hAnsi="Arial" w:cs="Arial"/>
                <w:b w:val="0"/>
                <w:lang w:val="es-DO"/>
              </w:rPr>
            </w:pPr>
          </w:p>
        </w:tc>
        <w:tc>
          <w:tcPr>
            <w:tcW w:w="8190" w:type="dxa"/>
          </w:tcPr>
          <w:p w14:paraId="69003982" w14:textId="77777777" w:rsidR="000C53F6" w:rsidRPr="00DD37EC" w:rsidRDefault="000C53F6" w:rsidP="00DD37EC">
            <w:pPr>
              <w:spacing w:after="240"/>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lang w:val="es-DO"/>
              </w:rPr>
            </w:pPr>
            <w:r w:rsidRPr="00DD37EC">
              <w:rPr>
                <w:rFonts w:ascii="Arial" w:hAnsi="Arial" w:cs="Arial"/>
                <w:lang w:val="es-DO"/>
              </w:rPr>
              <w:t>Desempeño de la calidad de CD4 en un 80%</w:t>
            </w:r>
          </w:p>
        </w:tc>
      </w:tr>
      <w:tr w:rsidR="000C53F6" w:rsidRPr="00392E34" w14:paraId="71606D0B" w14:textId="77777777" w:rsidTr="005F40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Pr>
          <w:p w14:paraId="65F5B11A" w14:textId="77777777" w:rsidR="000C53F6" w:rsidRPr="00DD37EC" w:rsidRDefault="000C53F6" w:rsidP="00DD37EC">
            <w:pPr>
              <w:spacing w:after="240"/>
              <w:contextualSpacing/>
              <w:jc w:val="both"/>
              <w:rPr>
                <w:rFonts w:ascii="Arial" w:hAnsi="Arial" w:cs="Arial"/>
                <w:b w:val="0"/>
                <w:lang w:val="es-DO"/>
              </w:rPr>
            </w:pPr>
          </w:p>
        </w:tc>
        <w:tc>
          <w:tcPr>
            <w:tcW w:w="8190" w:type="dxa"/>
          </w:tcPr>
          <w:p w14:paraId="1D9828C2" w14:textId="038F7AD0" w:rsidR="000C53F6" w:rsidRPr="00DD37EC" w:rsidRDefault="000C53F6" w:rsidP="00DD37EC">
            <w:pPr>
              <w:spacing w:after="240"/>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lang w:val="es-DO"/>
              </w:rPr>
            </w:pPr>
            <w:r w:rsidRPr="00DD37EC">
              <w:rPr>
                <w:rFonts w:ascii="Arial" w:hAnsi="Arial" w:cs="Arial"/>
                <w:lang w:val="es-DO"/>
              </w:rPr>
              <w:t>Limitaciones en el seguimiento a la prescripción de la prueba de CV y su monitoreo (</w:t>
            </w:r>
            <w:r w:rsidR="00B666D0">
              <w:rPr>
                <w:rFonts w:ascii="Arial" w:hAnsi="Arial" w:cs="Arial"/>
                <w:lang w:val="es-DO"/>
              </w:rPr>
              <w:t>f</w:t>
            </w:r>
            <w:r w:rsidRPr="00DD37EC">
              <w:rPr>
                <w:rFonts w:ascii="Arial" w:hAnsi="Arial" w:cs="Arial"/>
                <w:lang w:val="es-DO"/>
              </w:rPr>
              <w:t>lujo de prueba)</w:t>
            </w:r>
          </w:p>
        </w:tc>
      </w:tr>
      <w:tr w:rsidR="000C53F6" w:rsidRPr="00392E34" w14:paraId="52CA4562" w14:textId="77777777" w:rsidTr="005F4042">
        <w:tc>
          <w:tcPr>
            <w:cnfStyle w:val="001000000000" w:firstRow="0" w:lastRow="0" w:firstColumn="1" w:lastColumn="0" w:oddVBand="0" w:evenVBand="0" w:oddHBand="0" w:evenHBand="0" w:firstRowFirstColumn="0" w:firstRowLastColumn="0" w:lastRowFirstColumn="0" w:lastRowLastColumn="0"/>
            <w:tcW w:w="1800" w:type="dxa"/>
          </w:tcPr>
          <w:p w14:paraId="1B4445A5" w14:textId="77777777" w:rsidR="000C53F6" w:rsidRPr="00DD37EC" w:rsidRDefault="000C53F6" w:rsidP="00DD37EC">
            <w:pPr>
              <w:spacing w:after="240"/>
              <w:contextualSpacing/>
              <w:jc w:val="both"/>
              <w:rPr>
                <w:rFonts w:ascii="Arial" w:hAnsi="Arial" w:cs="Arial"/>
                <w:b w:val="0"/>
                <w:lang w:val="es-DO"/>
              </w:rPr>
            </w:pPr>
          </w:p>
        </w:tc>
        <w:tc>
          <w:tcPr>
            <w:tcW w:w="8190" w:type="dxa"/>
          </w:tcPr>
          <w:p w14:paraId="25308E27" w14:textId="132827D6" w:rsidR="000C53F6" w:rsidRPr="00DD37EC" w:rsidRDefault="000C53F6" w:rsidP="00DD37EC">
            <w:pPr>
              <w:spacing w:after="240"/>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lang w:val="es-DO"/>
              </w:rPr>
            </w:pPr>
            <w:r w:rsidRPr="00DD37EC">
              <w:rPr>
                <w:rFonts w:ascii="Arial" w:hAnsi="Arial" w:cs="Arial"/>
                <w:lang w:val="es-DO"/>
              </w:rPr>
              <w:t>No hay datos de retención ni de ab</w:t>
            </w:r>
            <w:r w:rsidR="00C47D54">
              <w:rPr>
                <w:rFonts w:ascii="Arial" w:hAnsi="Arial" w:cs="Arial"/>
                <w:lang w:val="es-DO"/>
              </w:rPr>
              <w:t>andono</w:t>
            </w:r>
          </w:p>
        </w:tc>
      </w:tr>
      <w:tr w:rsidR="000C53F6" w:rsidRPr="00392E34" w14:paraId="7A993C8A" w14:textId="77777777" w:rsidTr="005F40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Pr>
          <w:p w14:paraId="34D4AAED" w14:textId="77777777" w:rsidR="000C53F6" w:rsidRPr="00DD37EC" w:rsidRDefault="000C53F6" w:rsidP="00DD37EC">
            <w:pPr>
              <w:spacing w:after="240"/>
              <w:contextualSpacing/>
              <w:jc w:val="both"/>
              <w:rPr>
                <w:rFonts w:ascii="Arial" w:hAnsi="Arial" w:cs="Arial"/>
                <w:b w:val="0"/>
                <w:lang w:val="es-DO"/>
              </w:rPr>
            </w:pPr>
          </w:p>
        </w:tc>
        <w:tc>
          <w:tcPr>
            <w:tcW w:w="8190" w:type="dxa"/>
          </w:tcPr>
          <w:p w14:paraId="5DAE1645" w14:textId="77777777" w:rsidR="000C53F6" w:rsidRPr="00DD37EC" w:rsidDel="00F10410" w:rsidRDefault="000C53F6" w:rsidP="00DD37EC">
            <w:pPr>
              <w:spacing w:after="240"/>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lang w:val="es-DO"/>
              </w:rPr>
            </w:pPr>
            <w:r w:rsidRPr="00DD37EC">
              <w:rPr>
                <w:rFonts w:ascii="Arial" w:hAnsi="Arial" w:cs="Arial"/>
                <w:lang w:val="es-DO"/>
              </w:rPr>
              <w:t>Los reactivos para la realización de la carga viral con provistos en su totalidad por el Fondo Mundial</w:t>
            </w:r>
          </w:p>
        </w:tc>
      </w:tr>
      <w:tr w:rsidR="000C53F6" w:rsidRPr="00392E34" w14:paraId="49496B09" w14:textId="77777777" w:rsidTr="005F4042">
        <w:tc>
          <w:tcPr>
            <w:cnfStyle w:val="001000000000" w:firstRow="0" w:lastRow="0" w:firstColumn="1" w:lastColumn="0" w:oddVBand="0" w:evenVBand="0" w:oddHBand="0" w:evenHBand="0" w:firstRowFirstColumn="0" w:firstRowLastColumn="0" w:lastRowFirstColumn="0" w:lastRowLastColumn="0"/>
            <w:tcW w:w="1800" w:type="dxa"/>
          </w:tcPr>
          <w:p w14:paraId="63B4746A" w14:textId="77777777" w:rsidR="000C53F6" w:rsidRPr="00DD37EC" w:rsidRDefault="000C53F6" w:rsidP="00DD37EC">
            <w:pPr>
              <w:spacing w:after="240"/>
              <w:contextualSpacing/>
              <w:jc w:val="both"/>
              <w:rPr>
                <w:rFonts w:ascii="Arial" w:hAnsi="Arial" w:cs="Arial"/>
                <w:b w:val="0"/>
                <w:lang w:val="es-DO"/>
              </w:rPr>
            </w:pPr>
          </w:p>
        </w:tc>
        <w:tc>
          <w:tcPr>
            <w:tcW w:w="8190" w:type="dxa"/>
          </w:tcPr>
          <w:p w14:paraId="1CE2F122" w14:textId="039A7E18" w:rsidR="000C53F6" w:rsidRPr="00DD37EC" w:rsidRDefault="000C53F6" w:rsidP="00DD37EC">
            <w:pPr>
              <w:spacing w:after="240"/>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lang w:val="es-DO"/>
              </w:rPr>
            </w:pPr>
            <w:r w:rsidRPr="00DD37EC">
              <w:rPr>
                <w:rFonts w:ascii="Arial" w:hAnsi="Arial" w:cs="Arial"/>
                <w:lang w:val="es-DO"/>
              </w:rPr>
              <w:t xml:space="preserve">Solo el 45% de las PVIH están en supresión viral </w:t>
            </w:r>
          </w:p>
        </w:tc>
      </w:tr>
      <w:tr w:rsidR="000C53F6" w:rsidRPr="00392E34" w14:paraId="5A2DB903" w14:textId="77777777" w:rsidTr="005F40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Pr>
          <w:p w14:paraId="209C0F43" w14:textId="77777777" w:rsidR="000C53F6" w:rsidRPr="00DD37EC" w:rsidRDefault="000C53F6" w:rsidP="00DD37EC">
            <w:pPr>
              <w:spacing w:after="240"/>
              <w:contextualSpacing/>
              <w:jc w:val="both"/>
              <w:rPr>
                <w:rFonts w:ascii="Arial" w:hAnsi="Arial" w:cs="Arial"/>
                <w:b w:val="0"/>
                <w:lang w:val="es-DO"/>
              </w:rPr>
            </w:pPr>
          </w:p>
        </w:tc>
        <w:tc>
          <w:tcPr>
            <w:tcW w:w="8190" w:type="dxa"/>
          </w:tcPr>
          <w:p w14:paraId="1E0252C3" w14:textId="77777777" w:rsidR="000C53F6" w:rsidRPr="00DD37EC" w:rsidRDefault="000C53F6" w:rsidP="00DD37EC">
            <w:pPr>
              <w:spacing w:after="240"/>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lang w:val="es-DO"/>
              </w:rPr>
            </w:pPr>
            <w:r w:rsidRPr="00DD37EC">
              <w:rPr>
                <w:rFonts w:ascii="Arial" w:hAnsi="Arial" w:cs="Arial"/>
                <w:lang w:val="es-DO"/>
              </w:rPr>
              <w:t xml:space="preserve">Existe un solo laboratorio procesador de carga viral a nivel nacional </w:t>
            </w:r>
          </w:p>
        </w:tc>
      </w:tr>
    </w:tbl>
    <w:p w14:paraId="2457C779" w14:textId="77777777" w:rsidR="000C53F6" w:rsidRPr="00DD37EC" w:rsidRDefault="000C53F6" w:rsidP="00C47D54">
      <w:pPr>
        <w:spacing w:after="240" w:line="240" w:lineRule="auto"/>
        <w:rPr>
          <w:rFonts w:ascii="Arial" w:hAnsi="Arial" w:cs="Arial"/>
          <w:lang w:val="es-MX"/>
        </w:rPr>
      </w:pPr>
    </w:p>
    <w:p w14:paraId="7BC61716" w14:textId="705C5CCB" w:rsidR="004B6BFF" w:rsidRPr="00DD37EC" w:rsidRDefault="004B6BFF" w:rsidP="0068285B">
      <w:pPr>
        <w:pStyle w:val="Heading2"/>
        <w:numPr>
          <w:ilvl w:val="1"/>
          <w:numId w:val="15"/>
        </w:numPr>
        <w:spacing w:before="0" w:after="240" w:line="240" w:lineRule="auto"/>
        <w:rPr>
          <w:rFonts w:ascii="Arial" w:hAnsi="Arial" w:cs="Arial"/>
          <w:sz w:val="22"/>
          <w:szCs w:val="22"/>
          <w:lang w:val="es-419"/>
        </w:rPr>
      </w:pPr>
      <w:bookmarkStart w:id="43" w:name="_Toc8905227"/>
      <w:bookmarkStart w:id="44" w:name="_Hlk534625744"/>
      <w:r w:rsidRPr="00DD37EC">
        <w:rPr>
          <w:rFonts w:ascii="Arial" w:hAnsi="Arial" w:cs="Arial"/>
          <w:sz w:val="22"/>
          <w:szCs w:val="22"/>
          <w:lang w:val="es-419"/>
        </w:rPr>
        <w:t>Aspectos operativos</w:t>
      </w:r>
      <w:bookmarkEnd w:id="43"/>
    </w:p>
    <w:p w14:paraId="4EB7C77A" w14:textId="72BAEB07" w:rsidR="000C53F6" w:rsidRPr="00DD37EC" w:rsidRDefault="00C47D54" w:rsidP="006D2E03">
      <w:pPr>
        <w:pStyle w:val="Heading3"/>
        <w:spacing w:before="0" w:after="240" w:line="240" w:lineRule="auto"/>
        <w:rPr>
          <w:rFonts w:ascii="Arial" w:hAnsi="Arial" w:cs="Arial"/>
          <w:sz w:val="22"/>
          <w:szCs w:val="22"/>
          <w:lang w:val="es-DO"/>
        </w:rPr>
      </w:pPr>
      <w:bookmarkStart w:id="45" w:name="_Toc8905228"/>
      <w:r>
        <w:rPr>
          <w:rFonts w:ascii="Arial" w:hAnsi="Arial" w:cs="Arial"/>
          <w:sz w:val="22"/>
          <w:szCs w:val="22"/>
          <w:lang w:val="es-DO"/>
        </w:rPr>
        <w:t>4.</w:t>
      </w:r>
      <w:r w:rsidR="00A77B7F">
        <w:rPr>
          <w:rFonts w:ascii="Arial" w:hAnsi="Arial" w:cs="Arial"/>
          <w:sz w:val="22"/>
          <w:szCs w:val="22"/>
          <w:lang w:val="es-DO"/>
        </w:rPr>
        <w:t>5</w:t>
      </w:r>
      <w:r w:rsidR="004F0CE9" w:rsidRPr="00DD37EC">
        <w:rPr>
          <w:rFonts w:ascii="Arial" w:hAnsi="Arial" w:cs="Arial"/>
          <w:sz w:val="22"/>
          <w:szCs w:val="22"/>
          <w:lang w:val="es-DO"/>
        </w:rPr>
        <w:t>.1</w:t>
      </w:r>
      <w:r w:rsidR="000C53F6" w:rsidRPr="00DD37EC">
        <w:rPr>
          <w:rFonts w:ascii="Arial" w:hAnsi="Arial" w:cs="Arial"/>
          <w:sz w:val="22"/>
          <w:szCs w:val="22"/>
          <w:lang w:val="es-DO"/>
        </w:rPr>
        <w:t xml:space="preserve">. </w:t>
      </w:r>
      <w:r w:rsidR="004B6BFF" w:rsidRPr="00DD37EC">
        <w:rPr>
          <w:rFonts w:ascii="Arial" w:hAnsi="Arial" w:cs="Arial"/>
          <w:sz w:val="22"/>
          <w:szCs w:val="22"/>
          <w:lang w:val="es-DO"/>
        </w:rPr>
        <w:t>Adquisición de productos y gestión suministros</w:t>
      </w:r>
      <w:bookmarkEnd w:id="44"/>
      <w:bookmarkEnd w:id="45"/>
    </w:p>
    <w:p w14:paraId="0D72E9B4" w14:textId="2156F7DA" w:rsidR="003C5655" w:rsidRDefault="000C53F6" w:rsidP="006D2E03">
      <w:pPr>
        <w:spacing w:after="240" w:line="240" w:lineRule="auto"/>
        <w:jc w:val="both"/>
        <w:rPr>
          <w:rFonts w:ascii="Arial" w:hAnsi="Arial" w:cs="Arial"/>
          <w:shd w:val="clear" w:color="auto" w:fill="D9D9D9" w:themeFill="background1" w:themeFillShade="D9"/>
          <w:lang w:val="es-DO"/>
        </w:rPr>
      </w:pPr>
      <w:r w:rsidRPr="00DD37EC">
        <w:rPr>
          <w:rFonts w:ascii="Arial" w:hAnsi="Arial" w:cs="Arial"/>
          <w:lang w:val="es-DO"/>
        </w:rPr>
        <w:t>Los medicamentos ARV se encuentran en el cuadro básico de medicamentos esenciales, actualizado a finales del 2017 y en espera de ser publicado y difundido</w:t>
      </w:r>
      <w:r w:rsidR="00274360">
        <w:rPr>
          <w:rFonts w:ascii="Arial" w:hAnsi="Arial" w:cs="Arial"/>
          <w:lang w:val="es-DO"/>
        </w:rPr>
        <w:t>.</w:t>
      </w:r>
      <w:r w:rsidRPr="00DD37EC">
        <w:rPr>
          <w:rStyle w:val="FootnoteReference"/>
          <w:rFonts w:ascii="Arial" w:hAnsi="Arial" w:cs="Arial"/>
          <w:lang w:val="es-DO"/>
        </w:rPr>
        <w:footnoteReference w:id="51"/>
      </w:r>
      <w:r w:rsidRPr="00DD37EC">
        <w:rPr>
          <w:rFonts w:ascii="Arial" w:hAnsi="Arial" w:cs="Arial"/>
          <w:lang w:val="es-DO"/>
        </w:rPr>
        <w:t xml:space="preserve"> En las entrevistas con personal del proyecto del FM, estos expresaron que han adquirido medicamentos de 1era, 2da y 3era línea de emergencia durante el 2017 y 2018, debido a desabastecimientos. Los reactivos de carga viral son </w:t>
      </w:r>
      <w:r w:rsidRPr="00DD37EC">
        <w:rPr>
          <w:rFonts w:ascii="Arial" w:hAnsi="Arial" w:cs="Arial"/>
          <w:lang w:val="es-DO"/>
        </w:rPr>
        <w:lastRenderedPageBreak/>
        <w:t xml:space="preserve">adquiridos en su totalidad por el FM por un </w:t>
      </w:r>
      <w:r w:rsidRPr="009C1B59">
        <w:rPr>
          <w:rFonts w:ascii="Arial" w:hAnsi="Arial" w:cs="Arial"/>
          <w:lang w:val="es-DO"/>
        </w:rPr>
        <w:t xml:space="preserve">monto anual aproximado </w:t>
      </w:r>
      <w:r w:rsidR="003C5655" w:rsidRPr="009C1B59">
        <w:rPr>
          <w:rFonts w:ascii="Arial" w:hAnsi="Arial" w:cs="Arial"/>
          <w:lang w:val="es-DO"/>
        </w:rPr>
        <w:t>de US$ 22 mil USD por año (L$ 1,101,217 en los años 3 y 4 de la última subvención)</w:t>
      </w:r>
      <w:r w:rsidR="003C5655" w:rsidRPr="009C1B59">
        <w:rPr>
          <w:rStyle w:val="FootnoteReference"/>
          <w:rFonts w:ascii="Arial" w:hAnsi="Arial" w:cs="Arial"/>
          <w:lang w:val="es-DO"/>
        </w:rPr>
        <w:footnoteReference w:id="52"/>
      </w:r>
    </w:p>
    <w:p w14:paraId="2395789C" w14:textId="3E13821A" w:rsidR="000C53F6" w:rsidRPr="00DD37EC" w:rsidRDefault="000C53F6" w:rsidP="006D2E03">
      <w:pPr>
        <w:spacing w:after="240" w:line="240" w:lineRule="auto"/>
        <w:jc w:val="both"/>
        <w:rPr>
          <w:rFonts w:ascii="Arial" w:hAnsi="Arial" w:cs="Arial"/>
          <w:lang w:val="es-DO"/>
        </w:rPr>
      </w:pPr>
      <w:r w:rsidRPr="00DD37EC">
        <w:rPr>
          <w:rFonts w:ascii="Arial" w:hAnsi="Arial" w:cs="Arial"/>
          <w:lang w:val="es-DO"/>
        </w:rPr>
        <w:t>El agente de compras es el Fondo Estratégico de la Organización Panamericana de la Salud (OPS) para los productos que adquiere la SESAL y el mecanismo del FM Pooled Procurement Mechanism (PPM) a través de Partnership for Supply Chain Management (PFSCM) para los productos que se adquieren a través de la subvención del FM. Algunos medicamentos de alto costo (3er línea) y de difícil acceso se adquieren por el mecanismo de compra de Consejo de Ministros de Salud de Centro América (COMISCA), con el objetivo de obtener medicamentos de alta calidad y lograr el abastecimiento oportuno de los mismos</w:t>
      </w:r>
      <w:r w:rsidR="00EC27EC">
        <w:rPr>
          <w:rFonts w:ascii="Arial" w:hAnsi="Arial" w:cs="Arial"/>
          <w:lang w:val="es-DO"/>
        </w:rPr>
        <w:t>.</w:t>
      </w:r>
      <w:r w:rsidRPr="00DD37EC">
        <w:rPr>
          <w:rStyle w:val="FootnoteReference"/>
          <w:rFonts w:ascii="Arial" w:hAnsi="Arial" w:cs="Arial"/>
          <w:lang w:val="es-DO"/>
        </w:rPr>
        <w:footnoteReference w:id="53"/>
      </w:r>
      <w:r w:rsidRPr="00DD37EC">
        <w:rPr>
          <w:rFonts w:ascii="Arial" w:hAnsi="Arial" w:cs="Arial"/>
          <w:lang w:val="es-DO"/>
        </w:rPr>
        <w:t xml:space="preserve"> Las compras y contrataciones son realizadas en el marco del contrato de fideicomiso de administración para la adquisición de medicamentos, material médico quirúrgico, insecticidas e insumos suscrito en 2014 entre la Secretaría de Salud y Banco de Occidente.</w:t>
      </w:r>
    </w:p>
    <w:p w14:paraId="3840BA16" w14:textId="276AC82A" w:rsidR="000C53F6" w:rsidRPr="00DD37EC" w:rsidRDefault="000C53F6" w:rsidP="006D2E03">
      <w:pPr>
        <w:spacing w:after="240" w:line="240" w:lineRule="auto"/>
        <w:jc w:val="both"/>
        <w:rPr>
          <w:rFonts w:ascii="Arial" w:hAnsi="Arial" w:cs="Arial"/>
          <w:color w:val="000000" w:themeColor="text1"/>
          <w:lang w:val="es-DO"/>
        </w:rPr>
      </w:pPr>
      <w:r w:rsidRPr="00DD37EC">
        <w:rPr>
          <w:rFonts w:ascii="Arial" w:hAnsi="Arial" w:cs="Arial"/>
          <w:color w:val="000000" w:themeColor="text1"/>
          <w:lang w:val="es-DO"/>
        </w:rPr>
        <w:t>En 2015, se reporta</w:t>
      </w:r>
      <w:r w:rsidR="00F9134D">
        <w:rPr>
          <w:rFonts w:ascii="Arial" w:hAnsi="Arial" w:cs="Arial"/>
          <w:color w:val="000000" w:themeColor="text1"/>
          <w:lang w:val="es-DO"/>
        </w:rPr>
        <w:t>ron</w:t>
      </w:r>
      <w:r w:rsidRPr="00DD37EC">
        <w:rPr>
          <w:rFonts w:ascii="Arial" w:hAnsi="Arial" w:cs="Arial"/>
          <w:color w:val="000000" w:themeColor="text1"/>
          <w:lang w:val="es-DO"/>
        </w:rPr>
        <w:t xml:space="preserve"> desabastecimientos de ARV en el 49% (24/49) de los SAI a nivel nacional</w:t>
      </w:r>
      <w:r w:rsidR="00CC61A6">
        <w:rPr>
          <w:rFonts w:ascii="Arial" w:hAnsi="Arial" w:cs="Arial"/>
          <w:color w:val="000000" w:themeColor="text1"/>
          <w:lang w:val="es-DO"/>
        </w:rPr>
        <w:t>.</w:t>
      </w:r>
      <w:r w:rsidRPr="00DD37EC">
        <w:rPr>
          <w:rStyle w:val="FootnoteReference"/>
          <w:rFonts w:ascii="Arial" w:hAnsi="Arial" w:cs="Arial"/>
          <w:color w:val="000000" w:themeColor="text1"/>
          <w:lang w:val="es-DO"/>
        </w:rPr>
        <w:footnoteReference w:id="54"/>
      </w:r>
      <w:r w:rsidRPr="00DD37EC">
        <w:rPr>
          <w:rFonts w:ascii="Arial" w:hAnsi="Arial" w:cs="Arial"/>
          <w:color w:val="000000" w:themeColor="text1"/>
          <w:lang w:val="es-DO"/>
        </w:rPr>
        <w:t xml:space="preserve"> Las posibles causas de ruptura del stock referidas en las fuentes secundarias consultadas fueron: </w:t>
      </w:r>
    </w:p>
    <w:p w14:paraId="262FA76C" w14:textId="468DBFFC" w:rsidR="000C53F6" w:rsidRPr="00DD37EC" w:rsidRDefault="000C53F6" w:rsidP="00F9134D">
      <w:pPr>
        <w:pStyle w:val="ListParagraph"/>
        <w:numPr>
          <w:ilvl w:val="0"/>
          <w:numId w:val="2"/>
        </w:numPr>
        <w:spacing w:after="120" w:line="240" w:lineRule="auto"/>
        <w:contextualSpacing w:val="0"/>
        <w:jc w:val="both"/>
        <w:rPr>
          <w:rFonts w:ascii="Arial" w:hAnsi="Arial" w:cs="Arial"/>
          <w:color w:val="000000" w:themeColor="text1"/>
          <w:lang w:val="es-DO"/>
        </w:rPr>
      </w:pPr>
      <w:r w:rsidRPr="00DD37EC">
        <w:rPr>
          <w:rFonts w:ascii="Arial" w:hAnsi="Arial" w:cs="Arial"/>
          <w:color w:val="000000" w:themeColor="text1"/>
          <w:lang w:val="es-DO"/>
        </w:rPr>
        <w:t>El proveedor (OPS) manifestó que estaba desabastecido de la materia prima para la fabricación del medicamento Lopinavir/Ritonavir</w:t>
      </w:r>
    </w:p>
    <w:p w14:paraId="0D36B460" w14:textId="77777777" w:rsidR="000C53F6" w:rsidRPr="00DD37EC" w:rsidRDefault="000C53F6" w:rsidP="00F9134D">
      <w:pPr>
        <w:pStyle w:val="ListParagraph"/>
        <w:numPr>
          <w:ilvl w:val="0"/>
          <w:numId w:val="2"/>
        </w:numPr>
        <w:spacing w:after="120" w:line="240" w:lineRule="auto"/>
        <w:contextualSpacing w:val="0"/>
        <w:jc w:val="both"/>
        <w:rPr>
          <w:rFonts w:ascii="Arial" w:hAnsi="Arial" w:cs="Arial"/>
          <w:color w:val="000000" w:themeColor="text1"/>
          <w:lang w:val="es-DO"/>
        </w:rPr>
      </w:pPr>
      <w:r w:rsidRPr="00DD37EC">
        <w:rPr>
          <w:rFonts w:ascii="Arial" w:hAnsi="Arial" w:cs="Arial"/>
          <w:color w:val="000000" w:themeColor="text1"/>
          <w:lang w:val="es-DO"/>
        </w:rPr>
        <w:t>No se contaba con un agente aduanero</w:t>
      </w:r>
    </w:p>
    <w:p w14:paraId="0B009E5C" w14:textId="11910701" w:rsidR="000C53F6" w:rsidRPr="006D2E03" w:rsidRDefault="000C53F6" w:rsidP="00F9134D">
      <w:pPr>
        <w:pStyle w:val="ListParagraph"/>
        <w:numPr>
          <w:ilvl w:val="0"/>
          <w:numId w:val="2"/>
        </w:numPr>
        <w:spacing w:after="240" w:line="240" w:lineRule="auto"/>
        <w:contextualSpacing w:val="0"/>
        <w:jc w:val="both"/>
        <w:rPr>
          <w:rFonts w:ascii="Arial" w:hAnsi="Arial" w:cs="Arial"/>
          <w:color w:val="000000" w:themeColor="text1"/>
          <w:lang w:val="es-DO"/>
        </w:rPr>
      </w:pPr>
      <w:r w:rsidRPr="00DD37EC">
        <w:rPr>
          <w:rFonts w:ascii="Arial" w:hAnsi="Arial" w:cs="Arial"/>
          <w:color w:val="000000" w:themeColor="text1"/>
          <w:lang w:val="es-DO"/>
        </w:rPr>
        <w:t>Falta de presupuesto para el desaduanaje de los medicamentos.</w:t>
      </w:r>
    </w:p>
    <w:p w14:paraId="5AD454AF" w14:textId="470B0063" w:rsidR="000C53F6" w:rsidRPr="006D2E03" w:rsidRDefault="000C53F6" w:rsidP="006D2E03">
      <w:pPr>
        <w:spacing w:after="240" w:line="240" w:lineRule="auto"/>
        <w:jc w:val="both"/>
        <w:rPr>
          <w:rFonts w:ascii="Arial" w:hAnsi="Arial" w:cs="Arial"/>
          <w:color w:val="000000" w:themeColor="text1"/>
          <w:lang w:val="es-DO"/>
        </w:rPr>
      </w:pPr>
      <w:r w:rsidRPr="00DD37EC">
        <w:rPr>
          <w:rFonts w:ascii="Arial" w:hAnsi="Arial" w:cs="Arial"/>
          <w:color w:val="000000" w:themeColor="text1"/>
          <w:lang w:val="es-DO"/>
        </w:rPr>
        <w:t xml:space="preserve">A </w:t>
      </w:r>
      <w:r w:rsidR="00F9134D">
        <w:rPr>
          <w:rFonts w:ascii="Arial" w:hAnsi="Arial" w:cs="Arial"/>
          <w:color w:val="000000" w:themeColor="text1"/>
          <w:lang w:val="es-DO"/>
        </w:rPr>
        <w:t>finales de noviembre de 2018</w:t>
      </w:r>
      <w:r w:rsidRPr="00DD37EC">
        <w:rPr>
          <w:rFonts w:ascii="Arial" w:hAnsi="Arial" w:cs="Arial"/>
          <w:color w:val="000000" w:themeColor="text1"/>
          <w:lang w:val="es-DO"/>
        </w:rPr>
        <w:t xml:space="preserve">, se encontraban desabastecidos o con stock menor a un mes de consumo 3 medicamentos ARV, incluyendo: Emtricitabina 200mg/ Tenofovir 300mg (1er </w:t>
      </w:r>
      <w:r w:rsidR="006D2E03" w:rsidRPr="00DD37EC">
        <w:rPr>
          <w:rFonts w:ascii="Arial" w:hAnsi="Arial" w:cs="Arial"/>
          <w:color w:val="000000" w:themeColor="text1"/>
          <w:lang w:val="es-DO"/>
        </w:rPr>
        <w:t>línea</w:t>
      </w:r>
      <w:r w:rsidRPr="00DD37EC">
        <w:rPr>
          <w:rFonts w:ascii="Arial" w:hAnsi="Arial" w:cs="Arial"/>
          <w:color w:val="000000" w:themeColor="text1"/>
          <w:lang w:val="es-DO"/>
        </w:rPr>
        <w:t xml:space="preserve">), Lopinavir 200mg/ritonavir 50mg (2da </w:t>
      </w:r>
      <w:r w:rsidR="006D2E03" w:rsidRPr="00DD37EC">
        <w:rPr>
          <w:rFonts w:ascii="Arial" w:hAnsi="Arial" w:cs="Arial"/>
          <w:color w:val="000000" w:themeColor="text1"/>
          <w:lang w:val="es-DO"/>
        </w:rPr>
        <w:t>línea</w:t>
      </w:r>
      <w:r w:rsidRPr="00DD37EC">
        <w:rPr>
          <w:rFonts w:ascii="Arial" w:hAnsi="Arial" w:cs="Arial"/>
          <w:color w:val="000000" w:themeColor="text1"/>
          <w:lang w:val="es-DO"/>
        </w:rPr>
        <w:t xml:space="preserve">) y la Etravirina 200mg (2da </w:t>
      </w:r>
      <w:r w:rsidR="006D2E03" w:rsidRPr="00DD37EC">
        <w:rPr>
          <w:rFonts w:ascii="Arial" w:hAnsi="Arial" w:cs="Arial"/>
          <w:color w:val="000000" w:themeColor="text1"/>
          <w:lang w:val="es-DO"/>
        </w:rPr>
        <w:t>línea</w:t>
      </w:r>
      <w:r w:rsidRPr="00DD37EC">
        <w:rPr>
          <w:rFonts w:ascii="Arial" w:hAnsi="Arial" w:cs="Arial"/>
          <w:color w:val="000000" w:themeColor="text1"/>
          <w:lang w:val="es-DO"/>
        </w:rPr>
        <w:t>)</w:t>
      </w:r>
      <w:r w:rsidR="00CC61A6">
        <w:rPr>
          <w:rFonts w:ascii="Arial" w:hAnsi="Arial" w:cs="Arial"/>
          <w:color w:val="000000" w:themeColor="text1"/>
          <w:lang w:val="es-DO"/>
        </w:rPr>
        <w:t>.</w:t>
      </w:r>
      <w:r w:rsidRPr="00DD37EC">
        <w:rPr>
          <w:rStyle w:val="FootnoteReference"/>
          <w:rFonts w:ascii="Arial" w:hAnsi="Arial" w:cs="Arial"/>
          <w:color w:val="000000" w:themeColor="text1"/>
          <w:lang w:val="es-DO"/>
        </w:rPr>
        <w:footnoteReference w:id="55"/>
      </w:r>
    </w:p>
    <w:p w14:paraId="06AC0EB9" w14:textId="0C1AA7A4" w:rsidR="000C53F6" w:rsidRPr="00DD37EC" w:rsidRDefault="000C53F6" w:rsidP="006D2E03">
      <w:pPr>
        <w:spacing w:after="240" w:line="240" w:lineRule="auto"/>
        <w:jc w:val="both"/>
        <w:rPr>
          <w:rFonts w:ascii="Arial" w:hAnsi="Arial" w:cs="Arial"/>
          <w:color w:val="000000" w:themeColor="text1"/>
          <w:lang w:val="es-DO"/>
        </w:rPr>
      </w:pPr>
      <w:r w:rsidRPr="00DD37EC">
        <w:rPr>
          <w:rFonts w:ascii="Arial" w:hAnsi="Arial" w:cs="Arial"/>
          <w:color w:val="000000" w:themeColor="text1"/>
          <w:lang w:val="es-DO"/>
        </w:rPr>
        <w:t xml:space="preserve">El país trata de prevenir la ruptura del stock de medicamentos a través del fortalecimiento de la cadena logística de suministros, para lo que la SESAL creó una Unidad de Logística de Medicamentos, Insumos y Equipamiento (ULMIE) que es la responsable de garantizar y velar por la adecuada: selección, estimación, compra, almacenamiento y distribución de los medicamentos. Además, se cuenta con una agencia aduanera y el presupuesto por parte de la SESAL para el desaduanaje. </w:t>
      </w:r>
    </w:p>
    <w:p w14:paraId="11BD83A9" w14:textId="122F2CD0" w:rsidR="000C53F6" w:rsidRPr="00DD37EC" w:rsidRDefault="000C53F6" w:rsidP="00224F0E">
      <w:pPr>
        <w:spacing w:after="240" w:line="240" w:lineRule="auto"/>
        <w:jc w:val="both"/>
        <w:rPr>
          <w:rFonts w:ascii="Arial" w:hAnsi="Arial" w:cs="Arial"/>
          <w:color w:val="000000" w:themeColor="text1"/>
          <w:lang w:val="es-DO"/>
        </w:rPr>
      </w:pPr>
      <w:r w:rsidRPr="00DD37EC">
        <w:rPr>
          <w:rFonts w:ascii="Arial" w:hAnsi="Arial" w:cs="Arial"/>
          <w:color w:val="000000" w:themeColor="text1"/>
          <w:lang w:val="es-DO"/>
        </w:rPr>
        <w:t xml:space="preserve">Dentro del plan maestro de aseguramiento de medicamentos e insumos en salud, se encuentra implícito el tema de almacenamiento. La SESAL, promueve la mejora de las condiciones en los almacenamientos, implementando, una </w:t>
      </w:r>
      <w:r w:rsidR="007700DE">
        <w:rPr>
          <w:rFonts w:ascii="Arial" w:hAnsi="Arial" w:cs="Arial"/>
          <w:color w:val="000000" w:themeColor="text1"/>
          <w:lang w:val="es-DO"/>
        </w:rPr>
        <w:t>g</w:t>
      </w:r>
      <w:r w:rsidRPr="00DD37EC">
        <w:rPr>
          <w:rFonts w:ascii="Arial" w:hAnsi="Arial" w:cs="Arial"/>
          <w:color w:val="000000" w:themeColor="text1"/>
          <w:lang w:val="es-DO"/>
        </w:rPr>
        <w:t>uía operativa orientada hacia el cumplimiento buenas prácticas (BPAs), y un mecanismo de control interno a fin de garantizar el buen resguardo de los medicamentos e insumos de salud, esto con el apoyo técnico de UNFPA y la ONG PRISMA.</w:t>
      </w:r>
    </w:p>
    <w:p w14:paraId="521693A7" w14:textId="2CB9A6A4" w:rsidR="000C53F6" w:rsidRPr="00DD37EC" w:rsidRDefault="000C53F6" w:rsidP="006D2E03">
      <w:pPr>
        <w:spacing w:after="240" w:line="240" w:lineRule="auto"/>
        <w:jc w:val="both"/>
        <w:rPr>
          <w:rFonts w:ascii="Arial" w:hAnsi="Arial" w:cs="Arial"/>
          <w:color w:val="000000" w:themeColor="text1"/>
          <w:lang w:val="es-DO"/>
        </w:rPr>
      </w:pPr>
      <w:r w:rsidRPr="00DD37EC">
        <w:rPr>
          <w:rFonts w:ascii="Arial" w:hAnsi="Arial" w:cs="Arial"/>
          <w:color w:val="000000" w:themeColor="text1"/>
          <w:lang w:val="es-DO"/>
        </w:rPr>
        <w:t>Existen desafíos con respecto al cumplimiento de la cadena de frío para</w:t>
      </w:r>
      <w:r w:rsidR="0018451C">
        <w:rPr>
          <w:rFonts w:ascii="Arial" w:hAnsi="Arial" w:cs="Arial"/>
          <w:color w:val="000000" w:themeColor="text1"/>
          <w:lang w:val="es-DO"/>
        </w:rPr>
        <w:t xml:space="preserve"> los</w:t>
      </w:r>
      <w:r w:rsidRPr="00DD37EC">
        <w:rPr>
          <w:rFonts w:ascii="Arial" w:hAnsi="Arial" w:cs="Arial"/>
          <w:color w:val="000000" w:themeColor="text1"/>
          <w:lang w:val="es-DO"/>
        </w:rPr>
        <w:t xml:space="preserve"> ARV que lo requieren, a causa de refrigeración en mal estado. Además, se ha señalado en todos los SAI que la disponibilidad de medicamentos para las enfermedades oportunistas y comunes es muy limitada y que por lo tanto constituye en una gran brecha durante la atención. Por otro lado, la isoniacida que está incluida en los protocolos de tratamiento para la tuberculosis latente en personas con VIH no se administra en ningún SAI ya que no está disponible. </w:t>
      </w:r>
    </w:p>
    <w:p w14:paraId="64E9DACC" w14:textId="36D6F32B" w:rsidR="000C53F6" w:rsidRPr="00DD37EC" w:rsidRDefault="000C53F6" w:rsidP="006D2E03">
      <w:pPr>
        <w:spacing w:after="240" w:line="240" w:lineRule="auto"/>
        <w:jc w:val="both"/>
        <w:rPr>
          <w:rFonts w:ascii="Arial" w:hAnsi="Arial" w:cs="Arial"/>
          <w:color w:val="000000" w:themeColor="text1"/>
          <w:lang w:val="es-DO"/>
        </w:rPr>
      </w:pPr>
      <w:r w:rsidRPr="00DD37EC">
        <w:rPr>
          <w:rFonts w:ascii="Arial" w:hAnsi="Arial" w:cs="Arial"/>
          <w:color w:val="000000" w:themeColor="text1"/>
          <w:lang w:val="es-DO"/>
        </w:rPr>
        <w:lastRenderedPageBreak/>
        <w:t>La distribución de los ARV se realiza desde el almacén central a las regiones de salud y se lleva a cabo conforme a procedimientos estándares. Lo</w:t>
      </w:r>
      <w:r w:rsidR="00FF3514">
        <w:rPr>
          <w:rFonts w:ascii="Arial" w:hAnsi="Arial" w:cs="Arial"/>
          <w:color w:val="000000" w:themeColor="text1"/>
          <w:lang w:val="es-DO"/>
        </w:rPr>
        <w:t>a</w:t>
      </w:r>
      <w:r w:rsidRPr="00DD37EC">
        <w:rPr>
          <w:rFonts w:ascii="Arial" w:hAnsi="Arial" w:cs="Arial"/>
          <w:color w:val="000000" w:themeColor="text1"/>
          <w:lang w:val="es-DO"/>
        </w:rPr>
        <w:t xml:space="preserve"> entrevistados expresaron limitaciones de recursos para las rutas de entrega en los tiempos establecidos para el reabastecimiento. </w:t>
      </w:r>
    </w:p>
    <w:p w14:paraId="781BAEC2" w14:textId="5BADFAD3" w:rsidR="000C53F6" w:rsidRPr="00DD37EC" w:rsidRDefault="000C53F6" w:rsidP="006D2E03">
      <w:pPr>
        <w:spacing w:after="240" w:line="240" w:lineRule="auto"/>
        <w:jc w:val="both"/>
        <w:rPr>
          <w:rFonts w:ascii="Arial" w:hAnsi="Arial" w:cs="Arial"/>
          <w:lang w:val="es-ES"/>
        </w:rPr>
      </w:pPr>
      <w:r w:rsidRPr="00DD37EC">
        <w:rPr>
          <w:rFonts w:ascii="Arial" w:hAnsi="Arial" w:cs="Arial"/>
          <w:color w:val="000000" w:themeColor="text1"/>
          <w:lang w:val="es-DO"/>
        </w:rPr>
        <w:t xml:space="preserve">La dispensación en los 49 SAI se realiza conforme a las normas de atención para estos fines. En los reportes de consumo provistos por la ULMIE, se evidencia un crecimiento de 82% en el consumo de medicamentos (frascos) de 3era línea durante enero-agosto del 2018. Esto se constituye en un riesgo que impacta en el financiamiento de los ARV y </w:t>
      </w:r>
      <w:r w:rsidR="0018451C">
        <w:rPr>
          <w:rFonts w:ascii="Arial" w:hAnsi="Arial" w:cs="Arial"/>
          <w:color w:val="000000" w:themeColor="text1"/>
          <w:lang w:val="es-DO"/>
        </w:rPr>
        <w:t xml:space="preserve">desabastos </w:t>
      </w:r>
      <w:r w:rsidRPr="00DD37EC">
        <w:rPr>
          <w:rFonts w:ascii="Arial" w:hAnsi="Arial" w:cs="Arial"/>
          <w:color w:val="000000" w:themeColor="text1"/>
          <w:lang w:val="es-DO"/>
        </w:rPr>
        <w:t>frecuentes debido a los cambios de esquemas</w:t>
      </w:r>
      <w:r w:rsidRPr="00DD37EC">
        <w:rPr>
          <w:rFonts w:ascii="Arial" w:hAnsi="Arial" w:cs="Arial"/>
          <w:lang w:val="es-ES"/>
        </w:rPr>
        <w:t xml:space="preserve">. </w:t>
      </w:r>
    </w:p>
    <w:p w14:paraId="47304E40" w14:textId="2CCB785C" w:rsidR="000C53F6" w:rsidRDefault="000C53F6" w:rsidP="006D2E03">
      <w:pPr>
        <w:spacing w:after="240" w:line="240" w:lineRule="auto"/>
        <w:jc w:val="both"/>
        <w:rPr>
          <w:rFonts w:ascii="Arial" w:hAnsi="Arial" w:cs="Arial"/>
          <w:lang w:val="es-ES"/>
        </w:rPr>
      </w:pPr>
      <w:r w:rsidRPr="00DD37EC">
        <w:rPr>
          <w:rFonts w:ascii="Arial" w:hAnsi="Arial" w:cs="Arial"/>
          <w:lang w:val="es-ES"/>
        </w:rPr>
        <w:t>A noviembre del 2018, el 88% (10,195 PVIH) se encuentran en esquemas de primera línea, el 11% (1,322 PVIH) en esquemas de 2da línea y 1% (69 PVIH) en 3era línea</w:t>
      </w:r>
      <w:r w:rsidR="007700DE">
        <w:rPr>
          <w:rFonts w:ascii="Arial" w:hAnsi="Arial" w:cs="Arial"/>
          <w:lang w:val="es-ES"/>
        </w:rPr>
        <w:t>.</w:t>
      </w:r>
      <w:r w:rsidRPr="00DD37EC">
        <w:rPr>
          <w:rStyle w:val="FootnoteReference"/>
          <w:rFonts w:ascii="Arial" w:hAnsi="Arial" w:cs="Arial"/>
          <w:lang w:val="es-ES"/>
        </w:rPr>
        <w:footnoteReference w:id="56"/>
      </w:r>
    </w:p>
    <w:p w14:paraId="08E7DEDE" w14:textId="0FD7A42F" w:rsidR="000C53F6" w:rsidRPr="005419A3" w:rsidRDefault="005419A3" w:rsidP="005419A3">
      <w:pPr>
        <w:pStyle w:val="Caption"/>
        <w:rPr>
          <w:rStyle w:val="IntenseReference"/>
          <w:rFonts w:ascii="Arial" w:hAnsi="Arial" w:cs="Arial"/>
          <w:b/>
          <w:bCs/>
          <w:smallCaps w:val="0"/>
          <w:color w:val="auto"/>
          <w:spacing w:val="0"/>
          <w:sz w:val="22"/>
          <w:szCs w:val="22"/>
          <w:lang w:val="es-ES"/>
        </w:rPr>
      </w:pPr>
      <w:bookmarkStart w:id="46" w:name="_Toc8904505"/>
      <w:r w:rsidRPr="005419A3">
        <w:rPr>
          <w:rFonts w:ascii="Arial" w:hAnsi="Arial" w:cs="Arial"/>
          <w:color w:val="auto"/>
          <w:sz w:val="22"/>
          <w:szCs w:val="22"/>
        </w:rPr>
        <w:t xml:space="preserve">Tabla </w:t>
      </w:r>
      <w:r w:rsidRPr="005419A3">
        <w:rPr>
          <w:rFonts w:ascii="Arial" w:hAnsi="Arial" w:cs="Arial"/>
          <w:color w:val="auto"/>
          <w:sz w:val="22"/>
          <w:szCs w:val="22"/>
        </w:rPr>
        <w:fldChar w:fldCharType="begin"/>
      </w:r>
      <w:r w:rsidRPr="005419A3">
        <w:rPr>
          <w:rFonts w:ascii="Arial" w:hAnsi="Arial" w:cs="Arial"/>
          <w:color w:val="auto"/>
          <w:sz w:val="22"/>
          <w:szCs w:val="22"/>
        </w:rPr>
        <w:instrText xml:space="preserve"> SEQ Tabla \* ARABIC </w:instrText>
      </w:r>
      <w:r w:rsidRPr="005419A3">
        <w:rPr>
          <w:rFonts w:ascii="Arial" w:hAnsi="Arial" w:cs="Arial"/>
          <w:color w:val="auto"/>
          <w:sz w:val="22"/>
          <w:szCs w:val="22"/>
        </w:rPr>
        <w:fldChar w:fldCharType="separate"/>
      </w:r>
      <w:r w:rsidR="00D447AE">
        <w:rPr>
          <w:rFonts w:ascii="Arial" w:hAnsi="Arial" w:cs="Arial"/>
          <w:noProof/>
          <w:color w:val="auto"/>
          <w:sz w:val="22"/>
          <w:szCs w:val="22"/>
        </w:rPr>
        <w:t>3</w:t>
      </w:r>
      <w:r w:rsidRPr="005419A3">
        <w:rPr>
          <w:rFonts w:ascii="Arial" w:hAnsi="Arial" w:cs="Arial"/>
          <w:color w:val="auto"/>
          <w:sz w:val="22"/>
          <w:szCs w:val="22"/>
        </w:rPr>
        <w:fldChar w:fldCharType="end"/>
      </w:r>
      <w:r w:rsidRPr="005419A3">
        <w:rPr>
          <w:rFonts w:ascii="Arial" w:hAnsi="Arial" w:cs="Arial"/>
          <w:color w:val="auto"/>
          <w:sz w:val="22"/>
          <w:szCs w:val="22"/>
        </w:rPr>
        <w:t>. Total de personas con VIH por líneas de tratamiento 2018</w:t>
      </w:r>
      <w:bookmarkEnd w:id="46"/>
    </w:p>
    <w:tbl>
      <w:tblPr>
        <w:tblW w:w="3510" w:type="pct"/>
        <w:tblLook w:val="04A0" w:firstRow="1" w:lastRow="0" w:firstColumn="1" w:lastColumn="0" w:noHBand="0" w:noVBand="1"/>
      </w:tblPr>
      <w:tblGrid>
        <w:gridCol w:w="2396"/>
        <w:gridCol w:w="2778"/>
        <w:gridCol w:w="1821"/>
      </w:tblGrid>
      <w:tr w:rsidR="000C53F6" w:rsidRPr="00392E34" w14:paraId="1A014066" w14:textId="77777777" w:rsidTr="005419A3">
        <w:trPr>
          <w:trHeight w:hRule="exact" w:val="288"/>
        </w:trPr>
        <w:tc>
          <w:tcPr>
            <w:tcW w:w="5000" w:type="pct"/>
            <w:gridSpan w:val="3"/>
            <w:tcBorders>
              <w:top w:val="nil"/>
              <w:left w:val="nil"/>
              <w:bottom w:val="nil"/>
              <w:right w:val="nil"/>
            </w:tcBorders>
            <w:shd w:val="clear" w:color="000000" w:fill="1F4E78"/>
            <w:noWrap/>
            <w:vAlign w:val="bottom"/>
            <w:hideMark/>
          </w:tcPr>
          <w:p w14:paraId="425D8D44" w14:textId="3A3CA1F2" w:rsidR="000C53F6" w:rsidRPr="006D2E03" w:rsidRDefault="000C53F6" w:rsidP="00DD37EC">
            <w:pPr>
              <w:spacing w:after="240" w:line="240" w:lineRule="auto"/>
              <w:jc w:val="center"/>
              <w:rPr>
                <w:rFonts w:ascii="Arial" w:eastAsia="Times New Roman" w:hAnsi="Arial" w:cs="Arial"/>
                <w:b/>
                <w:color w:val="FFFFFF"/>
                <w:lang w:val="es-DO"/>
              </w:rPr>
            </w:pPr>
            <w:r w:rsidRPr="006D2E03">
              <w:rPr>
                <w:rFonts w:ascii="Arial" w:eastAsia="Times New Roman" w:hAnsi="Arial" w:cs="Arial"/>
                <w:b/>
                <w:color w:val="FFFFFF"/>
                <w:lang w:val="es-DO"/>
              </w:rPr>
              <w:t>Total de PVVIH por línea terapéutica, noviembre 2018</w:t>
            </w:r>
          </w:p>
        </w:tc>
      </w:tr>
      <w:tr w:rsidR="000C53F6" w:rsidRPr="00DD37EC" w14:paraId="06060AAF" w14:textId="77777777" w:rsidTr="005419A3">
        <w:trPr>
          <w:trHeight w:hRule="exact" w:val="288"/>
        </w:trPr>
        <w:tc>
          <w:tcPr>
            <w:tcW w:w="1712" w:type="pct"/>
            <w:tcBorders>
              <w:top w:val="single" w:sz="4" w:space="0" w:color="auto"/>
              <w:left w:val="single" w:sz="4" w:space="0" w:color="auto"/>
              <w:bottom w:val="single" w:sz="4" w:space="0" w:color="auto"/>
              <w:right w:val="single" w:sz="4" w:space="0" w:color="auto"/>
            </w:tcBorders>
            <w:shd w:val="clear" w:color="000000" w:fill="D6DCE4"/>
            <w:noWrap/>
            <w:vAlign w:val="center"/>
            <w:hideMark/>
          </w:tcPr>
          <w:p w14:paraId="3D10429A" w14:textId="77777777" w:rsidR="000C53F6" w:rsidRPr="00CD29E6" w:rsidRDefault="000C53F6" w:rsidP="00DD37EC">
            <w:pPr>
              <w:spacing w:after="240" w:line="240" w:lineRule="auto"/>
              <w:jc w:val="center"/>
              <w:rPr>
                <w:rFonts w:ascii="Arial" w:eastAsia="Times New Roman" w:hAnsi="Arial" w:cs="Arial"/>
                <w:b/>
                <w:color w:val="000000"/>
                <w:lang w:val="es-DO"/>
              </w:rPr>
            </w:pPr>
            <w:r w:rsidRPr="00CD29E6">
              <w:rPr>
                <w:rFonts w:ascii="Arial" w:eastAsia="Times New Roman" w:hAnsi="Arial" w:cs="Arial"/>
                <w:b/>
                <w:color w:val="000000"/>
                <w:lang w:val="es-DO"/>
              </w:rPr>
              <w:t>Líneas de TARV</w:t>
            </w:r>
          </w:p>
        </w:tc>
        <w:tc>
          <w:tcPr>
            <w:tcW w:w="1986" w:type="pct"/>
            <w:tcBorders>
              <w:top w:val="single" w:sz="4" w:space="0" w:color="auto"/>
              <w:left w:val="nil"/>
              <w:bottom w:val="single" w:sz="4" w:space="0" w:color="auto"/>
              <w:right w:val="single" w:sz="4" w:space="0" w:color="auto"/>
            </w:tcBorders>
            <w:shd w:val="clear" w:color="000000" w:fill="D6DCE4"/>
            <w:noWrap/>
            <w:vAlign w:val="center"/>
            <w:hideMark/>
          </w:tcPr>
          <w:p w14:paraId="33D7D49B" w14:textId="77777777" w:rsidR="000C53F6" w:rsidRPr="00CD29E6" w:rsidRDefault="000C53F6" w:rsidP="00DD37EC">
            <w:pPr>
              <w:spacing w:after="240" w:line="240" w:lineRule="auto"/>
              <w:jc w:val="center"/>
              <w:rPr>
                <w:rFonts w:ascii="Arial" w:eastAsia="Times New Roman" w:hAnsi="Arial" w:cs="Arial"/>
                <w:b/>
                <w:color w:val="000000"/>
                <w:lang w:val="es-DO"/>
              </w:rPr>
            </w:pPr>
            <w:r w:rsidRPr="00CD29E6">
              <w:rPr>
                <w:rFonts w:ascii="Arial" w:eastAsia="Times New Roman" w:hAnsi="Arial" w:cs="Arial"/>
                <w:b/>
                <w:color w:val="000000"/>
                <w:lang w:val="es-DO"/>
              </w:rPr>
              <w:t>Total</w:t>
            </w:r>
          </w:p>
        </w:tc>
        <w:tc>
          <w:tcPr>
            <w:tcW w:w="1301" w:type="pct"/>
            <w:tcBorders>
              <w:top w:val="single" w:sz="4" w:space="0" w:color="auto"/>
              <w:left w:val="nil"/>
              <w:bottom w:val="single" w:sz="4" w:space="0" w:color="auto"/>
              <w:right w:val="single" w:sz="4" w:space="0" w:color="auto"/>
            </w:tcBorders>
            <w:shd w:val="clear" w:color="000000" w:fill="D6DCE4"/>
            <w:noWrap/>
            <w:vAlign w:val="center"/>
            <w:hideMark/>
          </w:tcPr>
          <w:p w14:paraId="7A03FCCC" w14:textId="77777777" w:rsidR="000C53F6" w:rsidRPr="00CD29E6" w:rsidRDefault="000C53F6" w:rsidP="00DD37EC">
            <w:pPr>
              <w:spacing w:after="240" w:line="240" w:lineRule="auto"/>
              <w:jc w:val="center"/>
              <w:rPr>
                <w:rFonts w:ascii="Arial" w:eastAsia="Times New Roman" w:hAnsi="Arial" w:cs="Arial"/>
                <w:b/>
                <w:color w:val="000000"/>
                <w:lang w:val="es-DO"/>
              </w:rPr>
            </w:pPr>
            <w:r w:rsidRPr="00CD29E6">
              <w:rPr>
                <w:rFonts w:ascii="Arial" w:eastAsia="Times New Roman" w:hAnsi="Arial" w:cs="Arial"/>
                <w:b/>
                <w:color w:val="000000"/>
                <w:lang w:val="es-DO"/>
              </w:rPr>
              <w:t>%</w:t>
            </w:r>
          </w:p>
        </w:tc>
      </w:tr>
      <w:tr w:rsidR="000C53F6" w:rsidRPr="00DD37EC" w14:paraId="2E35238A" w14:textId="77777777" w:rsidTr="005419A3">
        <w:trPr>
          <w:trHeight w:hRule="exact" w:val="288"/>
        </w:trPr>
        <w:tc>
          <w:tcPr>
            <w:tcW w:w="1712" w:type="pct"/>
            <w:tcBorders>
              <w:top w:val="nil"/>
              <w:left w:val="single" w:sz="4" w:space="0" w:color="auto"/>
              <w:bottom w:val="single" w:sz="4" w:space="0" w:color="auto"/>
              <w:right w:val="single" w:sz="4" w:space="0" w:color="auto"/>
            </w:tcBorders>
            <w:shd w:val="clear" w:color="auto" w:fill="auto"/>
            <w:noWrap/>
            <w:vAlign w:val="bottom"/>
            <w:hideMark/>
          </w:tcPr>
          <w:p w14:paraId="30D496B2" w14:textId="77777777" w:rsidR="000C53F6" w:rsidRPr="00DD37EC" w:rsidRDefault="000C53F6" w:rsidP="00DD37EC">
            <w:pPr>
              <w:spacing w:after="240" w:line="240" w:lineRule="auto"/>
              <w:rPr>
                <w:rFonts w:ascii="Arial" w:eastAsia="Times New Roman" w:hAnsi="Arial" w:cs="Arial"/>
                <w:color w:val="000000"/>
                <w:lang w:val="es-DO"/>
              </w:rPr>
            </w:pPr>
            <w:r w:rsidRPr="00DD37EC">
              <w:rPr>
                <w:rFonts w:ascii="Arial" w:eastAsia="Times New Roman" w:hAnsi="Arial" w:cs="Arial"/>
                <w:color w:val="000000"/>
                <w:lang w:val="es-DO"/>
              </w:rPr>
              <w:t>1era Línea</w:t>
            </w:r>
          </w:p>
        </w:tc>
        <w:tc>
          <w:tcPr>
            <w:tcW w:w="1986" w:type="pct"/>
            <w:tcBorders>
              <w:top w:val="nil"/>
              <w:left w:val="nil"/>
              <w:bottom w:val="single" w:sz="4" w:space="0" w:color="auto"/>
              <w:right w:val="single" w:sz="4" w:space="0" w:color="auto"/>
            </w:tcBorders>
            <w:shd w:val="clear" w:color="auto" w:fill="auto"/>
            <w:noWrap/>
            <w:vAlign w:val="bottom"/>
            <w:hideMark/>
          </w:tcPr>
          <w:p w14:paraId="66A5EA34" w14:textId="77777777" w:rsidR="000C53F6" w:rsidRPr="00DD37EC" w:rsidRDefault="000C53F6" w:rsidP="005419A3">
            <w:pPr>
              <w:spacing w:after="240" w:line="240" w:lineRule="auto"/>
              <w:jc w:val="both"/>
              <w:rPr>
                <w:rFonts w:ascii="Arial" w:eastAsia="Times New Roman" w:hAnsi="Arial" w:cs="Arial"/>
                <w:color w:val="000000"/>
                <w:lang w:val="es-DO"/>
              </w:rPr>
            </w:pPr>
            <w:r w:rsidRPr="00DD37EC">
              <w:rPr>
                <w:rFonts w:ascii="Arial" w:eastAsia="Times New Roman" w:hAnsi="Arial" w:cs="Arial"/>
                <w:color w:val="000000"/>
                <w:lang w:val="es-DO"/>
              </w:rPr>
              <w:t xml:space="preserve">                            10,195 </w:t>
            </w:r>
          </w:p>
        </w:tc>
        <w:tc>
          <w:tcPr>
            <w:tcW w:w="1301" w:type="pct"/>
            <w:tcBorders>
              <w:top w:val="nil"/>
              <w:left w:val="nil"/>
              <w:bottom w:val="single" w:sz="4" w:space="0" w:color="auto"/>
              <w:right w:val="single" w:sz="4" w:space="0" w:color="auto"/>
            </w:tcBorders>
            <w:shd w:val="clear" w:color="auto" w:fill="auto"/>
            <w:noWrap/>
            <w:vAlign w:val="bottom"/>
            <w:hideMark/>
          </w:tcPr>
          <w:p w14:paraId="0616A7EF" w14:textId="77777777" w:rsidR="000C53F6" w:rsidRPr="00DD37EC" w:rsidRDefault="000C53F6" w:rsidP="00DD37EC">
            <w:pPr>
              <w:spacing w:after="240" w:line="240" w:lineRule="auto"/>
              <w:jc w:val="right"/>
              <w:rPr>
                <w:rFonts w:ascii="Arial" w:eastAsia="Times New Roman" w:hAnsi="Arial" w:cs="Arial"/>
                <w:color w:val="000000"/>
                <w:lang w:val="es-DO"/>
              </w:rPr>
            </w:pPr>
            <w:r w:rsidRPr="00DD37EC">
              <w:rPr>
                <w:rFonts w:ascii="Arial" w:eastAsia="Times New Roman" w:hAnsi="Arial" w:cs="Arial"/>
                <w:color w:val="000000"/>
                <w:lang w:val="es-DO"/>
              </w:rPr>
              <w:t>88%</w:t>
            </w:r>
          </w:p>
        </w:tc>
      </w:tr>
      <w:tr w:rsidR="000C53F6" w:rsidRPr="00DD37EC" w14:paraId="7743D2A0" w14:textId="77777777" w:rsidTr="005419A3">
        <w:trPr>
          <w:trHeight w:hRule="exact" w:val="288"/>
        </w:trPr>
        <w:tc>
          <w:tcPr>
            <w:tcW w:w="1712" w:type="pct"/>
            <w:tcBorders>
              <w:top w:val="nil"/>
              <w:left w:val="single" w:sz="4" w:space="0" w:color="auto"/>
              <w:bottom w:val="single" w:sz="4" w:space="0" w:color="auto"/>
              <w:right w:val="single" w:sz="4" w:space="0" w:color="auto"/>
            </w:tcBorders>
            <w:shd w:val="clear" w:color="auto" w:fill="auto"/>
            <w:noWrap/>
            <w:vAlign w:val="bottom"/>
            <w:hideMark/>
          </w:tcPr>
          <w:p w14:paraId="47A122F3" w14:textId="77777777" w:rsidR="000C53F6" w:rsidRPr="00DD37EC" w:rsidRDefault="000C53F6" w:rsidP="00DD37EC">
            <w:pPr>
              <w:spacing w:after="240" w:line="240" w:lineRule="auto"/>
              <w:rPr>
                <w:rFonts w:ascii="Arial" w:eastAsia="Times New Roman" w:hAnsi="Arial" w:cs="Arial"/>
                <w:color w:val="000000"/>
                <w:lang w:val="es-DO"/>
              </w:rPr>
            </w:pPr>
            <w:r w:rsidRPr="00DD37EC">
              <w:rPr>
                <w:rFonts w:ascii="Arial" w:eastAsia="Times New Roman" w:hAnsi="Arial" w:cs="Arial"/>
                <w:color w:val="000000"/>
                <w:lang w:val="es-DO"/>
              </w:rPr>
              <w:t>2da Línea</w:t>
            </w:r>
          </w:p>
        </w:tc>
        <w:tc>
          <w:tcPr>
            <w:tcW w:w="1986" w:type="pct"/>
            <w:tcBorders>
              <w:top w:val="nil"/>
              <w:left w:val="nil"/>
              <w:bottom w:val="single" w:sz="4" w:space="0" w:color="auto"/>
              <w:right w:val="single" w:sz="4" w:space="0" w:color="auto"/>
            </w:tcBorders>
            <w:shd w:val="clear" w:color="auto" w:fill="auto"/>
            <w:noWrap/>
            <w:vAlign w:val="bottom"/>
            <w:hideMark/>
          </w:tcPr>
          <w:p w14:paraId="0BC69880" w14:textId="77777777" w:rsidR="000C53F6" w:rsidRPr="00DD37EC" w:rsidRDefault="000C53F6" w:rsidP="00DD37EC">
            <w:pPr>
              <w:spacing w:after="240" w:line="240" w:lineRule="auto"/>
              <w:rPr>
                <w:rFonts w:ascii="Arial" w:eastAsia="Times New Roman" w:hAnsi="Arial" w:cs="Arial"/>
                <w:color w:val="000000"/>
                <w:lang w:val="es-DO"/>
              </w:rPr>
            </w:pPr>
            <w:r w:rsidRPr="00DD37EC">
              <w:rPr>
                <w:rFonts w:ascii="Arial" w:eastAsia="Times New Roman" w:hAnsi="Arial" w:cs="Arial"/>
                <w:color w:val="000000"/>
                <w:lang w:val="es-DO"/>
              </w:rPr>
              <w:t xml:space="preserve">                              1,322 </w:t>
            </w:r>
          </w:p>
        </w:tc>
        <w:tc>
          <w:tcPr>
            <w:tcW w:w="1301" w:type="pct"/>
            <w:tcBorders>
              <w:top w:val="nil"/>
              <w:left w:val="nil"/>
              <w:bottom w:val="single" w:sz="4" w:space="0" w:color="auto"/>
              <w:right w:val="single" w:sz="4" w:space="0" w:color="auto"/>
            </w:tcBorders>
            <w:shd w:val="clear" w:color="auto" w:fill="auto"/>
            <w:noWrap/>
            <w:vAlign w:val="bottom"/>
            <w:hideMark/>
          </w:tcPr>
          <w:p w14:paraId="5CD52045" w14:textId="77777777" w:rsidR="000C53F6" w:rsidRPr="00DD37EC" w:rsidRDefault="000C53F6" w:rsidP="00DD37EC">
            <w:pPr>
              <w:spacing w:after="240" w:line="240" w:lineRule="auto"/>
              <w:jc w:val="right"/>
              <w:rPr>
                <w:rFonts w:ascii="Arial" w:eastAsia="Times New Roman" w:hAnsi="Arial" w:cs="Arial"/>
                <w:color w:val="000000"/>
                <w:lang w:val="es-DO"/>
              </w:rPr>
            </w:pPr>
            <w:r w:rsidRPr="00DD37EC">
              <w:rPr>
                <w:rFonts w:ascii="Arial" w:eastAsia="Times New Roman" w:hAnsi="Arial" w:cs="Arial"/>
                <w:color w:val="000000"/>
                <w:lang w:val="es-DO"/>
              </w:rPr>
              <w:t>11%</w:t>
            </w:r>
          </w:p>
        </w:tc>
      </w:tr>
      <w:tr w:rsidR="000C53F6" w:rsidRPr="00DD37EC" w14:paraId="1F7BD75B" w14:textId="77777777" w:rsidTr="005419A3">
        <w:trPr>
          <w:trHeight w:hRule="exact" w:val="288"/>
        </w:trPr>
        <w:tc>
          <w:tcPr>
            <w:tcW w:w="1712" w:type="pct"/>
            <w:tcBorders>
              <w:top w:val="nil"/>
              <w:left w:val="single" w:sz="4" w:space="0" w:color="auto"/>
              <w:bottom w:val="single" w:sz="4" w:space="0" w:color="auto"/>
              <w:right w:val="single" w:sz="4" w:space="0" w:color="auto"/>
            </w:tcBorders>
            <w:shd w:val="clear" w:color="auto" w:fill="auto"/>
            <w:noWrap/>
            <w:vAlign w:val="bottom"/>
            <w:hideMark/>
          </w:tcPr>
          <w:p w14:paraId="7FF442FA" w14:textId="77777777" w:rsidR="000C53F6" w:rsidRPr="00DD37EC" w:rsidRDefault="000C53F6" w:rsidP="00DD37EC">
            <w:pPr>
              <w:spacing w:after="240" w:line="240" w:lineRule="auto"/>
              <w:rPr>
                <w:rFonts w:ascii="Arial" w:eastAsia="Times New Roman" w:hAnsi="Arial" w:cs="Arial"/>
                <w:color w:val="000000"/>
                <w:lang w:val="es-DO"/>
              </w:rPr>
            </w:pPr>
            <w:r w:rsidRPr="00DD37EC">
              <w:rPr>
                <w:rFonts w:ascii="Arial" w:eastAsia="Times New Roman" w:hAnsi="Arial" w:cs="Arial"/>
                <w:color w:val="000000"/>
                <w:lang w:val="es-DO"/>
              </w:rPr>
              <w:t>3era Línea</w:t>
            </w:r>
          </w:p>
        </w:tc>
        <w:tc>
          <w:tcPr>
            <w:tcW w:w="1986" w:type="pct"/>
            <w:tcBorders>
              <w:top w:val="nil"/>
              <w:left w:val="nil"/>
              <w:bottom w:val="single" w:sz="4" w:space="0" w:color="auto"/>
              <w:right w:val="single" w:sz="4" w:space="0" w:color="auto"/>
            </w:tcBorders>
            <w:shd w:val="clear" w:color="auto" w:fill="auto"/>
            <w:noWrap/>
            <w:vAlign w:val="bottom"/>
            <w:hideMark/>
          </w:tcPr>
          <w:p w14:paraId="58BA5E97" w14:textId="77777777" w:rsidR="000C53F6" w:rsidRPr="00DD37EC" w:rsidRDefault="000C53F6" w:rsidP="00DD37EC">
            <w:pPr>
              <w:spacing w:after="240" w:line="240" w:lineRule="auto"/>
              <w:rPr>
                <w:rFonts w:ascii="Arial" w:eastAsia="Times New Roman" w:hAnsi="Arial" w:cs="Arial"/>
                <w:color w:val="000000"/>
                <w:lang w:val="es-DO"/>
              </w:rPr>
            </w:pPr>
            <w:r w:rsidRPr="00DD37EC">
              <w:rPr>
                <w:rFonts w:ascii="Arial" w:eastAsia="Times New Roman" w:hAnsi="Arial" w:cs="Arial"/>
                <w:color w:val="000000"/>
                <w:lang w:val="es-DO"/>
              </w:rPr>
              <w:t xml:space="preserve">                                   69 </w:t>
            </w:r>
          </w:p>
        </w:tc>
        <w:tc>
          <w:tcPr>
            <w:tcW w:w="1301" w:type="pct"/>
            <w:tcBorders>
              <w:top w:val="nil"/>
              <w:left w:val="nil"/>
              <w:bottom w:val="single" w:sz="4" w:space="0" w:color="auto"/>
              <w:right w:val="single" w:sz="4" w:space="0" w:color="auto"/>
            </w:tcBorders>
            <w:shd w:val="clear" w:color="auto" w:fill="auto"/>
            <w:noWrap/>
            <w:vAlign w:val="bottom"/>
            <w:hideMark/>
          </w:tcPr>
          <w:p w14:paraId="00CBA4BF" w14:textId="77777777" w:rsidR="000C53F6" w:rsidRPr="00DD37EC" w:rsidRDefault="000C53F6" w:rsidP="00DD37EC">
            <w:pPr>
              <w:spacing w:after="240" w:line="240" w:lineRule="auto"/>
              <w:jc w:val="right"/>
              <w:rPr>
                <w:rFonts w:ascii="Arial" w:eastAsia="Times New Roman" w:hAnsi="Arial" w:cs="Arial"/>
                <w:color w:val="000000"/>
                <w:lang w:val="es-DO"/>
              </w:rPr>
            </w:pPr>
            <w:r w:rsidRPr="00DD37EC">
              <w:rPr>
                <w:rFonts w:ascii="Arial" w:eastAsia="Times New Roman" w:hAnsi="Arial" w:cs="Arial"/>
                <w:color w:val="000000"/>
                <w:lang w:val="es-DO"/>
              </w:rPr>
              <w:t>1%</w:t>
            </w:r>
          </w:p>
        </w:tc>
      </w:tr>
      <w:tr w:rsidR="000C53F6" w:rsidRPr="00DD37EC" w14:paraId="73AA7CF7" w14:textId="77777777" w:rsidTr="005419A3">
        <w:trPr>
          <w:trHeight w:hRule="exact" w:val="288"/>
        </w:trPr>
        <w:tc>
          <w:tcPr>
            <w:tcW w:w="1712" w:type="pct"/>
            <w:tcBorders>
              <w:top w:val="nil"/>
              <w:left w:val="single" w:sz="4" w:space="0" w:color="auto"/>
              <w:bottom w:val="single" w:sz="4" w:space="0" w:color="auto"/>
              <w:right w:val="single" w:sz="4" w:space="0" w:color="auto"/>
            </w:tcBorders>
            <w:shd w:val="clear" w:color="000000" w:fill="D6DCE4"/>
            <w:noWrap/>
            <w:vAlign w:val="bottom"/>
            <w:hideMark/>
          </w:tcPr>
          <w:p w14:paraId="6D0178BA" w14:textId="77777777" w:rsidR="000C53F6" w:rsidRPr="0018451C" w:rsidRDefault="000C53F6" w:rsidP="00DD37EC">
            <w:pPr>
              <w:spacing w:after="240" w:line="240" w:lineRule="auto"/>
              <w:rPr>
                <w:rFonts w:ascii="Arial" w:eastAsia="Times New Roman" w:hAnsi="Arial" w:cs="Arial"/>
                <w:b/>
                <w:color w:val="000000"/>
                <w:lang w:val="es-DO"/>
              </w:rPr>
            </w:pPr>
            <w:r w:rsidRPr="0018451C">
              <w:rPr>
                <w:rFonts w:ascii="Arial" w:eastAsia="Times New Roman" w:hAnsi="Arial" w:cs="Arial"/>
                <w:b/>
                <w:color w:val="000000"/>
                <w:lang w:val="es-DO"/>
              </w:rPr>
              <w:t>Total</w:t>
            </w:r>
          </w:p>
        </w:tc>
        <w:tc>
          <w:tcPr>
            <w:tcW w:w="1986" w:type="pct"/>
            <w:tcBorders>
              <w:top w:val="nil"/>
              <w:left w:val="nil"/>
              <w:bottom w:val="single" w:sz="4" w:space="0" w:color="auto"/>
              <w:right w:val="single" w:sz="4" w:space="0" w:color="auto"/>
            </w:tcBorders>
            <w:shd w:val="clear" w:color="000000" w:fill="D6DCE4"/>
            <w:noWrap/>
            <w:vAlign w:val="bottom"/>
            <w:hideMark/>
          </w:tcPr>
          <w:p w14:paraId="6C816586" w14:textId="77777777" w:rsidR="000C53F6" w:rsidRPr="0018451C" w:rsidRDefault="000C53F6" w:rsidP="00DD37EC">
            <w:pPr>
              <w:spacing w:after="240" w:line="240" w:lineRule="auto"/>
              <w:rPr>
                <w:rFonts w:ascii="Arial" w:eastAsia="Times New Roman" w:hAnsi="Arial" w:cs="Arial"/>
                <w:b/>
                <w:color w:val="000000"/>
                <w:lang w:val="es-DO"/>
              </w:rPr>
            </w:pPr>
            <w:r w:rsidRPr="0018451C">
              <w:rPr>
                <w:rFonts w:ascii="Arial" w:eastAsia="Times New Roman" w:hAnsi="Arial" w:cs="Arial"/>
                <w:b/>
                <w:color w:val="000000"/>
                <w:lang w:val="es-DO"/>
              </w:rPr>
              <w:t xml:space="preserve">                            11,586 </w:t>
            </w:r>
          </w:p>
        </w:tc>
        <w:tc>
          <w:tcPr>
            <w:tcW w:w="1301" w:type="pct"/>
            <w:tcBorders>
              <w:top w:val="nil"/>
              <w:left w:val="nil"/>
              <w:bottom w:val="single" w:sz="4" w:space="0" w:color="auto"/>
              <w:right w:val="single" w:sz="4" w:space="0" w:color="auto"/>
            </w:tcBorders>
            <w:shd w:val="clear" w:color="000000" w:fill="D6DCE4"/>
            <w:noWrap/>
            <w:vAlign w:val="bottom"/>
            <w:hideMark/>
          </w:tcPr>
          <w:p w14:paraId="3B20C821" w14:textId="77777777" w:rsidR="000C53F6" w:rsidRPr="0018451C" w:rsidRDefault="000C53F6" w:rsidP="00DD37EC">
            <w:pPr>
              <w:spacing w:after="240" w:line="240" w:lineRule="auto"/>
              <w:jc w:val="right"/>
              <w:rPr>
                <w:rFonts w:ascii="Arial" w:eastAsia="Times New Roman" w:hAnsi="Arial" w:cs="Arial"/>
                <w:b/>
                <w:color w:val="000000"/>
                <w:lang w:val="es-DO"/>
              </w:rPr>
            </w:pPr>
            <w:r w:rsidRPr="0018451C">
              <w:rPr>
                <w:rFonts w:ascii="Arial" w:eastAsia="Times New Roman" w:hAnsi="Arial" w:cs="Arial"/>
                <w:b/>
                <w:color w:val="000000"/>
                <w:lang w:val="es-DO"/>
              </w:rPr>
              <w:t>100%</w:t>
            </w:r>
          </w:p>
        </w:tc>
      </w:tr>
    </w:tbl>
    <w:p w14:paraId="1AE778FE" w14:textId="2710AE44" w:rsidR="000C53F6" w:rsidRPr="00167C47" w:rsidRDefault="000C53F6" w:rsidP="006D2E03">
      <w:pPr>
        <w:spacing w:after="240" w:line="240" w:lineRule="auto"/>
        <w:contextualSpacing/>
        <w:jc w:val="both"/>
        <w:rPr>
          <w:rFonts w:ascii="Arial" w:hAnsi="Arial" w:cs="Arial"/>
          <w:i/>
          <w:color w:val="000000" w:themeColor="text1"/>
          <w:sz w:val="18"/>
          <w:lang w:val="es-DO"/>
        </w:rPr>
      </w:pPr>
      <w:r w:rsidRPr="00167C47">
        <w:rPr>
          <w:rFonts w:ascii="Arial" w:hAnsi="Arial" w:cs="Arial"/>
          <w:i/>
          <w:color w:val="000000" w:themeColor="text1"/>
          <w:sz w:val="18"/>
          <w:lang w:val="es-DO"/>
        </w:rPr>
        <w:t xml:space="preserve">Fuente: Elaborada por los autores, a partir de los datos provistos por la ULIME en noviembre del 2018. </w:t>
      </w:r>
    </w:p>
    <w:p w14:paraId="45FA24AB" w14:textId="77777777" w:rsidR="006D2E03" w:rsidRPr="006D2E03" w:rsidRDefault="006D2E03" w:rsidP="006D2E03">
      <w:pPr>
        <w:spacing w:after="240" w:line="240" w:lineRule="auto"/>
        <w:contextualSpacing/>
        <w:jc w:val="both"/>
        <w:rPr>
          <w:rFonts w:ascii="Arial" w:hAnsi="Arial" w:cs="Arial"/>
          <w:color w:val="000000" w:themeColor="text1"/>
          <w:sz w:val="20"/>
          <w:lang w:val="es-DO"/>
        </w:rPr>
      </w:pPr>
    </w:p>
    <w:p w14:paraId="3DE87AFF" w14:textId="7C892B47" w:rsidR="000C53F6" w:rsidRDefault="000C53F6" w:rsidP="006D2E03">
      <w:pPr>
        <w:spacing w:after="240" w:line="240" w:lineRule="auto"/>
        <w:jc w:val="both"/>
        <w:rPr>
          <w:rFonts w:ascii="Arial" w:hAnsi="Arial" w:cs="Arial"/>
          <w:lang w:val="es-ES"/>
        </w:rPr>
      </w:pPr>
      <w:r w:rsidRPr="00DD37EC">
        <w:rPr>
          <w:rFonts w:ascii="Arial" w:hAnsi="Arial" w:cs="Arial"/>
          <w:lang w:val="es-ES"/>
        </w:rPr>
        <w:t xml:space="preserve">Al comparar la proporción de PVIH que se encuentran en las diferentes líneas terapéuticas versus el requerimiento valorizado para el 2019, se observa que el 88% de las PVIH que se encuentran en 1era línea requerirán el 69% del presupuesto (aproximadamente US$ 1.4 millones) de ARV; el 11% de las PVIH que se encuentran en 2da línea, requerirán el 18% del presupuesto (US$ 378 mil) y el 1% de las PVIH en 3era línea requerirán el 12% </w:t>
      </w:r>
      <w:r w:rsidR="00FF3514">
        <w:rPr>
          <w:rFonts w:ascii="Arial" w:hAnsi="Arial" w:cs="Arial"/>
          <w:lang w:val="es-ES"/>
        </w:rPr>
        <w:t xml:space="preserve">del presupuesto </w:t>
      </w:r>
      <w:r w:rsidRPr="00DD37EC">
        <w:rPr>
          <w:rFonts w:ascii="Arial" w:hAnsi="Arial" w:cs="Arial"/>
          <w:lang w:val="es-ES"/>
        </w:rPr>
        <w:t>(US$ 252 mil).</w:t>
      </w:r>
    </w:p>
    <w:p w14:paraId="70C6310B" w14:textId="7E54670E" w:rsidR="00CD29E6" w:rsidRDefault="00CD29E6" w:rsidP="00CD29E6">
      <w:pPr>
        <w:rPr>
          <w:rFonts w:ascii="Arial" w:hAnsi="Arial" w:cs="Arial"/>
          <w:lang w:val="es-ES"/>
        </w:rPr>
      </w:pPr>
      <w:r>
        <w:rPr>
          <w:rFonts w:ascii="Arial" w:hAnsi="Arial" w:cs="Arial"/>
          <w:lang w:val="es-ES"/>
        </w:rPr>
        <w:br w:type="page"/>
      </w:r>
    </w:p>
    <w:p w14:paraId="571A63F1" w14:textId="16876DE9" w:rsidR="00CD29E6" w:rsidRPr="00CD29E6" w:rsidRDefault="00CD29E6" w:rsidP="00CD29E6">
      <w:pPr>
        <w:pStyle w:val="Caption"/>
        <w:rPr>
          <w:rFonts w:ascii="Arial" w:hAnsi="Arial" w:cs="Arial"/>
          <w:color w:val="auto"/>
          <w:sz w:val="22"/>
          <w:szCs w:val="22"/>
          <w:lang w:val="es-ES"/>
        </w:rPr>
      </w:pPr>
      <w:bookmarkStart w:id="47" w:name="_Toc8904101"/>
      <w:r w:rsidRPr="00CD29E6">
        <w:rPr>
          <w:rFonts w:ascii="Arial" w:hAnsi="Arial" w:cs="Arial"/>
          <w:color w:val="auto"/>
          <w:sz w:val="22"/>
          <w:szCs w:val="22"/>
        </w:rPr>
        <w:lastRenderedPageBreak/>
        <w:t xml:space="preserve">Figura </w:t>
      </w:r>
      <w:r w:rsidRPr="00CD29E6">
        <w:rPr>
          <w:rFonts w:ascii="Arial" w:hAnsi="Arial" w:cs="Arial"/>
          <w:color w:val="auto"/>
          <w:sz w:val="22"/>
          <w:szCs w:val="22"/>
        </w:rPr>
        <w:fldChar w:fldCharType="begin"/>
      </w:r>
      <w:r w:rsidRPr="00CD29E6">
        <w:rPr>
          <w:rFonts w:ascii="Arial" w:hAnsi="Arial" w:cs="Arial"/>
          <w:color w:val="auto"/>
          <w:sz w:val="22"/>
          <w:szCs w:val="22"/>
        </w:rPr>
        <w:instrText xml:space="preserve"> SEQ Figura \* ARABIC </w:instrText>
      </w:r>
      <w:r w:rsidRPr="00CD29E6">
        <w:rPr>
          <w:rFonts w:ascii="Arial" w:hAnsi="Arial" w:cs="Arial"/>
          <w:color w:val="auto"/>
          <w:sz w:val="22"/>
          <w:szCs w:val="22"/>
        </w:rPr>
        <w:fldChar w:fldCharType="separate"/>
      </w:r>
      <w:r w:rsidR="00004563">
        <w:rPr>
          <w:rFonts w:ascii="Arial" w:hAnsi="Arial" w:cs="Arial"/>
          <w:noProof/>
          <w:color w:val="auto"/>
          <w:sz w:val="22"/>
          <w:szCs w:val="22"/>
        </w:rPr>
        <w:t>4</w:t>
      </w:r>
      <w:r w:rsidRPr="00CD29E6">
        <w:rPr>
          <w:rFonts w:ascii="Arial" w:hAnsi="Arial" w:cs="Arial"/>
          <w:color w:val="auto"/>
          <w:sz w:val="22"/>
          <w:szCs w:val="22"/>
        </w:rPr>
        <w:fldChar w:fldCharType="end"/>
      </w:r>
      <w:r w:rsidRPr="00CD29E6">
        <w:rPr>
          <w:rFonts w:ascii="Arial" w:hAnsi="Arial" w:cs="Arial"/>
          <w:color w:val="auto"/>
          <w:sz w:val="22"/>
          <w:szCs w:val="22"/>
        </w:rPr>
        <w:t>. Porcentaje de PVIH en las distintas líneas de tratamiento vs el porcentaje de recursos requeridos por cada línea para el 2019</w:t>
      </w:r>
      <w:bookmarkEnd w:id="47"/>
    </w:p>
    <w:p w14:paraId="7C0EF558" w14:textId="77777777" w:rsidR="000C53F6" w:rsidRPr="00DD37EC" w:rsidRDefault="000C53F6" w:rsidP="006D2E03">
      <w:pPr>
        <w:spacing w:after="240" w:line="240" w:lineRule="auto"/>
        <w:jc w:val="center"/>
        <w:rPr>
          <w:rFonts w:ascii="Arial" w:hAnsi="Arial" w:cs="Arial"/>
          <w:color w:val="000000" w:themeColor="text1"/>
          <w:lang w:val="es-DO"/>
        </w:rPr>
      </w:pPr>
      <w:r w:rsidRPr="00DD37EC">
        <w:rPr>
          <w:rFonts w:ascii="Arial" w:hAnsi="Arial" w:cs="Arial"/>
          <w:noProof/>
        </w:rPr>
        <w:drawing>
          <wp:inline distT="0" distB="0" distL="0" distR="0" wp14:anchorId="1C7BBBE8" wp14:editId="55384B34">
            <wp:extent cx="2901950" cy="2901950"/>
            <wp:effectExtent l="0" t="0" r="0" b="0"/>
            <wp:docPr id="7" name="Chart 7">
              <a:extLst xmlns:a="http://schemas.openxmlformats.org/drawingml/2006/main">
                <a:ext uri="{FF2B5EF4-FFF2-40B4-BE49-F238E27FC236}">
                  <a16:creationId xmlns:a16="http://schemas.microsoft.com/office/drawing/2014/main" id="{5288C920-BD15-47B0-9B36-3920A70637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Pr="00DD37EC">
        <w:rPr>
          <w:rFonts w:ascii="Arial" w:hAnsi="Arial" w:cs="Arial"/>
          <w:noProof/>
        </w:rPr>
        <w:drawing>
          <wp:inline distT="0" distB="0" distL="0" distR="0" wp14:anchorId="43AB621D" wp14:editId="734CA3AB">
            <wp:extent cx="2724150" cy="2908300"/>
            <wp:effectExtent l="0" t="0" r="0" b="6350"/>
            <wp:docPr id="8" name="Chart 8">
              <a:extLst xmlns:a="http://schemas.openxmlformats.org/drawingml/2006/main">
                <a:ext uri="{FF2B5EF4-FFF2-40B4-BE49-F238E27FC236}">
                  <a16:creationId xmlns:a16="http://schemas.microsoft.com/office/drawing/2014/main" id="{1DC0FFF7-47AC-4E3F-B37E-743A87A787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1D53380" w14:textId="2EC1F7EA" w:rsidR="000C53F6" w:rsidRPr="00167C47" w:rsidRDefault="000C53F6" w:rsidP="006D2E03">
      <w:pPr>
        <w:spacing w:after="240" w:line="240" w:lineRule="auto"/>
        <w:jc w:val="both"/>
        <w:rPr>
          <w:rFonts w:ascii="Arial" w:hAnsi="Arial" w:cs="Arial"/>
          <w:i/>
          <w:color w:val="000000" w:themeColor="text1"/>
          <w:sz w:val="18"/>
          <w:szCs w:val="20"/>
          <w:lang w:val="es-DO"/>
        </w:rPr>
      </w:pPr>
      <w:r w:rsidRPr="00167C47">
        <w:rPr>
          <w:rFonts w:ascii="Arial" w:hAnsi="Arial" w:cs="Arial"/>
          <w:i/>
          <w:color w:val="000000" w:themeColor="text1"/>
          <w:sz w:val="18"/>
          <w:szCs w:val="20"/>
          <w:lang w:val="es-DO"/>
        </w:rPr>
        <w:t xml:space="preserve">Fuente: Elaborada por autores, con datos provistos por la ULMIE, 2018. </w:t>
      </w:r>
    </w:p>
    <w:p w14:paraId="24E5B43F" w14:textId="07855672" w:rsidR="000C53F6" w:rsidRPr="00DD37EC" w:rsidRDefault="000C53F6" w:rsidP="006D2E03">
      <w:pPr>
        <w:spacing w:after="240" w:line="240" w:lineRule="auto"/>
        <w:jc w:val="both"/>
        <w:rPr>
          <w:rFonts w:ascii="Arial" w:hAnsi="Arial" w:cs="Arial"/>
          <w:b/>
          <w:i/>
          <w:lang w:val="es-ES"/>
        </w:rPr>
      </w:pPr>
      <w:r w:rsidRPr="00DD37EC">
        <w:rPr>
          <w:rFonts w:ascii="Arial" w:hAnsi="Arial" w:cs="Arial"/>
          <w:lang w:val="es-ES"/>
        </w:rPr>
        <w:t>Honduras ha realizado grandes avances en obtener reducción en los costos de la TARV en los últimos años. Al 2018, los costos de la terapia ARV para esquemas de</w:t>
      </w:r>
      <w:r w:rsidRPr="00DD37EC">
        <w:rPr>
          <w:rFonts w:ascii="Arial" w:hAnsi="Arial" w:cs="Arial"/>
          <w:b/>
          <w:i/>
          <w:lang w:val="es-ES"/>
        </w:rPr>
        <w:t xml:space="preserve"> 1era línea</w:t>
      </w:r>
      <w:r w:rsidR="00EC54C2">
        <w:rPr>
          <w:rFonts w:ascii="Arial" w:hAnsi="Arial" w:cs="Arial"/>
          <w:b/>
          <w:i/>
          <w:lang w:val="es-ES"/>
        </w:rPr>
        <w:t xml:space="preserve"> es</w:t>
      </w:r>
      <w:r w:rsidRPr="00DD37EC">
        <w:rPr>
          <w:rFonts w:ascii="Arial" w:hAnsi="Arial" w:cs="Arial"/>
          <w:b/>
          <w:i/>
          <w:lang w:val="es-ES"/>
        </w:rPr>
        <w:t xml:space="preserve"> </w:t>
      </w:r>
      <w:r w:rsidR="00EC54C2" w:rsidRPr="00DD37EC">
        <w:rPr>
          <w:rFonts w:ascii="Arial" w:hAnsi="Arial" w:cs="Arial"/>
          <w:b/>
          <w:i/>
          <w:lang w:val="es-ES"/>
        </w:rPr>
        <w:t>US$ 73.5</w:t>
      </w:r>
      <w:r w:rsidR="00EC54C2">
        <w:rPr>
          <w:rFonts w:ascii="Arial" w:hAnsi="Arial" w:cs="Arial"/>
          <w:b/>
          <w:i/>
          <w:lang w:val="es-ES"/>
        </w:rPr>
        <w:t xml:space="preserve"> por paciente por año</w:t>
      </w:r>
      <w:r w:rsidR="00EC54C2" w:rsidRPr="00DD37EC">
        <w:rPr>
          <w:rFonts w:ascii="Arial" w:hAnsi="Arial" w:cs="Arial"/>
          <w:b/>
          <w:i/>
          <w:lang w:val="es-ES"/>
        </w:rPr>
        <w:t xml:space="preserve"> </w:t>
      </w:r>
      <w:r w:rsidRPr="00DD37EC">
        <w:rPr>
          <w:rFonts w:ascii="Arial" w:hAnsi="Arial" w:cs="Arial"/>
          <w:lang w:val="es-ES"/>
        </w:rPr>
        <w:t>con una disminución de 244% con respecto al 2010 (US$251)</w:t>
      </w:r>
      <w:r w:rsidR="00CE1866">
        <w:rPr>
          <w:rFonts w:ascii="Arial" w:hAnsi="Arial" w:cs="Arial"/>
          <w:lang w:val="es-ES"/>
        </w:rPr>
        <w:t>.</w:t>
      </w:r>
      <w:r w:rsidRPr="00DD37EC">
        <w:rPr>
          <w:rStyle w:val="FootnoteReference"/>
          <w:rFonts w:ascii="Arial" w:hAnsi="Arial" w:cs="Arial"/>
          <w:lang w:val="es-ES"/>
        </w:rPr>
        <w:footnoteReference w:id="57"/>
      </w:r>
      <w:r w:rsidRPr="00DD37EC">
        <w:rPr>
          <w:rFonts w:ascii="Arial" w:hAnsi="Arial" w:cs="Arial"/>
          <w:lang w:val="es-ES"/>
        </w:rPr>
        <w:t xml:space="preserve"> Esto se ha debido a la adquisición a través de compra conjunta internacional y la adquisición de productos genéricos con comprobada calidad.</w:t>
      </w:r>
    </w:p>
    <w:p w14:paraId="1654829B" w14:textId="55F613D8" w:rsidR="000C53F6" w:rsidRPr="00DD37EC" w:rsidRDefault="000C53F6" w:rsidP="006D2E03">
      <w:pPr>
        <w:spacing w:after="240" w:line="240" w:lineRule="auto"/>
        <w:jc w:val="both"/>
        <w:rPr>
          <w:rFonts w:ascii="Arial" w:hAnsi="Arial" w:cs="Arial"/>
          <w:lang w:val="es-ES"/>
        </w:rPr>
      </w:pPr>
      <w:r w:rsidRPr="00DD37EC">
        <w:rPr>
          <w:rFonts w:ascii="Arial" w:hAnsi="Arial" w:cs="Arial"/>
          <w:b/>
          <w:i/>
          <w:lang w:val="es-ES"/>
        </w:rPr>
        <w:t>La segunda línea tiene un costo US$ 375 paciente por año y la tercera línea US$ 4,568,</w:t>
      </w:r>
      <w:r w:rsidRPr="00DD37EC">
        <w:rPr>
          <w:rFonts w:ascii="Arial" w:hAnsi="Arial" w:cs="Arial"/>
          <w:lang w:val="es-ES"/>
        </w:rPr>
        <w:t xml:space="preserve"> por lo que se deberán establecer los controles para el apego a los protocolos de tratamiento, para la prescripción de medicamentos de segunda y tercera línea de tratamiento y seguimiento a la adherencia de los usuarios/as.</w:t>
      </w:r>
      <w:r w:rsidR="00FC1558">
        <w:rPr>
          <w:rStyle w:val="FootnoteReference"/>
          <w:rFonts w:ascii="Arial" w:hAnsi="Arial" w:cs="Arial"/>
          <w:lang w:val="es-ES"/>
        </w:rPr>
        <w:footnoteReference w:id="58"/>
      </w:r>
      <w:r w:rsidRPr="00DD37EC">
        <w:rPr>
          <w:rFonts w:ascii="Arial" w:hAnsi="Arial" w:cs="Arial"/>
          <w:lang w:val="es-ES"/>
        </w:rPr>
        <w:t xml:space="preserve"> </w:t>
      </w:r>
    </w:p>
    <w:p w14:paraId="386C282A" w14:textId="361FF8D9" w:rsidR="000C53F6" w:rsidRPr="00DD37EC" w:rsidRDefault="000C53F6" w:rsidP="006D2E03">
      <w:pPr>
        <w:spacing w:after="240" w:line="240" w:lineRule="auto"/>
        <w:jc w:val="both"/>
        <w:rPr>
          <w:rFonts w:ascii="Arial" w:hAnsi="Arial" w:cs="Arial"/>
          <w:lang w:val="es-ES"/>
        </w:rPr>
      </w:pPr>
      <w:r w:rsidRPr="00DD37EC">
        <w:rPr>
          <w:rFonts w:ascii="Arial" w:hAnsi="Arial" w:cs="Arial"/>
          <w:lang w:val="es-ES"/>
        </w:rPr>
        <w:t xml:space="preserve">Análisis de costo-efectividad y costo-beneficio de las terapias de 2da y 3era línea deberán ser realizados en un corto plazo para la selección del principio activo más seguro, efectivo y con el mejor precio. Esto debido, al perfil de resistencia del </w:t>
      </w:r>
      <w:r w:rsidR="006575EF" w:rsidRPr="00DD37EC">
        <w:rPr>
          <w:rFonts w:ascii="Arial" w:hAnsi="Arial" w:cs="Arial"/>
          <w:lang w:val="es-ES"/>
        </w:rPr>
        <w:t>país</w:t>
      </w:r>
      <w:r w:rsidRPr="00DD37EC">
        <w:rPr>
          <w:rFonts w:ascii="Arial" w:hAnsi="Arial" w:cs="Arial"/>
          <w:lang w:val="es-ES"/>
        </w:rPr>
        <w:t xml:space="preserve"> y las migraciones que conllevar</w:t>
      </w:r>
      <w:r w:rsidR="006575EF">
        <w:rPr>
          <w:rFonts w:ascii="Arial" w:hAnsi="Arial" w:cs="Arial"/>
          <w:lang w:val="es-ES"/>
        </w:rPr>
        <w:t>á</w:t>
      </w:r>
      <w:r w:rsidRPr="00DD37EC">
        <w:rPr>
          <w:rFonts w:ascii="Arial" w:hAnsi="Arial" w:cs="Arial"/>
          <w:lang w:val="es-ES"/>
        </w:rPr>
        <w:t>n un mayor número de PVIH en tratamientos de 2da y 3era línea al 2020. Se considera un riesgo importante para la sostenibilidad la migración a esquemas de más alto costo, lo que conllevará anticipar el gasto y asignación de presupuesto por fuente doméstica.</w:t>
      </w:r>
    </w:p>
    <w:p w14:paraId="1E0EDCF6" w14:textId="61CE155E" w:rsidR="000C53F6" w:rsidRDefault="000C53F6" w:rsidP="006D2E03">
      <w:pPr>
        <w:spacing w:after="240" w:line="240" w:lineRule="auto"/>
        <w:jc w:val="both"/>
        <w:rPr>
          <w:rFonts w:ascii="Arial" w:hAnsi="Arial" w:cs="Arial"/>
          <w:lang w:val="es-ES"/>
        </w:rPr>
      </w:pPr>
      <w:r w:rsidRPr="001E51E6">
        <w:rPr>
          <w:rFonts w:ascii="Arial" w:hAnsi="Arial" w:cs="Arial"/>
          <w:lang w:val="es-ES"/>
        </w:rPr>
        <w:t xml:space="preserve">En la tabla </w:t>
      </w:r>
      <w:r w:rsidR="001E51E6" w:rsidRPr="001E51E6">
        <w:rPr>
          <w:rFonts w:ascii="Arial" w:hAnsi="Arial" w:cs="Arial"/>
          <w:lang w:val="es-ES"/>
        </w:rPr>
        <w:t>4</w:t>
      </w:r>
      <w:r w:rsidRPr="001E51E6">
        <w:rPr>
          <w:rFonts w:ascii="Arial" w:hAnsi="Arial" w:cs="Arial"/>
          <w:lang w:val="es-ES"/>
        </w:rPr>
        <w:t>, se</w:t>
      </w:r>
      <w:r w:rsidRPr="00DD37EC">
        <w:rPr>
          <w:rFonts w:ascii="Arial" w:hAnsi="Arial" w:cs="Arial"/>
          <w:lang w:val="es-ES"/>
        </w:rPr>
        <w:t xml:space="preserve"> muestra la comparación de precios de productos de 1era, 2da y 3era línea de tratamiento. Se observa que OPS ofrece un menor precio para el Dolutegravir (nueva molécula propuesta para primera línea) y para el Raltegravir (3era línea). Sin embargo, PFSCM (mecanismo del Fondo Mundial) provee menor precio para productos como la Emtricitabina/Tenofovir (1era línea), </w:t>
      </w:r>
      <w:r w:rsidRPr="00DD37EC">
        <w:rPr>
          <w:rFonts w:ascii="Arial" w:hAnsi="Arial" w:cs="Arial"/>
          <w:lang w:val="es-ES"/>
        </w:rPr>
        <w:lastRenderedPageBreak/>
        <w:t xml:space="preserve">Lopinavir/ritonavir (2da línea) y Darunavir (3era línea). Los ahorros estimados son entre US$ 20 y 30 mil dólares por año, en la selección de los proveedores con los menores precios. </w:t>
      </w:r>
    </w:p>
    <w:p w14:paraId="10D87749" w14:textId="34F47852" w:rsidR="000C53F6" w:rsidRPr="00CD29E6" w:rsidRDefault="00CD29E6" w:rsidP="00CD29E6">
      <w:pPr>
        <w:pStyle w:val="Caption"/>
        <w:rPr>
          <w:rStyle w:val="IntenseReference"/>
          <w:rFonts w:ascii="Arial" w:hAnsi="Arial" w:cs="Arial"/>
          <w:b/>
          <w:bCs/>
          <w:smallCaps w:val="0"/>
          <w:color w:val="auto"/>
          <w:spacing w:val="0"/>
          <w:sz w:val="22"/>
          <w:szCs w:val="22"/>
          <w:lang w:val="es-ES"/>
        </w:rPr>
      </w:pPr>
      <w:bookmarkStart w:id="49" w:name="_Toc8904506"/>
      <w:r w:rsidRPr="00CD29E6">
        <w:rPr>
          <w:rFonts w:ascii="Arial" w:hAnsi="Arial" w:cs="Arial"/>
          <w:color w:val="auto"/>
          <w:sz w:val="22"/>
          <w:szCs w:val="22"/>
        </w:rPr>
        <w:t xml:space="preserve">Tabla </w:t>
      </w:r>
      <w:r w:rsidRPr="00CD29E6">
        <w:rPr>
          <w:rFonts w:ascii="Arial" w:hAnsi="Arial" w:cs="Arial"/>
          <w:color w:val="auto"/>
          <w:sz w:val="22"/>
          <w:szCs w:val="22"/>
        </w:rPr>
        <w:fldChar w:fldCharType="begin"/>
      </w:r>
      <w:r w:rsidRPr="00CD29E6">
        <w:rPr>
          <w:rFonts w:ascii="Arial" w:hAnsi="Arial" w:cs="Arial"/>
          <w:color w:val="auto"/>
          <w:sz w:val="22"/>
          <w:szCs w:val="22"/>
        </w:rPr>
        <w:instrText xml:space="preserve"> SEQ Tabla \* ARABIC </w:instrText>
      </w:r>
      <w:r w:rsidRPr="00CD29E6">
        <w:rPr>
          <w:rFonts w:ascii="Arial" w:hAnsi="Arial" w:cs="Arial"/>
          <w:color w:val="auto"/>
          <w:sz w:val="22"/>
          <w:szCs w:val="22"/>
        </w:rPr>
        <w:fldChar w:fldCharType="separate"/>
      </w:r>
      <w:r w:rsidR="00D447AE">
        <w:rPr>
          <w:rFonts w:ascii="Arial" w:hAnsi="Arial" w:cs="Arial"/>
          <w:noProof/>
          <w:color w:val="auto"/>
          <w:sz w:val="22"/>
          <w:szCs w:val="22"/>
        </w:rPr>
        <w:t>4</w:t>
      </w:r>
      <w:r w:rsidRPr="00CD29E6">
        <w:rPr>
          <w:rFonts w:ascii="Arial" w:hAnsi="Arial" w:cs="Arial"/>
          <w:color w:val="auto"/>
          <w:sz w:val="22"/>
          <w:szCs w:val="22"/>
        </w:rPr>
        <w:fldChar w:fldCharType="end"/>
      </w:r>
      <w:r w:rsidRPr="00CD29E6">
        <w:rPr>
          <w:rFonts w:ascii="Arial" w:hAnsi="Arial" w:cs="Arial"/>
          <w:color w:val="auto"/>
          <w:sz w:val="22"/>
          <w:szCs w:val="22"/>
        </w:rPr>
        <w:t>. Comparación de precios de medicamentos ARV de 1er, 2a y 3a línea</w:t>
      </w:r>
      <w:bookmarkStart w:id="50" w:name="_Hlk535488654"/>
      <w:bookmarkEnd w:id="49"/>
    </w:p>
    <w:bookmarkEnd w:id="50"/>
    <w:tbl>
      <w:tblPr>
        <w:tblStyle w:val="TableGrid"/>
        <w:tblW w:w="5000" w:type="pct"/>
        <w:tblLook w:val="04A0" w:firstRow="1" w:lastRow="0" w:firstColumn="1" w:lastColumn="0" w:noHBand="0" w:noVBand="1"/>
      </w:tblPr>
      <w:tblGrid>
        <w:gridCol w:w="2789"/>
        <w:gridCol w:w="1778"/>
        <w:gridCol w:w="1533"/>
        <w:gridCol w:w="1318"/>
        <w:gridCol w:w="1218"/>
        <w:gridCol w:w="1318"/>
      </w:tblGrid>
      <w:tr w:rsidR="000C53F6" w:rsidRPr="00DD37EC" w14:paraId="0CC7A55D" w14:textId="77777777" w:rsidTr="006575EF">
        <w:trPr>
          <w:trHeight w:hRule="exact" w:val="288"/>
        </w:trPr>
        <w:tc>
          <w:tcPr>
            <w:tcW w:w="1429" w:type="pct"/>
            <w:shd w:val="clear" w:color="auto" w:fill="FFFFFF" w:themeFill="background1"/>
            <w:noWrap/>
            <w:vAlign w:val="center"/>
            <w:hideMark/>
          </w:tcPr>
          <w:p w14:paraId="5B64ED4E" w14:textId="77777777" w:rsidR="000C53F6" w:rsidRPr="00DD37EC" w:rsidRDefault="000C53F6" w:rsidP="00DD37EC">
            <w:pPr>
              <w:spacing w:after="240"/>
              <w:jc w:val="center"/>
              <w:rPr>
                <w:rFonts w:ascii="Arial" w:eastAsia="Times New Roman" w:hAnsi="Arial" w:cs="Arial"/>
                <w:lang w:val="es-DO"/>
              </w:rPr>
            </w:pPr>
          </w:p>
        </w:tc>
        <w:tc>
          <w:tcPr>
            <w:tcW w:w="921" w:type="pct"/>
            <w:shd w:val="clear" w:color="auto" w:fill="FFFFFF" w:themeFill="background1"/>
            <w:noWrap/>
            <w:vAlign w:val="center"/>
            <w:hideMark/>
          </w:tcPr>
          <w:p w14:paraId="49F0B59B" w14:textId="77777777" w:rsidR="000C53F6" w:rsidRPr="00DD37EC" w:rsidRDefault="000C53F6" w:rsidP="00DD37EC">
            <w:pPr>
              <w:spacing w:after="240"/>
              <w:jc w:val="center"/>
              <w:rPr>
                <w:rFonts w:ascii="Arial" w:eastAsia="Times New Roman" w:hAnsi="Arial" w:cs="Arial"/>
                <w:lang w:val="es-DO"/>
              </w:rPr>
            </w:pPr>
          </w:p>
        </w:tc>
        <w:tc>
          <w:tcPr>
            <w:tcW w:w="1404" w:type="pct"/>
            <w:gridSpan w:val="2"/>
            <w:shd w:val="clear" w:color="auto" w:fill="1F3864" w:themeFill="accent1" w:themeFillShade="80"/>
            <w:vAlign w:val="center"/>
            <w:hideMark/>
          </w:tcPr>
          <w:p w14:paraId="3273E735" w14:textId="77777777" w:rsidR="000C53F6" w:rsidRPr="00DD37EC" w:rsidRDefault="000C53F6" w:rsidP="00DD37EC">
            <w:pPr>
              <w:spacing w:after="240"/>
              <w:jc w:val="center"/>
              <w:rPr>
                <w:rFonts w:ascii="Arial" w:eastAsia="Times New Roman" w:hAnsi="Arial" w:cs="Arial"/>
                <w:b/>
                <w:bCs/>
                <w:color w:val="FFFFFF"/>
                <w:lang w:val="es-DO"/>
              </w:rPr>
            </w:pPr>
            <w:r w:rsidRPr="00DD37EC">
              <w:rPr>
                <w:rFonts w:ascii="Arial" w:eastAsia="Times New Roman" w:hAnsi="Arial" w:cs="Arial"/>
                <w:b/>
                <w:bCs/>
                <w:color w:val="FFFFFF"/>
                <w:lang w:val="es-DO"/>
              </w:rPr>
              <w:t>OPS USD</w:t>
            </w:r>
          </w:p>
        </w:tc>
        <w:tc>
          <w:tcPr>
            <w:tcW w:w="1245" w:type="pct"/>
            <w:gridSpan w:val="2"/>
            <w:shd w:val="clear" w:color="auto" w:fill="1F3864" w:themeFill="accent1" w:themeFillShade="80"/>
            <w:vAlign w:val="center"/>
            <w:hideMark/>
          </w:tcPr>
          <w:p w14:paraId="2379A550" w14:textId="77777777" w:rsidR="000C53F6" w:rsidRPr="00DD37EC" w:rsidRDefault="000C53F6" w:rsidP="00DD37EC">
            <w:pPr>
              <w:spacing w:after="240"/>
              <w:jc w:val="center"/>
              <w:rPr>
                <w:rFonts w:ascii="Arial" w:eastAsia="Times New Roman" w:hAnsi="Arial" w:cs="Arial"/>
                <w:b/>
                <w:bCs/>
                <w:color w:val="FFFFFF"/>
                <w:lang w:val="es-DO"/>
              </w:rPr>
            </w:pPr>
            <w:r w:rsidRPr="00DD37EC">
              <w:rPr>
                <w:rFonts w:ascii="Arial" w:eastAsia="Times New Roman" w:hAnsi="Arial" w:cs="Arial"/>
                <w:b/>
                <w:bCs/>
                <w:color w:val="FFFFFF"/>
                <w:lang w:val="es-DO"/>
              </w:rPr>
              <w:t>PFSCM/FM USD</w:t>
            </w:r>
          </w:p>
        </w:tc>
      </w:tr>
      <w:tr w:rsidR="000C53F6" w:rsidRPr="00DD37EC" w14:paraId="5795C702" w14:textId="77777777" w:rsidTr="006575EF">
        <w:trPr>
          <w:trHeight w:hRule="exact" w:val="288"/>
        </w:trPr>
        <w:tc>
          <w:tcPr>
            <w:tcW w:w="1429" w:type="pct"/>
            <w:noWrap/>
            <w:vAlign w:val="center"/>
            <w:hideMark/>
          </w:tcPr>
          <w:p w14:paraId="621F9635" w14:textId="77777777" w:rsidR="000C53F6" w:rsidRPr="00DD37EC" w:rsidRDefault="000C53F6" w:rsidP="00DD37EC">
            <w:pPr>
              <w:spacing w:after="240"/>
              <w:jc w:val="center"/>
              <w:rPr>
                <w:rFonts w:ascii="Arial" w:eastAsia="Times New Roman" w:hAnsi="Arial" w:cs="Arial"/>
                <w:b/>
                <w:bCs/>
                <w:color w:val="FFFFFF"/>
                <w:lang w:val="es-DO"/>
              </w:rPr>
            </w:pPr>
          </w:p>
        </w:tc>
        <w:tc>
          <w:tcPr>
            <w:tcW w:w="921" w:type="pct"/>
            <w:shd w:val="clear" w:color="auto" w:fill="D5DCE4" w:themeFill="text2" w:themeFillTint="33"/>
            <w:vAlign w:val="center"/>
            <w:hideMark/>
          </w:tcPr>
          <w:p w14:paraId="70D25CA6" w14:textId="77777777" w:rsidR="000C53F6" w:rsidRPr="00DD37EC" w:rsidRDefault="000C53F6" w:rsidP="00DD37EC">
            <w:pPr>
              <w:spacing w:after="240"/>
              <w:jc w:val="center"/>
              <w:rPr>
                <w:rFonts w:ascii="Arial" w:eastAsia="Times New Roman" w:hAnsi="Arial" w:cs="Arial"/>
                <w:i/>
                <w:iCs/>
                <w:color w:val="000000"/>
                <w:lang w:val="es-DO"/>
              </w:rPr>
            </w:pPr>
            <w:r w:rsidRPr="00DD37EC">
              <w:rPr>
                <w:rFonts w:ascii="Arial" w:eastAsia="Times New Roman" w:hAnsi="Arial" w:cs="Arial"/>
                <w:i/>
                <w:iCs/>
                <w:color w:val="000000"/>
                <w:lang w:val="es-DO"/>
              </w:rPr>
              <w:t>Unidades REQ 2019</w:t>
            </w:r>
          </w:p>
        </w:tc>
        <w:tc>
          <w:tcPr>
            <w:tcW w:w="798" w:type="pct"/>
            <w:shd w:val="clear" w:color="auto" w:fill="D5DCE4" w:themeFill="text2" w:themeFillTint="33"/>
            <w:vAlign w:val="center"/>
            <w:hideMark/>
          </w:tcPr>
          <w:p w14:paraId="51392DA3" w14:textId="77777777" w:rsidR="000C53F6" w:rsidRPr="00DD37EC" w:rsidRDefault="000C53F6" w:rsidP="00DD37EC">
            <w:pPr>
              <w:spacing w:after="240"/>
              <w:jc w:val="center"/>
              <w:rPr>
                <w:rFonts w:ascii="Arial" w:eastAsia="Times New Roman" w:hAnsi="Arial" w:cs="Arial"/>
                <w:i/>
                <w:iCs/>
                <w:color w:val="000000"/>
                <w:lang w:val="es-DO"/>
              </w:rPr>
            </w:pPr>
            <w:r w:rsidRPr="00DD37EC">
              <w:rPr>
                <w:rFonts w:ascii="Arial" w:eastAsia="Times New Roman" w:hAnsi="Arial" w:cs="Arial"/>
                <w:i/>
                <w:iCs/>
                <w:color w:val="000000"/>
                <w:lang w:val="es-DO"/>
              </w:rPr>
              <w:t>Precio unitario</w:t>
            </w:r>
          </w:p>
        </w:tc>
        <w:tc>
          <w:tcPr>
            <w:tcW w:w="606" w:type="pct"/>
            <w:shd w:val="clear" w:color="auto" w:fill="D5DCE4" w:themeFill="text2" w:themeFillTint="33"/>
            <w:vAlign w:val="center"/>
            <w:hideMark/>
          </w:tcPr>
          <w:p w14:paraId="19989E42" w14:textId="77777777" w:rsidR="000C53F6" w:rsidRPr="00DD37EC" w:rsidRDefault="000C53F6" w:rsidP="00DD37EC">
            <w:pPr>
              <w:spacing w:after="240"/>
              <w:jc w:val="center"/>
              <w:rPr>
                <w:rFonts w:ascii="Arial" w:eastAsia="Times New Roman" w:hAnsi="Arial" w:cs="Arial"/>
                <w:i/>
                <w:iCs/>
                <w:color w:val="000000"/>
                <w:lang w:val="es-DO"/>
              </w:rPr>
            </w:pPr>
            <w:r w:rsidRPr="00DD37EC">
              <w:rPr>
                <w:rFonts w:ascii="Arial" w:eastAsia="Times New Roman" w:hAnsi="Arial" w:cs="Arial"/>
                <w:i/>
                <w:iCs/>
                <w:color w:val="000000"/>
                <w:lang w:val="es-DO"/>
              </w:rPr>
              <w:t>Total</w:t>
            </w:r>
          </w:p>
        </w:tc>
        <w:tc>
          <w:tcPr>
            <w:tcW w:w="640" w:type="pct"/>
            <w:shd w:val="clear" w:color="auto" w:fill="D5DCE4" w:themeFill="text2" w:themeFillTint="33"/>
            <w:vAlign w:val="center"/>
            <w:hideMark/>
          </w:tcPr>
          <w:p w14:paraId="0EFC0DDD" w14:textId="77777777" w:rsidR="000C53F6" w:rsidRPr="00DD37EC" w:rsidRDefault="000C53F6" w:rsidP="00DD37EC">
            <w:pPr>
              <w:spacing w:after="240"/>
              <w:jc w:val="center"/>
              <w:rPr>
                <w:rFonts w:ascii="Arial" w:eastAsia="Times New Roman" w:hAnsi="Arial" w:cs="Arial"/>
                <w:i/>
                <w:iCs/>
                <w:color w:val="000000"/>
                <w:lang w:val="es-DO"/>
              </w:rPr>
            </w:pPr>
            <w:r w:rsidRPr="00DD37EC">
              <w:rPr>
                <w:rFonts w:ascii="Arial" w:eastAsia="Times New Roman" w:hAnsi="Arial" w:cs="Arial"/>
                <w:i/>
                <w:iCs/>
                <w:color w:val="000000"/>
                <w:lang w:val="es-DO"/>
              </w:rPr>
              <w:t>Precio unitario</w:t>
            </w:r>
          </w:p>
        </w:tc>
        <w:tc>
          <w:tcPr>
            <w:tcW w:w="605" w:type="pct"/>
            <w:shd w:val="clear" w:color="auto" w:fill="D5DCE4" w:themeFill="text2" w:themeFillTint="33"/>
            <w:vAlign w:val="center"/>
            <w:hideMark/>
          </w:tcPr>
          <w:p w14:paraId="76ACA07D" w14:textId="77777777" w:rsidR="000C53F6" w:rsidRPr="00DD37EC" w:rsidRDefault="000C53F6" w:rsidP="00DD37EC">
            <w:pPr>
              <w:spacing w:after="240"/>
              <w:jc w:val="center"/>
              <w:rPr>
                <w:rFonts w:ascii="Arial" w:eastAsia="Times New Roman" w:hAnsi="Arial" w:cs="Arial"/>
                <w:i/>
                <w:iCs/>
                <w:color w:val="000000"/>
                <w:lang w:val="es-DO"/>
              </w:rPr>
            </w:pPr>
            <w:r w:rsidRPr="00DD37EC">
              <w:rPr>
                <w:rFonts w:ascii="Arial" w:eastAsia="Times New Roman" w:hAnsi="Arial" w:cs="Arial"/>
                <w:i/>
                <w:iCs/>
                <w:color w:val="000000"/>
                <w:lang w:val="es-DO"/>
              </w:rPr>
              <w:t>Total</w:t>
            </w:r>
          </w:p>
        </w:tc>
      </w:tr>
      <w:tr w:rsidR="000C53F6" w:rsidRPr="00DD37EC" w14:paraId="19A9E26F" w14:textId="77777777" w:rsidTr="006575EF">
        <w:trPr>
          <w:trHeight w:hRule="exact" w:val="288"/>
        </w:trPr>
        <w:tc>
          <w:tcPr>
            <w:tcW w:w="1429" w:type="pct"/>
            <w:vAlign w:val="center"/>
            <w:hideMark/>
          </w:tcPr>
          <w:p w14:paraId="28006B46" w14:textId="77777777" w:rsidR="000C53F6" w:rsidRPr="00DD37EC" w:rsidRDefault="000C53F6" w:rsidP="00DD37EC">
            <w:pPr>
              <w:spacing w:after="240"/>
              <w:jc w:val="center"/>
              <w:rPr>
                <w:rFonts w:ascii="Arial" w:eastAsia="Times New Roman" w:hAnsi="Arial" w:cs="Arial"/>
                <w:b/>
                <w:bCs/>
                <w:color w:val="000000"/>
                <w:lang w:val="es-DO"/>
              </w:rPr>
            </w:pPr>
            <w:r w:rsidRPr="00DD37EC">
              <w:rPr>
                <w:rFonts w:ascii="Arial" w:eastAsia="Times New Roman" w:hAnsi="Arial" w:cs="Arial"/>
                <w:b/>
                <w:bCs/>
                <w:color w:val="000000"/>
                <w:lang w:val="es-DO"/>
              </w:rPr>
              <w:t xml:space="preserve">Dolutegravir </w:t>
            </w:r>
            <w:r w:rsidRPr="00DD37EC">
              <w:rPr>
                <w:rFonts w:ascii="Arial" w:eastAsia="Times New Roman" w:hAnsi="Arial" w:cs="Arial"/>
                <w:i/>
                <w:iCs/>
                <w:color w:val="000000"/>
                <w:lang w:val="es-DO"/>
              </w:rPr>
              <w:t>(1er línea)</w:t>
            </w:r>
          </w:p>
        </w:tc>
        <w:tc>
          <w:tcPr>
            <w:tcW w:w="921" w:type="pct"/>
            <w:noWrap/>
            <w:vAlign w:val="center"/>
            <w:hideMark/>
          </w:tcPr>
          <w:p w14:paraId="33202436" w14:textId="77777777" w:rsidR="000C53F6" w:rsidRPr="00DD37EC" w:rsidRDefault="000C53F6" w:rsidP="00DD37EC">
            <w:pPr>
              <w:spacing w:after="240"/>
              <w:jc w:val="center"/>
              <w:rPr>
                <w:rFonts w:ascii="Arial" w:eastAsia="Times New Roman" w:hAnsi="Arial" w:cs="Arial"/>
                <w:color w:val="000000"/>
                <w:lang w:val="es-DO"/>
              </w:rPr>
            </w:pPr>
            <w:r w:rsidRPr="00DD37EC">
              <w:rPr>
                <w:rFonts w:ascii="Arial" w:hAnsi="Arial" w:cs="Arial"/>
                <w:color w:val="000000"/>
                <w:lang w:val="es-DO"/>
              </w:rPr>
              <w:t>1,279</w:t>
            </w:r>
          </w:p>
        </w:tc>
        <w:tc>
          <w:tcPr>
            <w:tcW w:w="798" w:type="pct"/>
            <w:vAlign w:val="center"/>
            <w:hideMark/>
          </w:tcPr>
          <w:p w14:paraId="731A05E7" w14:textId="77777777" w:rsidR="000C53F6" w:rsidRPr="00DD37EC" w:rsidRDefault="000C53F6" w:rsidP="00DD37EC">
            <w:pPr>
              <w:spacing w:after="240"/>
              <w:jc w:val="center"/>
              <w:rPr>
                <w:rFonts w:ascii="Arial" w:eastAsia="Times New Roman" w:hAnsi="Arial" w:cs="Arial"/>
                <w:color w:val="000000"/>
                <w:lang w:val="es-DO"/>
              </w:rPr>
            </w:pPr>
            <w:r w:rsidRPr="00DD37EC">
              <w:rPr>
                <w:rFonts w:ascii="Arial" w:hAnsi="Arial" w:cs="Arial"/>
                <w:color w:val="000000"/>
                <w:lang w:val="es-DO"/>
              </w:rPr>
              <w:t>3.80</w:t>
            </w:r>
          </w:p>
        </w:tc>
        <w:tc>
          <w:tcPr>
            <w:tcW w:w="606" w:type="pct"/>
            <w:vAlign w:val="center"/>
            <w:hideMark/>
          </w:tcPr>
          <w:p w14:paraId="48616A66" w14:textId="77777777" w:rsidR="000C53F6" w:rsidRPr="00DD37EC" w:rsidRDefault="000C53F6" w:rsidP="00DD37EC">
            <w:pPr>
              <w:spacing w:after="240"/>
              <w:jc w:val="center"/>
              <w:rPr>
                <w:rFonts w:ascii="Arial" w:eastAsia="Times New Roman" w:hAnsi="Arial" w:cs="Arial"/>
                <w:color w:val="000000"/>
                <w:lang w:val="es-DO"/>
              </w:rPr>
            </w:pPr>
            <w:r w:rsidRPr="00DD37EC">
              <w:rPr>
                <w:rFonts w:ascii="Arial" w:hAnsi="Arial" w:cs="Arial"/>
                <w:color w:val="000000"/>
                <w:lang w:val="es-DO"/>
              </w:rPr>
              <w:t>4,860.20</w:t>
            </w:r>
          </w:p>
        </w:tc>
        <w:tc>
          <w:tcPr>
            <w:tcW w:w="640" w:type="pct"/>
            <w:vAlign w:val="center"/>
            <w:hideMark/>
          </w:tcPr>
          <w:p w14:paraId="5C3BB214" w14:textId="77777777" w:rsidR="000C53F6" w:rsidRPr="00DD37EC" w:rsidRDefault="000C53F6" w:rsidP="00DD37EC">
            <w:pPr>
              <w:spacing w:after="240"/>
              <w:jc w:val="center"/>
              <w:rPr>
                <w:rFonts w:ascii="Arial" w:eastAsia="Times New Roman" w:hAnsi="Arial" w:cs="Arial"/>
                <w:color w:val="000000"/>
                <w:lang w:val="es-DO"/>
              </w:rPr>
            </w:pPr>
            <w:r w:rsidRPr="00DD37EC">
              <w:rPr>
                <w:rFonts w:ascii="Arial" w:hAnsi="Arial" w:cs="Arial"/>
              </w:rPr>
              <w:t>4.00</w:t>
            </w:r>
          </w:p>
        </w:tc>
        <w:tc>
          <w:tcPr>
            <w:tcW w:w="605" w:type="pct"/>
            <w:vAlign w:val="center"/>
            <w:hideMark/>
          </w:tcPr>
          <w:p w14:paraId="792BA019" w14:textId="77777777" w:rsidR="000C53F6" w:rsidRPr="00DD37EC" w:rsidRDefault="000C53F6" w:rsidP="00DD37EC">
            <w:pPr>
              <w:spacing w:after="240"/>
              <w:jc w:val="center"/>
              <w:rPr>
                <w:rFonts w:ascii="Arial" w:eastAsia="Times New Roman" w:hAnsi="Arial" w:cs="Arial"/>
                <w:color w:val="000000"/>
                <w:lang w:val="es-DO"/>
              </w:rPr>
            </w:pPr>
            <w:r w:rsidRPr="00DD37EC">
              <w:rPr>
                <w:rFonts w:ascii="Arial" w:hAnsi="Arial" w:cs="Arial"/>
              </w:rPr>
              <w:t>5,116.00</w:t>
            </w:r>
          </w:p>
        </w:tc>
      </w:tr>
      <w:tr w:rsidR="000C53F6" w:rsidRPr="00DD37EC" w14:paraId="2EA86A84" w14:textId="77777777" w:rsidTr="006575EF">
        <w:trPr>
          <w:trHeight w:hRule="exact" w:val="288"/>
        </w:trPr>
        <w:tc>
          <w:tcPr>
            <w:tcW w:w="1429" w:type="pct"/>
            <w:vAlign w:val="center"/>
            <w:hideMark/>
          </w:tcPr>
          <w:p w14:paraId="25607FD6" w14:textId="77777777" w:rsidR="000C53F6" w:rsidRPr="00DD37EC" w:rsidRDefault="000C53F6" w:rsidP="00DD37EC">
            <w:pPr>
              <w:spacing w:after="240"/>
              <w:jc w:val="center"/>
              <w:rPr>
                <w:rFonts w:ascii="Arial" w:eastAsia="Times New Roman" w:hAnsi="Arial" w:cs="Arial"/>
                <w:b/>
                <w:bCs/>
                <w:color w:val="000000"/>
                <w:lang w:val="es-DO"/>
              </w:rPr>
            </w:pPr>
            <w:r w:rsidRPr="00DD37EC">
              <w:rPr>
                <w:rFonts w:ascii="Arial" w:eastAsia="Times New Roman" w:hAnsi="Arial" w:cs="Arial"/>
                <w:b/>
                <w:bCs/>
                <w:color w:val="000000"/>
                <w:lang w:val="es-DO"/>
              </w:rPr>
              <w:t>Emtricitabina/Tenofovir</w:t>
            </w:r>
            <w:r w:rsidRPr="00DD37EC">
              <w:rPr>
                <w:rFonts w:ascii="Arial" w:eastAsia="Times New Roman" w:hAnsi="Arial" w:cs="Arial"/>
                <w:i/>
                <w:iCs/>
                <w:color w:val="000000"/>
                <w:lang w:val="es-DO"/>
              </w:rPr>
              <w:t xml:space="preserve"> (1era línea)</w:t>
            </w:r>
          </w:p>
        </w:tc>
        <w:tc>
          <w:tcPr>
            <w:tcW w:w="921" w:type="pct"/>
            <w:noWrap/>
            <w:vAlign w:val="center"/>
            <w:hideMark/>
          </w:tcPr>
          <w:p w14:paraId="02150179" w14:textId="77777777" w:rsidR="000C53F6" w:rsidRPr="00DD37EC" w:rsidRDefault="000C53F6" w:rsidP="00DD37EC">
            <w:pPr>
              <w:spacing w:after="240"/>
              <w:jc w:val="center"/>
              <w:rPr>
                <w:rFonts w:ascii="Arial" w:eastAsia="Times New Roman" w:hAnsi="Arial" w:cs="Arial"/>
                <w:color w:val="000000"/>
                <w:lang w:val="es-DO"/>
              </w:rPr>
            </w:pPr>
            <w:r w:rsidRPr="00DD37EC">
              <w:rPr>
                <w:rFonts w:ascii="Arial" w:hAnsi="Arial" w:cs="Arial"/>
                <w:color w:val="000000"/>
                <w:lang w:val="es-DO"/>
              </w:rPr>
              <w:t>10,223</w:t>
            </w:r>
          </w:p>
        </w:tc>
        <w:tc>
          <w:tcPr>
            <w:tcW w:w="798" w:type="pct"/>
            <w:vAlign w:val="center"/>
            <w:hideMark/>
          </w:tcPr>
          <w:p w14:paraId="7AE6326E" w14:textId="77777777" w:rsidR="000C53F6" w:rsidRPr="00DD37EC" w:rsidRDefault="000C53F6" w:rsidP="00DD37EC">
            <w:pPr>
              <w:spacing w:after="240"/>
              <w:jc w:val="center"/>
              <w:rPr>
                <w:rFonts w:ascii="Arial" w:eastAsia="Times New Roman" w:hAnsi="Arial" w:cs="Arial"/>
                <w:color w:val="000000"/>
                <w:lang w:val="es-DO"/>
              </w:rPr>
            </w:pPr>
            <w:r w:rsidRPr="00DD37EC">
              <w:rPr>
                <w:rFonts w:ascii="Arial" w:hAnsi="Arial" w:cs="Arial"/>
                <w:color w:val="000000"/>
                <w:lang w:val="es-DO"/>
              </w:rPr>
              <w:t>4.70</w:t>
            </w:r>
          </w:p>
        </w:tc>
        <w:tc>
          <w:tcPr>
            <w:tcW w:w="606" w:type="pct"/>
            <w:vAlign w:val="center"/>
            <w:hideMark/>
          </w:tcPr>
          <w:p w14:paraId="6C299DFF" w14:textId="77777777" w:rsidR="000C53F6" w:rsidRPr="00DD37EC" w:rsidRDefault="000C53F6" w:rsidP="00DD37EC">
            <w:pPr>
              <w:spacing w:after="240"/>
              <w:jc w:val="center"/>
              <w:rPr>
                <w:rFonts w:ascii="Arial" w:eastAsia="Times New Roman" w:hAnsi="Arial" w:cs="Arial"/>
                <w:color w:val="000000"/>
                <w:lang w:val="es-DO"/>
              </w:rPr>
            </w:pPr>
            <w:r w:rsidRPr="00DD37EC">
              <w:rPr>
                <w:rFonts w:ascii="Arial" w:hAnsi="Arial" w:cs="Arial"/>
                <w:color w:val="000000"/>
                <w:lang w:val="es-DO"/>
              </w:rPr>
              <w:t>48,048.10</w:t>
            </w:r>
          </w:p>
        </w:tc>
        <w:tc>
          <w:tcPr>
            <w:tcW w:w="640" w:type="pct"/>
            <w:vAlign w:val="center"/>
            <w:hideMark/>
          </w:tcPr>
          <w:p w14:paraId="139F301B" w14:textId="77777777" w:rsidR="000C53F6" w:rsidRPr="00DD37EC" w:rsidRDefault="000C53F6" w:rsidP="00DD37EC">
            <w:pPr>
              <w:spacing w:after="240"/>
              <w:jc w:val="center"/>
              <w:rPr>
                <w:rFonts w:ascii="Arial" w:eastAsia="Times New Roman" w:hAnsi="Arial" w:cs="Arial"/>
                <w:color w:val="000000"/>
                <w:lang w:val="es-DO"/>
              </w:rPr>
            </w:pPr>
            <w:r w:rsidRPr="00DD37EC">
              <w:rPr>
                <w:rFonts w:ascii="Arial" w:hAnsi="Arial" w:cs="Arial"/>
              </w:rPr>
              <w:t>3.80</w:t>
            </w:r>
          </w:p>
        </w:tc>
        <w:tc>
          <w:tcPr>
            <w:tcW w:w="605" w:type="pct"/>
            <w:vAlign w:val="center"/>
            <w:hideMark/>
          </w:tcPr>
          <w:p w14:paraId="5D054802" w14:textId="77777777" w:rsidR="000C53F6" w:rsidRPr="00DD37EC" w:rsidRDefault="000C53F6" w:rsidP="00DD37EC">
            <w:pPr>
              <w:spacing w:after="240"/>
              <w:jc w:val="center"/>
              <w:rPr>
                <w:rFonts w:ascii="Arial" w:eastAsia="Times New Roman" w:hAnsi="Arial" w:cs="Arial"/>
                <w:color w:val="000000"/>
                <w:lang w:val="es-DO"/>
              </w:rPr>
            </w:pPr>
            <w:r w:rsidRPr="00DD37EC">
              <w:rPr>
                <w:rFonts w:ascii="Arial" w:hAnsi="Arial" w:cs="Arial"/>
              </w:rPr>
              <w:t>38,847.40</w:t>
            </w:r>
          </w:p>
        </w:tc>
      </w:tr>
      <w:tr w:rsidR="000C53F6" w:rsidRPr="00DD37EC" w14:paraId="7D54529D" w14:textId="77777777" w:rsidTr="006575EF">
        <w:trPr>
          <w:trHeight w:hRule="exact" w:val="288"/>
        </w:trPr>
        <w:tc>
          <w:tcPr>
            <w:tcW w:w="1429" w:type="pct"/>
            <w:vAlign w:val="center"/>
            <w:hideMark/>
          </w:tcPr>
          <w:p w14:paraId="0E0B121D" w14:textId="77777777" w:rsidR="000C53F6" w:rsidRPr="00DD37EC" w:rsidRDefault="000C53F6" w:rsidP="00DD37EC">
            <w:pPr>
              <w:spacing w:after="240"/>
              <w:jc w:val="center"/>
              <w:rPr>
                <w:rFonts w:ascii="Arial" w:eastAsia="Times New Roman" w:hAnsi="Arial" w:cs="Arial"/>
                <w:b/>
                <w:bCs/>
                <w:color w:val="000000"/>
                <w:lang w:val="es-DO"/>
              </w:rPr>
            </w:pPr>
            <w:r w:rsidRPr="00DD37EC">
              <w:rPr>
                <w:rFonts w:ascii="Arial" w:eastAsia="Times New Roman" w:hAnsi="Arial" w:cs="Arial"/>
                <w:b/>
                <w:bCs/>
                <w:color w:val="000000"/>
                <w:lang w:val="es-DO"/>
              </w:rPr>
              <w:t xml:space="preserve">Lopinavir/ritonavir </w:t>
            </w:r>
            <w:r w:rsidRPr="00DD37EC">
              <w:rPr>
                <w:rFonts w:ascii="Arial" w:eastAsia="Times New Roman" w:hAnsi="Arial" w:cs="Arial"/>
                <w:i/>
                <w:iCs/>
                <w:color w:val="000000"/>
                <w:lang w:val="es-DO"/>
              </w:rPr>
              <w:t>(2da Línea)</w:t>
            </w:r>
          </w:p>
        </w:tc>
        <w:tc>
          <w:tcPr>
            <w:tcW w:w="921" w:type="pct"/>
            <w:noWrap/>
            <w:vAlign w:val="center"/>
            <w:hideMark/>
          </w:tcPr>
          <w:p w14:paraId="59C292F0" w14:textId="77777777" w:rsidR="000C53F6" w:rsidRPr="00DD37EC" w:rsidRDefault="000C53F6" w:rsidP="00DD37EC">
            <w:pPr>
              <w:spacing w:after="240"/>
              <w:jc w:val="center"/>
              <w:rPr>
                <w:rFonts w:ascii="Arial" w:eastAsia="Times New Roman" w:hAnsi="Arial" w:cs="Arial"/>
                <w:color w:val="000000"/>
                <w:lang w:val="es-DO"/>
              </w:rPr>
            </w:pPr>
            <w:r w:rsidRPr="00DD37EC">
              <w:rPr>
                <w:rFonts w:ascii="Arial" w:hAnsi="Arial" w:cs="Arial"/>
                <w:color w:val="000000"/>
                <w:lang w:val="es-DO"/>
              </w:rPr>
              <w:t>16,600</w:t>
            </w:r>
          </w:p>
        </w:tc>
        <w:tc>
          <w:tcPr>
            <w:tcW w:w="798" w:type="pct"/>
            <w:vAlign w:val="center"/>
            <w:hideMark/>
          </w:tcPr>
          <w:p w14:paraId="188BE811" w14:textId="77777777" w:rsidR="000C53F6" w:rsidRPr="00DD37EC" w:rsidRDefault="000C53F6" w:rsidP="00DD37EC">
            <w:pPr>
              <w:spacing w:after="240"/>
              <w:jc w:val="center"/>
              <w:rPr>
                <w:rFonts w:ascii="Arial" w:eastAsia="Times New Roman" w:hAnsi="Arial" w:cs="Arial"/>
                <w:color w:val="000000"/>
                <w:lang w:val="es-DO"/>
              </w:rPr>
            </w:pPr>
            <w:r w:rsidRPr="00DD37EC">
              <w:rPr>
                <w:rFonts w:ascii="Arial" w:hAnsi="Arial" w:cs="Arial"/>
                <w:color w:val="000000"/>
                <w:lang w:val="es-DO"/>
              </w:rPr>
              <w:t>18.00</w:t>
            </w:r>
          </w:p>
        </w:tc>
        <w:tc>
          <w:tcPr>
            <w:tcW w:w="606" w:type="pct"/>
            <w:vAlign w:val="center"/>
            <w:hideMark/>
          </w:tcPr>
          <w:p w14:paraId="4A5296B6" w14:textId="77777777" w:rsidR="000C53F6" w:rsidRPr="00DD37EC" w:rsidRDefault="000C53F6" w:rsidP="00DD37EC">
            <w:pPr>
              <w:spacing w:after="240"/>
              <w:jc w:val="center"/>
              <w:rPr>
                <w:rFonts w:ascii="Arial" w:eastAsia="Times New Roman" w:hAnsi="Arial" w:cs="Arial"/>
                <w:color w:val="000000"/>
                <w:lang w:val="es-DO"/>
              </w:rPr>
            </w:pPr>
            <w:r w:rsidRPr="00DD37EC">
              <w:rPr>
                <w:rFonts w:ascii="Arial" w:hAnsi="Arial" w:cs="Arial"/>
                <w:color w:val="000000"/>
                <w:lang w:val="es-DO"/>
              </w:rPr>
              <w:t>298,800.00</w:t>
            </w:r>
          </w:p>
        </w:tc>
        <w:tc>
          <w:tcPr>
            <w:tcW w:w="640" w:type="pct"/>
            <w:vAlign w:val="center"/>
            <w:hideMark/>
          </w:tcPr>
          <w:p w14:paraId="5D6CA958" w14:textId="77777777" w:rsidR="000C53F6" w:rsidRPr="00DD37EC" w:rsidRDefault="000C53F6" w:rsidP="00DD37EC">
            <w:pPr>
              <w:spacing w:after="240"/>
              <w:jc w:val="center"/>
              <w:rPr>
                <w:rFonts w:ascii="Arial" w:eastAsia="Times New Roman" w:hAnsi="Arial" w:cs="Arial"/>
                <w:color w:val="000000"/>
                <w:lang w:val="es-DO"/>
              </w:rPr>
            </w:pPr>
            <w:r w:rsidRPr="00DD37EC">
              <w:rPr>
                <w:rFonts w:ascii="Arial" w:hAnsi="Arial" w:cs="Arial"/>
              </w:rPr>
              <w:t>17.00</w:t>
            </w:r>
          </w:p>
        </w:tc>
        <w:tc>
          <w:tcPr>
            <w:tcW w:w="605" w:type="pct"/>
            <w:vAlign w:val="center"/>
            <w:hideMark/>
          </w:tcPr>
          <w:p w14:paraId="2CA97E05" w14:textId="77777777" w:rsidR="000C53F6" w:rsidRPr="00DD37EC" w:rsidRDefault="000C53F6" w:rsidP="00DD37EC">
            <w:pPr>
              <w:spacing w:after="240"/>
              <w:jc w:val="center"/>
              <w:rPr>
                <w:rFonts w:ascii="Arial" w:eastAsia="Times New Roman" w:hAnsi="Arial" w:cs="Arial"/>
                <w:color w:val="000000"/>
                <w:lang w:val="es-DO"/>
              </w:rPr>
            </w:pPr>
            <w:r w:rsidRPr="00DD37EC">
              <w:rPr>
                <w:rFonts w:ascii="Arial" w:hAnsi="Arial" w:cs="Arial"/>
              </w:rPr>
              <w:t>282,200.00</w:t>
            </w:r>
          </w:p>
        </w:tc>
      </w:tr>
      <w:tr w:rsidR="000C53F6" w:rsidRPr="00DD37EC" w14:paraId="62B95591" w14:textId="77777777" w:rsidTr="006575EF">
        <w:trPr>
          <w:trHeight w:hRule="exact" w:val="288"/>
        </w:trPr>
        <w:tc>
          <w:tcPr>
            <w:tcW w:w="1429" w:type="pct"/>
            <w:vAlign w:val="center"/>
            <w:hideMark/>
          </w:tcPr>
          <w:p w14:paraId="26F25835" w14:textId="77777777" w:rsidR="000C53F6" w:rsidRPr="00DD37EC" w:rsidRDefault="000C53F6" w:rsidP="00DD37EC">
            <w:pPr>
              <w:spacing w:after="240"/>
              <w:jc w:val="center"/>
              <w:rPr>
                <w:rFonts w:ascii="Arial" w:eastAsia="Times New Roman" w:hAnsi="Arial" w:cs="Arial"/>
                <w:b/>
                <w:bCs/>
                <w:color w:val="000000"/>
                <w:lang w:val="es-DO"/>
              </w:rPr>
            </w:pPr>
            <w:r w:rsidRPr="00DD37EC">
              <w:rPr>
                <w:rFonts w:ascii="Arial" w:eastAsia="Times New Roman" w:hAnsi="Arial" w:cs="Arial"/>
                <w:b/>
                <w:bCs/>
                <w:color w:val="000000"/>
                <w:lang w:val="es-DO"/>
              </w:rPr>
              <w:t>Darunavir</w:t>
            </w:r>
            <w:r w:rsidRPr="00DD37EC">
              <w:rPr>
                <w:rFonts w:ascii="Arial" w:eastAsia="Times New Roman" w:hAnsi="Arial" w:cs="Arial"/>
                <w:i/>
                <w:iCs/>
                <w:color w:val="000000"/>
                <w:lang w:val="es-DO"/>
              </w:rPr>
              <w:t xml:space="preserve"> (3era línea)</w:t>
            </w:r>
          </w:p>
        </w:tc>
        <w:tc>
          <w:tcPr>
            <w:tcW w:w="921" w:type="pct"/>
            <w:noWrap/>
            <w:vAlign w:val="center"/>
            <w:hideMark/>
          </w:tcPr>
          <w:p w14:paraId="3A2EB6CE" w14:textId="77777777" w:rsidR="000C53F6" w:rsidRPr="00DD37EC" w:rsidRDefault="000C53F6" w:rsidP="00DD37EC">
            <w:pPr>
              <w:spacing w:after="240"/>
              <w:jc w:val="center"/>
              <w:rPr>
                <w:rFonts w:ascii="Arial" w:eastAsia="Times New Roman" w:hAnsi="Arial" w:cs="Arial"/>
                <w:color w:val="000000"/>
                <w:lang w:val="es-DO"/>
              </w:rPr>
            </w:pPr>
            <w:r w:rsidRPr="00DD37EC">
              <w:rPr>
                <w:rFonts w:ascii="Arial" w:hAnsi="Arial" w:cs="Arial"/>
                <w:color w:val="000000"/>
                <w:lang w:val="es-DO"/>
              </w:rPr>
              <w:t>926</w:t>
            </w:r>
          </w:p>
        </w:tc>
        <w:tc>
          <w:tcPr>
            <w:tcW w:w="798" w:type="pct"/>
            <w:vAlign w:val="center"/>
            <w:hideMark/>
          </w:tcPr>
          <w:p w14:paraId="2D27D69A" w14:textId="77777777" w:rsidR="000C53F6" w:rsidRPr="00DD37EC" w:rsidRDefault="000C53F6" w:rsidP="00DD37EC">
            <w:pPr>
              <w:spacing w:after="240"/>
              <w:jc w:val="center"/>
              <w:rPr>
                <w:rFonts w:ascii="Arial" w:eastAsia="Times New Roman" w:hAnsi="Arial" w:cs="Arial"/>
                <w:color w:val="000000"/>
                <w:lang w:val="es-DO"/>
              </w:rPr>
            </w:pPr>
            <w:r w:rsidRPr="00DD37EC">
              <w:rPr>
                <w:rFonts w:ascii="Arial" w:hAnsi="Arial" w:cs="Arial"/>
                <w:color w:val="000000"/>
                <w:lang w:val="es-DO"/>
              </w:rPr>
              <w:t>55.82</w:t>
            </w:r>
          </w:p>
        </w:tc>
        <w:tc>
          <w:tcPr>
            <w:tcW w:w="606" w:type="pct"/>
            <w:vAlign w:val="center"/>
            <w:hideMark/>
          </w:tcPr>
          <w:p w14:paraId="6C609CA5" w14:textId="77777777" w:rsidR="000C53F6" w:rsidRPr="00DD37EC" w:rsidRDefault="000C53F6" w:rsidP="00DD37EC">
            <w:pPr>
              <w:spacing w:after="240"/>
              <w:jc w:val="center"/>
              <w:rPr>
                <w:rFonts w:ascii="Arial" w:eastAsia="Times New Roman" w:hAnsi="Arial" w:cs="Arial"/>
                <w:color w:val="000000"/>
                <w:lang w:val="es-DO"/>
              </w:rPr>
            </w:pPr>
            <w:r w:rsidRPr="00DD37EC">
              <w:rPr>
                <w:rFonts w:ascii="Arial" w:hAnsi="Arial" w:cs="Arial"/>
                <w:color w:val="000000"/>
                <w:lang w:val="es-DO"/>
              </w:rPr>
              <w:t>51,689.32</w:t>
            </w:r>
          </w:p>
        </w:tc>
        <w:tc>
          <w:tcPr>
            <w:tcW w:w="640" w:type="pct"/>
            <w:vAlign w:val="center"/>
            <w:hideMark/>
          </w:tcPr>
          <w:p w14:paraId="516669D1" w14:textId="77777777" w:rsidR="000C53F6" w:rsidRPr="00DD37EC" w:rsidRDefault="000C53F6" w:rsidP="00DD37EC">
            <w:pPr>
              <w:spacing w:after="240"/>
              <w:jc w:val="center"/>
              <w:rPr>
                <w:rFonts w:ascii="Arial" w:eastAsia="Times New Roman" w:hAnsi="Arial" w:cs="Arial"/>
                <w:color w:val="000000"/>
                <w:lang w:val="es-DO"/>
              </w:rPr>
            </w:pPr>
            <w:r w:rsidRPr="00DD37EC">
              <w:rPr>
                <w:rFonts w:ascii="Arial" w:hAnsi="Arial" w:cs="Arial"/>
              </w:rPr>
              <w:t>54.50</w:t>
            </w:r>
          </w:p>
        </w:tc>
        <w:tc>
          <w:tcPr>
            <w:tcW w:w="605" w:type="pct"/>
            <w:vAlign w:val="center"/>
            <w:hideMark/>
          </w:tcPr>
          <w:p w14:paraId="60F644C6" w14:textId="77777777" w:rsidR="000C53F6" w:rsidRPr="00DD37EC" w:rsidRDefault="000C53F6" w:rsidP="00DD37EC">
            <w:pPr>
              <w:spacing w:after="240"/>
              <w:jc w:val="center"/>
              <w:rPr>
                <w:rFonts w:ascii="Arial" w:eastAsia="Times New Roman" w:hAnsi="Arial" w:cs="Arial"/>
                <w:color w:val="000000"/>
                <w:lang w:val="es-DO"/>
              </w:rPr>
            </w:pPr>
            <w:r w:rsidRPr="00DD37EC">
              <w:rPr>
                <w:rFonts w:ascii="Arial" w:hAnsi="Arial" w:cs="Arial"/>
              </w:rPr>
              <w:t>50,467.00</w:t>
            </w:r>
          </w:p>
        </w:tc>
      </w:tr>
      <w:tr w:rsidR="000C53F6" w:rsidRPr="00DD37EC" w14:paraId="53302FFB" w14:textId="77777777" w:rsidTr="006575EF">
        <w:trPr>
          <w:trHeight w:hRule="exact" w:val="288"/>
        </w:trPr>
        <w:tc>
          <w:tcPr>
            <w:tcW w:w="1429" w:type="pct"/>
            <w:vAlign w:val="center"/>
            <w:hideMark/>
          </w:tcPr>
          <w:p w14:paraId="7B147C41" w14:textId="77777777" w:rsidR="000C53F6" w:rsidRPr="00DD37EC" w:rsidRDefault="000C53F6" w:rsidP="00DD37EC">
            <w:pPr>
              <w:spacing w:after="240"/>
              <w:jc w:val="center"/>
              <w:rPr>
                <w:rFonts w:ascii="Arial" w:eastAsia="Times New Roman" w:hAnsi="Arial" w:cs="Arial"/>
                <w:b/>
                <w:bCs/>
                <w:color w:val="000000"/>
                <w:lang w:val="es-DO"/>
              </w:rPr>
            </w:pPr>
            <w:r w:rsidRPr="00DD37EC">
              <w:rPr>
                <w:rFonts w:ascii="Arial" w:eastAsia="Times New Roman" w:hAnsi="Arial" w:cs="Arial"/>
                <w:b/>
                <w:bCs/>
                <w:color w:val="000000"/>
                <w:lang w:val="es-DO"/>
              </w:rPr>
              <w:t>Raltegravir</w:t>
            </w:r>
            <w:r w:rsidRPr="00DD37EC">
              <w:rPr>
                <w:rFonts w:ascii="Arial" w:eastAsia="Times New Roman" w:hAnsi="Arial" w:cs="Arial"/>
                <w:i/>
                <w:iCs/>
                <w:color w:val="000000"/>
                <w:lang w:val="es-DO"/>
              </w:rPr>
              <w:t xml:space="preserve"> (3era línea)</w:t>
            </w:r>
          </w:p>
        </w:tc>
        <w:tc>
          <w:tcPr>
            <w:tcW w:w="921" w:type="pct"/>
            <w:noWrap/>
            <w:vAlign w:val="center"/>
            <w:hideMark/>
          </w:tcPr>
          <w:p w14:paraId="5BEFCEFC" w14:textId="77777777" w:rsidR="000C53F6" w:rsidRPr="00DD37EC" w:rsidRDefault="000C53F6" w:rsidP="00DD37EC">
            <w:pPr>
              <w:spacing w:after="240"/>
              <w:jc w:val="center"/>
              <w:rPr>
                <w:rFonts w:ascii="Arial" w:eastAsia="Times New Roman" w:hAnsi="Arial" w:cs="Arial"/>
                <w:color w:val="000000"/>
                <w:lang w:val="es-DO"/>
              </w:rPr>
            </w:pPr>
            <w:r w:rsidRPr="00DD37EC">
              <w:rPr>
                <w:rFonts w:ascii="Arial" w:hAnsi="Arial" w:cs="Arial"/>
                <w:color w:val="000000"/>
                <w:lang w:val="es-DO"/>
              </w:rPr>
              <w:t>276</w:t>
            </w:r>
          </w:p>
        </w:tc>
        <w:tc>
          <w:tcPr>
            <w:tcW w:w="798" w:type="pct"/>
            <w:vAlign w:val="center"/>
            <w:hideMark/>
          </w:tcPr>
          <w:p w14:paraId="19E47FAD" w14:textId="77777777" w:rsidR="000C53F6" w:rsidRPr="00DD37EC" w:rsidRDefault="000C53F6" w:rsidP="00DD37EC">
            <w:pPr>
              <w:spacing w:after="240"/>
              <w:jc w:val="center"/>
              <w:rPr>
                <w:rFonts w:ascii="Arial" w:eastAsia="Times New Roman" w:hAnsi="Arial" w:cs="Arial"/>
                <w:color w:val="000000"/>
                <w:lang w:val="es-DO"/>
              </w:rPr>
            </w:pPr>
            <w:r w:rsidRPr="00DD37EC">
              <w:rPr>
                <w:rFonts w:ascii="Arial" w:hAnsi="Arial" w:cs="Arial"/>
                <w:color w:val="000000"/>
                <w:lang w:val="es-DO"/>
              </w:rPr>
              <w:t>243.00</w:t>
            </w:r>
          </w:p>
        </w:tc>
        <w:tc>
          <w:tcPr>
            <w:tcW w:w="606" w:type="pct"/>
            <w:vAlign w:val="center"/>
            <w:hideMark/>
          </w:tcPr>
          <w:p w14:paraId="6E02D96D" w14:textId="77777777" w:rsidR="000C53F6" w:rsidRPr="00DD37EC" w:rsidRDefault="000C53F6" w:rsidP="00DD37EC">
            <w:pPr>
              <w:spacing w:after="240"/>
              <w:jc w:val="center"/>
              <w:rPr>
                <w:rFonts w:ascii="Arial" w:eastAsia="Times New Roman" w:hAnsi="Arial" w:cs="Arial"/>
                <w:color w:val="000000"/>
                <w:lang w:val="es-DO"/>
              </w:rPr>
            </w:pPr>
            <w:r w:rsidRPr="00DD37EC">
              <w:rPr>
                <w:rFonts w:ascii="Arial" w:hAnsi="Arial" w:cs="Arial"/>
                <w:color w:val="000000"/>
                <w:lang w:val="es-DO"/>
              </w:rPr>
              <w:t>67,068.00</w:t>
            </w:r>
          </w:p>
        </w:tc>
        <w:tc>
          <w:tcPr>
            <w:tcW w:w="640" w:type="pct"/>
            <w:vAlign w:val="center"/>
            <w:hideMark/>
          </w:tcPr>
          <w:p w14:paraId="7E5C12AB" w14:textId="77777777" w:rsidR="000C53F6" w:rsidRPr="00DD37EC" w:rsidRDefault="000C53F6" w:rsidP="00DD37EC">
            <w:pPr>
              <w:spacing w:after="240"/>
              <w:jc w:val="center"/>
              <w:rPr>
                <w:rFonts w:ascii="Arial" w:eastAsia="Times New Roman" w:hAnsi="Arial" w:cs="Arial"/>
                <w:color w:val="000000"/>
                <w:lang w:val="es-DO"/>
              </w:rPr>
            </w:pPr>
            <w:r w:rsidRPr="00DD37EC">
              <w:rPr>
                <w:rFonts w:ascii="Arial" w:hAnsi="Arial" w:cs="Arial"/>
              </w:rPr>
              <w:t>264.00</w:t>
            </w:r>
          </w:p>
        </w:tc>
        <w:tc>
          <w:tcPr>
            <w:tcW w:w="605" w:type="pct"/>
            <w:vAlign w:val="center"/>
            <w:hideMark/>
          </w:tcPr>
          <w:p w14:paraId="2D4535DD" w14:textId="77777777" w:rsidR="000C53F6" w:rsidRPr="00DD37EC" w:rsidRDefault="000C53F6" w:rsidP="00DD37EC">
            <w:pPr>
              <w:spacing w:after="240"/>
              <w:jc w:val="center"/>
              <w:rPr>
                <w:rFonts w:ascii="Arial" w:eastAsia="Times New Roman" w:hAnsi="Arial" w:cs="Arial"/>
                <w:color w:val="000000"/>
                <w:lang w:val="es-DO"/>
              </w:rPr>
            </w:pPr>
            <w:r w:rsidRPr="00DD37EC">
              <w:rPr>
                <w:rFonts w:ascii="Arial" w:hAnsi="Arial" w:cs="Arial"/>
              </w:rPr>
              <w:t>72,864.00</w:t>
            </w:r>
          </w:p>
        </w:tc>
      </w:tr>
      <w:tr w:rsidR="000C53F6" w:rsidRPr="00DD37EC" w14:paraId="03003BBB" w14:textId="77777777" w:rsidTr="006575EF">
        <w:trPr>
          <w:trHeight w:hRule="exact" w:val="288"/>
        </w:trPr>
        <w:tc>
          <w:tcPr>
            <w:tcW w:w="1429" w:type="pct"/>
            <w:noWrap/>
            <w:vAlign w:val="center"/>
            <w:hideMark/>
          </w:tcPr>
          <w:p w14:paraId="7AADA212" w14:textId="77777777" w:rsidR="000C53F6" w:rsidRPr="00DD37EC" w:rsidRDefault="000C53F6" w:rsidP="00DD37EC">
            <w:pPr>
              <w:spacing w:after="240"/>
              <w:jc w:val="center"/>
              <w:rPr>
                <w:rFonts w:ascii="Arial" w:eastAsia="Times New Roman" w:hAnsi="Arial" w:cs="Arial"/>
                <w:color w:val="000000"/>
                <w:lang w:val="es-DO"/>
              </w:rPr>
            </w:pPr>
          </w:p>
        </w:tc>
        <w:tc>
          <w:tcPr>
            <w:tcW w:w="921" w:type="pct"/>
            <w:noWrap/>
            <w:vAlign w:val="center"/>
            <w:hideMark/>
          </w:tcPr>
          <w:p w14:paraId="722F9056" w14:textId="77777777" w:rsidR="000C53F6" w:rsidRPr="00DD37EC" w:rsidRDefault="000C53F6" w:rsidP="00DD37EC">
            <w:pPr>
              <w:spacing w:after="240"/>
              <w:jc w:val="center"/>
              <w:rPr>
                <w:rFonts w:ascii="Arial" w:eastAsia="Times New Roman" w:hAnsi="Arial" w:cs="Arial"/>
                <w:lang w:val="es-DO"/>
              </w:rPr>
            </w:pPr>
          </w:p>
        </w:tc>
        <w:tc>
          <w:tcPr>
            <w:tcW w:w="798" w:type="pct"/>
            <w:vAlign w:val="center"/>
            <w:hideMark/>
          </w:tcPr>
          <w:p w14:paraId="25C12091" w14:textId="77777777" w:rsidR="000C53F6" w:rsidRPr="00DD37EC" w:rsidRDefault="000C53F6" w:rsidP="00DD37EC">
            <w:pPr>
              <w:spacing w:after="240"/>
              <w:jc w:val="center"/>
              <w:rPr>
                <w:rFonts w:ascii="Arial" w:eastAsia="Times New Roman" w:hAnsi="Arial" w:cs="Arial"/>
                <w:lang w:val="es-DO"/>
              </w:rPr>
            </w:pPr>
          </w:p>
        </w:tc>
        <w:tc>
          <w:tcPr>
            <w:tcW w:w="606" w:type="pct"/>
            <w:vAlign w:val="center"/>
            <w:hideMark/>
          </w:tcPr>
          <w:p w14:paraId="7D0B0EBF" w14:textId="77777777" w:rsidR="000C53F6" w:rsidRPr="00DD37EC" w:rsidRDefault="000C53F6" w:rsidP="00DD37EC">
            <w:pPr>
              <w:spacing w:after="240"/>
              <w:jc w:val="center"/>
              <w:rPr>
                <w:rFonts w:ascii="Arial" w:eastAsia="Times New Roman" w:hAnsi="Arial" w:cs="Arial"/>
                <w:b/>
                <w:bCs/>
                <w:color w:val="000000"/>
                <w:lang w:val="es-DO"/>
              </w:rPr>
            </w:pPr>
            <w:r w:rsidRPr="00DD37EC">
              <w:rPr>
                <w:rFonts w:ascii="Arial" w:hAnsi="Arial" w:cs="Arial"/>
                <w:b/>
                <w:bCs/>
                <w:color w:val="000000"/>
                <w:lang w:val="es-DO"/>
              </w:rPr>
              <w:t>470,465.62</w:t>
            </w:r>
          </w:p>
        </w:tc>
        <w:tc>
          <w:tcPr>
            <w:tcW w:w="640" w:type="pct"/>
            <w:vAlign w:val="center"/>
            <w:hideMark/>
          </w:tcPr>
          <w:p w14:paraId="2C41BECF" w14:textId="77777777" w:rsidR="000C53F6" w:rsidRPr="00DD37EC" w:rsidRDefault="000C53F6" w:rsidP="00DD37EC">
            <w:pPr>
              <w:spacing w:after="240"/>
              <w:jc w:val="center"/>
              <w:rPr>
                <w:rFonts w:ascii="Arial" w:eastAsia="Times New Roman" w:hAnsi="Arial" w:cs="Arial"/>
                <w:b/>
                <w:bCs/>
                <w:color w:val="000000"/>
                <w:lang w:val="es-DO"/>
              </w:rPr>
            </w:pPr>
          </w:p>
        </w:tc>
        <w:tc>
          <w:tcPr>
            <w:tcW w:w="605" w:type="pct"/>
            <w:vAlign w:val="center"/>
            <w:hideMark/>
          </w:tcPr>
          <w:p w14:paraId="7141C3C4" w14:textId="77777777" w:rsidR="000C53F6" w:rsidRPr="00DD37EC" w:rsidRDefault="000C53F6" w:rsidP="00DD37EC">
            <w:pPr>
              <w:spacing w:after="240"/>
              <w:jc w:val="center"/>
              <w:rPr>
                <w:rFonts w:ascii="Arial" w:eastAsia="Times New Roman" w:hAnsi="Arial" w:cs="Arial"/>
                <w:b/>
                <w:bCs/>
                <w:color w:val="000000"/>
                <w:lang w:val="es-DO"/>
              </w:rPr>
            </w:pPr>
            <w:r w:rsidRPr="00DD37EC">
              <w:rPr>
                <w:rFonts w:ascii="Arial" w:hAnsi="Arial" w:cs="Arial"/>
                <w:b/>
              </w:rPr>
              <w:t>449,494.40</w:t>
            </w:r>
          </w:p>
        </w:tc>
      </w:tr>
    </w:tbl>
    <w:p w14:paraId="0E4F2A84" w14:textId="13965FD1" w:rsidR="000C53F6" w:rsidRPr="00167C47" w:rsidRDefault="000C53F6" w:rsidP="006D2E03">
      <w:pPr>
        <w:spacing w:after="240" w:line="240" w:lineRule="auto"/>
        <w:contextualSpacing/>
        <w:jc w:val="both"/>
        <w:rPr>
          <w:rFonts w:ascii="Arial" w:hAnsi="Arial" w:cs="Arial"/>
          <w:i/>
          <w:sz w:val="18"/>
          <w:lang w:val="es-ES"/>
        </w:rPr>
      </w:pPr>
      <w:r w:rsidRPr="00167C47">
        <w:rPr>
          <w:rFonts w:ascii="Arial" w:hAnsi="Arial" w:cs="Arial"/>
          <w:i/>
          <w:sz w:val="18"/>
          <w:lang w:val="es-ES"/>
        </w:rPr>
        <w:t xml:space="preserve">Fuente: Precios unitarios de OPS, fueron provistos por las estimaciones de Honduras para el 2019; los precios unitarios de PFSCM fueron obtenidos del catálogo de productos 2018. </w:t>
      </w:r>
    </w:p>
    <w:p w14:paraId="4B0B6581" w14:textId="6F6FA2FE" w:rsidR="000C53F6" w:rsidRPr="006575EF" w:rsidRDefault="006575EF" w:rsidP="006575EF">
      <w:pPr>
        <w:pStyle w:val="Heading3"/>
        <w:spacing w:before="0" w:after="240" w:line="240" w:lineRule="auto"/>
        <w:rPr>
          <w:rFonts w:ascii="Arial" w:hAnsi="Arial" w:cs="Arial"/>
          <w:sz w:val="22"/>
          <w:szCs w:val="22"/>
          <w:lang w:val="es-DO"/>
        </w:rPr>
      </w:pPr>
      <w:bookmarkStart w:id="51" w:name="_Hlk534625762"/>
      <w:bookmarkStart w:id="52" w:name="_Toc8905229"/>
      <w:r w:rsidRPr="006575EF">
        <w:rPr>
          <w:rFonts w:ascii="Arial" w:hAnsi="Arial" w:cs="Arial"/>
          <w:sz w:val="22"/>
          <w:szCs w:val="22"/>
          <w:lang w:val="es-DO"/>
        </w:rPr>
        <w:t>4.</w:t>
      </w:r>
      <w:r w:rsidR="00A77B7F">
        <w:rPr>
          <w:rFonts w:ascii="Arial" w:hAnsi="Arial" w:cs="Arial"/>
          <w:sz w:val="22"/>
          <w:szCs w:val="22"/>
          <w:lang w:val="es-DO"/>
        </w:rPr>
        <w:t>5</w:t>
      </w:r>
      <w:r w:rsidRPr="006575EF">
        <w:rPr>
          <w:rFonts w:ascii="Arial" w:hAnsi="Arial" w:cs="Arial"/>
          <w:sz w:val="22"/>
          <w:szCs w:val="22"/>
          <w:lang w:val="es-DO"/>
        </w:rPr>
        <w:t>.</w:t>
      </w:r>
      <w:r>
        <w:rPr>
          <w:rFonts w:ascii="Arial" w:hAnsi="Arial" w:cs="Arial"/>
          <w:sz w:val="22"/>
          <w:szCs w:val="22"/>
          <w:lang w:val="es-DO"/>
        </w:rPr>
        <w:t>2</w:t>
      </w:r>
      <w:r w:rsidRPr="006575EF">
        <w:rPr>
          <w:rFonts w:ascii="Arial" w:hAnsi="Arial" w:cs="Arial"/>
          <w:sz w:val="22"/>
          <w:szCs w:val="22"/>
          <w:lang w:val="es-DO"/>
        </w:rPr>
        <w:t xml:space="preserve"> </w:t>
      </w:r>
      <w:r w:rsidR="000C53F6" w:rsidRPr="006575EF">
        <w:rPr>
          <w:rFonts w:ascii="Arial" w:hAnsi="Arial" w:cs="Arial"/>
          <w:sz w:val="22"/>
          <w:szCs w:val="22"/>
          <w:lang w:val="es-DO"/>
        </w:rPr>
        <w:t>Eficiencias en la gestión del suministro</w:t>
      </w:r>
      <w:bookmarkEnd w:id="51"/>
      <w:bookmarkEnd w:id="52"/>
    </w:p>
    <w:p w14:paraId="5F430980" w14:textId="01227623" w:rsidR="000C53F6" w:rsidRDefault="004562E7" w:rsidP="006D2E03">
      <w:pPr>
        <w:spacing w:after="240" w:line="240" w:lineRule="auto"/>
        <w:jc w:val="both"/>
        <w:rPr>
          <w:rFonts w:ascii="Arial" w:hAnsi="Arial" w:cs="Arial"/>
          <w:lang w:val="es-DO"/>
        </w:rPr>
      </w:pPr>
      <w:r>
        <w:rPr>
          <w:rFonts w:ascii="Arial" w:hAnsi="Arial" w:cs="Arial"/>
          <w:lang w:val="es-DO"/>
        </w:rPr>
        <w:t xml:space="preserve">Como se analizará en la sección de financiamiento, </w:t>
      </w:r>
      <w:bookmarkStart w:id="53" w:name="_Hlk1728024"/>
      <w:r>
        <w:rPr>
          <w:rFonts w:ascii="Arial" w:hAnsi="Arial" w:cs="Arial"/>
          <w:lang w:val="es-DO"/>
        </w:rPr>
        <w:t>existen recursos</w:t>
      </w:r>
      <w:r w:rsidR="000C53F6" w:rsidRPr="00DD37EC">
        <w:rPr>
          <w:rFonts w:ascii="Arial" w:hAnsi="Arial" w:cs="Arial"/>
          <w:lang w:val="es-DO"/>
        </w:rPr>
        <w:t xml:space="preserve"> no ejecutados por la SESAL para la compra de ARV,</w:t>
      </w:r>
      <w:r>
        <w:rPr>
          <w:rFonts w:ascii="Arial" w:hAnsi="Arial" w:cs="Arial"/>
          <w:lang w:val="es-DO"/>
        </w:rPr>
        <w:t xml:space="preserve"> los cuales</w:t>
      </w:r>
      <w:r w:rsidR="000C53F6" w:rsidRPr="00DD37EC">
        <w:rPr>
          <w:rFonts w:ascii="Arial" w:hAnsi="Arial" w:cs="Arial"/>
          <w:lang w:val="es-DO"/>
        </w:rPr>
        <w:t xml:space="preserve"> se convierten en una oportunidad para la sostenibilidad de los medicamentos e insumos diagnósticos.</w:t>
      </w:r>
      <w:bookmarkEnd w:id="53"/>
      <w:r w:rsidR="000C53F6" w:rsidRPr="00DD37EC">
        <w:rPr>
          <w:rFonts w:ascii="Arial" w:hAnsi="Arial" w:cs="Arial"/>
          <w:lang w:val="es-DO"/>
        </w:rPr>
        <w:t xml:space="preserve"> Las compras que realizan los proyectos del FM deberán ser transferidas – con un plan gradual</w:t>
      </w:r>
      <w:r w:rsidR="0072778F">
        <w:rPr>
          <w:rFonts w:ascii="Arial" w:hAnsi="Arial" w:cs="Arial"/>
          <w:lang w:val="es-DO"/>
        </w:rPr>
        <w:t xml:space="preserve"> –</w:t>
      </w:r>
      <w:r w:rsidR="000C53F6" w:rsidRPr="00DD37EC">
        <w:rPr>
          <w:rFonts w:ascii="Arial" w:hAnsi="Arial" w:cs="Arial"/>
          <w:lang w:val="es-DO"/>
        </w:rPr>
        <w:t xml:space="preserve"> al presupuesto de la SESAL a partir del 2019-2020. De esta manera, la SESAL </w:t>
      </w:r>
      <w:r>
        <w:rPr>
          <w:rFonts w:ascii="Arial" w:hAnsi="Arial" w:cs="Arial"/>
          <w:lang w:val="es-DO"/>
        </w:rPr>
        <w:t>podrá asumir</w:t>
      </w:r>
      <w:r w:rsidR="000C53F6" w:rsidRPr="00DD37EC">
        <w:rPr>
          <w:rFonts w:ascii="Arial" w:hAnsi="Arial" w:cs="Arial"/>
          <w:lang w:val="es-DO"/>
        </w:rPr>
        <w:t xml:space="preserve"> el 100% del financiamiento de los medicamentos e insumos de VIH, incluyendo los reactivos de carga viral</w:t>
      </w:r>
      <w:r w:rsidR="00760E21">
        <w:rPr>
          <w:rFonts w:ascii="Arial" w:hAnsi="Arial" w:cs="Arial"/>
          <w:lang w:val="es-DO"/>
        </w:rPr>
        <w:t>,</w:t>
      </w:r>
      <w:r w:rsidR="000C53F6" w:rsidRPr="00DD37EC">
        <w:rPr>
          <w:rFonts w:ascii="Arial" w:hAnsi="Arial" w:cs="Arial"/>
          <w:lang w:val="es-DO"/>
        </w:rPr>
        <w:t xml:space="preserve"> pruebas de diagnóstico</w:t>
      </w:r>
      <w:r w:rsidR="00760E21">
        <w:rPr>
          <w:rFonts w:ascii="Arial" w:hAnsi="Arial" w:cs="Arial"/>
          <w:lang w:val="es-DO"/>
        </w:rPr>
        <w:t xml:space="preserve"> y </w:t>
      </w:r>
      <w:r w:rsidR="00A00739">
        <w:rPr>
          <w:rFonts w:ascii="Arial" w:hAnsi="Arial" w:cs="Arial"/>
          <w:lang w:val="es-DO"/>
        </w:rPr>
        <w:t>medicamentos para el manejo de infecciones oportunistas</w:t>
      </w:r>
      <w:r>
        <w:rPr>
          <w:rFonts w:ascii="Arial" w:hAnsi="Arial" w:cs="Arial"/>
          <w:lang w:val="es-DO"/>
        </w:rPr>
        <w:t xml:space="preserve">, </w:t>
      </w:r>
      <w:r w:rsidRPr="00DF3917">
        <w:rPr>
          <w:rFonts w:ascii="Arial" w:hAnsi="Arial" w:cs="Arial"/>
          <w:lang w:val="es-DO"/>
        </w:rPr>
        <w:t xml:space="preserve">contribuyendo a garantizar </w:t>
      </w:r>
      <w:r w:rsidR="000C53F6" w:rsidRPr="00DF3917">
        <w:rPr>
          <w:rFonts w:ascii="Arial" w:hAnsi="Arial" w:cs="Arial"/>
          <w:lang w:val="es-DO"/>
        </w:rPr>
        <w:t>la disponibilidad de los productos para el cumplimiento de las metas</w:t>
      </w:r>
      <w:r w:rsidRPr="00DF3917">
        <w:rPr>
          <w:rFonts w:ascii="Arial" w:hAnsi="Arial" w:cs="Arial"/>
          <w:lang w:val="es-DO"/>
        </w:rPr>
        <w:t>.</w:t>
      </w:r>
      <w:r w:rsidR="002A12B5" w:rsidRPr="00DF3917">
        <w:rPr>
          <w:rFonts w:ascii="Arial" w:hAnsi="Arial" w:cs="Arial"/>
          <w:lang w:val="es-DO"/>
        </w:rPr>
        <w:t xml:space="preserve"> Como muestra l</w:t>
      </w:r>
      <w:r w:rsidR="000C53F6" w:rsidRPr="00DF3917">
        <w:rPr>
          <w:rFonts w:ascii="Arial" w:hAnsi="Arial" w:cs="Arial"/>
          <w:lang w:val="es-DO"/>
        </w:rPr>
        <w:t xml:space="preserve">a tabla </w:t>
      </w:r>
      <w:r w:rsidR="00DF3917" w:rsidRPr="00DF3917">
        <w:rPr>
          <w:rFonts w:ascii="Arial" w:hAnsi="Arial" w:cs="Arial"/>
          <w:lang w:val="es-DO"/>
        </w:rPr>
        <w:t>5</w:t>
      </w:r>
      <w:r w:rsidR="000C53F6" w:rsidRPr="00DF3917">
        <w:rPr>
          <w:rFonts w:ascii="Arial" w:hAnsi="Arial" w:cs="Arial"/>
          <w:lang w:val="es-DO"/>
        </w:rPr>
        <w:t xml:space="preserve">, US$ 281 mil en compras de ARV pueden ser asumidos por la SESAL con los recursos </w:t>
      </w:r>
      <w:r w:rsidR="00ED4DE8" w:rsidRPr="00DF3917">
        <w:rPr>
          <w:rFonts w:ascii="Arial" w:hAnsi="Arial" w:cs="Arial"/>
          <w:lang w:val="es-DO"/>
        </w:rPr>
        <w:t>asignados actualmente</w:t>
      </w:r>
      <w:r w:rsidR="00ED4DE8">
        <w:rPr>
          <w:rFonts w:ascii="Arial" w:hAnsi="Arial" w:cs="Arial"/>
          <w:lang w:val="es-DO"/>
        </w:rPr>
        <w:t>.</w:t>
      </w:r>
    </w:p>
    <w:p w14:paraId="38590716" w14:textId="314E34C3" w:rsidR="000C53F6" w:rsidRPr="00DF3917" w:rsidRDefault="00DF3917" w:rsidP="00DF3917">
      <w:pPr>
        <w:pStyle w:val="Caption"/>
        <w:rPr>
          <w:rStyle w:val="IntenseReference"/>
          <w:rFonts w:ascii="Arial" w:hAnsi="Arial" w:cs="Arial"/>
          <w:b/>
          <w:bCs/>
          <w:smallCaps w:val="0"/>
          <w:color w:val="auto"/>
          <w:spacing w:val="0"/>
          <w:sz w:val="22"/>
          <w:szCs w:val="22"/>
          <w:lang w:val="es-DO"/>
        </w:rPr>
      </w:pPr>
      <w:bookmarkStart w:id="54" w:name="_Toc8904507"/>
      <w:r w:rsidRPr="00DF3917">
        <w:rPr>
          <w:rFonts w:ascii="Arial" w:hAnsi="Arial" w:cs="Arial"/>
          <w:color w:val="auto"/>
          <w:sz w:val="22"/>
          <w:szCs w:val="22"/>
        </w:rPr>
        <w:t xml:space="preserve">Tabla </w:t>
      </w:r>
      <w:r w:rsidRPr="00DF3917">
        <w:rPr>
          <w:rFonts w:ascii="Arial" w:hAnsi="Arial" w:cs="Arial"/>
          <w:color w:val="auto"/>
          <w:sz w:val="22"/>
          <w:szCs w:val="22"/>
        </w:rPr>
        <w:fldChar w:fldCharType="begin"/>
      </w:r>
      <w:r w:rsidRPr="00DF3917">
        <w:rPr>
          <w:rFonts w:ascii="Arial" w:hAnsi="Arial" w:cs="Arial"/>
          <w:color w:val="auto"/>
          <w:sz w:val="22"/>
          <w:szCs w:val="22"/>
        </w:rPr>
        <w:instrText xml:space="preserve"> SEQ Tabla \* ARABIC </w:instrText>
      </w:r>
      <w:r w:rsidRPr="00DF3917">
        <w:rPr>
          <w:rFonts w:ascii="Arial" w:hAnsi="Arial" w:cs="Arial"/>
          <w:color w:val="auto"/>
          <w:sz w:val="22"/>
          <w:szCs w:val="22"/>
        </w:rPr>
        <w:fldChar w:fldCharType="separate"/>
      </w:r>
      <w:r w:rsidR="00D447AE">
        <w:rPr>
          <w:rFonts w:ascii="Arial" w:hAnsi="Arial" w:cs="Arial"/>
          <w:noProof/>
          <w:color w:val="auto"/>
          <w:sz w:val="22"/>
          <w:szCs w:val="22"/>
        </w:rPr>
        <w:t>5</w:t>
      </w:r>
      <w:r w:rsidRPr="00DF3917">
        <w:rPr>
          <w:rFonts w:ascii="Arial" w:hAnsi="Arial" w:cs="Arial"/>
          <w:color w:val="auto"/>
          <w:sz w:val="22"/>
          <w:szCs w:val="22"/>
        </w:rPr>
        <w:fldChar w:fldCharType="end"/>
      </w:r>
      <w:r w:rsidRPr="00DF3917">
        <w:rPr>
          <w:rFonts w:ascii="Arial" w:hAnsi="Arial" w:cs="Arial"/>
          <w:color w:val="auto"/>
          <w:sz w:val="22"/>
          <w:szCs w:val="22"/>
        </w:rPr>
        <w:t>. Estimaciones de requerimientos de medicamentos para 2019 por fuente de financiamiento</w:t>
      </w:r>
      <w:bookmarkEnd w:id="54"/>
    </w:p>
    <w:tbl>
      <w:tblPr>
        <w:tblStyle w:val="TableGrid"/>
        <w:tblW w:w="5000" w:type="pct"/>
        <w:tblLook w:val="04A0" w:firstRow="1" w:lastRow="0" w:firstColumn="1" w:lastColumn="0" w:noHBand="0" w:noVBand="1"/>
      </w:tblPr>
      <w:tblGrid>
        <w:gridCol w:w="4306"/>
        <w:gridCol w:w="3044"/>
        <w:gridCol w:w="2604"/>
      </w:tblGrid>
      <w:tr w:rsidR="000C53F6" w:rsidRPr="00DD37EC" w14:paraId="34F7435D" w14:textId="77777777" w:rsidTr="00054680">
        <w:trPr>
          <w:trHeight w:hRule="exact" w:val="288"/>
        </w:trPr>
        <w:tc>
          <w:tcPr>
            <w:tcW w:w="2163" w:type="pct"/>
            <w:shd w:val="clear" w:color="auto" w:fill="1F3864" w:themeFill="accent1" w:themeFillShade="80"/>
            <w:noWrap/>
            <w:hideMark/>
          </w:tcPr>
          <w:p w14:paraId="4A71B208" w14:textId="77777777" w:rsidR="000C53F6" w:rsidRPr="00DD37EC" w:rsidRDefault="000C53F6" w:rsidP="00DD37EC">
            <w:pPr>
              <w:spacing w:after="240"/>
              <w:rPr>
                <w:rFonts w:ascii="Arial" w:eastAsia="Times New Roman" w:hAnsi="Arial" w:cs="Arial"/>
                <w:color w:val="FFFFFF" w:themeColor="background1"/>
                <w:lang w:val="es-DO"/>
              </w:rPr>
            </w:pPr>
          </w:p>
        </w:tc>
        <w:tc>
          <w:tcPr>
            <w:tcW w:w="2837" w:type="pct"/>
            <w:gridSpan w:val="2"/>
            <w:shd w:val="clear" w:color="auto" w:fill="1F3864" w:themeFill="accent1" w:themeFillShade="80"/>
            <w:hideMark/>
          </w:tcPr>
          <w:p w14:paraId="06C7AAFC" w14:textId="77777777" w:rsidR="000C53F6" w:rsidRPr="00DD37EC" w:rsidRDefault="000C53F6" w:rsidP="00DD37EC">
            <w:pPr>
              <w:spacing w:after="240"/>
              <w:jc w:val="center"/>
              <w:rPr>
                <w:rFonts w:ascii="Arial" w:eastAsia="Times New Roman" w:hAnsi="Arial" w:cs="Arial"/>
                <w:b/>
                <w:bCs/>
                <w:color w:val="FFFFFF" w:themeColor="background1"/>
                <w:lang w:val="es-DO"/>
              </w:rPr>
            </w:pPr>
            <w:r w:rsidRPr="00DD37EC">
              <w:rPr>
                <w:rFonts w:ascii="Arial" w:eastAsia="Times New Roman" w:hAnsi="Arial" w:cs="Arial"/>
                <w:b/>
                <w:bCs/>
                <w:color w:val="FFFFFF" w:themeColor="background1"/>
                <w:lang w:val="es-DO"/>
              </w:rPr>
              <w:t xml:space="preserve">2019 </w:t>
            </w:r>
            <w:r w:rsidRPr="00DD37EC">
              <w:rPr>
                <w:rFonts w:ascii="Arial" w:eastAsia="Times New Roman" w:hAnsi="Arial" w:cs="Arial"/>
                <w:b/>
                <w:bCs/>
                <w:color w:val="FFFFFF" w:themeColor="background1"/>
                <w:lang w:val="es-DO"/>
              </w:rPr>
              <w:br/>
              <w:t>Estimaciones (US$)</w:t>
            </w:r>
          </w:p>
        </w:tc>
      </w:tr>
      <w:tr w:rsidR="000C53F6" w:rsidRPr="00DD37EC" w14:paraId="1C8F5F85" w14:textId="77777777" w:rsidTr="00054680">
        <w:trPr>
          <w:trHeight w:hRule="exact" w:val="288"/>
        </w:trPr>
        <w:tc>
          <w:tcPr>
            <w:tcW w:w="2163" w:type="pct"/>
            <w:shd w:val="clear" w:color="auto" w:fill="D5DCE4" w:themeFill="text2" w:themeFillTint="33"/>
            <w:noWrap/>
            <w:hideMark/>
          </w:tcPr>
          <w:p w14:paraId="0CE01B02" w14:textId="77777777" w:rsidR="000C53F6" w:rsidRPr="00DD37EC" w:rsidRDefault="000C53F6" w:rsidP="00DD37EC">
            <w:pPr>
              <w:spacing w:after="240"/>
              <w:jc w:val="center"/>
              <w:rPr>
                <w:rFonts w:ascii="Arial" w:eastAsia="Times New Roman" w:hAnsi="Arial" w:cs="Arial"/>
                <w:b/>
                <w:bCs/>
                <w:color w:val="FFFFFF"/>
                <w:lang w:val="es-DO"/>
              </w:rPr>
            </w:pPr>
          </w:p>
        </w:tc>
        <w:tc>
          <w:tcPr>
            <w:tcW w:w="1529" w:type="pct"/>
            <w:shd w:val="clear" w:color="auto" w:fill="D5DCE4" w:themeFill="text2" w:themeFillTint="33"/>
            <w:noWrap/>
            <w:hideMark/>
          </w:tcPr>
          <w:p w14:paraId="0C78D580" w14:textId="77777777" w:rsidR="000C53F6" w:rsidRPr="00DD37EC" w:rsidRDefault="000C53F6" w:rsidP="00DD37EC">
            <w:pPr>
              <w:spacing w:after="240"/>
              <w:jc w:val="center"/>
              <w:rPr>
                <w:rFonts w:ascii="Arial" w:eastAsia="Times New Roman" w:hAnsi="Arial" w:cs="Arial"/>
                <w:i/>
                <w:iCs/>
                <w:color w:val="000000"/>
                <w:lang w:val="es-DO"/>
              </w:rPr>
            </w:pPr>
            <w:r w:rsidRPr="00DD37EC">
              <w:rPr>
                <w:rFonts w:ascii="Arial" w:eastAsia="Times New Roman" w:hAnsi="Arial" w:cs="Arial"/>
                <w:i/>
                <w:iCs/>
                <w:color w:val="000000"/>
                <w:lang w:val="es-DO"/>
              </w:rPr>
              <w:t>Unidades</w:t>
            </w:r>
          </w:p>
        </w:tc>
        <w:tc>
          <w:tcPr>
            <w:tcW w:w="1308" w:type="pct"/>
            <w:shd w:val="clear" w:color="auto" w:fill="D5DCE4" w:themeFill="text2" w:themeFillTint="33"/>
            <w:hideMark/>
          </w:tcPr>
          <w:p w14:paraId="12A344B4" w14:textId="77777777" w:rsidR="000C53F6" w:rsidRPr="00DD37EC" w:rsidRDefault="000C53F6" w:rsidP="00DD37EC">
            <w:pPr>
              <w:spacing w:after="240"/>
              <w:jc w:val="center"/>
              <w:rPr>
                <w:rFonts w:ascii="Arial" w:eastAsia="Times New Roman" w:hAnsi="Arial" w:cs="Arial"/>
                <w:i/>
                <w:iCs/>
                <w:color w:val="000000"/>
                <w:lang w:val="es-DO"/>
              </w:rPr>
            </w:pPr>
            <w:r w:rsidRPr="00DD37EC">
              <w:rPr>
                <w:rFonts w:ascii="Arial" w:eastAsia="Times New Roman" w:hAnsi="Arial" w:cs="Arial"/>
                <w:i/>
                <w:iCs/>
                <w:color w:val="000000"/>
                <w:lang w:val="es-DO"/>
              </w:rPr>
              <w:t>Valores</w:t>
            </w:r>
          </w:p>
        </w:tc>
      </w:tr>
      <w:tr w:rsidR="000C53F6" w:rsidRPr="00392E34" w14:paraId="04CC9174" w14:textId="77777777" w:rsidTr="00054680">
        <w:trPr>
          <w:trHeight w:hRule="exact" w:val="288"/>
        </w:trPr>
        <w:tc>
          <w:tcPr>
            <w:tcW w:w="2163" w:type="pct"/>
            <w:hideMark/>
          </w:tcPr>
          <w:p w14:paraId="435038A6" w14:textId="77777777" w:rsidR="000C53F6" w:rsidRPr="00DD37EC" w:rsidRDefault="000C53F6" w:rsidP="00DD37EC">
            <w:pPr>
              <w:spacing w:after="240"/>
              <w:rPr>
                <w:rFonts w:ascii="Arial" w:eastAsia="Times New Roman" w:hAnsi="Arial" w:cs="Arial"/>
                <w:b/>
                <w:bCs/>
                <w:color w:val="000000"/>
                <w:lang w:val="es-DO"/>
              </w:rPr>
            </w:pPr>
            <w:r w:rsidRPr="00DD37EC">
              <w:rPr>
                <w:rFonts w:ascii="Arial" w:eastAsia="Times New Roman" w:hAnsi="Arial" w:cs="Arial"/>
                <w:b/>
                <w:bCs/>
                <w:color w:val="000000"/>
                <w:lang w:val="es-DO"/>
              </w:rPr>
              <w:t>ARV adquiridos por la SESAL</w:t>
            </w:r>
          </w:p>
        </w:tc>
        <w:tc>
          <w:tcPr>
            <w:tcW w:w="1529" w:type="pct"/>
            <w:noWrap/>
            <w:hideMark/>
          </w:tcPr>
          <w:p w14:paraId="779A0F25" w14:textId="77777777" w:rsidR="000C53F6" w:rsidRPr="00DD37EC" w:rsidRDefault="000C53F6" w:rsidP="00DD37EC">
            <w:pPr>
              <w:spacing w:after="240"/>
              <w:rPr>
                <w:rFonts w:ascii="Arial" w:eastAsia="Times New Roman" w:hAnsi="Arial" w:cs="Arial"/>
                <w:b/>
                <w:bCs/>
                <w:color w:val="000000"/>
                <w:lang w:val="es-DO"/>
              </w:rPr>
            </w:pPr>
          </w:p>
        </w:tc>
        <w:tc>
          <w:tcPr>
            <w:tcW w:w="1308" w:type="pct"/>
            <w:hideMark/>
          </w:tcPr>
          <w:p w14:paraId="6C43EC49" w14:textId="77777777" w:rsidR="000C53F6" w:rsidRPr="00DD37EC" w:rsidRDefault="000C53F6" w:rsidP="00DD37EC">
            <w:pPr>
              <w:spacing w:after="240"/>
              <w:rPr>
                <w:rFonts w:ascii="Arial" w:eastAsia="Times New Roman" w:hAnsi="Arial" w:cs="Arial"/>
                <w:lang w:val="es-DO"/>
              </w:rPr>
            </w:pPr>
          </w:p>
        </w:tc>
      </w:tr>
      <w:tr w:rsidR="000C53F6" w:rsidRPr="00DD37EC" w14:paraId="4725D69F" w14:textId="77777777" w:rsidTr="00054680">
        <w:trPr>
          <w:trHeight w:hRule="exact" w:val="288"/>
        </w:trPr>
        <w:tc>
          <w:tcPr>
            <w:tcW w:w="2163" w:type="pct"/>
            <w:hideMark/>
          </w:tcPr>
          <w:p w14:paraId="36F4B607" w14:textId="77777777" w:rsidR="000C53F6" w:rsidRPr="00DD37EC" w:rsidRDefault="000C53F6" w:rsidP="00DD37EC">
            <w:pPr>
              <w:spacing w:after="240"/>
              <w:jc w:val="right"/>
              <w:rPr>
                <w:rFonts w:ascii="Arial" w:eastAsia="Times New Roman" w:hAnsi="Arial" w:cs="Arial"/>
                <w:i/>
                <w:iCs/>
                <w:color w:val="000000"/>
                <w:lang w:val="es-DO"/>
              </w:rPr>
            </w:pPr>
            <w:r w:rsidRPr="00DD37EC">
              <w:rPr>
                <w:rFonts w:ascii="Arial" w:eastAsia="Times New Roman" w:hAnsi="Arial" w:cs="Arial"/>
                <w:i/>
                <w:iCs/>
                <w:color w:val="000000"/>
                <w:lang w:val="es-DO"/>
              </w:rPr>
              <w:t>1er línea</w:t>
            </w:r>
          </w:p>
        </w:tc>
        <w:tc>
          <w:tcPr>
            <w:tcW w:w="1529" w:type="pct"/>
            <w:noWrap/>
            <w:hideMark/>
          </w:tcPr>
          <w:p w14:paraId="64F80ECC" w14:textId="77777777" w:rsidR="000C53F6" w:rsidRPr="00DD37EC" w:rsidRDefault="000C53F6" w:rsidP="00DD37EC">
            <w:pPr>
              <w:spacing w:after="240"/>
              <w:rPr>
                <w:rFonts w:ascii="Arial" w:eastAsia="Times New Roman" w:hAnsi="Arial" w:cs="Arial"/>
                <w:color w:val="000000"/>
                <w:lang w:val="es-DO"/>
              </w:rPr>
            </w:pPr>
            <w:r w:rsidRPr="00DD37EC">
              <w:rPr>
                <w:rFonts w:ascii="Arial" w:eastAsia="Times New Roman" w:hAnsi="Arial" w:cs="Arial"/>
                <w:color w:val="000000"/>
                <w:lang w:val="es-DO"/>
              </w:rPr>
              <w:t xml:space="preserve">                    203,920.00 </w:t>
            </w:r>
          </w:p>
        </w:tc>
        <w:tc>
          <w:tcPr>
            <w:tcW w:w="1308" w:type="pct"/>
            <w:noWrap/>
            <w:hideMark/>
          </w:tcPr>
          <w:p w14:paraId="1B5C834D" w14:textId="77777777" w:rsidR="000C53F6" w:rsidRPr="00DD37EC" w:rsidRDefault="000C53F6" w:rsidP="00DD37EC">
            <w:pPr>
              <w:spacing w:after="240"/>
              <w:rPr>
                <w:rFonts w:ascii="Arial" w:eastAsia="Times New Roman" w:hAnsi="Arial" w:cs="Arial"/>
                <w:color w:val="000000"/>
                <w:lang w:val="es-DO"/>
              </w:rPr>
            </w:pPr>
            <w:r w:rsidRPr="00DD37EC">
              <w:rPr>
                <w:rFonts w:ascii="Arial" w:eastAsia="Times New Roman" w:hAnsi="Arial" w:cs="Arial"/>
                <w:color w:val="000000"/>
                <w:lang w:val="es-DO"/>
              </w:rPr>
              <w:t xml:space="preserve"> $        1,311,808.82 </w:t>
            </w:r>
          </w:p>
        </w:tc>
      </w:tr>
      <w:tr w:rsidR="000C53F6" w:rsidRPr="00DD37EC" w14:paraId="3EC96B49" w14:textId="77777777" w:rsidTr="00054680">
        <w:trPr>
          <w:trHeight w:hRule="exact" w:val="288"/>
        </w:trPr>
        <w:tc>
          <w:tcPr>
            <w:tcW w:w="2163" w:type="pct"/>
            <w:hideMark/>
          </w:tcPr>
          <w:p w14:paraId="11A76DB4" w14:textId="77777777" w:rsidR="000C53F6" w:rsidRPr="00DD37EC" w:rsidRDefault="000C53F6" w:rsidP="00DD37EC">
            <w:pPr>
              <w:spacing w:after="240"/>
              <w:jc w:val="right"/>
              <w:rPr>
                <w:rFonts w:ascii="Arial" w:eastAsia="Times New Roman" w:hAnsi="Arial" w:cs="Arial"/>
                <w:i/>
                <w:iCs/>
                <w:color w:val="000000"/>
                <w:lang w:val="es-DO"/>
              </w:rPr>
            </w:pPr>
            <w:r w:rsidRPr="00DD37EC">
              <w:rPr>
                <w:rFonts w:ascii="Arial" w:eastAsia="Times New Roman" w:hAnsi="Arial" w:cs="Arial"/>
                <w:i/>
                <w:iCs/>
                <w:color w:val="000000"/>
                <w:lang w:val="es-DO"/>
              </w:rPr>
              <w:t>2da línea</w:t>
            </w:r>
          </w:p>
        </w:tc>
        <w:tc>
          <w:tcPr>
            <w:tcW w:w="1529" w:type="pct"/>
            <w:noWrap/>
            <w:hideMark/>
          </w:tcPr>
          <w:p w14:paraId="5F2840FF" w14:textId="77777777" w:rsidR="000C53F6" w:rsidRPr="00DD37EC" w:rsidRDefault="000C53F6" w:rsidP="00DD37EC">
            <w:pPr>
              <w:spacing w:after="240"/>
              <w:rPr>
                <w:rFonts w:ascii="Arial" w:eastAsia="Times New Roman" w:hAnsi="Arial" w:cs="Arial"/>
                <w:color w:val="000000"/>
                <w:lang w:val="es-DO"/>
              </w:rPr>
            </w:pPr>
            <w:r w:rsidRPr="00DD37EC">
              <w:rPr>
                <w:rFonts w:ascii="Arial" w:eastAsia="Times New Roman" w:hAnsi="Arial" w:cs="Arial"/>
                <w:color w:val="000000"/>
                <w:lang w:val="es-DO"/>
              </w:rPr>
              <w:t xml:space="preserve">                      17,470.00 </w:t>
            </w:r>
          </w:p>
        </w:tc>
        <w:tc>
          <w:tcPr>
            <w:tcW w:w="1308" w:type="pct"/>
            <w:hideMark/>
          </w:tcPr>
          <w:p w14:paraId="26524FBA" w14:textId="77777777" w:rsidR="000C53F6" w:rsidRPr="00DD37EC" w:rsidRDefault="000C53F6" w:rsidP="00DD37EC">
            <w:pPr>
              <w:spacing w:after="240"/>
              <w:rPr>
                <w:rFonts w:ascii="Arial" w:eastAsia="Times New Roman" w:hAnsi="Arial" w:cs="Arial"/>
                <w:color w:val="000000"/>
                <w:lang w:val="es-DO"/>
              </w:rPr>
            </w:pPr>
            <w:r w:rsidRPr="00DD37EC">
              <w:rPr>
                <w:rFonts w:ascii="Arial" w:eastAsia="Times New Roman" w:hAnsi="Arial" w:cs="Arial"/>
                <w:color w:val="000000"/>
                <w:lang w:val="es-DO"/>
              </w:rPr>
              <w:t xml:space="preserve"> $           316,400.10 </w:t>
            </w:r>
          </w:p>
        </w:tc>
      </w:tr>
      <w:tr w:rsidR="000C53F6" w:rsidRPr="00DD37EC" w14:paraId="239770E3" w14:textId="77777777" w:rsidTr="00054680">
        <w:trPr>
          <w:trHeight w:hRule="exact" w:val="288"/>
        </w:trPr>
        <w:tc>
          <w:tcPr>
            <w:tcW w:w="2163" w:type="pct"/>
            <w:hideMark/>
          </w:tcPr>
          <w:p w14:paraId="5025ABC1" w14:textId="77777777" w:rsidR="000C53F6" w:rsidRPr="00DD37EC" w:rsidRDefault="000C53F6" w:rsidP="00DD37EC">
            <w:pPr>
              <w:spacing w:after="240"/>
              <w:jc w:val="right"/>
              <w:rPr>
                <w:rFonts w:ascii="Arial" w:eastAsia="Times New Roman" w:hAnsi="Arial" w:cs="Arial"/>
                <w:i/>
                <w:iCs/>
                <w:color w:val="000000"/>
                <w:lang w:val="es-DO"/>
              </w:rPr>
            </w:pPr>
            <w:r w:rsidRPr="00DD37EC">
              <w:rPr>
                <w:rFonts w:ascii="Arial" w:eastAsia="Times New Roman" w:hAnsi="Arial" w:cs="Arial"/>
                <w:i/>
                <w:iCs/>
                <w:color w:val="000000"/>
                <w:lang w:val="es-DO"/>
              </w:rPr>
              <w:t>3ra línea</w:t>
            </w:r>
          </w:p>
        </w:tc>
        <w:tc>
          <w:tcPr>
            <w:tcW w:w="1529" w:type="pct"/>
            <w:noWrap/>
            <w:hideMark/>
          </w:tcPr>
          <w:p w14:paraId="503AFBF4" w14:textId="77777777" w:rsidR="000C53F6" w:rsidRPr="00DD37EC" w:rsidRDefault="000C53F6" w:rsidP="00DD37EC">
            <w:pPr>
              <w:spacing w:after="240"/>
              <w:rPr>
                <w:rFonts w:ascii="Arial" w:eastAsia="Times New Roman" w:hAnsi="Arial" w:cs="Arial"/>
                <w:color w:val="000000"/>
                <w:lang w:val="es-DO"/>
              </w:rPr>
            </w:pPr>
            <w:r w:rsidRPr="00DD37EC">
              <w:rPr>
                <w:rFonts w:ascii="Arial" w:eastAsia="Times New Roman" w:hAnsi="Arial" w:cs="Arial"/>
                <w:color w:val="000000"/>
                <w:lang w:val="es-DO"/>
              </w:rPr>
              <w:t xml:space="preserve">                        1,202.00 </w:t>
            </w:r>
          </w:p>
        </w:tc>
        <w:tc>
          <w:tcPr>
            <w:tcW w:w="1308" w:type="pct"/>
            <w:hideMark/>
          </w:tcPr>
          <w:p w14:paraId="01E0AE9D" w14:textId="77777777" w:rsidR="000C53F6" w:rsidRPr="00DD37EC" w:rsidRDefault="000C53F6" w:rsidP="00DD37EC">
            <w:pPr>
              <w:spacing w:after="240"/>
              <w:rPr>
                <w:rFonts w:ascii="Arial" w:eastAsia="Times New Roman" w:hAnsi="Arial" w:cs="Arial"/>
                <w:color w:val="000000"/>
                <w:lang w:val="es-DO"/>
              </w:rPr>
            </w:pPr>
            <w:r w:rsidRPr="00DD37EC">
              <w:rPr>
                <w:rFonts w:ascii="Arial" w:eastAsia="Times New Roman" w:hAnsi="Arial" w:cs="Arial"/>
                <w:color w:val="000000"/>
                <w:lang w:val="es-DO"/>
              </w:rPr>
              <w:t xml:space="preserve"> $           135,583.82 </w:t>
            </w:r>
          </w:p>
        </w:tc>
      </w:tr>
      <w:tr w:rsidR="000C53F6" w:rsidRPr="00DD37EC" w14:paraId="16B10FEE" w14:textId="77777777" w:rsidTr="00054680">
        <w:trPr>
          <w:trHeight w:hRule="exact" w:val="288"/>
        </w:trPr>
        <w:tc>
          <w:tcPr>
            <w:tcW w:w="2163" w:type="pct"/>
            <w:hideMark/>
          </w:tcPr>
          <w:p w14:paraId="03D2829F" w14:textId="77777777" w:rsidR="000C53F6" w:rsidRPr="00DD37EC" w:rsidRDefault="000C53F6" w:rsidP="00DD37EC">
            <w:pPr>
              <w:spacing w:after="240"/>
              <w:jc w:val="right"/>
              <w:rPr>
                <w:rFonts w:ascii="Arial" w:eastAsia="Times New Roman" w:hAnsi="Arial" w:cs="Arial"/>
                <w:i/>
                <w:iCs/>
                <w:color w:val="000000"/>
                <w:lang w:val="es-DO"/>
              </w:rPr>
            </w:pPr>
            <w:r w:rsidRPr="00DD37EC">
              <w:rPr>
                <w:rFonts w:ascii="Arial" w:eastAsia="Times New Roman" w:hAnsi="Arial" w:cs="Arial"/>
                <w:i/>
                <w:iCs/>
                <w:color w:val="000000"/>
                <w:lang w:val="es-DO"/>
              </w:rPr>
              <w:t>Sub-total</w:t>
            </w:r>
          </w:p>
        </w:tc>
        <w:tc>
          <w:tcPr>
            <w:tcW w:w="1529" w:type="pct"/>
            <w:noWrap/>
            <w:hideMark/>
          </w:tcPr>
          <w:p w14:paraId="3DE9C330" w14:textId="77777777" w:rsidR="000C53F6" w:rsidRPr="00DD37EC" w:rsidRDefault="000C53F6" w:rsidP="00DD37EC">
            <w:pPr>
              <w:spacing w:after="240"/>
              <w:rPr>
                <w:rFonts w:ascii="Arial" w:eastAsia="Times New Roman" w:hAnsi="Arial" w:cs="Arial"/>
                <w:color w:val="000000"/>
                <w:lang w:val="es-DO"/>
              </w:rPr>
            </w:pPr>
            <w:r w:rsidRPr="00DD37EC">
              <w:rPr>
                <w:rFonts w:ascii="Arial" w:eastAsia="Times New Roman" w:hAnsi="Arial" w:cs="Arial"/>
                <w:color w:val="000000"/>
                <w:lang w:val="es-DO"/>
              </w:rPr>
              <w:t xml:space="preserve">                    222,592.00 </w:t>
            </w:r>
          </w:p>
        </w:tc>
        <w:tc>
          <w:tcPr>
            <w:tcW w:w="1308" w:type="pct"/>
            <w:noWrap/>
            <w:hideMark/>
          </w:tcPr>
          <w:p w14:paraId="4BF1CF78" w14:textId="77777777" w:rsidR="000C53F6" w:rsidRPr="00DD37EC" w:rsidRDefault="000C53F6" w:rsidP="00DD37EC">
            <w:pPr>
              <w:spacing w:after="240"/>
              <w:rPr>
                <w:rFonts w:ascii="Arial" w:eastAsia="Times New Roman" w:hAnsi="Arial" w:cs="Arial"/>
                <w:color w:val="000000"/>
                <w:lang w:val="es-DO"/>
              </w:rPr>
            </w:pPr>
            <w:r w:rsidRPr="00DD37EC">
              <w:rPr>
                <w:rFonts w:ascii="Arial" w:eastAsia="Times New Roman" w:hAnsi="Arial" w:cs="Arial"/>
                <w:color w:val="000000"/>
                <w:lang w:val="es-DO"/>
              </w:rPr>
              <w:t xml:space="preserve">           1,763,792.74 </w:t>
            </w:r>
          </w:p>
        </w:tc>
      </w:tr>
      <w:tr w:rsidR="000C53F6" w:rsidRPr="00392E34" w14:paraId="2574FB38" w14:textId="77777777" w:rsidTr="00054680">
        <w:trPr>
          <w:trHeight w:hRule="exact" w:val="288"/>
        </w:trPr>
        <w:tc>
          <w:tcPr>
            <w:tcW w:w="2163" w:type="pct"/>
            <w:hideMark/>
          </w:tcPr>
          <w:p w14:paraId="21BCCF11" w14:textId="77777777" w:rsidR="000C53F6" w:rsidRPr="00DD37EC" w:rsidRDefault="000C53F6" w:rsidP="00DD37EC">
            <w:pPr>
              <w:spacing w:after="240"/>
              <w:rPr>
                <w:rFonts w:ascii="Arial" w:eastAsia="Times New Roman" w:hAnsi="Arial" w:cs="Arial"/>
                <w:b/>
                <w:bCs/>
                <w:color w:val="000000"/>
                <w:lang w:val="es-DO"/>
              </w:rPr>
            </w:pPr>
            <w:r w:rsidRPr="00DD37EC">
              <w:rPr>
                <w:rFonts w:ascii="Arial" w:eastAsia="Times New Roman" w:hAnsi="Arial" w:cs="Arial"/>
                <w:b/>
                <w:bCs/>
                <w:color w:val="000000"/>
                <w:lang w:val="es-DO"/>
              </w:rPr>
              <w:t>ARV adquiridos por el FM</w:t>
            </w:r>
          </w:p>
        </w:tc>
        <w:tc>
          <w:tcPr>
            <w:tcW w:w="1529" w:type="pct"/>
            <w:noWrap/>
            <w:hideMark/>
          </w:tcPr>
          <w:p w14:paraId="63607C17" w14:textId="77777777" w:rsidR="000C53F6" w:rsidRPr="00DD37EC" w:rsidRDefault="000C53F6" w:rsidP="00DD37EC">
            <w:pPr>
              <w:spacing w:after="240"/>
              <w:rPr>
                <w:rFonts w:ascii="Arial" w:eastAsia="Times New Roman" w:hAnsi="Arial" w:cs="Arial"/>
                <w:b/>
                <w:bCs/>
                <w:color w:val="000000"/>
                <w:lang w:val="es-DO"/>
              </w:rPr>
            </w:pPr>
          </w:p>
        </w:tc>
        <w:tc>
          <w:tcPr>
            <w:tcW w:w="1308" w:type="pct"/>
            <w:hideMark/>
          </w:tcPr>
          <w:p w14:paraId="0785720C" w14:textId="77777777" w:rsidR="000C53F6" w:rsidRPr="00DD37EC" w:rsidRDefault="000C53F6" w:rsidP="00DD37EC">
            <w:pPr>
              <w:spacing w:after="240"/>
              <w:rPr>
                <w:rFonts w:ascii="Arial" w:eastAsia="Times New Roman" w:hAnsi="Arial" w:cs="Arial"/>
                <w:lang w:val="es-DO"/>
              </w:rPr>
            </w:pPr>
          </w:p>
        </w:tc>
      </w:tr>
      <w:tr w:rsidR="000C53F6" w:rsidRPr="00DD37EC" w14:paraId="765F7E03" w14:textId="77777777" w:rsidTr="00054680">
        <w:trPr>
          <w:trHeight w:hRule="exact" w:val="288"/>
        </w:trPr>
        <w:tc>
          <w:tcPr>
            <w:tcW w:w="2163" w:type="pct"/>
            <w:hideMark/>
          </w:tcPr>
          <w:p w14:paraId="13D66A6A" w14:textId="77777777" w:rsidR="000C53F6" w:rsidRPr="00DD37EC" w:rsidRDefault="000C53F6" w:rsidP="00DD37EC">
            <w:pPr>
              <w:spacing w:after="240"/>
              <w:jc w:val="right"/>
              <w:rPr>
                <w:rFonts w:ascii="Arial" w:eastAsia="Times New Roman" w:hAnsi="Arial" w:cs="Arial"/>
                <w:i/>
                <w:iCs/>
                <w:color w:val="000000"/>
                <w:lang w:val="es-DO"/>
              </w:rPr>
            </w:pPr>
            <w:r w:rsidRPr="00DD37EC">
              <w:rPr>
                <w:rFonts w:ascii="Arial" w:eastAsia="Times New Roman" w:hAnsi="Arial" w:cs="Arial"/>
                <w:i/>
                <w:iCs/>
                <w:color w:val="000000"/>
                <w:lang w:val="es-DO"/>
              </w:rPr>
              <w:t>1er línea</w:t>
            </w:r>
          </w:p>
        </w:tc>
        <w:tc>
          <w:tcPr>
            <w:tcW w:w="1529" w:type="pct"/>
            <w:noWrap/>
            <w:hideMark/>
          </w:tcPr>
          <w:p w14:paraId="23BD1A88" w14:textId="77777777" w:rsidR="000C53F6" w:rsidRPr="00DD37EC" w:rsidRDefault="000C53F6" w:rsidP="00DD37EC">
            <w:pPr>
              <w:spacing w:after="240"/>
              <w:rPr>
                <w:rFonts w:ascii="Arial" w:eastAsia="Times New Roman" w:hAnsi="Arial" w:cs="Arial"/>
                <w:color w:val="000000"/>
                <w:lang w:val="es-DO"/>
              </w:rPr>
            </w:pPr>
            <w:r w:rsidRPr="00DD37EC">
              <w:rPr>
                <w:rFonts w:ascii="Arial" w:eastAsia="Times New Roman" w:hAnsi="Arial" w:cs="Arial"/>
                <w:color w:val="000000"/>
                <w:lang w:val="es-DO"/>
              </w:rPr>
              <w:t xml:space="preserve">                      18,656.00 </w:t>
            </w:r>
          </w:p>
        </w:tc>
        <w:tc>
          <w:tcPr>
            <w:tcW w:w="1308" w:type="pct"/>
            <w:hideMark/>
          </w:tcPr>
          <w:p w14:paraId="28AFABD3" w14:textId="77777777" w:rsidR="000C53F6" w:rsidRPr="00DD37EC" w:rsidRDefault="000C53F6" w:rsidP="00DD37EC">
            <w:pPr>
              <w:spacing w:after="240"/>
              <w:rPr>
                <w:rFonts w:ascii="Arial" w:eastAsia="Times New Roman" w:hAnsi="Arial" w:cs="Arial"/>
                <w:color w:val="000000"/>
                <w:lang w:val="es-DO"/>
              </w:rPr>
            </w:pPr>
            <w:r w:rsidRPr="00DD37EC">
              <w:rPr>
                <w:rFonts w:ascii="Arial" w:eastAsia="Times New Roman" w:hAnsi="Arial" w:cs="Arial"/>
                <w:color w:val="000000"/>
                <w:lang w:val="es-DO"/>
              </w:rPr>
              <w:t xml:space="preserve"> $             102,594.00 </w:t>
            </w:r>
          </w:p>
        </w:tc>
      </w:tr>
      <w:tr w:rsidR="000C53F6" w:rsidRPr="00DD37EC" w14:paraId="480178E3" w14:textId="77777777" w:rsidTr="00054680">
        <w:trPr>
          <w:trHeight w:hRule="exact" w:val="288"/>
        </w:trPr>
        <w:tc>
          <w:tcPr>
            <w:tcW w:w="2163" w:type="pct"/>
            <w:hideMark/>
          </w:tcPr>
          <w:p w14:paraId="48723A6A" w14:textId="77777777" w:rsidR="000C53F6" w:rsidRPr="00DD37EC" w:rsidRDefault="000C53F6" w:rsidP="00DD37EC">
            <w:pPr>
              <w:spacing w:after="240"/>
              <w:jc w:val="right"/>
              <w:rPr>
                <w:rFonts w:ascii="Arial" w:eastAsia="Times New Roman" w:hAnsi="Arial" w:cs="Arial"/>
                <w:i/>
                <w:iCs/>
                <w:color w:val="000000"/>
                <w:lang w:val="es-DO"/>
              </w:rPr>
            </w:pPr>
            <w:r w:rsidRPr="00DD37EC">
              <w:rPr>
                <w:rFonts w:ascii="Arial" w:eastAsia="Times New Roman" w:hAnsi="Arial" w:cs="Arial"/>
                <w:i/>
                <w:iCs/>
                <w:color w:val="000000"/>
                <w:lang w:val="es-DO"/>
              </w:rPr>
              <w:t>2da línea</w:t>
            </w:r>
          </w:p>
        </w:tc>
        <w:tc>
          <w:tcPr>
            <w:tcW w:w="1529" w:type="pct"/>
            <w:noWrap/>
            <w:hideMark/>
          </w:tcPr>
          <w:p w14:paraId="6137E220" w14:textId="77777777" w:rsidR="000C53F6" w:rsidRPr="00DD37EC" w:rsidRDefault="000C53F6" w:rsidP="00DD37EC">
            <w:pPr>
              <w:spacing w:after="240"/>
              <w:rPr>
                <w:rFonts w:ascii="Arial" w:eastAsia="Times New Roman" w:hAnsi="Arial" w:cs="Arial"/>
                <w:color w:val="000000"/>
                <w:lang w:val="es-DO"/>
              </w:rPr>
            </w:pPr>
            <w:r w:rsidRPr="00DD37EC">
              <w:rPr>
                <w:rFonts w:ascii="Arial" w:eastAsia="Times New Roman" w:hAnsi="Arial" w:cs="Arial"/>
                <w:color w:val="000000"/>
                <w:lang w:val="es-DO"/>
              </w:rPr>
              <w:t xml:space="preserve">                        3,300.00 </w:t>
            </w:r>
          </w:p>
        </w:tc>
        <w:tc>
          <w:tcPr>
            <w:tcW w:w="1308" w:type="pct"/>
            <w:hideMark/>
          </w:tcPr>
          <w:p w14:paraId="37EADBDD" w14:textId="77777777" w:rsidR="000C53F6" w:rsidRPr="00DD37EC" w:rsidRDefault="000C53F6" w:rsidP="00DD37EC">
            <w:pPr>
              <w:spacing w:after="240"/>
              <w:rPr>
                <w:rFonts w:ascii="Arial" w:eastAsia="Times New Roman" w:hAnsi="Arial" w:cs="Arial"/>
                <w:color w:val="000000"/>
                <w:lang w:val="es-DO"/>
              </w:rPr>
            </w:pPr>
            <w:r w:rsidRPr="00DD37EC">
              <w:rPr>
                <w:rFonts w:ascii="Arial" w:eastAsia="Times New Roman" w:hAnsi="Arial" w:cs="Arial"/>
                <w:color w:val="000000"/>
                <w:lang w:val="es-DO"/>
              </w:rPr>
              <w:t xml:space="preserve"> $               61,994.00 </w:t>
            </w:r>
          </w:p>
        </w:tc>
      </w:tr>
      <w:tr w:rsidR="000C53F6" w:rsidRPr="00DD37EC" w14:paraId="0F948796" w14:textId="77777777" w:rsidTr="00054680">
        <w:trPr>
          <w:trHeight w:hRule="exact" w:val="288"/>
        </w:trPr>
        <w:tc>
          <w:tcPr>
            <w:tcW w:w="2163" w:type="pct"/>
            <w:hideMark/>
          </w:tcPr>
          <w:p w14:paraId="7B8780DE" w14:textId="77777777" w:rsidR="000C53F6" w:rsidRPr="00DD37EC" w:rsidRDefault="000C53F6" w:rsidP="00DD37EC">
            <w:pPr>
              <w:spacing w:after="240"/>
              <w:jc w:val="right"/>
              <w:rPr>
                <w:rFonts w:ascii="Arial" w:eastAsia="Times New Roman" w:hAnsi="Arial" w:cs="Arial"/>
                <w:i/>
                <w:iCs/>
                <w:color w:val="000000"/>
                <w:lang w:val="es-DO"/>
              </w:rPr>
            </w:pPr>
            <w:r w:rsidRPr="00DD37EC">
              <w:rPr>
                <w:rFonts w:ascii="Arial" w:eastAsia="Times New Roman" w:hAnsi="Arial" w:cs="Arial"/>
                <w:i/>
                <w:iCs/>
                <w:color w:val="000000"/>
                <w:lang w:val="es-DO"/>
              </w:rPr>
              <w:t>3ra línea</w:t>
            </w:r>
          </w:p>
        </w:tc>
        <w:tc>
          <w:tcPr>
            <w:tcW w:w="1529" w:type="pct"/>
            <w:noWrap/>
            <w:hideMark/>
          </w:tcPr>
          <w:p w14:paraId="1867ADC7" w14:textId="77777777" w:rsidR="000C53F6" w:rsidRPr="00DD37EC" w:rsidRDefault="000C53F6" w:rsidP="00DD37EC">
            <w:pPr>
              <w:spacing w:after="240"/>
              <w:rPr>
                <w:rFonts w:ascii="Arial" w:eastAsia="Times New Roman" w:hAnsi="Arial" w:cs="Arial"/>
                <w:color w:val="000000"/>
                <w:lang w:val="es-DO"/>
              </w:rPr>
            </w:pPr>
            <w:r w:rsidRPr="00DD37EC">
              <w:rPr>
                <w:rFonts w:ascii="Arial" w:eastAsia="Times New Roman" w:hAnsi="Arial" w:cs="Arial"/>
                <w:color w:val="000000"/>
                <w:lang w:val="es-DO"/>
              </w:rPr>
              <w:t xml:space="preserve">                            648.00 </w:t>
            </w:r>
          </w:p>
        </w:tc>
        <w:tc>
          <w:tcPr>
            <w:tcW w:w="1308" w:type="pct"/>
            <w:hideMark/>
          </w:tcPr>
          <w:p w14:paraId="5C8258C6" w14:textId="77777777" w:rsidR="000C53F6" w:rsidRPr="00DD37EC" w:rsidRDefault="000C53F6" w:rsidP="00DD37EC">
            <w:pPr>
              <w:spacing w:after="240"/>
              <w:rPr>
                <w:rFonts w:ascii="Arial" w:eastAsia="Times New Roman" w:hAnsi="Arial" w:cs="Arial"/>
                <w:color w:val="000000"/>
                <w:lang w:val="es-DO"/>
              </w:rPr>
            </w:pPr>
            <w:r w:rsidRPr="00DD37EC">
              <w:rPr>
                <w:rFonts w:ascii="Arial" w:eastAsia="Times New Roman" w:hAnsi="Arial" w:cs="Arial"/>
                <w:color w:val="000000"/>
                <w:lang w:val="es-DO"/>
              </w:rPr>
              <w:t xml:space="preserve"> $             116,995.80 </w:t>
            </w:r>
          </w:p>
        </w:tc>
      </w:tr>
      <w:tr w:rsidR="000C53F6" w:rsidRPr="00DD37EC" w14:paraId="0E9774DF" w14:textId="77777777" w:rsidTr="00054680">
        <w:trPr>
          <w:trHeight w:hRule="exact" w:val="288"/>
        </w:trPr>
        <w:tc>
          <w:tcPr>
            <w:tcW w:w="2163" w:type="pct"/>
            <w:hideMark/>
          </w:tcPr>
          <w:p w14:paraId="50224F4C" w14:textId="77777777" w:rsidR="000C53F6" w:rsidRPr="00DD37EC" w:rsidRDefault="000C53F6" w:rsidP="00DD37EC">
            <w:pPr>
              <w:spacing w:after="240"/>
              <w:jc w:val="right"/>
              <w:rPr>
                <w:rFonts w:ascii="Arial" w:eastAsia="Times New Roman" w:hAnsi="Arial" w:cs="Arial"/>
                <w:i/>
                <w:iCs/>
                <w:color w:val="000000"/>
                <w:lang w:val="es-DO"/>
              </w:rPr>
            </w:pPr>
            <w:r w:rsidRPr="00DD37EC">
              <w:rPr>
                <w:rFonts w:ascii="Arial" w:eastAsia="Times New Roman" w:hAnsi="Arial" w:cs="Arial"/>
                <w:i/>
                <w:iCs/>
                <w:color w:val="000000"/>
                <w:lang w:val="es-DO"/>
              </w:rPr>
              <w:t>Sub-total</w:t>
            </w:r>
          </w:p>
        </w:tc>
        <w:tc>
          <w:tcPr>
            <w:tcW w:w="1529" w:type="pct"/>
            <w:noWrap/>
            <w:hideMark/>
          </w:tcPr>
          <w:p w14:paraId="4F48ED3A" w14:textId="77777777" w:rsidR="000C53F6" w:rsidRPr="00DD37EC" w:rsidRDefault="000C53F6" w:rsidP="00DD37EC">
            <w:pPr>
              <w:spacing w:after="240"/>
              <w:rPr>
                <w:rFonts w:ascii="Arial" w:eastAsia="Times New Roman" w:hAnsi="Arial" w:cs="Arial"/>
                <w:color w:val="000000"/>
                <w:lang w:val="es-DO"/>
              </w:rPr>
            </w:pPr>
            <w:r w:rsidRPr="00DD37EC">
              <w:rPr>
                <w:rFonts w:ascii="Arial" w:eastAsia="Times New Roman" w:hAnsi="Arial" w:cs="Arial"/>
                <w:color w:val="000000"/>
                <w:lang w:val="es-DO"/>
              </w:rPr>
              <w:t xml:space="preserve">                      22,604.00 </w:t>
            </w:r>
          </w:p>
        </w:tc>
        <w:tc>
          <w:tcPr>
            <w:tcW w:w="1308" w:type="pct"/>
            <w:noWrap/>
            <w:hideMark/>
          </w:tcPr>
          <w:p w14:paraId="3BC1A303" w14:textId="77777777" w:rsidR="000C53F6" w:rsidRPr="00DD37EC" w:rsidRDefault="000C53F6" w:rsidP="00DD37EC">
            <w:pPr>
              <w:spacing w:after="240"/>
              <w:rPr>
                <w:rFonts w:ascii="Arial" w:eastAsia="Times New Roman" w:hAnsi="Arial" w:cs="Arial"/>
                <w:color w:val="000000"/>
                <w:lang w:val="es-DO"/>
              </w:rPr>
            </w:pPr>
            <w:r w:rsidRPr="00DD37EC">
              <w:rPr>
                <w:rFonts w:ascii="Arial" w:eastAsia="Times New Roman" w:hAnsi="Arial" w:cs="Arial"/>
                <w:color w:val="000000"/>
                <w:lang w:val="es-DO"/>
              </w:rPr>
              <w:t xml:space="preserve">               281,583.80 </w:t>
            </w:r>
          </w:p>
        </w:tc>
      </w:tr>
      <w:tr w:rsidR="000C53F6" w:rsidRPr="00DD37EC" w14:paraId="1092ACD6" w14:textId="77777777" w:rsidTr="00054680">
        <w:trPr>
          <w:trHeight w:hRule="exact" w:val="288"/>
        </w:trPr>
        <w:tc>
          <w:tcPr>
            <w:tcW w:w="2163" w:type="pct"/>
            <w:shd w:val="clear" w:color="auto" w:fill="1F3864" w:themeFill="accent1" w:themeFillShade="80"/>
            <w:vAlign w:val="bottom"/>
          </w:tcPr>
          <w:p w14:paraId="636B4D20" w14:textId="77777777" w:rsidR="000C53F6" w:rsidRPr="00DD37EC" w:rsidRDefault="000C53F6" w:rsidP="00DD37EC">
            <w:pPr>
              <w:spacing w:after="240"/>
              <w:jc w:val="right"/>
              <w:rPr>
                <w:rFonts w:ascii="Arial" w:eastAsia="Times New Roman" w:hAnsi="Arial" w:cs="Arial"/>
                <w:i/>
                <w:iCs/>
                <w:color w:val="000000"/>
                <w:lang w:val="es-DO"/>
              </w:rPr>
            </w:pPr>
            <w:r w:rsidRPr="00DD37EC">
              <w:rPr>
                <w:rFonts w:ascii="Arial" w:hAnsi="Arial" w:cs="Arial"/>
                <w:color w:val="FFFFFF"/>
              </w:rPr>
              <w:t>Total</w:t>
            </w:r>
          </w:p>
        </w:tc>
        <w:tc>
          <w:tcPr>
            <w:tcW w:w="1529" w:type="pct"/>
            <w:shd w:val="clear" w:color="auto" w:fill="1F3864" w:themeFill="accent1" w:themeFillShade="80"/>
            <w:noWrap/>
            <w:vAlign w:val="bottom"/>
          </w:tcPr>
          <w:p w14:paraId="267AB4B8" w14:textId="77777777" w:rsidR="000C53F6" w:rsidRPr="00DD37EC" w:rsidRDefault="000C53F6" w:rsidP="00DD37EC">
            <w:pPr>
              <w:spacing w:after="240"/>
              <w:rPr>
                <w:rFonts w:ascii="Arial" w:eastAsia="Times New Roman" w:hAnsi="Arial" w:cs="Arial"/>
                <w:color w:val="000000"/>
                <w:lang w:val="es-DO"/>
              </w:rPr>
            </w:pPr>
            <w:r w:rsidRPr="00DD37EC">
              <w:rPr>
                <w:rFonts w:ascii="Arial" w:hAnsi="Arial" w:cs="Arial"/>
                <w:color w:val="FFFFFF"/>
              </w:rPr>
              <w:t xml:space="preserve">                    245,196.00 </w:t>
            </w:r>
          </w:p>
        </w:tc>
        <w:tc>
          <w:tcPr>
            <w:tcW w:w="1308" w:type="pct"/>
            <w:shd w:val="clear" w:color="auto" w:fill="1F3864" w:themeFill="accent1" w:themeFillShade="80"/>
            <w:noWrap/>
            <w:vAlign w:val="bottom"/>
          </w:tcPr>
          <w:p w14:paraId="4C73C67E" w14:textId="77777777" w:rsidR="000C53F6" w:rsidRPr="00DD37EC" w:rsidRDefault="000C53F6" w:rsidP="00DD37EC">
            <w:pPr>
              <w:spacing w:after="240"/>
              <w:rPr>
                <w:rFonts w:ascii="Arial" w:eastAsia="Times New Roman" w:hAnsi="Arial" w:cs="Arial"/>
                <w:color w:val="000000"/>
                <w:lang w:val="es-DO"/>
              </w:rPr>
            </w:pPr>
            <w:r w:rsidRPr="00DD37EC">
              <w:rPr>
                <w:rFonts w:ascii="Arial" w:hAnsi="Arial" w:cs="Arial"/>
                <w:color w:val="FFFFFF"/>
              </w:rPr>
              <w:t xml:space="preserve">           2,045,376.54 </w:t>
            </w:r>
          </w:p>
        </w:tc>
      </w:tr>
    </w:tbl>
    <w:p w14:paraId="432B6B71" w14:textId="7A72621C" w:rsidR="000C53F6" w:rsidRPr="00167C47" w:rsidRDefault="000C53F6" w:rsidP="006D2E03">
      <w:pPr>
        <w:spacing w:after="240" w:line="240" w:lineRule="auto"/>
        <w:contextualSpacing/>
        <w:jc w:val="both"/>
        <w:rPr>
          <w:rFonts w:ascii="Arial" w:hAnsi="Arial" w:cs="Arial"/>
          <w:i/>
          <w:sz w:val="18"/>
          <w:lang w:val="es-DO"/>
        </w:rPr>
      </w:pPr>
      <w:r w:rsidRPr="00167C47">
        <w:rPr>
          <w:rFonts w:ascii="Arial" w:hAnsi="Arial" w:cs="Arial"/>
          <w:i/>
          <w:sz w:val="18"/>
          <w:lang w:val="es-DO"/>
        </w:rPr>
        <w:t xml:space="preserve">Fuente: Elaborada por los autores, a partir de los reportes de proyecciones provistos por la SESAL y FM para el 2019. </w:t>
      </w:r>
    </w:p>
    <w:p w14:paraId="01731FBF" w14:textId="591832F5" w:rsidR="000C53F6" w:rsidRPr="00054680" w:rsidRDefault="00054680" w:rsidP="00054680">
      <w:pPr>
        <w:pStyle w:val="Heading3"/>
        <w:spacing w:before="0" w:after="240" w:line="240" w:lineRule="auto"/>
        <w:rPr>
          <w:rFonts w:ascii="Arial" w:hAnsi="Arial" w:cs="Arial"/>
          <w:sz w:val="22"/>
          <w:szCs w:val="22"/>
          <w:lang w:val="es-DO"/>
        </w:rPr>
      </w:pPr>
      <w:bookmarkStart w:id="55" w:name="_Toc8905230"/>
      <w:bookmarkStart w:id="56" w:name="_Hlk534625772"/>
      <w:r>
        <w:rPr>
          <w:rFonts w:ascii="Arial" w:hAnsi="Arial" w:cs="Arial"/>
          <w:sz w:val="22"/>
          <w:szCs w:val="22"/>
          <w:lang w:val="es-DO"/>
        </w:rPr>
        <w:lastRenderedPageBreak/>
        <w:t>4.</w:t>
      </w:r>
      <w:r w:rsidR="00A77B7F">
        <w:rPr>
          <w:rFonts w:ascii="Arial" w:hAnsi="Arial" w:cs="Arial"/>
          <w:sz w:val="22"/>
          <w:szCs w:val="22"/>
          <w:lang w:val="es-DO"/>
        </w:rPr>
        <w:t>5</w:t>
      </w:r>
      <w:r>
        <w:rPr>
          <w:rFonts w:ascii="Arial" w:hAnsi="Arial" w:cs="Arial"/>
          <w:sz w:val="22"/>
          <w:szCs w:val="22"/>
          <w:lang w:val="es-DO"/>
        </w:rPr>
        <w:t xml:space="preserve">.3 </w:t>
      </w:r>
      <w:r w:rsidR="000C53F6" w:rsidRPr="00054680">
        <w:rPr>
          <w:rFonts w:ascii="Arial" w:hAnsi="Arial" w:cs="Arial"/>
          <w:sz w:val="22"/>
          <w:szCs w:val="22"/>
          <w:lang w:val="es-DO"/>
        </w:rPr>
        <w:t>Compras conjuntas</w:t>
      </w:r>
      <w:bookmarkEnd w:id="55"/>
      <w:r w:rsidR="000C53F6" w:rsidRPr="00054680">
        <w:rPr>
          <w:rFonts w:ascii="Arial" w:hAnsi="Arial" w:cs="Arial"/>
          <w:sz w:val="22"/>
          <w:szCs w:val="22"/>
          <w:lang w:val="es-DO"/>
        </w:rPr>
        <w:t xml:space="preserve"> </w:t>
      </w:r>
      <w:bookmarkEnd w:id="56"/>
    </w:p>
    <w:p w14:paraId="33E3EE17" w14:textId="4AAB7997" w:rsidR="000C53F6" w:rsidRPr="00DD37EC" w:rsidRDefault="000C53F6" w:rsidP="006D2E03">
      <w:pPr>
        <w:spacing w:after="240" w:line="240" w:lineRule="auto"/>
        <w:jc w:val="both"/>
        <w:rPr>
          <w:rFonts w:ascii="Arial" w:hAnsi="Arial" w:cs="Arial"/>
          <w:lang w:val="es-DO"/>
        </w:rPr>
      </w:pPr>
      <w:r w:rsidRPr="00DD37EC">
        <w:rPr>
          <w:rFonts w:ascii="Arial" w:hAnsi="Arial" w:cs="Arial"/>
          <w:lang w:val="es-DO"/>
        </w:rPr>
        <w:t>Uno de los riesgos principales para el cumplimiento del 1er 90, es que las pruebas de diagnóstico del VIH se adquieren de forma descentralizada y atomizada a través de las regiones de salud y establecimientos, incrementando los costos de las mismas y limitando el acceso a los usuarios, incluyendo poblaciones clave. A</w:t>
      </w:r>
      <w:r w:rsidR="00C232B6">
        <w:rPr>
          <w:rFonts w:ascii="Arial" w:hAnsi="Arial" w:cs="Arial"/>
          <w:lang w:val="es-DO"/>
        </w:rPr>
        <w:t>demás</w:t>
      </w:r>
      <w:r w:rsidRPr="00DD37EC">
        <w:rPr>
          <w:rFonts w:ascii="Arial" w:hAnsi="Arial" w:cs="Arial"/>
          <w:lang w:val="es-DO"/>
        </w:rPr>
        <w:t xml:space="preserve">, </w:t>
      </w:r>
      <w:r w:rsidR="00C232B6">
        <w:rPr>
          <w:rFonts w:ascii="Arial" w:hAnsi="Arial" w:cs="Arial"/>
          <w:lang w:val="es-DO"/>
        </w:rPr>
        <w:t>se</w:t>
      </w:r>
      <w:r w:rsidRPr="00DD37EC">
        <w:rPr>
          <w:rFonts w:ascii="Arial" w:hAnsi="Arial" w:cs="Arial"/>
          <w:lang w:val="es-DO"/>
        </w:rPr>
        <w:t xml:space="preserve"> han reportado desabastecimientos de las pruebas rápidas para detección de VIH a nivel de los establecimientos</w:t>
      </w:r>
      <w:r w:rsidR="007C2B32">
        <w:rPr>
          <w:rFonts w:ascii="Arial" w:hAnsi="Arial" w:cs="Arial"/>
          <w:lang w:val="es-DO"/>
        </w:rPr>
        <w:t>.</w:t>
      </w:r>
      <w:r w:rsidRPr="00DD37EC">
        <w:rPr>
          <w:rStyle w:val="FootnoteReference"/>
          <w:rFonts w:ascii="Arial" w:hAnsi="Arial" w:cs="Arial"/>
          <w:lang w:val="es-DO"/>
        </w:rPr>
        <w:footnoteReference w:id="59"/>
      </w:r>
    </w:p>
    <w:p w14:paraId="6F0B4B54" w14:textId="509D25B5" w:rsidR="000C53F6" w:rsidRPr="003525F0" w:rsidRDefault="000C53F6" w:rsidP="006D2E03">
      <w:pPr>
        <w:spacing w:after="240" w:line="240" w:lineRule="auto"/>
        <w:jc w:val="both"/>
        <w:rPr>
          <w:rFonts w:ascii="Arial" w:hAnsi="Arial" w:cs="Arial"/>
          <w:lang w:val="es-DO"/>
        </w:rPr>
      </w:pPr>
      <w:r w:rsidRPr="00DD37EC">
        <w:rPr>
          <w:rFonts w:ascii="Arial" w:hAnsi="Arial" w:cs="Arial"/>
          <w:lang w:val="es-DO"/>
        </w:rPr>
        <w:t xml:space="preserve">Establecer un mecanismo de compra conjunta a través de la SESAL y por medio del proveedor actual de compras, contribuirá a ahorros importantes, </w:t>
      </w:r>
      <w:r w:rsidRPr="003525F0">
        <w:rPr>
          <w:rFonts w:ascii="Arial" w:hAnsi="Arial" w:cs="Arial"/>
          <w:lang w:val="es-DO"/>
        </w:rPr>
        <w:t xml:space="preserve">eficiencias y oportunidad en las entregas.  En la tabla </w:t>
      </w:r>
      <w:r w:rsidR="003525F0" w:rsidRPr="003525F0">
        <w:rPr>
          <w:rFonts w:ascii="Arial" w:hAnsi="Arial" w:cs="Arial"/>
          <w:lang w:val="es-DO"/>
        </w:rPr>
        <w:t>6</w:t>
      </w:r>
      <w:r w:rsidRPr="003525F0">
        <w:rPr>
          <w:rFonts w:ascii="Arial" w:hAnsi="Arial" w:cs="Arial"/>
          <w:lang w:val="es-DO"/>
        </w:rPr>
        <w:t xml:space="preserve">, se muestra una reducción en el costo de adquisición de las pruebas de diagnóstico en un 38.1%, equivalentes a US$ 83 mil dólares anuales si se adquieren las pruebas de diagnóstico a través del mecanismo de compra conjunta internacional actual de la SESAL (OPS) y una disminución de un 103% en los costos, para un total de US$ 198 mil de ahorros a través del mecanismo del FM, en comparación con los precios de adquisición de las pruebas en el mercado local que adquieren las regiones de salud y establecimientos de forma fragmentada. </w:t>
      </w:r>
      <w:r w:rsidR="00F873C8" w:rsidRPr="003525F0">
        <w:rPr>
          <w:rFonts w:ascii="Arial" w:hAnsi="Arial" w:cs="Arial"/>
          <w:lang w:val="es-DO"/>
        </w:rPr>
        <w:t xml:space="preserve">En </w:t>
      </w:r>
      <w:r w:rsidR="00A062EF" w:rsidRPr="003525F0">
        <w:rPr>
          <w:rFonts w:ascii="Arial" w:hAnsi="Arial" w:cs="Arial"/>
          <w:lang w:val="es-DO"/>
        </w:rPr>
        <w:t>síntesis</w:t>
      </w:r>
      <w:r w:rsidR="00F873C8" w:rsidRPr="003525F0">
        <w:rPr>
          <w:rFonts w:ascii="Arial" w:hAnsi="Arial" w:cs="Arial"/>
          <w:lang w:val="es-DO"/>
        </w:rPr>
        <w:t>, con los recursos disponibles en la SESAL es posible ahorrar entre US$ 80 y 200 mil por año, monto que puede destinarse a la compra de más pruebas y mejorar el acceso al diagnóstico en poblaciones en mayor riesgo.</w:t>
      </w:r>
    </w:p>
    <w:p w14:paraId="651C984E" w14:textId="3088C93C" w:rsidR="000C53F6" w:rsidRDefault="003525F0" w:rsidP="00C232B6">
      <w:pPr>
        <w:spacing w:after="240" w:line="240" w:lineRule="auto"/>
        <w:jc w:val="both"/>
        <w:rPr>
          <w:rFonts w:ascii="Arial" w:hAnsi="Arial" w:cs="Arial"/>
          <w:lang w:val="es-DO"/>
        </w:rPr>
      </w:pPr>
      <w:r w:rsidRPr="003525F0">
        <w:rPr>
          <w:rFonts w:ascii="Arial" w:hAnsi="Arial" w:cs="Arial"/>
          <w:lang w:val="es-DO"/>
        </w:rPr>
        <w:t>La t</w:t>
      </w:r>
      <w:r w:rsidR="000C53F6" w:rsidRPr="003525F0">
        <w:rPr>
          <w:rFonts w:ascii="Arial" w:hAnsi="Arial" w:cs="Arial"/>
          <w:lang w:val="es-DO"/>
        </w:rPr>
        <w:t xml:space="preserve">abla </w:t>
      </w:r>
      <w:r w:rsidRPr="003525F0">
        <w:rPr>
          <w:rFonts w:ascii="Arial" w:hAnsi="Arial" w:cs="Arial"/>
          <w:lang w:val="es-DO"/>
        </w:rPr>
        <w:t>6</w:t>
      </w:r>
      <w:r w:rsidR="000C53F6" w:rsidRPr="003525F0">
        <w:rPr>
          <w:rFonts w:ascii="Arial" w:hAnsi="Arial" w:cs="Arial"/>
          <w:lang w:val="es-DO"/>
        </w:rPr>
        <w:t xml:space="preserve"> muestra los ahorros obtenidos por compra conjunta internacional vs compras fragmentadas en el mercado local</w:t>
      </w:r>
      <w:r w:rsidR="007C2B32" w:rsidRPr="003525F0">
        <w:rPr>
          <w:rFonts w:ascii="Arial" w:hAnsi="Arial" w:cs="Arial"/>
          <w:lang w:val="es-DO"/>
        </w:rPr>
        <w:t>.</w:t>
      </w:r>
    </w:p>
    <w:p w14:paraId="7EFBF615" w14:textId="2B73144C" w:rsidR="00F32AEE" w:rsidRPr="003525F0" w:rsidRDefault="003525F0" w:rsidP="003525F0">
      <w:pPr>
        <w:pStyle w:val="Caption"/>
        <w:rPr>
          <w:rStyle w:val="IntenseReference"/>
          <w:rFonts w:ascii="Arial" w:hAnsi="Arial" w:cs="Arial"/>
          <w:b/>
          <w:bCs/>
          <w:smallCaps w:val="0"/>
          <w:color w:val="auto"/>
          <w:spacing w:val="0"/>
          <w:sz w:val="22"/>
          <w:szCs w:val="22"/>
          <w:lang w:val="es-DO"/>
        </w:rPr>
      </w:pPr>
      <w:bookmarkStart w:id="57" w:name="_Toc8904508"/>
      <w:r w:rsidRPr="003525F0">
        <w:rPr>
          <w:rFonts w:ascii="Arial" w:hAnsi="Arial" w:cs="Arial"/>
          <w:color w:val="auto"/>
          <w:sz w:val="22"/>
          <w:szCs w:val="22"/>
        </w:rPr>
        <w:t xml:space="preserve">Tabla </w:t>
      </w:r>
      <w:r w:rsidRPr="003525F0">
        <w:rPr>
          <w:rFonts w:ascii="Arial" w:hAnsi="Arial" w:cs="Arial"/>
          <w:color w:val="auto"/>
          <w:sz w:val="22"/>
          <w:szCs w:val="22"/>
        </w:rPr>
        <w:fldChar w:fldCharType="begin"/>
      </w:r>
      <w:r w:rsidRPr="003525F0">
        <w:rPr>
          <w:rFonts w:ascii="Arial" w:hAnsi="Arial" w:cs="Arial"/>
          <w:color w:val="auto"/>
          <w:sz w:val="22"/>
          <w:szCs w:val="22"/>
        </w:rPr>
        <w:instrText xml:space="preserve"> SEQ Tabla \* ARABIC </w:instrText>
      </w:r>
      <w:r w:rsidRPr="003525F0">
        <w:rPr>
          <w:rFonts w:ascii="Arial" w:hAnsi="Arial" w:cs="Arial"/>
          <w:color w:val="auto"/>
          <w:sz w:val="22"/>
          <w:szCs w:val="22"/>
        </w:rPr>
        <w:fldChar w:fldCharType="separate"/>
      </w:r>
      <w:r w:rsidR="00D447AE">
        <w:rPr>
          <w:rFonts w:ascii="Arial" w:hAnsi="Arial" w:cs="Arial"/>
          <w:noProof/>
          <w:color w:val="auto"/>
          <w:sz w:val="22"/>
          <w:szCs w:val="22"/>
        </w:rPr>
        <w:t>6</w:t>
      </w:r>
      <w:r w:rsidRPr="003525F0">
        <w:rPr>
          <w:rFonts w:ascii="Arial" w:hAnsi="Arial" w:cs="Arial"/>
          <w:color w:val="auto"/>
          <w:sz w:val="22"/>
          <w:szCs w:val="22"/>
        </w:rPr>
        <w:fldChar w:fldCharType="end"/>
      </w:r>
      <w:r w:rsidRPr="003525F0">
        <w:rPr>
          <w:rFonts w:ascii="Arial" w:hAnsi="Arial" w:cs="Arial"/>
          <w:color w:val="auto"/>
          <w:sz w:val="22"/>
          <w:szCs w:val="22"/>
        </w:rPr>
        <w:t>. Eficiencias en compras de pruebas diagnóstico de VIH</w:t>
      </w:r>
      <w:bookmarkEnd w:id="57"/>
    </w:p>
    <w:tbl>
      <w:tblPr>
        <w:tblStyle w:val="TableGrid"/>
        <w:tblW w:w="5000" w:type="pct"/>
        <w:tblLayout w:type="fixed"/>
        <w:tblLook w:val="04A0" w:firstRow="1" w:lastRow="0" w:firstColumn="1" w:lastColumn="0" w:noHBand="0" w:noVBand="1"/>
      </w:tblPr>
      <w:tblGrid>
        <w:gridCol w:w="1911"/>
        <w:gridCol w:w="1248"/>
        <w:gridCol w:w="1055"/>
        <w:gridCol w:w="1342"/>
        <w:gridCol w:w="958"/>
        <w:gridCol w:w="1246"/>
        <w:gridCol w:w="958"/>
        <w:gridCol w:w="1236"/>
      </w:tblGrid>
      <w:tr w:rsidR="000C53F6" w:rsidRPr="00DD37EC" w14:paraId="00B8B94D" w14:textId="77777777" w:rsidTr="00C232B6">
        <w:trPr>
          <w:trHeight w:hRule="exact" w:val="424"/>
        </w:trPr>
        <w:tc>
          <w:tcPr>
            <w:tcW w:w="960" w:type="pct"/>
            <w:shd w:val="clear" w:color="auto" w:fill="1F3864" w:themeFill="accent1" w:themeFillShade="80"/>
            <w:noWrap/>
            <w:vAlign w:val="center"/>
            <w:hideMark/>
          </w:tcPr>
          <w:p w14:paraId="150BD788" w14:textId="77777777" w:rsidR="000C53F6" w:rsidRPr="00C232B6" w:rsidRDefault="000C53F6" w:rsidP="00DD37EC">
            <w:pPr>
              <w:spacing w:after="240"/>
              <w:contextualSpacing/>
              <w:jc w:val="center"/>
              <w:rPr>
                <w:rFonts w:ascii="Arial" w:eastAsia="Times New Roman" w:hAnsi="Arial" w:cs="Arial"/>
                <w:sz w:val="20"/>
                <w:lang w:val="es-DO"/>
              </w:rPr>
            </w:pPr>
          </w:p>
        </w:tc>
        <w:tc>
          <w:tcPr>
            <w:tcW w:w="627" w:type="pct"/>
            <w:shd w:val="clear" w:color="auto" w:fill="1F3864" w:themeFill="accent1" w:themeFillShade="80"/>
            <w:noWrap/>
            <w:vAlign w:val="center"/>
            <w:hideMark/>
          </w:tcPr>
          <w:p w14:paraId="0258452A" w14:textId="77777777" w:rsidR="000C53F6" w:rsidRPr="00C232B6" w:rsidRDefault="000C53F6" w:rsidP="00DD37EC">
            <w:pPr>
              <w:spacing w:after="240"/>
              <w:contextualSpacing/>
              <w:jc w:val="center"/>
              <w:rPr>
                <w:rFonts w:ascii="Arial" w:eastAsia="Times New Roman" w:hAnsi="Arial" w:cs="Arial"/>
                <w:sz w:val="20"/>
                <w:lang w:val="es-DO"/>
              </w:rPr>
            </w:pPr>
          </w:p>
        </w:tc>
        <w:tc>
          <w:tcPr>
            <w:tcW w:w="1204" w:type="pct"/>
            <w:gridSpan w:val="2"/>
            <w:shd w:val="clear" w:color="auto" w:fill="1F3864" w:themeFill="accent1" w:themeFillShade="80"/>
            <w:vAlign w:val="center"/>
            <w:hideMark/>
          </w:tcPr>
          <w:p w14:paraId="0F621E0C" w14:textId="77777777" w:rsidR="000C53F6" w:rsidRPr="00C232B6" w:rsidRDefault="000C53F6" w:rsidP="00DD37EC">
            <w:pPr>
              <w:spacing w:after="240"/>
              <w:contextualSpacing/>
              <w:jc w:val="center"/>
              <w:rPr>
                <w:rFonts w:ascii="Arial" w:eastAsia="Times New Roman" w:hAnsi="Arial" w:cs="Arial"/>
                <w:b/>
                <w:bCs/>
                <w:color w:val="FFFFFF"/>
                <w:sz w:val="20"/>
                <w:lang w:val="es-DO"/>
              </w:rPr>
            </w:pPr>
            <w:r w:rsidRPr="00C232B6">
              <w:rPr>
                <w:rFonts w:ascii="Arial" w:eastAsia="Times New Roman" w:hAnsi="Arial" w:cs="Arial"/>
                <w:b/>
                <w:bCs/>
                <w:color w:val="FFFFFF"/>
                <w:sz w:val="20"/>
                <w:lang w:val="es-DO"/>
              </w:rPr>
              <w:t>Mercado Local USD</w:t>
            </w:r>
          </w:p>
        </w:tc>
        <w:tc>
          <w:tcPr>
            <w:tcW w:w="1107" w:type="pct"/>
            <w:gridSpan w:val="2"/>
            <w:shd w:val="clear" w:color="auto" w:fill="1F3864" w:themeFill="accent1" w:themeFillShade="80"/>
            <w:vAlign w:val="center"/>
            <w:hideMark/>
          </w:tcPr>
          <w:p w14:paraId="42277845" w14:textId="77777777" w:rsidR="000C53F6" w:rsidRPr="00C232B6" w:rsidRDefault="000C53F6" w:rsidP="00DD37EC">
            <w:pPr>
              <w:spacing w:after="240"/>
              <w:contextualSpacing/>
              <w:jc w:val="center"/>
              <w:rPr>
                <w:rFonts w:ascii="Arial" w:eastAsia="Times New Roman" w:hAnsi="Arial" w:cs="Arial"/>
                <w:b/>
                <w:bCs/>
                <w:color w:val="FFFFFF"/>
                <w:sz w:val="20"/>
                <w:lang w:val="es-DO"/>
              </w:rPr>
            </w:pPr>
            <w:r w:rsidRPr="00C232B6">
              <w:rPr>
                <w:rFonts w:ascii="Arial" w:eastAsia="Times New Roman" w:hAnsi="Arial" w:cs="Arial"/>
                <w:b/>
                <w:bCs/>
                <w:color w:val="FFFFFF"/>
                <w:sz w:val="20"/>
                <w:lang w:val="es-DO"/>
              </w:rPr>
              <w:t>OPS USD</w:t>
            </w:r>
          </w:p>
        </w:tc>
        <w:tc>
          <w:tcPr>
            <w:tcW w:w="1103" w:type="pct"/>
            <w:gridSpan w:val="2"/>
            <w:shd w:val="clear" w:color="auto" w:fill="1F3864" w:themeFill="accent1" w:themeFillShade="80"/>
            <w:vAlign w:val="center"/>
            <w:hideMark/>
          </w:tcPr>
          <w:p w14:paraId="7F3DCB99" w14:textId="77777777" w:rsidR="000C53F6" w:rsidRPr="00C232B6" w:rsidRDefault="000C53F6" w:rsidP="00DD37EC">
            <w:pPr>
              <w:spacing w:after="240"/>
              <w:contextualSpacing/>
              <w:jc w:val="center"/>
              <w:rPr>
                <w:rFonts w:ascii="Arial" w:eastAsia="Times New Roman" w:hAnsi="Arial" w:cs="Arial"/>
                <w:b/>
                <w:bCs/>
                <w:color w:val="FFFFFF"/>
                <w:sz w:val="20"/>
                <w:lang w:val="es-DO"/>
              </w:rPr>
            </w:pPr>
            <w:r w:rsidRPr="00C232B6">
              <w:rPr>
                <w:rFonts w:ascii="Arial" w:eastAsia="Times New Roman" w:hAnsi="Arial" w:cs="Arial"/>
                <w:b/>
                <w:bCs/>
                <w:color w:val="FFFFFF"/>
                <w:sz w:val="20"/>
                <w:lang w:val="es-DO"/>
              </w:rPr>
              <w:t>PFSCM/FM USD</w:t>
            </w:r>
          </w:p>
        </w:tc>
      </w:tr>
      <w:tr w:rsidR="000C53F6" w:rsidRPr="00DD37EC" w14:paraId="1E68E8D0" w14:textId="77777777" w:rsidTr="00C232B6">
        <w:trPr>
          <w:trHeight w:hRule="exact" w:val="541"/>
        </w:trPr>
        <w:tc>
          <w:tcPr>
            <w:tcW w:w="960" w:type="pct"/>
            <w:noWrap/>
            <w:vAlign w:val="center"/>
            <w:hideMark/>
          </w:tcPr>
          <w:p w14:paraId="49A9773E" w14:textId="77777777" w:rsidR="000C53F6" w:rsidRPr="00C232B6" w:rsidRDefault="000C53F6" w:rsidP="00DD37EC">
            <w:pPr>
              <w:spacing w:after="240"/>
              <w:contextualSpacing/>
              <w:jc w:val="center"/>
              <w:rPr>
                <w:rFonts w:ascii="Arial" w:eastAsia="Times New Roman" w:hAnsi="Arial" w:cs="Arial"/>
                <w:b/>
                <w:bCs/>
                <w:color w:val="FFFFFF"/>
                <w:sz w:val="20"/>
                <w:lang w:val="es-DO"/>
              </w:rPr>
            </w:pPr>
          </w:p>
        </w:tc>
        <w:tc>
          <w:tcPr>
            <w:tcW w:w="627" w:type="pct"/>
            <w:shd w:val="clear" w:color="auto" w:fill="D5DCE4" w:themeFill="text2" w:themeFillTint="33"/>
            <w:vAlign w:val="center"/>
            <w:hideMark/>
          </w:tcPr>
          <w:p w14:paraId="05506F2D" w14:textId="77777777" w:rsidR="000C53F6" w:rsidRPr="00C232B6" w:rsidRDefault="000C53F6" w:rsidP="00DD37EC">
            <w:pPr>
              <w:spacing w:after="240"/>
              <w:contextualSpacing/>
              <w:jc w:val="center"/>
              <w:rPr>
                <w:rFonts w:ascii="Arial" w:eastAsia="Times New Roman" w:hAnsi="Arial" w:cs="Arial"/>
                <w:i/>
                <w:iCs/>
                <w:color w:val="000000"/>
                <w:sz w:val="20"/>
                <w:lang w:val="es-DO"/>
              </w:rPr>
            </w:pPr>
            <w:r w:rsidRPr="00C232B6">
              <w:rPr>
                <w:rFonts w:ascii="Arial" w:eastAsia="Times New Roman" w:hAnsi="Arial" w:cs="Arial"/>
                <w:i/>
                <w:iCs/>
                <w:color w:val="000000"/>
                <w:sz w:val="20"/>
                <w:lang w:val="es-DO"/>
              </w:rPr>
              <w:t>Unidades REQ 2019</w:t>
            </w:r>
          </w:p>
        </w:tc>
        <w:tc>
          <w:tcPr>
            <w:tcW w:w="530" w:type="pct"/>
            <w:shd w:val="clear" w:color="auto" w:fill="D5DCE4" w:themeFill="text2" w:themeFillTint="33"/>
            <w:vAlign w:val="center"/>
            <w:hideMark/>
          </w:tcPr>
          <w:p w14:paraId="79C5D4A1" w14:textId="77777777" w:rsidR="000C53F6" w:rsidRPr="00C232B6" w:rsidRDefault="000C53F6" w:rsidP="00DD37EC">
            <w:pPr>
              <w:spacing w:after="240"/>
              <w:contextualSpacing/>
              <w:jc w:val="center"/>
              <w:rPr>
                <w:rFonts w:ascii="Arial" w:eastAsia="Times New Roman" w:hAnsi="Arial" w:cs="Arial"/>
                <w:i/>
                <w:iCs/>
                <w:color w:val="000000"/>
                <w:sz w:val="20"/>
                <w:lang w:val="es-DO"/>
              </w:rPr>
            </w:pPr>
            <w:r w:rsidRPr="00C232B6">
              <w:rPr>
                <w:rFonts w:ascii="Arial" w:eastAsia="Times New Roman" w:hAnsi="Arial" w:cs="Arial"/>
                <w:i/>
                <w:iCs/>
                <w:color w:val="000000"/>
                <w:sz w:val="20"/>
                <w:lang w:val="es-DO"/>
              </w:rPr>
              <w:t>Precio unitario</w:t>
            </w:r>
          </w:p>
        </w:tc>
        <w:tc>
          <w:tcPr>
            <w:tcW w:w="674" w:type="pct"/>
            <w:shd w:val="clear" w:color="auto" w:fill="D5DCE4" w:themeFill="text2" w:themeFillTint="33"/>
            <w:vAlign w:val="center"/>
            <w:hideMark/>
          </w:tcPr>
          <w:p w14:paraId="357B290A" w14:textId="77777777" w:rsidR="000C53F6" w:rsidRPr="00C232B6" w:rsidRDefault="000C53F6" w:rsidP="00DD37EC">
            <w:pPr>
              <w:spacing w:after="240"/>
              <w:contextualSpacing/>
              <w:jc w:val="center"/>
              <w:rPr>
                <w:rFonts w:ascii="Arial" w:eastAsia="Times New Roman" w:hAnsi="Arial" w:cs="Arial"/>
                <w:i/>
                <w:iCs/>
                <w:color w:val="000000"/>
                <w:sz w:val="20"/>
                <w:lang w:val="es-DO"/>
              </w:rPr>
            </w:pPr>
            <w:r w:rsidRPr="00C232B6">
              <w:rPr>
                <w:rFonts w:ascii="Arial" w:eastAsia="Times New Roman" w:hAnsi="Arial" w:cs="Arial"/>
                <w:i/>
                <w:iCs/>
                <w:color w:val="000000"/>
                <w:sz w:val="20"/>
                <w:lang w:val="es-DO"/>
              </w:rPr>
              <w:t>Total</w:t>
            </w:r>
          </w:p>
        </w:tc>
        <w:tc>
          <w:tcPr>
            <w:tcW w:w="481" w:type="pct"/>
            <w:shd w:val="clear" w:color="auto" w:fill="D5DCE4" w:themeFill="text2" w:themeFillTint="33"/>
            <w:vAlign w:val="center"/>
            <w:hideMark/>
          </w:tcPr>
          <w:p w14:paraId="50E2248C" w14:textId="77777777" w:rsidR="000C53F6" w:rsidRPr="00C232B6" w:rsidRDefault="000C53F6" w:rsidP="00DD37EC">
            <w:pPr>
              <w:spacing w:after="240"/>
              <w:contextualSpacing/>
              <w:jc w:val="center"/>
              <w:rPr>
                <w:rFonts w:ascii="Arial" w:eastAsia="Times New Roman" w:hAnsi="Arial" w:cs="Arial"/>
                <w:i/>
                <w:iCs/>
                <w:color w:val="000000"/>
                <w:sz w:val="20"/>
                <w:lang w:val="es-DO"/>
              </w:rPr>
            </w:pPr>
            <w:r w:rsidRPr="00C232B6">
              <w:rPr>
                <w:rFonts w:ascii="Arial" w:eastAsia="Times New Roman" w:hAnsi="Arial" w:cs="Arial"/>
                <w:i/>
                <w:iCs/>
                <w:color w:val="000000"/>
                <w:sz w:val="20"/>
                <w:lang w:val="es-DO"/>
              </w:rPr>
              <w:t>Precio unitario</w:t>
            </w:r>
          </w:p>
        </w:tc>
        <w:tc>
          <w:tcPr>
            <w:tcW w:w="626" w:type="pct"/>
            <w:shd w:val="clear" w:color="auto" w:fill="D5DCE4" w:themeFill="text2" w:themeFillTint="33"/>
            <w:vAlign w:val="center"/>
            <w:hideMark/>
          </w:tcPr>
          <w:p w14:paraId="0EA0E661" w14:textId="77777777" w:rsidR="000C53F6" w:rsidRPr="00C232B6" w:rsidRDefault="000C53F6" w:rsidP="00DD37EC">
            <w:pPr>
              <w:spacing w:after="240"/>
              <w:contextualSpacing/>
              <w:jc w:val="center"/>
              <w:rPr>
                <w:rFonts w:ascii="Arial" w:eastAsia="Times New Roman" w:hAnsi="Arial" w:cs="Arial"/>
                <w:i/>
                <w:iCs/>
                <w:color w:val="000000"/>
                <w:sz w:val="20"/>
                <w:lang w:val="es-DO"/>
              </w:rPr>
            </w:pPr>
            <w:r w:rsidRPr="00C232B6">
              <w:rPr>
                <w:rFonts w:ascii="Arial" w:eastAsia="Times New Roman" w:hAnsi="Arial" w:cs="Arial"/>
                <w:i/>
                <w:iCs/>
                <w:color w:val="000000"/>
                <w:sz w:val="20"/>
                <w:lang w:val="es-DO"/>
              </w:rPr>
              <w:t>Total</w:t>
            </w:r>
          </w:p>
        </w:tc>
        <w:tc>
          <w:tcPr>
            <w:tcW w:w="481" w:type="pct"/>
            <w:shd w:val="clear" w:color="auto" w:fill="D5DCE4" w:themeFill="text2" w:themeFillTint="33"/>
            <w:vAlign w:val="center"/>
            <w:hideMark/>
          </w:tcPr>
          <w:p w14:paraId="4DB2D0B5" w14:textId="77777777" w:rsidR="000C53F6" w:rsidRPr="00C232B6" w:rsidRDefault="000C53F6" w:rsidP="00DD37EC">
            <w:pPr>
              <w:spacing w:after="240"/>
              <w:contextualSpacing/>
              <w:jc w:val="center"/>
              <w:rPr>
                <w:rFonts w:ascii="Arial" w:eastAsia="Times New Roman" w:hAnsi="Arial" w:cs="Arial"/>
                <w:i/>
                <w:iCs/>
                <w:color w:val="000000"/>
                <w:sz w:val="20"/>
                <w:lang w:val="es-DO"/>
              </w:rPr>
            </w:pPr>
            <w:r w:rsidRPr="00C232B6">
              <w:rPr>
                <w:rFonts w:ascii="Arial" w:eastAsia="Times New Roman" w:hAnsi="Arial" w:cs="Arial"/>
                <w:i/>
                <w:iCs/>
                <w:color w:val="000000"/>
                <w:sz w:val="20"/>
                <w:lang w:val="es-DO"/>
              </w:rPr>
              <w:t>Precio unitario</w:t>
            </w:r>
          </w:p>
        </w:tc>
        <w:tc>
          <w:tcPr>
            <w:tcW w:w="622" w:type="pct"/>
            <w:shd w:val="clear" w:color="auto" w:fill="D5DCE4" w:themeFill="text2" w:themeFillTint="33"/>
            <w:vAlign w:val="center"/>
            <w:hideMark/>
          </w:tcPr>
          <w:p w14:paraId="5FFD95CE" w14:textId="77777777" w:rsidR="000C53F6" w:rsidRPr="00C232B6" w:rsidRDefault="000C53F6" w:rsidP="00DD37EC">
            <w:pPr>
              <w:spacing w:after="240"/>
              <w:contextualSpacing/>
              <w:jc w:val="center"/>
              <w:rPr>
                <w:rFonts w:ascii="Arial" w:eastAsia="Times New Roman" w:hAnsi="Arial" w:cs="Arial"/>
                <w:i/>
                <w:iCs/>
                <w:color w:val="000000"/>
                <w:sz w:val="20"/>
                <w:lang w:val="es-DO"/>
              </w:rPr>
            </w:pPr>
            <w:r w:rsidRPr="00C232B6">
              <w:rPr>
                <w:rFonts w:ascii="Arial" w:eastAsia="Times New Roman" w:hAnsi="Arial" w:cs="Arial"/>
                <w:i/>
                <w:iCs/>
                <w:color w:val="000000"/>
                <w:sz w:val="20"/>
                <w:lang w:val="es-DO"/>
              </w:rPr>
              <w:t>Total</w:t>
            </w:r>
          </w:p>
        </w:tc>
      </w:tr>
      <w:tr w:rsidR="000C53F6" w:rsidRPr="00DD37EC" w14:paraId="4C9B0B5D" w14:textId="77777777" w:rsidTr="00C232B6">
        <w:trPr>
          <w:trHeight w:hRule="exact" w:val="622"/>
        </w:trPr>
        <w:tc>
          <w:tcPr>
            <w:tcW w:w="960" w:type="pct"/>
            <w:noWrap/>
            <w:vAlign w:val="center"/>
            <w:hideMark/>
          </w:tcPr>
          <w:p w14:paraId="39B83965" w14:textId="2F6461C2" w:rsidR="000C53F6" w:rsidRPr="00C232B6" w:rsidRDefault="000C53F6" w:rsidP="00DD37EC">
            <w:pPr>
              <w:spacing w:after="240"/>
              <w:contextualSpacing/>
              <w:jc w:val="center"/>
              <w:rPr>
                <w:rFonts w:ascii="Arial" w:eastAsia="Times New Roman" w:hAnsi="Arial" w:cs="Arial"/>
                <w:b/>
                <w:bCs/>
                <w:color w:val="000000"/>
                <w:sz w:val="20"/>
                <w:lang w:val="es-DO"/>
              </w:rPr>
            </w:pPr>
            <w:r w:rsidRPr="00C232B6">
              <w:rPr>
                <w:rFonts w:ascii="Arial" w:eastAsia="Times New Roman" w:hAnsi="Arial" w:cs="Arial"/>
                <w:b/>
                <w:bCs/>
                <w:color w:val="000000"/>
                <w:sz w:val="20"/>
                <w:lang w:val="es-DO"/>
              </w:rPr>
              <w:t xml:space="preserve">Pruebas diagnostico </w:t>
            </w:r>
            <w:r w:rsidR="00F32AEE">
              <w:rPr>
                <w:rFonts w:ascii="Arial" w:eastAsia="Times New Roman" w:hAnsi="Arial" w:cs="Arial"/>
                <w:b/>
                <w:bCs/>
                <w:color w:val="000000"/>
                <w:sz w:val="20"/>
                <w:lang w:val="es-DO"/>
              </w:rPr>
              <w:t>VIH</w:t>
            </w:r>
          </w:p>
        </w:tc>
        <w:tc>
          <w:tcPr>
            <w:tcW w:w="627" w:type="pct"/>
            <w:noWrap/>
            <w:vAlign w:val="center"/>
            <w:hideMark/>
          </w:tcPr>
          <w:p w14:paraId="6B7EBC9E" w14:textId="55B6F197" w:rsidR="000C53F6" w:rsidRPr="00C232B6" w:rsidRDefault="000C53F6" w:rsidP="00DD37EC">
            <w:pPr>
              <w:spacing w:after="240"/>
              <w:contextualSpacing/>
              <w:jc w:val="center"/>
              <w:rPr>
                <w:rFonts w:ascii="Arial" w:eastAsia="Times New Roman" w:hAnsi="Arial" w:cs="Arial"/>
                <w:color w:val="000000"/>
                <w:sz w:val="20"/>
                <w:lang w:val="es-DO"/>
              </w:rPr>
            </w:pPr>
            <w:r w:rsidRPr="00C232B6">
              <w:rPr>
                <w:rFonts w:ascii="Arial" w:hAnsi="Arial" w:cs="Arial"/>
                <w:color w:val="000000"/>
                <w:sz w:val="20"/>
              </w:rPr>
              <w:t>193,200</w:t>
            </w:r>
          </w:p>
        </w:tc>
        <w:tc>
          <w:tcPr>
            <w:tcW w:w="530" w:type="pct"/>
            <w:vAlign w:val="center"/>
            <w:hideMark/>
          </w:tcPr>
          <w:p w14:paraId="7816ECEF" w14:textId="77777777" w:rsidR="000C53F6" w:rsidRPr="00C232B6" w:rsidRDefault="000C53F6" w:rsidP="00DD37EC">
            <w:pPr>
              <w:spacing w:after="240"/>
              <w:contextualSpacing/>
              <w:jc w:val="center"/>
              <w:rPr>
                <w:rFonts w:ascii="Arial" w:eastAsia="Times New Roman" w:hAnsi="Arial" w:cs="Arial"/>
                <w:color w:val="000000"/>
                <w:sz w:val="20"/>
                <w:lang w:val="es-DO"/>
              </w:rPr>
            </w:pPr>
            <w:r w:rsidRPr="00C232B6">
              <w:rPr>
                <w:rFonts w:ascii="Arial" w:hAnsi="Arial" w:cs="Arial"/>
                <w:color w:val="000000"/>
                <w:sz w:val="20"/>
              </w:rPr>
              <w:t>1.13</w:t>
            </w:r>
          </w:p>
        </w:tc>
        <w:tc>
          <w:tcPr>
            <w:tcW w:w="674" w:type="pct"/>
            <w:vAlign w:val="center"/>
            <w:hideMark/>
          </w:tcPr>
          <w:p w14:paraId="228C90A0" w14:textId="0E961F7E" w:rsidR="000C53F6" w:rsidRPr="00C232B6" w:rsidRDefault="000C53F6" w:rsidP="00DD37EC">
            <w:pPr>
              <w:spacing w:after="240"/>
              <w:contextualSpacing/>
              <w:jc w:val="center"/>
              <w:rPr>
                <w:rFonts w:ascii="Arial" w:eastAsia="Times New Roman" w:hAnsi="Arial" w:cs="Arial"/>
                <w:color w:val="000000"/>
                <w:sz w:val="20"/>
                <w:lang w:val="es-DO"/>
              </w:rPr>
            </w:pPr>
            <w:r w:rsidRPr="00C232B6">
              <w:rPr>
                <w:rFonts w:ascii="Arial" w:hAnsi="Arial" w:cs="Arial"/>
                <w:color w:val="000000"/>
                <w:sz w:val="20"/>
              </w:rPr>
              <w:t>218,316</w:t>
            </w:r>
          </w:p>
        </w:tc>
        <w:tc>
          <w:tcPr>
            <w:tcW w:w="481" w:type="pct"/>
            <w:vAlign w:val="center"/>
            <w:hideMark/>
          </w:tcPr>
          <w:p w14:paraId="05951116" w14:textId="77777777" w:rsidR="000C53F6" w:rsidRPr="00C232B6" w:rsidRDefault="000C53F6" w:rsidP="00DD37EC">
            <w:pPr>
              <w:spacing w:after="240"/>
              <w:contextualSpacing/>
              <w:jc w:val="center"/>
              <w:rPr>
                <w:rFonts w:ascii="Arial" w:eastAsia="Times New Roman" w:hAnsi="Arial" w:cs="Arial"/>
                <w:color w:val="000000"/>
                <w:sz w:val="20"/>
                <w:lang w:val="es-DO"/>
              </w:rPr>
            </w:pPr>
            <w:r w:rsidRPr="00C232B6">
              <w:rPr>
                <w:rFonts w:ascii="Arial" w:hAnsi="Arial" w:cs="Arial"/>
                <w:color w:val="000000"/>
                <w:sz w:val="20"/>
              </w:rPr>
              <w:t>0.70</w:t>
            </w:r>
          </w:p>
        </w:tc>
        <w:tc>
          <w:tcPr>
            <w:tcW w:w="626" w:type="pct"/>
            <w:vAlign w:val="center"/>
            <w:hideMark/>
          </w:tcPr>
          <w:p w14:paraId="42BD2CFE" w14:textId="3B0DD4BE" w:rsidR="000C53F6" w:rsidRPr="00C232B6" w:rsidRDefault="000C53F6" w:rsidP="00DD37EC">
            <w:pPr>
              <w:spacing w:after="240"/>
              <w:contextualSpacing/>
              <w:jc w:val="center"/>
              <w:rPr>
                <w:rFonts w:ascii="Arial" w:eastAsia="Times New Roman" w:hAnsi="Arial" w:cs="Arial"/>
                <w:color w:val="000000"/>
                <w:sz w:val="20"/>
                <w:lang w:val="es-DO"/>
              </w:rPr>
            </w:pPr>
            <w:r w:rsidRPr="00C232B6">
              <w:rPr>
                <w:rFonts w:ascii="Arial" w:hAnsi="Arial" w:cs="Arial"/>
                <w:color w:val="000000"/>
                <w:sz w:val="20"/>
              </w:rPr>
              <w:t>135,240</w:t>
            </w:r>
          </w:p>
        </w:tc>
        <w:tc>
          <w:tcPr>
            <w:tcW w:w="481" w:type="pct"/>
            <w:vAlign w:val="center"/>
            <w:hideMark/>
          </w:tcPr>
          <w:p w14:paraId="6E73E85C" w14:textId="77777777" w:rsidR="000C53F6" w:rsidRPr="00C232B6" w:rsidRDefault="000C53F6" w:rsidP="00DD37EC">
            <w:pPr>
              <w:spacing w:after="240"/>
              <w:contextualSpacing/>
              <w:jc w:val="center"/>
              <w:rPr>
                <w:rFonts w:ascii="Arial" w:eastAsia="Times New Roman" w:hAnsi="Arial" w:cs="Arial"/>
                <w:color w:val="000000"/>
                <w:sz w:val="20"/>
                <w:lang w:val="es-DO"/>
              </w:rPr>
            </w:pPr>
            <w:r w:rsidRPr="00C232B6">
              <w:rPr>
                <w:rFonts w:ascii="Arial" w:hAnsi="Arial" w:cs="Arial"/>
                <w:color w:val="000000"/>
                <w:sz w:val="20"/>
              </w:rPr>
              <w:t>0.10</w:t>
            </w:r>
          </w:p>
        </w:tc>
        <w:tc>
          <w:tcPr>
            <w:tcW w:w="622" w:type="pct"/>
            <w:vAlign w:val="center"/>
            <w:hideMark/>
          </w:tcPr>
          <w:p w14:paraId="6FA5F453" w14:textId="6EA17063" w:rsidR="000C53F6" w:rsidRPr="00C232B6" w:rsidRDefault="000C53F6" w:rsidP="00DD37EC">
            <w:pPr>
              <w:spacing w:after="240"/>
              <w:contextualSpacing/>
              <w:jc w:val="center"/>
              <w:rPr>
                <w:rFonts w:ascii="Arial" w:eastAsia="Times New Roman" w:hAnsi="Arial" w:cs="Arial"/>
                <w:color w:val="000000"/>
                <w:sz w:val="20"/>
                <w:lang w:val="es-DO"/>
              </w:rPr>
            </w:pPr>
            <w:r w:rsidRPr="00C232B6">
              <w:rPr>
                <w:rFonts w:ascii="Arial" w:hAnsi="Arial" w:cs="Arial"/>
                <w:color w:val="000000"/>
                <w:sz w:val="20"/>
              </w:rPr>
              <w:t>19,320</w:t>
            </w:r>
          </w:p>
        </w:tc>
      </w:tr>
      <w:tr w:rsidR="000C53F6" w:rsidRPr="00DD37EC" w14:paraId="5094DA2B" w14:textId="77777777" w:rsidTr="00C232B6">
        <w:trPr>
          <w:trHeight w:hRule="exact" w:val="451"/>
        </w:trPr>
        <w:tc>
          <w:tcPr>
            <w:tcW w:w="960" w:type="pct"/>
            <w:noWrap/>
            <w:vAlign w:val="center"/>
            <w:hideMark/>
          </w:tcPr>
          <w:p w14:paraId="730FC852" w14:textId="77777777" w:rsidR="000C53F6" w:rsidRPr="00C232B6" w:rsidRDefault="000C53F6" w:rsidP="00DD37EC">
            <w:pPr>
              <w:spacing w:after="240"/>
              <w:contextualSpacing/>
              <w:jc w:val="center"/>
              <w:rPr>
                <w:rFonts w:ascii="Arial" w:eastAsia="Times New Roman" w:hAnsi="Arial" w:cs="Arial"/>
                <w:color w:val="000000"/>
                <w:sz w:val="20"/>
                <w:lang w:val="es-DO"/>
              </w:rPr>
            </w:pPr>
          </w:p>
        </w:tc>
        <w:tc>
          <w:tcPr>
            <w:tcW w:w="627" w:type="pct"/>
            <w:noWrap/>
            <w:vAlign w:val="center"/>
            <w:hideMark/>
          </w:tcPr>
          <w:p w14:paraId="3F84F451" w14:textId="77777777" w:rsidR="000C53F6" w:rsidRPr="00473E4E" w:rsidRDefault="000C53F6" w:rsidP="00DD37EC">
            <w:pPr>
              <w:spacing w:after="240"/>
              <w:contextualSpacing/>
              <w:jc w:val="center"/>
              <w:rPr>
                <w:rFonts w:ascii="Arial" w:eastAsia="Times New Roman" w:hAnsi="Arial" w:cs="Arial"/>
                <w:sz w:val="20"/>
                <w:lang w:val="es-DO"/>
              </w:rPr>
            </w:pPr>
            <w:r w:rsidRPr="00473E4E">
              <w:rPr>
                <w:rFonts w:ascii="Arial" w:hAnsi="Arial" w:cs="Arial"/>
                <w:sz w:val="20"/>
              </w:rPr>
              <w:t>% DIF</w:t>
            </w:r>
          </w:p>
        </w:tc>
        <w:tc>
          <w:tcPr>
            <w:tcW w:w="530" w:type="pct"/>
            <w:vAlign w:val="center"/>
            <w:hideMark/>
          </w:tcPr>
          <w:p w14:paraId="6A9D8B15" w14:textId="77777777" w:rsidR="000C53F6" w:rsidRPr="00473E4E" w:rsidRDefault="000C53F6" w:rsidP="00DD37EC">
            <w:pPr>
              <w:spacing w:after="240"/>
              <w:contextualSpacing/>
              <w:jc w:val="center"/>
              <w:rPr>
                <w:rFonts w:ascii="Arial" w:eastAsia="Times New Roman" w:hAnsi="Arial" w:cs="Arial"/>
                <w:sz w:val="20"/>
                <w:lang w:val="es-DO"/>
              </w:rPr>
            </w:pPr>
          </w:p>
        </w:tc>
        <w:tc>
          <w:tcPr>
            <w:tcW w:w="674" w:type="pct"/>
            <w:vAlign w:val="center"/>
            <w:hideMark/>
          </w:tcPr>
          <w:p w14:paraId="38EDA5A8" w14:textId="77777777" w:rsidR="000C53F6" w:rsidRPr="00473E4E" w:rsidRDefault="000C53F6" w:rsidP="00DD37EC">
            <w:pPr>
              <w:spacing w:after="240"/>
              <w:contextualSpacing/>
              <w:jc w:val="center"/>
              <w:rPr>
                <w:rFonts w:ascii="Arial" w:eastAsia="Times New Roman" w:hAnsi="Arial" w:cs="Arial"/>
                <w:sz w:val="20"/>
                <w:lang w:val="es-DO"/>
              </w:rPr>
            </w:pPr>
          </w:p>
        </w:tc>
        <w:tc>
          <w:tcPr>
            <w:tcW w:w="481" w:type="pct"/>
            <w:vAlign w:val="center"/>
            <w:hideMark/>
          </w:tcPr>
          <w:p w14:paraId="0FF8EFA2" w14:textId="77777777" w:rsidR="000C53F6" w:rsidRPr="00473E4E" w:rsidRDefault="000C53F6" w:rsidP="00DD37EC">
            <w:pPr>
              <w:spacing w:after="240"/>
              <w:contextualSpacing/>
              <w:jc w:val="center"/>
              <w:rPr>
                <w:rFonts w:ascii="Arial" w:eastAsia="Times New Roman" w:hAnsi="Arial" w:cs="Arial"/>
                <w:sz w:val="20"/>
                <w:lang w:val="es-DO"/>
              </w:rPr>
            </w:pPr>
            <w:r w:rsidRPr="00473E4E">
              <w:rPr>
                <w:rFonts w:ascii="Arial" w:hAnsi="Arial" w:cs="Arial"/>
                <w:sz w:val="20"/>
              </w:rPr>
              <w:t>38.1%</w:t>
            </w:r>
          </w:p>
        </w:tc>
        <w:tc>
          <w:tcPr>
            <w:tcW w:w="626" w:type="pct"/>
            <w:vAlign w:val="center"/>
            <w:hideMark/>
          </w:tcPr>
          <w:p w14:paraId="5C0DC5E8" w14:textId="032E6A5B" w:rsidR="000C53F6" w:rsidRPr="00473E4E" w:rsidRDefault="000C53F6" w:rsidP="00DD37EC">
            <w:pPr>
              <w:spacing w:after="240"/>
              <w:contextualSpacing/>
              <w:jc w:val="center"/>
              <w:rPr>
                <w:rFonts w:ascii="Arial" w:eastAsia="Times New Roman" w:hAnsi="Arial" w:cs="Arial"/>
                <w:sz w:val="20"/>
                <w:lang w:val="es-DO"/>
              </w:rPr>
            </w:pPr>
            <w:r w:rsidRPr="00473E4E">
              <w:rPr>
                <w:rFonts w:ascii="Arial" w:hAnsi="Arial" w:cs="Arial"/>
                <w:sz w:val="20"/>
              </w:rPr>
              <w:t>83,076</w:t>
            </w:r>
          </w:p>
        </w:tc>
        <w:tc>
          <w:tcPr>
            <w:tcW w:w="481" w:type="pct"/>
            <w:vAlign w:val="center"/>
            <w:hideMark/>
          </w:tcPr>
          <w:p w14:paraId="176E4DFE" w14:textId="77777777" w:rsidR="000C53F6" w:rsidRPr="00473E4E" w:rsidRDefault="000C53F6" w:rsidP="00DD37EC">
            <w:pPr>
              <w:spacing w:after="240"/>
              <w:contextualSpacing/>
              <w:jc w:val="center"/>
              <w:rPr>
                <w:rFonts w:ascii="Arial" w:eastAsia="Times New Roman" w:hAnsi="Arial" w:cs="Arial"/>
                <w:sz w:val="20"/>
                <w:lang w:val="es-DO"/>
              </w:rPr>
            </w:pPr>
            <w:r w:rsidRPr="00473E4E">
              <w:rPr>
                <w:rFonts w:ascii="Arial" w:hAnsi="Arial" w:cs="Arial"/>
                <w:sz w:val="20"/>
              </w:rPr>
              <w:t>103.0%</w:t>
            </w:r>
          </w:p>
        </w:tc>
        <w:tc>
          <w:tcPr>
            <w:tcW w:w="622" w:type="pct"/>
            <w:vAlign w:val="center"/>
            <w:hideMark/>
          </w:tcPr>
          <w:p w14:paraId="7DB2D4A6" w14:textId="55F4BAFD" w:rsidR="000C53F6" w:rsidRPr="00473E4E" w:rsidRDefault="000C53F6" w:rsidP="00DD37EC">
            <w:pPr>
              <w:spacing w:after="240"/>
              <w:contextualSpacing/>
              <w:jc w:val="center"/>
              <w:rPr>
                <w:rFonts w:ascii="Arial" w:eastAsia="Times New Roman" w:hAnsi="Arial" w:cs="Arial"/>
                <w:sz w:val="20"/>
                <w:lang w:val="es-DO"/>
              </w:rPr>
            </w:pPr>
            <w:r w:rsidRPr="00473E4E">
              <w:rPr>
                <w:rFonts w:ascii="Arial" w:hAnsi="Arial" w:cs="Arial"/>
                <w:sz w:val="20"/>
              </w:rPr>
              <w:t>198,996</w:t>
            </w:r>
          </w:p>
        </w:tc>
      </w:tr>
    </w:tbl>
    <w:p w14:paraId="0124E5BC" w14:textId="39072964" w:rsidR="000C53F6" w:rsidRPr="00167C47" w:rsidRDefault="000C53F6" w:rsidP="006D2E03">
      <w:pPr>
        <w:autoSpaceDE w:val="0"/>
        <w:autoSpaceDN w:val="0"/>
        <w:adjustRightInd w:val="0"/>
        <w:spacing w:after="240" w:line="240" w:lineRule="auto"/>
        <w:contextualSpacing/>
        <w:jc w:val="both"/>
        <w:rPr>
          <w:rFonts w:ascii="Arial" w:hAnsi="Arial" w:cs="Arial"/>
          <w:i/>
          <w:sz w:val="18"/>
          <w:lang w:val="es-DO"/>
        </w:rPr>
      </w:pPr>
      <w:r w:rsidRPr="00167C47">
        <w:rPr>
          <w:rFonts w:ascii="Arial" w:hAnsi="Arial" w:cs="Arial"/>
          <w:i/>
          <w:sz w:val="18"/>
          <w:lang w:val="es-DO"/>
        </w:rPr>
        <w:t xml:space="preserve">Fuente: Elaborada por los autores a partir de datos de los reportes de compras de la Región de Salud del Valle en el 2018 para el precio del mercado local; el precio de OPS se obtuvo del catálogo de precios para productos diagnósticos y los precios de PFSCM, se obtuvieron a partir de su catálogo de productos 2018. El total de pruebas requeridas se obtuvo del reporte de evaluación de la Respuesta Nacional, 2015 y se extrapoló al 2019. </w:t>
      </w:r>
    </w:p>
    <w:p w14:paraId="582652E3" w14:textId="7D9D8542" w:rsidR="000C53F6" w:rsidRPr="00DD37EC" w:rsidRDefault="00A77B7F" w:rsidP="006D2E03">
      <w:pPr>
        <w:pStyle w:val="Heading3"/>
        <w:spacing w:before="0" w:after="240" w:line="240" w:lineRule="auto"/>
        <w:rPr>
          <w:rFonts w:ascii="Arial" w:hAnsi="Arial" w:cs="Arial"/>
          <w:sz w:val="22"/>
          <w:szCs w:val="22"/>
          <w:lang w:val="es-DO"/>
        </w:rPr>
      </w:pPr>
      <w:bookmarkStart w:id="58" w:name="_Hlk534625786"/>
      <w:bookmarkStart w:id="59" w:name="_Toc8905231"/>
      <w:r>
        <w:rPr>
          <w:rFonts w:ascii="Arial" w:hAnsi="Arial" w:cs="Arial"/>
          <w:sz w:val="22"/>
          <w:szCs w:val="22"/>
          <w:lang w:val="es-DO"/>
        </w:rPr>
        <w:t>4</w:t>
      </w:r>
      <w:r w:rsidR="004F0CE9" w:rsidRPr="00DD37EC">
        <w:rPr>
          <w:rFonts w:ascii="Arial" w:hAnsi="Arial" w:cs="Arial"/>
          <w:sz w:val="22"/>
          <w:szCs w:val="22"/>
          <w:lang w:val="es-DO"/>
        </w:rPr>
        <w:t>.</w:t>
      </w:r>
      <w:r>
        <w:rPr>
          <w:rFonts w:ascii="Arial" w:hAnsi="Arial" w:cs="Arial"/>
          <w:sz w:val="22"/>
          <w:szCs w:val="22"/>
          <w:lang w:val="es-DO"/>
        </w:rPr>
        <w:t>5</w:t>
      </w:r>
      <w:r w:rsidR="004F0CE9" w:rsidRPr="00DD37EC">
        <w:rPr>
          <w:rFonts w:ascii="Arial" w:hAnsi="Arial" w:cs="Arial"/>
          <w:sz w:val="22"/>
          <w:szCs w:val="22"/>
          <w:lang w:val="es-DO"/>
        </w:rPr>
        <w:t>.</w:t>
      </w:r>
      <w:r>
        <w:rPr>
          <w:rFonts w:ascii="Arial" w:hAnsi="Arial" w:cs="Arial"/>
          <w:sz w:val="22"/>
          <w:szCs w:val="22"/>
          <w:lang w:val="es-DO"/>
        </w:rPr>
        <w:t>4</w:t>
      </w:r>
      <w:r w:rsidR="004F0CE9" w:rsidRPr="00DD37EC">
        <w:rPr>
          <w:rFonts w:ascii="Arial" w:hAnsi="Arial" w:cs="Arial"/>
          <w:sz w:val="22"/>
          <w:szCs w:val="22"/>
          <w:lang w:val="es-DO"/>
        </w:rPr>
        <w:t xml:space="preserve"> </w:t>
      </w:r>
      <w:r w:rsidR="004B6BFF" w:rsidRPr="00DD37EC">
        <w:rPr>
          <w:rFonts w:ascii="Arial" w:hAnsi="Arial" w:cs="Arial"/>
          <w:sz w:val="22"/>
          <w:szCs w:val="22"/>
          <w:lang w:val="es-DO"/>
        </w:rPr>
        <w:t>Recursos humanos</w:t>
      </w:r>
      <w:bookmarkEnd w:id="58"/>
      <w:bookmarkEnd w:id="59"/>
    </w:p>
    <w:p w14:paraId="114D4DA7" w14:textId="62CBB9F7" w:rsidR="000C53F6" w:rsidRPr="00DD37EC" w:rsidRDefault="000C53F6" w:rsidP="006D2E03">
      <w:pPr>
        <w:autoSpaceDE w:val="0"/>
        <w:autoSpaceDN w:val="0"/>
        <w:adjustRightInd w:val="0"/>
        <w:spacing w:after="240" w:line="240" w:lineRule="auto"/>
        <w:jc w:val="both"/>
        <w:rPr>
          <w:rFonts w:ascii="Arial" w:hAnsi="Arial" w:cs="Arial"/>
          <w:lang w:val="es-DO"/>
        </w:rPr>
      </w:pPr>
      <w:r w:rsidRPr="00DD37EC">
        <w:rPr>
          <w:rFonts w:ascii="Arial" w:hAnsi="Arial" w:cs="Arial"/>
          <w:lang w:val="es-DO"/>
        </w:rPr>
        <w:t>La política de recursos humanos de la SESAL no está actualizada en cuanto a los contenidos de contratación y movilización de los recursos humanos para la implementación del Modelo de CAI y de vigilancia centinela de las infecciones de transmisión sexual, pues experimentan reducción en la nómina de recursos humanos y movilizaciones de personal que generan sobrecarga y desgaste de los equipos de trabajo</w:t>
      </w:r>
      <w:r w:rsidR="00DA1C58">
        <w:rPr>
          <w:rFonts w:ascii="Arial" w:hAnsi="Arial" w:cs="Arial"/>
          <w:lang w:val="es-DO"/>
        </w:rPr>
        <w:t>.</w:t>
      </w:r>
      <w:r w:rsidRPr="00DD37EC">
        <w:rPr>
          <w:rStyle w:val="FootnoteReference"/>
          <w:rFonts w:ascii="Arial" w:hAnsi="Arial" w:cs="Arial"/>
          <w:lang w:val="es-DO"/>
        </w:rPr>
        <w:footnoteReference w:id="60"/>
      </w:r>
    </w:p>
    <w:p w14:paraId="62A6C347" w14:textId="45D27820" w:rsidR="006D2E03" w:rsidRPr="00DD37EC" w:rsidRDefault="00595F12" w:rsidP="006D2E03">
      <w:pPr>
        <w:autoSpaceDE w:val="0"/>
        <w:autoSpaceDN w:val="0"/>
        <w:adjustRightInd w:val="0"/>
        <w:spacing w:after="240" w:line="240" w:lineRule="auto"/>
        <w:jc w:val="both"/>
        <w:rPr>
          <w:rFonts w:ascii="Arial" w:hAnsi="Arial" w:cs="Arial"/>
          <w:lang w:val="es-DO"/>
        </w:rPr>
      </w:pPr>
      <w:r>
        <w:rPr>
          <w:rFonts w:ascii="Arial" w:hAnsi="Arial" w:cs="Arial"/>
          <w:lang w:val="es-DO"/>
        </w:rPr>
        <w:t>Los</w:t>
      </w:r>
      <w:r w:rsidR="00C232B6">
        <w:rPr>
          <w:rFonts w:ascii="Arial" w:hAnsi="Arial" w:cs="Arial"/>
          <w:lang w:val="es-DO"/>
        </w:rPr>
        <w:t xml:space="preserve"> actores</w:t>
      </w:r>
      <w:r w:rsidR="000C53F6" w:rsidRPr="00DD37EC">
        <w:rPr>
          <w:rFonts w:ascii="Arial" w:hAnsi="Arial" w:cs="Arial"/>
          <w:lang w:val="es-DO"/>
        </w:rPr>
        <w:t xml:space="preserve"> de los diferentes sectores dieron a conocer</w:t>
      </w:r>
      <w:r w:rsidR="00C232B6">
        <w:rPr>
          <w:rFonts w:ascii="Arial" w:hAnsi="Arial" w:cs="Arial"/>
          <w:lang w:val="es-DO"/>
        </w:rPr>
        <w:t xml:space="preserve"> sus</w:t>
      </w:r>
      <w:r w:rsidR="000C53F6" w:rsidRPr="00DD37EC">
        <w:rPr>
          <w:rFonts w:ascii="Arial" w:hAnsi="Arial" w:cs="Arial"/>
          <w:lang w:val="es-DO"/>
        </w:rPr>
        <w:t xml:space="preserve"> preocupaciones sobre la alta rotación del personal de salud a nivel de los establecimientos; así como las irregularidades en los contratos de </w:t>
      </w:r>
      <w:r w:rsidR="000C53F6" w:rsidRPr="00DD37EC">
        <w:rPr>
          <w:rFonts w:ascii="Arial" w:hAnsi="Arial" w:cs="Arial"/>
          <w:lang w:val="es-DO"/>
        </w:rPr>
        <w:lastRenderedPageBreak/>
        <w:t>servicios, los cuales son intermitentes y el personal dura meses sin percibir ingresos.</w:t>
      </w:r>
      <w:r w:rsidR="00B945F2">
        <w:rPr>
          <w:rFonts w:ascii="Arial" w:hAnsi="Arial" w:cs="Arial"/>
          <w:lang w:val="es-DO"/>
        </w:rPr>
        <w:t xml:space="preserve"> La alta rotación también se</w:t>
      </w:r>
      <w:r w:rsidR="00EE6F68">
        <w:rPr>
          <w:rFonts w:ascii="Arial" w:hAnsi="Arial" w:cs="Arial"/>
          <w:lang w:val="es-DO"/>
        </w:rPr>
        <w:t xml:space="preserve"> asoció con la falta de incentivos y oportunidades para el desarrollo profesional.</w:t>
      </w:r>
    </w:p>
    <w:p w14:paraId="58499B0E" w14:textId="33948D13" w:rsidR="002062CD" w:rsidRDefault="000C53F6" w:rsidP="006D2E03">
      <w:pPr>
        <w:autoSpaceDE w:val="0"/>
        <w:autoSpaceDN w:val="0"/>
        <w:adjustRightInd w:val="0"/>
        <w:spacing w:after="240" w:line="240" w:lineRule="auto"/>
        <w:jc w:val="both"/>
        <w:rPr>
          <w:rFonts w:ascii="Arial" w:hAnsi="Arial" w:cs="Arial"/>
          <w:lang w:val="es-DO"/>
        </w:rPr>
      </w:pPr>
      <w:r w:rsidRPr="00DD37EC">
        <w:rPr>
          <w:rFonts w:ascii="Arial" w:hAnsi="Arial" w:cs="Arial"/>
          <w:lang w:val="es-DO"/>
        </w:rPr>
        <w:t>El financiamiento de R</w:t>
      </w:r>
      <w:r w:rsidR="009F5B7B">
        <w:rPr>
          <w:rFonts w:ascii="Arial" w:hAnsi="Arial" w:cs="Arial"/>
          <w:lang w:val="es-DO"/>
        </w:rPr>
        <w:t>R</w:t>
      </w:r>
      <w:r w:rsidRPr="00DD37EC">
        <w:rPr>
          <w:rFonts w:ascii="Arial" w:hAnsi="Arial" w:cs="Arial"/>
          <w:lang w:val="es-DO"/>
        </w:rPr>
        <w:t>H</w:t>
      </w:r>
      <w:r w:rsidR="009F5B7B">
        <w:rPr>
          <w:rFonts w:ascii="Arial" w:hAnsi="Arial" w:cs="Arial"/>
          <w:lang w:val="es-DO"/>
        </w:rPr>
        <w:t>H</w:t>
      </w:r>
      <w:r w:rsidRPr="00DD37EC">
        <w:rPr>
          <w:rFonts w:ascii="Arial" w:hAnsi="Arial" w:cs="Arial"/>
          <w:lang w:val="es-DO"/>
        </w:rPr>
        <w:t xml:space="preserve"> clave a nivel central de la SESAL es a través de proyectos de cooperación (i.e. personal de monitoreo y evaluació</w:t>
      </w:r>
      <w:r w:rsidR="00A85780">
        <w:rPr>
          <w:rFonts w:ascii="Arial" w:hAnsi="Arial" w:cs="Arial"/>
          <w:lang w:val="es-DO"/>
        </w:rPr>
        <w:t>n, log</w:t>
      </w:r>
      <w:r w:rsidRPr="00DD37EC">
        <w:rPr>
          <w:rFonts w:ascii="Arial" w:hAnsi="Arial" w:cs="Arial"/>
          <w:lang w:val="es-DO"/>
        </w:rPr>
        <w:t>ística</w:t>
      </w:r>
      <w:r w:rsidR="00A85780">
        <w:rPr>
          <w:rFonts w:ascii="Arial" w:hAnsi="Arial" w:cs="Arial"/>
          <w:lang w:val="es-DO"/>
        </w:rPr>
        <w:t xml:space="preserve"> y fortalecimiento de sistemas resilientes</w:t>
      </w:r>
      <w:r w:rsidRPr="00DD37EC">
        <w:rPr>
          <w:rFonts w:ascii="Arial" w:hAnsi="Arial" w:cs="Arial"/>
          <w:lang w:val="es-DO"/>
        </w:rPr>
        <w:t>); así como el personal que realiza trabajo comunitario a través de las ONG, son pagados por la cooperación.</w:t>
      </w:r>
      <w:r w:rsidR="00C232B6">
        <w:rPr>
          <w:rFonts w:ascii="Arial" w:hAnsi="Arial" w:cs="Arial"/>
          <w:lang w:val="es-DO"/>
        </w:rPr>
        <w:t xml:space="preserve"> También se </w:t>
      </w:r>
      <w:r w:rsidR="00DA1C58">
        <w:rPr>
          <w:rFonts w:ascii="Arial" w:hAnsi="Arial" w:cs="Arial"/>
          <w:lang w:val="es-DO"/>
        </w:rPr>
        <w:t>expresó</w:t>
      </w:r>
      <w:r w:rsidR="00C232B6">
        <w:rPr>
          <w:rFonts w:ascii="Arial" w:hAnsi="Arial" w:cs="Arial"/>
          <w:lang w:val="es-DO"/>
        </w:rPr>
        <w:t xml:space="preserve"> que las ONG dependen altamente de personal voluntario también con alta rotación, lo que dificulta las estrategias de vinculación y comunicación con personal clave.</w:t>
      </w:r>
      <w:r w:rsidR="00ED4FE9" w:rsidRPr="00ED4FE9">
        <w:rPr>
          <w:lang w:val="es-MX"/>
        </w:rPr>
        <w:t xml:space="preserve"> </w:t>
      </w:r>
      <w:r w:rsidR="00ED4FE9" w:rsidRPr="00ED4FE9">
        <w:rPr>
          <w:rFonts w:ascii="Arial" w:hAnsi="Arial" w:cs="Arial"/>
          <w:lang w:val="es-DO"/>
        </w:rPr>
        <w:t xml:space="preserve">El desconocimiento de los protocolos de atención y capacitación para proveer servicios de VIH y TB también se registró como una debilidad </w:t>
      </w:r>
      <w:r w:rsidR="00A85780">
        <w:rPr>
          <w:rFonts w:ascii="Arial" w:hAnsi="Arial" w:cs="Arial"/>
          <w:lang w:val="es-DO"/>
        </w:rPr>
        <w:t>del recurso humano</w:t>
      </w:r>
      <w:r w:rsidR="00ED4FE9" w:rsidRPr="00ED4FE9">
        <w:rPr>
          <w:rFonts w:ascii="Arial" w:hAnsi="Arial" w:cs="Arial"/>
          <w:lang w:val="es-DO"/>
        </w:rPr>
        <w:t xml:space="preserve"> de salud. </w:t>
      </w:r>
      <w:r w:rsidR="00C232B6">
        <w:rPr>
          <w:rFonts w:ascii="Arial" w:hAnsi="Arial" w:cs="Arial"/>
          <w:lang w:val="es-DO"/>
        </w:rPr>
        <w:t xml:space="preserve"> En general, la </w:t>
      </w:r>
      <w:r w:rsidRPr="00DD37EC">
        <w:rPr>
          <w:rFonts w:ascii="Arial" w:hAnsi="Arial" w:cs="Arial"/>
          <w:lang w:val="es-DO"/>
        </w:rPr>
        <w:t>situación</w:t>
      </w:r>
      <w:r w:rsidR="00C232B6">
        <w:rPr>
          <w:rFonts w:ascii="Arial" w:hAnsi="Arial" w:cs="Arial"/>
          <w:lang w:val="es-DO"/>
        </w:rPr>
        <w:t xml:space="preserve"> actual de los R</w:t>
      </w:r>
      <w:r w:rsidR="00A85780">
        <w:rPr>
          <w:rFonts w:ascii="Arial" w:hAnsi="Arial" w:cs="Arial"/>
          <w:lang w:val="es-DO"/>
        </w:rPr>
        <w:t>R</w:t>
      </w:r>
      <w:r w:rsidR="00C232B6">
        <w:rPr>
          <w:rFonts w:ascii="Arial" w:hAnsi="Arial" w:cs="Arial"/>
          <w:lang w:val="es-DO"/>
        </w:rPr>
        <w:t>H</w:t>
      </w:r>
      <w:r w:rsidR="00A85780">
        <w:rPr>
          <w:rFonts w:ascii="Arial" w:hAnsi="Arial" w:cs="Arial"/>
          <w:lang w:val="es-DO"/>
        </w:rPr>
        <w:t>H</w:t>
      </w:r>
      <w:r w:rsidRPr="00DD37EC">
        <w:rPr>
          <w:rFonts w:ascii="Arial" w:hAnsi="Arial" w:cs="Arial"/>
          <w:lang w:val="es-DO"/>
        </w:rPr>
        <w:t xml:space="preserve"> atenta contra la sostenibilidad de los programas. </w:t>
      </w:r>
    </w:p>
    <w:p w14:paraId="23DBF5E7" w14:textId="56B6AE55" w:rsidR="004B6BFF" w:rsidRPr="00DD37EC" w:rsidRDefault="00A77B7F" w:rsidP="00082D10">
      <w:pPr>
        <w:pStyle w:val="Heading3"/>
        <w:spacing w:before="0" w:after="240" w:line="240" w:lineRule="auto"/>
        <w:rPr>
          <w:rFonts w:ascii="Arial" w:hAnsi="Arial" w:cs="Arial"/>
          <w:sz w:val="22"/>
          <w:szCs w:val="22"/>
          <w:lang w:val="es-DO"/>
        </w:rPr>
      </w:pPr>
      <w:bookmarkStart w:id="60" w:name="_Hlk534625794"/>
      <w:bookmarkStart w:id="61" w:name="_Toc8905232"/>
      <w:r>
        <w:rPr>
          <w:rFonts w:ascii="Arial" w:hAnsi="Arial" w:cs="Arial"/>
          <w:sz w:val="22"/>
          <w:szCs w:val="22"/>
          <w:lang w:val="es-DO"/>
        </w:rPr>
        <w:t>4.5.5</w:t>
      </w:r>
      <w:r w:rsidR="002062CD" w:rsidRPr="00DD37EC">
        <w:rPr>
          <w:rFonts w:ascii="Arial" w:hAnsi="Arial" w:cs="Arial"/>
          <w:sz w:val="22"/>
          <w:szCs w:val="22"/>
          <w:lang w:val="es-DO"/>
        </w:rPr>
        <w:t xml:space="preserve"> </w:t>
      </w:r>
      <w:r w:rsidR="004B6BFF" w:rsidRPr="00DD37EC">
        <w:rPr>
          <w:rFonts w:ascii="Arial" w:hAnsi="Arial" w:cs="Arial"/>
          <w:sz w:val="22"/>
          <w:szCs w:val="22"/>
          <w:lang w:val="es-DO"/>
        </w:rPr>
        <w:t>Sistemas de información</w:t>
      </w:r>
      <w:bookmarkEnd w:id="60"/>
      <w:bookmarkEnd w:id="61"/>
    </w:p>
    <w:p w14:paraId="73955EE4" w14:textId="59C8F3E6" w:rsidR="000C53F6" w:rsidRPr="00DD37EC" w:rsidRDefault="000C53F6" w:rsidP="006D2E03">
      <w:pPr>
        <w:autoSpaceDE w:val="0"/>
        <w:autoSpaceDN w:val="0"/>
        <w:adjustRightInd w:val="0"/>
        <w:spacing w:after="240" w:line="240" w:lineRule="auto"/>
        <w:jc w:val="both"/>
        <w:rPr>
          <w:rFonts w:ascii="Arial" w:hAnsi="Arial" w:cs="Arial"/>
          <w:lang w:val="es-DO"/>
        </w:rPr>
      </w:pPr>
      <w:r w:rsidRPr="00DD37EC">
        <w:rPr>
          <w:rFonts w:ascii="Arial" w:hAnsi="Arial" w:cs="Arial"/>
          <w:lang w:val="es-DO"/>
        </w:rPr>
        <w:t>Se cuenta con un sistema de información institucional a nivel local, regional y central de la SESAL.  Los datos de monitoreo y evaluación (M&amp;E) de los programas y servicios se limitan a obtener información básica sobre el número y la cobertura de los servicios prestados y es imposible evaluar la calidad de estos programas y el impacto que tienen sobre sus beneficiarios</w:t>
      </w:r>
      <w:r w:rsidR="00DA1C58">
        <w:rPr>
          <w:rFonts w:ascii="Arial" w:hAnsi="Arial" w:cs="Arial"/>
          <w:lang w:val="es-DO"/>
        </w:rPr>
        <w:t>.</w:t>
      </w:r>
      <w:r w:rsidRPr="00DD37EC">
        <w:rPr>
          <w:rStyle w:val="FootnoteReference"/>
          <w:rFonts w:ascii="Arial" w:hAnsi="Arial" w:cs="Arial"/>
          <w:lang w:val="es-DO"/>
        </w:rPr>
        <w:footnoteReference w:id="61"/>
      </w:r>
    </w:p>
    <w:p w14:paraId="21EC6C5A" w14:textId="76F601F9" w:rsidR="000C53F6" w:rsidRPr="00DD37EC" w:rsidRDefault="000C53F6" w:rsidP="006D2E03">
      <w:pPr>
        <w:autoSpaceDE w:val="0"/>
        <w:autoSpaceDN w:val="0"/>
        <w:adjustRightInd w:val="0"/>
        <w:spacing w:after="240" w:line="240" w:lineRule="auto"/>
        <w:jc w:val="both"/>
        <w:rPr>
          <w:rFonts w:ascii="Arial" w:hAnsi="Arial" w:cs="Arial"/>
          <w:lang w:val="es-DO"/>
        </w:rPr>
      </w:pPr>
      <w:r w:rsidRPr="00DD37EC">
        <w:rPr>
          <w:rFonts w:ascii="Arial" w:hAnsi="Arial" w:cs="Arial"/>
          <w:lang w:val="es-DO"/>
        </w:rPr>
        <w:t>A nivel de los SAI la información de la PVIH se registra en bases de datos, que son remitidas a las regiones y de las regiones a la Unidad de Gestión de Información (UGI) en el nivel central en la SESAL. Es un sistema fragmentado (vertical para VIH) y no está incorporado en el Sistema Nacional de Información en Salud.</w:t>
      </w:r>
    </w:p>
    <w:p w14:paraId="1A5E36C9" w14:textId="0D41A151" w:rsidR="000C53F6" w:rsidRPr="00DD37EC" w:rsidRDefault="000C53F6" w:rsidP="006D2E03">
      <w:pPr>
        <w:spacing w:after="240" w:line="240" w:lineRule="auto"/>
        <w:jc w:val="both"/>
        <w:rPr>
          <w:rFonts w:ascii="Arial" w:hAnsi="Arial" w:cs="Arial"/>
          <w:lang w:val="es-DO"/>
        </w:rPr>
      </w:pPr>
      <w:r w:rsidRPr="00DD37EC">
        <w:rPr>
          <w:rFonts w:ascii="Arial" w:hAnsi="Arial" w:cs="Arial"/>
          <w:lang w:val="es-DO"/>
        </w:rPr>
        <w:t>Existe un plan de M&amp;E de la respuesta institucional (ministerial) al VIH. Aún no existe un plan de monitoreo y evaluación intersectorial. El país carece de datos sobre usuarios de drogas intravenosas y su contribución epidemiológica a la epidemia de VIH</w:t>
      </w:r>
      <w:r w:rsidR="00DA1C58">
        <w:rPr>
          <w:rFonts w:ascii="Arial" w:hAnsi="Arial" w:cs="Arial"/>
          <w:lang w:val="es-DO"/>
        </w:rPr>
        <w:t>.</w:t>
      </w:r>
      <w:r w:rsidRPr="00DD37EC">
        <w:rPr>
          <w:rStyle w:val="FootnoteReference"/>
          <w:rFonts w:ascii="Arial" w:hAnsi="Arial" w:cs="Arial"/>
          <w:lang w:val="es-DO"/>
        </w:rPr>
        <w:footnoteReference w:id="62"/>
      </w:r>
      <w:r w:rsidRPr="00DD37EC">
        <w:rPr>
          <w:rFonts w:ascii="Arial" w:hAnsi="Arial" w:cs="Arial"/>
          <w:lang w:val="es-DO"/>
        </w:rPr>
        <w:t xml:space="preserve"> </w:t>
      </w:r>
    </w:p>
    <w:p w14:paraId="77CEF7C0" w14:textId="4AA1C112" w:rsidR="002062CD" w:rsidRDefault="000C53F6" w:rsidP="00BD7CE1">
      <w:pPr>
        <w:spacing w:after="240" w:line="240" w:lineRule="auto"/>
        <w:jc w:val="both"/>
        <w:rPr>
          <w:rFonts w:ascii="Arial" w:hAnsi="Arial" w:cs="Arial"/>
          <w:lang w:val="es-419"/>
        </w:rPr>
      </w:pPr>
      <w:r w:rsidRPr="00DD37EC">
        <w:rPr>
          <w:rFonts w:ascii="Arial" w:hAnsi="Arial" w:cs="Arial"/>
          <w:lang w:val="es-DO"/>
        </w:rPr>
        <w:t>En las entrevistas con el personal técnico de la UGI de la SESAL, estos dieron a conocer que existe un sistema de información manual desde el nivel local. El dato no es oportuno ni de calidad, y a nivel central no se vincula con los datos de otras fuentes para monitorear la cascada de tratamiento. No se difunden los reportes de información rutinaria dificultando su uso para la toma de decisiones.</w:t>
      </w:r>
      <w:r w:rsidR="00280A00">
        <w:rPr>
          <w:rFonts w:ascii="Arial" w:hAnsi="Arial" w:cs="Arial"/>
          <w:lang w:val="es-DO"/>
        </w:rPr>
        <w:t xml:space="preserve"> Tampoco </w:t>
      </w:r>
      <w:r w:rsidRPr="00DD37EC">
        <w:rPr>
          <w:rFonts w:ascii="Arial" w:hAnsi="Arial" w:cs="Arial"/>
          <w:lang w:val="es-419"/>
        </w:rPr>
        <w:t xml:space="preserve">se cuenta con información rutinaria de las intervenciones en prevención (tamizaje) o iniciativas ejecutadas a nivel nacional, para fines de conocer las más costo-efectivas y reorientar dichas acciones con miras a mejorar la captación y diagnóstico de las PVIH y población clave. </w:t>
      </w:r>
      <w:r w:rsidR="00280A00">
        <w:rPr>
          <w:rFonts w:ascii="Arial" w:hAnsi="Arial" w:cs="Arial"/>
          <w:lang w:val="es-419"/>
        </w:rPr>
        <w:t>A pesar de que es posible obtener</w:t>
      </w:r>
      <w:r w:rsidRPr="00DD37EC">
        <w:rPr>
          <w:rFonts w:ascii="Arial" w:hAnsi="Arial" w:cs="Arial"/>
          <w:lang w:val="es-419"/>
        </w:rPr>
        <w:t xml:space="preserve"> los datos del avance en el cumplimiento del 90-90-90</w:t>
      </w:r>
      <w:r w:rsidR="00280A00">
        <w:rPr>
          <w:rFonts w:ascii="Arial" w:hAnsi="Arial" w:cs="Arial"/>
          <w:lang w:val="es-419"/>
        </w:rPr>
        <w:t xml:space="preserve"> por fuentes oficiales</w:t>
      </w:r>
      <w:r w:rsidR="009918FD">
        <w:rPr>
          <w:rFonts w:ascii="Arial" w:hAnsi="Arial" w:cs="Arial"/>
          <w:lang w:val="es-419"/>
        </w:rPr>
        <w:t xml:space="preserve">, </w:t>
      </w:r>
      <w:r w:rsidR="00280A00">
        <w:rPr>
          <w:rFonts w:ascii="Arial" w:hAnsi="Arial" w:cs="Arial"/>
          <w:lang w:val="es-419"/>
        </w:rPr>
        <w:t>este ejercicio se hace</w:t>
      </w:r>
      <w:r w:rsidR="007671F2">
        <w:rPr>
          <w:rFonts w:ascii="Arial" w:hAnsi="Arial" w:cs="Arial"/>
          <w:lang w:val="es-419"/>
        </w:rPr>
        <w:t xml:space="preserve"> esporádicamente y</w:t>
      </w:r>
      <w:r w:rsidR="00280A00">
        <w:rPr>
          <w:rFonts w:ascii="Arial" w:hAnsi="Arial" w:cs="Arial"/>
          <w:lang w:val="es-419"/>
        </w:rPr>
        <w:t xml:space="preserve"> bajo solicitud </w:t>
      </w:r>
      <w:r w:rsidR="007671F2">
        <w:rPr>
          <w:rFonts w:ascii="Arial" w:hAnsi="Arial" w:cs="Arial"/>
          <w:lang w:val="es-419"/>
        </w:rPr>
        <w:t>explicita</w:t>
      </w:r>
      <w:r w:rsidRPr="00DD37EC">
        <w:rPr>
          <w:rFonts w:ascii="Arial" w:hAnsi="Arial" w:cs="Arial"/>
          <w:lang w:val="es-419"/>
        </w:rPr>
        <w:t xml:space="preserve">. </w:t>
      </w:r>
      <w:r w:rsidR="00247D0C">
        <w:rPr>
          <w:rFonts w:ascii="Arial" w:hAnsi="Arial" w:cs="Arial"/>
          <w:lang w:val="es-419"/>
        </w:rPr>
        <w:t>Generalmente, e</w:t>
      </w:r>
      <w:r w:rsidRPr="00DD37EC">
        <w:rPr>
          <w:rFonts w:ascii="Arial" w:hAnsi="Arial" w:cs="Arial"/>
          <w:lang w:val="es-419"/>
        </w:rPr>
        <w:t>sta información es obtenida por publicaciones realizadas por ONUSIDA</w:t>
      </w:r>
      <w:r w:rsidR="00476388">
        <w:rPr>
          <w:rFonts w:ascii="Arial" w:hAnsi="Arial" w:cs="Arial"/>
          <w:lang w:val="es-419"/>
        </w:rPr>
        <w:t xml:space="preserve"> y la UGI</w:t>
      </w:r>
      <w:r w:rsidR="00FB7C05">
        <w:rPr>
          <w:rFonts w:ascii="Arial" w:hAnsi="Arial" w:cs="Arial"/>
          <w:lang w:val="es-419"/>
        </w:rPr>
        <w:t>, a diferencia de instancias similares en otros países,</w:t>
      </w:r>
      <w:r w:rsidR="00476388">
        <w:rPr>
          <w:rFonts w:ascii="Arial" w:hAnsi="Arial" w:cs="Arial"/>
          <w:lang w:val="es-419"/>
        </w:rPr>
        <w:t xml:space="preserve"> no cuenta con el mandato dentro de su reglamento para reportar esta información.</w:t>
      </w:r>
    </w:p>
    <w:p w14:paraId="53FDF1AD" w14:textId="1357C0F9" w:rsidR="00015024" w:rsidRPr="004B31B3" w:rsidRDefault="004E51C4" w:rsidP="00BD7CE1">
      <w:pPr>
        <w:spacing w:after="240" w:line="240" w:lineRule="auto"/>
        <w:jc w:val="both"/>
        <w:rPr>
          <w:rFonts w:ascii="Arial" w:hAnsi="Arial" w:cs="Arial"/>
          <w:lang w:val="es-DO"/>
        </w:rPr>
      </w:pPr>
      <w:r>
        <w:rPr>
          <w:rFonts w:ascii="Arial" w:hAnsi="Arial" w:cs="Arial"/>
          <w:lang w:val="es-DO"/>
        </w:rPr>
        <w:t>En 2018, a</w:t>
      </w:r>
      <w:r w:rsidR="009626B8">
        <w:rPr>
          <w:rFonts w:ascii="Arial" w:hAnsi="Arial" w:cs="Arial"/>
          <w:lang w:val="es-DO"/>
        </w:rPr>
        <w:t xml:space="preserve"> través del proyecto MEASURE</w:t>
      </w:r>
      <w:r>
        <w:rPr>
          <w:rFonts w:ascii="Arial" w:hAnsi="Arial" w:cs="Arial"/>
          <w:lang w:val="es-DO"/>
        </w:rPr>
        <w:t>,</w:t>
      </w:r>
      <w:r w:rsidR="009626B8">
        <w:rPr>
          <w:rFonts w:ascii="Arial" w:hAnsi="Arial" w:cs="Arial"/>
          <w:lang w:val="es-DO"/>
        </w:rPr>
        <w:t xml:space="preserve"> </w:t>
      </w:r>
      <w:r w:rsidR="00651B4F">
        <w:rPr>
          <w:rFonts w:ascii="Arial" w:hAnsi="Arial" w:cs="Arial"/>
          <w:lang w:val="es-DO"/>
        </w:rPr>
        <w:t xml:space="preserve">se aplicó </w:t>
      </w:r>
      <w:r w:rsidR="009918FD">
        <w:rPr>
          <w:rFonts w:ascii="Arial" w:hAnsi="Arial" w:cs="Arial"/>
          <w:lang w:val="es-DO"/>
        </w:rPr>
        <w:t>una herramienta</w:t>
      </w:r>
      <w:r w:rsidR="00651B4F">
        <w:rPr>
          <w:rFonts w:ascii="Arial" w:hAnsi="Arial" w:cs="Arial"/>
          <w:lang w:val="es-DO"/>
        </w:rPr>
        <w:t xml:space="preserve"> para medir la capacidad de monitoreo y evaluación en VIH</w:t>
      </w:r>
      <w:r>
        <w:rPr>
          <w:rFonts w:ascii="Arial" w:hAnsi="Arial" w:cs="Arial"/>
          <w:lang w:val="es-DO"/>
        </w:rPr>
        <w:t xml:space="preserve">, la cual </w:t>
      </w:r>
      <w:r w:rsidR="00651B4F">
        <w:rPr>
          <w:rFonts w:ascii="Arial" w:hAnsi="Arial" w:cs="Arial"/>
          <w:lang w:val="es-DO"/>
        </w:rPr>
        <w:t>evidenció su fragilidad en 8 de las 12 áreas evaluadas</w:t>
      </w:r>
      <w:r w:rsidR="000D4CB7">
        <w:rPr>
          <w:rFonts w:ascii="Arial" w:hAnsi="Arial" w:cs="Arial"/>
          <w:lang w:val="es-DO"/>
        </w:rPr>
        <w:t>.</w:t>
      </w:r>
      <w:r w:rsidR="000D4CB7">
        <w:rPr>
          <w:rStyle w:val="FootnoteReference"/>
          <w:rFonts w:ascii="Arial" w:hAnsi="Arial" w:cs="Arial"/>
          <w:lang w:val="es-DO"/>
        </w:rPr>
        <w:footnoteReference w:id="63"/>
      </w:r>
      <w:r w:rsidR="00651B4F">
        <w:rPr>
          <w:rFonts w:ascii="Arial" w:hAnsi="Arial" w:cs="Arial"/>
          <w:lang w:val="es-DO"/>
        </w:rPr>
        <w:t xml:space="preserve"> </w:t>
      </w:r>
      <w:r w:rsidR="004B31B3">
        <w:rPr>
          <w:rFonts w:ascii="Arial" w:hAnsi="Arial" w:cs="Arial"/>
          <w:lang w:val="es-DO"/>
        </w:rPr>
        <w:t xml:space="preserve">A partir de 2018, el país </w:t>
      </w:r>
      <w:r>
        <w:rPr>
          <w:rFonts w:ascii="Arial" w:hAnsi="Arial" w:cs="Arial"/>
          <w:lang w:val="es-DO"/>
        </w:rPr>
        <w:t xml:space="preserve">ha </w:t>
      </w:r>
      <w:r w:rsidR="009626B8">
        <w:rPr>
          <w:rFonts w:ascii="Arial" w:hAnsi="Arial" w:cs="Arial"/>
          <w:lang w:val="es-DO"/>
        </w:rPr>
        <w:t xml:space="preserve">recibido una inversión </w:t>
      </w:r>
      <w:r>
        <w:rPr>
          <w:rFonts w:ascii="Arial" w:hAnsi="Arial" w:cs="Arial"/>
          <w:lang w:val="es-DO"/>
        </w:rPr>
        <w:t>importante</w:t>
      </w:r>
      <w:r w:rsidR="009626B8">
        <w:rPr>
          <w:rFonts w:ascii="Arial" w:hAnsi="Arial" w:cs="Arial"/>
          <w:lang w:val="es-DO"/>
        </w:rPr>
        <w:t xml:space="preserve"> de los</w:t>
      </w:r>
      <w:r w:rsidR="004B31B3">
        <w:rPr>
          <w:rFonts w:ascii="Arial" w:hAnsi="Arial" w:cs="Arial"/>
          <w:lang w:val="es-DO"/>
        </w:rPr>
        <w:t xml:space="preserve"> cooperantes</w:t>
      </w:r>
      <w:r w:rsidR="000B739B">
        <w:rPr>
          <w:rFonts w:ascii="Arial" w:hAnsi="Arial" w:cs="Arial"/>
          <w:lang w:val="es-DO"/>
        </w:rPr>
        <w:t xml:space="preserve">, especialmente del </w:t>
      </w:r>
      <w:r w:rsidR="009918FD">
        <w:rPr>
          <w:rFonts w:ascii="Arial" w:hAnsi="Arial" w:cs="Arial"/>
          <w:lang w:val="es-DO"/>
        </w:rPr>
        <w:t>FM</w:t>
      </w:r>
      <w:r w:rsidR="000B739B">
        <w:rPr>
          <w:rFonts w:ascii="Arial" w:hAnsi="Arial" w:cs="Arial"/>
          <w:lang w:val="es-DO"/>
        </w:rPr>
        <w:t>,</w:t>
      </w:r>
      <w:r w:rsidR="004B31B3">
        <w:rPr>
          <w:rFonts w:ascii="Arial" w:hAnsi="Arial" w:cs="Arial"/>
          <w:lang w:val="es-DO"/>
        </w:rPr>
        <w:t xml:space="preserve"> </w:t>
      </w:r>
      <w:r>
        <w:rPr>
          <w:rFonts w:ascii="Arial" w:hAnsi="Arial" w:cs="Arial"/>
          <w:lang w:val="es-DO"/>
        </w:rPr>
        <w:t>para</w:t>
      </w:r>
      <w:r w:rsidR="004B31B3">
        <w:rPr>
          <w:rFonts w:ascii="Arial" w:hAnsi="Arial" w:cs="Arial"/>
          <w:lang w:val="es-DO"/>
        </w:rPr>
        <w:t xml:space="preserve"> la implementación de un Sistema de Información Integral de Salud</w:t>
      </w:r>
      <w:r w:rsidR="004B31B3" w:rsidRPr="004B31B3">
        <w:rPr>
          <w:rFonts w:ascii="Arial" w:hAnsi="Arial" w:cs="Arial"/>
          <w:lang w:val="es-DO"/>
        </w:rPr>
        <w:t xml:space="preserve"> </w:t>
      </w:r>
      <w:r w:rsidR="004B31B3">
        <w:rPr>
          <w:rFonts w:ascii="Arial" w:hAnsi="Arial" w:cs="Arial"/>
          <w:lang w:val="es-DO"/>
        </w:rPr>
        <w:t>(</w:t>
      </w:r>
      <w:r w:rsidR="004B31B3" w:rsidRPr="004B31B3">
        <w:rPr>
          <w:rFonts w:ascii="Arial" w:hAnsi="Arial" w:cs="Arial"/>
          <w:lang w:val="es-DO"/>
        </w:rPr>
        <w:t>SIIS</w:t>
      </w:r>
      <w:r w:rsidR="004B31B3">
        <w:rPr>
          <w:rFonts w:ascii="Arial" w:hAnsi="Arial" w:cs="Arial"/>
          <w:lang w:val="es-DO"/>
        </w:rPr>
        <w:t xml:space="preserve">). </w:t>
      </w:r>
      <w:r w:rsidR="00A645CB">
        <w:rPr>
          <w:rFonts w:ascii="Arial" w:hAnsi="Arial" w:cs="Arial"/>
          <w:lang w:val="es-DO"/>
        </w:rPr>
        <w:t xml:space="preserve">Este sistema nominal permitirá dar seguimiento al paciente a lo largo del continuo de atención </w:t>
      </w:r>
      <w:r w:rsidR="00EB7C03">
        <w:rPr>
          <w:rFonts w:ascii="Arial" w:hAnsi="Arial" w:cs="Arial"/>
          <w:lang w:val="es-DO"/>
        </w:rPr>
        <w:t>de VIH, además de vincular resultados con aquellos de TB y Malaria.</w:t>
      </w:r>
      <w:r w:rsidR="00A645CB">
        <w:rPr>
          <w:rFonts w:ascii="Arial" w:hAnsi="Arial" w:cs="Arial"/>
          <w:lang w:val="es-DO"/>
        </w:rPr>
        <w:t xml:space="preserve"> </w:t>
      </w:r>
      <w:r w:rsidR="004B31B3">
        <w:rPr>
          <w:rFonts w:ascii="Arial" w:hAnsi="Arial" w:cs="Arial"/>
          <w:lang w:val="es-DO"/>
        </w:rPr>
        <w:t xml:space="preserve">A finales de enero de 2019 </w:t>
      </w:r>
      <w:r w:rsidR="009918FD">
        <w:rPr>
          <w:rFonts w:ascii="Arial" w:hAnsi="Arial" w:cs="Arial"/>
          <w:lang w:val="es-DO"/>
        </w:rPr>
        <w:t xml:space="preserve">se </w:t>
      </w:r>
      <w:r w:rsidR="004B31B3">
        <w:rPr>
          <w:rFonts w:ascii="Arial" w:hAnsi="Arial" w:cs="Arial"/>
          <w:lang w:val="es-DO"/>
        </w:rPr>
        <w:t>reportaba</w:t>
      </w:r>
      <w:r w:rsidR="009918FD">
        <w:rPr>
          <w:rFonts w:ascii="Arial" w:hAnsi="Arial" w:cs="Arial"/>
          <w:lang w:val="es-DO"/>
        </w:rPr>
        <w:t>n</w:t>
      </w:r>
      <w:r w:rsidR="004B31B3">
        <w:rPr>
          <w:rFonts w:ascii="Arial" w:hAnsi="Arial" w:cs="Arial"/>
          <w:lang w:val="es-DO"/>
        </w:rPr>
        <w:t xml:space="preserve"> avances significativos</w:t>
      </w:r>
      <w:r w:rsidR="00EB7C03">
        <w:rPr>
          <w:rFonts w:ascii="Arial" w:hAnsi="Arial" w:cs="Arial"/>
          <w:lang w:val="es-DO"/>
        </w:rPr>
        <w:t xml:space="preserve"> </w:t>
      </w:r>
      <w:r>
        <w:rPr>
          <w:rFonts w:ascii="Arial" w:hAnsi="Arial" w:cs="Arial"/>
          <w:lang w:val="es-DO"/>
        </w:rPr>
        <w:t xml:space="preserve">en su construcción </w:t>
      </w:r>
      <w:r w:rsidR="00EB7C03">
        <w:rPr>
          <w:rFonts w:ascii="Arial" w:hAnsi="Arial" w:cs="Arial"/>
          <w:lang w:val="es-DO"/>
        </w:rPr>
        <w:t xml:space="preserve">y se espera </w:t>
      </w:r>
      <w:r>
        <w:rPr>
          <w:rFonts w:ascii="Arial" w:hAnsi="Arial" w:cs="Arial"/>
          <w:lang w:val="es-DO"/>
        </w:rPr>
        <w:t>su finalización</w:t>
      </w:r>
      <w:r w:rsidR="00EB7C03">
        <w:rPr>
          <w:rFonts w:ascii="Arial" w:hAnsi="Arial" w:cs="Arial"/>
          <w:lang w:val="es-DO"/>
        </w:rPr>
        <w:t xml:space="preserve"> este año.</w:t>
      </w:r>
      <w:r w:rsidR="005E25E1">
        <w:rPr>
          <w:rFonts w:ascii="Arial" w:hAnsi="Arial" w:cs="Arial"/>
          <w:lang w:val="es-DO"/>
        </w:rPr>
        <w:t xml:space="preserve"> Durante este proceso se buscará </w:t>
      </w:r>
      <w:r w:rsidR="005E25E1">
        <w:rPr>
          <w:rFonts w:ascii="Arial" w:hAnsi="Arial" w:cs="Arial"/>
          <w:lang w:val="es-DO"/>
        </w:rPr>
        <w:lastRenderedPageBreak/>
        <w:t>vincular algunos de los indicadores más significativos</w:t>
      </w:r>
      <w:r>
        <w:rPr>
          <w:rFonts w:ascii="Arial" w:hAnsi="Arial" w:cs="Arial"/>
          <w:lang w:val="es-DO"/>
        </w:rPr>
        <w:t xml:space="preserve"> del SIIS</w:t>
      </w:r>
      <w:r w:rsidR="005E25E1">
        <w:rPr>
          <w:rFonts w:ascii="Arial" w:hAnsi="Arial" w:cs="Arial"/>
          <w:lang w:val="es-DO"/>
        </w:rPr>
        <w:t xml:space="preserve"> al</w:t>
      </w:r>
      <w:r w:rsidR="00AB5424">
        <w:rPr>
          <w:rFonts w:ascii="Arial" w:hAnsi="Arial" w:cs="Arial"/>
          <w:lang w:val="es-DO"/>
        </w:rPr>
        <w:t xml:space="preserve"> sistema de evaluación y monitoreo </w:t>
      </w:r>
      <w:r>
        <w:rPr>
          <w:rFonts w:ascii="Arial" w:hAnsi="Arial" w:cs="Arial"/>
          <w:lang w:val="es-DO"/>
        </w:rPr>
        <w:t>de la</w:t>
      </w:r>
      <w:r w:rsidR="00AB5424">
        <w:rPr>
          <w:rFonts w:ascii="Arial" w:hAnsi="Arial" w:cs="Arial"/>
          <w:lang w:val="es-DO"/>
        </w:rPr>
        <w:t xml:space="preserve"> Secretaría de Coordinación</w:t>
      </w:r>
      <w:r w:rsidR="00467A19">
        <w:rPr>
          <w:rFonts w:ascii="Arial" w:hAnsi="Arial" w:cs="Arial"/>
          <w:lang w:val="es-DO"/>
        </w:rPr>
        <w:t xml:space="preserve"> General</w:t>
      </w:r>
      <w:r w:rsidR="00AB5424">
        <w:rPr>
          <w:rFonts w:ascii="Arial" w:hAnsi="Arial" w:cs="Arial"/>
          <w:lang w:val="es-DO"/>
        </w:rPr>
        <w:t xml:space="preserve"> de Gobierno</w:t>
      </w:r>
      <w:r w:rsidR="00467A19">
        <w:rPr>
          <w:rFonts w:ascii="Arial" w:hAnsi="Arial" w:cs="Arial"/>
          <w:lang w:val="es-DO"/>
        </w:rPr>
        <w:t xml:space="preserve"> (SCGG)</w:t>
      </w:r>
      <w:r w:rsidR="00AB5424">
        <w:rPr>
          <w:rFonts w:ascii="Arial" w:hAnsi="Arial" w:cs="Arial"/>
          <w:lang w:val="es-DO"/>
        </w:rPr>
        <w:t>.</w:t>
      </w:r>
    </w:p>
    <w:p w14:paraId="6357C390" w14:textId="21071F07" w:rsidR="00275BDD" w:rsidRPr="00A9109D" w:rsidRDefault="00100BDB" w:rsidP="00275BDD">
      <w:pPr>
        <w:pStyle w:val="Heading2"/>
        <w:numPr>
          <w:ilvl w:val="1"/>
          <w:numId w:val="15"/>
        </w:numPr>
        <w:spacing w:before="0" w:after="240" w:line="240" w:lineRule="auto"/>
        <w:rPr>
          <w:rFonts w:ascii="Arial" w:hAnsi="Arial" w:cs="Arial"/>
          <w:sz w:val="22"/>
          <w:szCs w:val="22"/>
          <w:lang w:val="es-419"/>
        </w:rPr>
      </w:pPr>
      <w:bookmarkStart w:id="62" w:name="_Toc8905233"/>
      <w:r w:rsidRPr="00DD37EC">
        <w:rPr>
          <w:rFonts w:ascii="Arial" w:hAnsi="Arial" w:cs="Arial"/>
          <w:sz w:val="22"/>
          <w:szCs w:val="22"/>
          <w:lang w:val="es-419"/>
        </w:rPr>
        <w:t>Resumen de riesgos, su impacto</w:t>
      </w:r>
      <w:r w:rsidR="00E1009A">
        <w:rPr>
          <w:rFonts w:ascii="Arial" w:hAnsi="Arial" w:cs="Arial"/>
          <w:sz w:val="22"/>
          <w:szCs w:val="22"/>
          <w:lang w:val="es-419"/>
        </w:rPr>
        <w:t xml:space="preserve"> </w:t>
      </w:r>
      <w:r w:rsidR="001B3979" w:rsidRPr="00DD37EC">
        <w:rPr>
          <w:rFonts w:ascii="Arial" w:hAnsi="Arial" w:cs="Arial"/>
          <w:sz w:val="22"/>
          <w:szCs w:val="22"/>
          <w:lang w:val="es-419"/>
        </w:rPr>
        <w:t xml:space="preserve">y </w:t>
      </w:r>
      <w:r w:rsidR="00E93F41" w:rsidRPr="00DD37EC">
        <w:rPr>
          <w:rFonts w:ascii="Arial" w:hAnsi="Arial" w:cs="Arial"/>
          <w:sz w:val="22"/>
          <w:szCs w:val="22"/>
          <w:lang w:val="es-419"/>
        </w:rPr>
        <w:t>soluciones potenciale</w:t>
      </w:r>
      <w:r w:rsidR="001B3979" w:rsidRPr="00DD37EC">
        <w:rPr>
          <w:rFonts w:ascii="Arial" w:hAnsi="Arial" w:cs="Arial"/>
          <w:sz w:val="22"/>
          <w:szCs w:val="22"/>
          <w:lang w:val="es-419"/>
        </w:rPr>
        <w:t>s</w:t>
      </w:r>
      <w:bookmarkEnd w:id="62"/>
    </w:p>
    <w:tbl>
      <w:tblPr>
        <w:tblStyle w:val="TableGrid"/>
        <w:tblW w:w="9985" w:type="dxa"/>
        <w:tblLayout w:type="fixed"/>
        <w:tblLook w:val="04A0" w:firstRow="1" w:lastRow="0" w:firstColumn="1" w:lastColumn="0" w:noHBand="0" w:noVBand="1"/>
      </w:tblPr>
      <w:tblGrid>
        <w:gridCol w:w="1536"/>
        <w:gridCol w:w="8449"/>
      </w:tblGrid>
      <w:tr w:rsidR="000C7FEA" w:rsidRPr="00392E34" w14:paraId="4A4ECF57" w14:textId="77777777" w:rsidTr="005E142F">
        <w:trPr>
          <w:trHeight w:val="2546"/>
        </w:trPr>
        <w:tc>
          <w:tcPr>
            <w:tcW w:w="1536" w:type="dxa"/>
            <w:shd w:val="clear" w:color="auto" w:fill="E7E6E6" w:themeFill="background2"/>
          </w:tcPr>
          <w:p w14:paraId="45D47EA0" w14:textId="77777777" w:rsidR="000C7FEA" w:rsidRPr="00DD37EC" w:rsidRDefault="000C7FEA" w:rsidP="005E142F">
            <w:pPr>
              <w:spacing w:after="240"/>
              <w:rPr>
                <w:rFonts w:ascii="Arial" w:hAnsi="Arial" w:cs="Arial"/>
                <w:b/>
                <w:lang w:val="es-MX"/>
              </w:rPr>
            </w:pPr>
            <w:r w:rsidRPr="00DD37EC">
              <w:rPr>
                <w:rFonts w:ascii="Arial" w:hAnsi="Arial" w:cs="Arial"/>
                <w:b/>
                <w:lang w:val="es-MX"/>
              </w:rPr>
              <w:t xml:space="preserve">RIESGO </w:t>
            </w:r>
            <w:r>
              <w:rPr>
                <w:rFonts w:ascii="Arial" w:hAnsi="Arial" w:cs="Arial"/>
                <w:b/>
                <w:lang w:val="es-MX"/>
              </w:rPr>
              <w:t>1a</w:t>
            </w:r>
          </w:p>
        </w:tc>
        <w:tc>
          <w:tcPr>
            <w:tcW w:w="8449" w:type="dxa"/>
            <w:shd w:val="clear" w:color="auto" w:fill="E7E6E6" w:themeFill="background2"/>
          </w:tcPr>
          <w:p w14:paraId="040A97B8" w14:textId="77777777" w:rsidR="000C7FEA" w:rsidRPr="00D91690" w:rsidRDefault="000C7FEA" w:rsidP="005E142F">
            <w:pPr>
              <w:tabs>
                <w:tab w:val="left" w:pos="337"/>
                <w:tab w:val="left" w:pos="1486"/>
              </w:tabs>
              <w:spacing w:after="240"/>
              <w:rPr>
                <w:rFonts w:ascii="Arial" w:hAnsi="Arial" w:cs="Arial"/>
                <w:b/>
                <w:lang w:val="es-MX"/>
              </w:rPr>
            </w:pPr>
            <w:r w:rsidRPr="00D91690">
              <w:rPr>
                <w:rFonts w:ascii="Arial" w:hAnsi="Arial" w:cs="Arial"/>
                <w:b/>
                <w:lang w:val="es-MX"/>
              </w:rPr>
              <w:t>La resistencia a medicamentos representa un riesgo financiero y epidemiológico para las respuestas de VIH y TB.</w:t>
            </w:r>
          </w:p>
          <w:p w14:paraId="256B2E49" w14:textId="77777777" w:rsidR="000C7FEA" w:rsidRPr="00D91690" w:rsidRDefault="000C7FEA" w:rsidP="005E142F">
            <w:pPr>
              <w:tabs>
                <w:tab w:val="left" w:pos="337"/>
                <w:tab w:val="left" w:pos="1486"/>
              </w:tabs>
              <w:spacing w:after="240"/>
              <w:rPr>
                <w:rFonts w:ascii="Arial" w:hAnsi="Arial" w:cs="Arial"/>
                <w:b/>
                <w:lang w:val="es-MX"/>
              </w:rPr>
            </w:pPr>
            <w:r w:rsidRPr="00D91690">
              <w:rPr>
                <w:rFonts w:ascii="Arial" w:hAnsi="Arial" w:cs="Arial"/>
                <w:b/>
                <w:lang w:val="es-MX"/>
              </w:rPr>
              <w:t>a)</w:t>
            </w:r>
            <w:r w:rsidRPr="00D91690">
              <w:rPr>
                <w:rFonts w:ascii="Arial" w:hAnsi="Arial" w:cs="Arial"/>
                <w:b/>
                <w:lang w:val="es-MX"/>
              </w:rPr>
              <w:tab/>
              <w:t>La resistencia a los antirretrovirales (ARV) promueve la dispensación de nuevos medicamentos y migración a productos de alto costo (2da y 3era línea)</w:t>
            </w:r>
          </w:p>
          <w:p w14:paraId="1BDB6217" w14:textId="77777777" w:rsidR="000C7FEA" w:rsidRPr="00DD37EC" w:rsidRDefault="000C7FEA" w:rsidP="005E142F">
            <w:pPr>
              <w:tabs>
                <w:tab w:val="left" w:pos="337"/>
                <w:tab w:val="left" w:pos="1486"/>
              </w:tabs>
              <w:spacing w:after="240"/>
              <w:rPr>
                <w:rFonts w:ascii="Arial" w:hAnsi="Arial" w:cs="Arial"/>
                <w:b/>
                <w:lang w:val="es-MX"/>
              </w:rPr>
            </w:pPr>
            <w:r w:rsidRPr="00D91690">
              <w:rPr>
                <w:rFonts w:ascii="Arial" w:hAnsi="Arial" w:cs="Arial"/>
                <w:b/>
                <w:lang w:val="es-MX"/>
              </w:rPr>
              <w:t>b)</w:t>
            </w:r>
            <w:r w:rsidRPr="00D91690">
              <w:rPr>
                <w:rFonts w:ascii="Arial" w:hAnsi="Arial" w:cs="Arial"/>
                <w:b/>
                <w:lang w:val="es-MX"/>
              </w:rPr>
              <w:tab/>
              <w:t>La Tuberculosis Multidrogorresistente (TB-MDR) refleja un débil apego al tratamiento de TB sensible y es un riesgo para la sostenibilidad de la atención de TB</w:t>
            </w:r>
          </w:p>
        </w:tc>
      </w:tr>
      <w:tr w:rsidR="000C7FEA" w:rsidRPr="00392E34" w14:paraId="32FBC3FA" w14:textId="77777777" w:rsidTr="005E142F">
        <w:trPr>
          <w:trHeight w:val="802"/>
        </w:trPr>
        <w:tc>
          <w:tcPr>
            <w:tcW w:w="1536" w:type="dxa"/>
          </w:tcPr>
          <w:p w14:paraId="4C752548" w14:textId="77777777" w:rsidR="000C7FEA" w:rsidRPr="00DD37EC" w:rsidRDefault="000C7FEA" w:rsidP="005E142F">
            <w:pPr>
              <w:spacing w:after="240"/>
              <w:rPr>
                <w:rFonts w:ascii="Arial" w:hAnsi="Arial" w:cs="Arial"/>
                <w:b/>
                <w:lang w:val="es-MX"/>
              </w:rPr>
            </w:pPr>
            <w:r>
              <w:rPr>
                <w:rFonts w:ascii="Arial" w:hAnsi="Arial" w:cs="Arial"/>
                <w:b/>
                <w:lang w:val="es-MX"/>
              </w:rPr>
              <w:t>Descripción (VIH)</w:t>
            </w:r>
          </w:p>
        </w:tc>
        <w:tc>
          <w:tcPr>
            <w:tcW w:w="8449" w:type="dxa"/>
          </w:tcPr>
          <w:p w14:paraId="45240B7B" w14:textId="77777777" w:rsidR="000C7FEA" w:rsidRPr="00146D27" w:rsidRDefault="000C7FEA" w:rsidP="005E142F">
            <w:pPr>
              <w:spacing w:after="120"/>
              <w:rPr>
                <w:rFonts w:ascii="Arial" w:hAnsi="Arial" w:cs="Arial"/>
                <w:lang w:val="es-MX"/>
              </w:rPr>
            </w:pPr>
            <w:r w:rsidRPr="00146D27">
              <w:rPr>
                <w:rFonts w:ascii="Arial" w:hAnsi="Arial" w:cs="Arial"/>
                <w:lang w:val="es-MX"/>
              </w:rPr>
              <w:t>La información de la vigilancia de la resistencia permite evaluar el desempeño de las intervenciones nacionales para la supresión virológica en</w:t>
            </w:r>
            <w:r>
              <w:rPr>
                <w:rFonts w:ascii="Arial" w:hAnsi="Arial" w:cs="Arial"/>
                <w:lang w:val="es-MX"/>
              </w:rPr>
              <w:t xml:space="preserve"> personas con VIH</w:t>
            </w:r>
            <w:r w:rsidRPr="00146D27">
              <w:rPr>
                <w:rFonts w:ascii="Arial" w:hAnsi="Arial" w:cs="Arial"/>
                <w:lang w:val="es-MX"/>
              </w:rPr>
              <w:t xml:space="preserve"> </w:t>
            </w:r>
            <w:r>
              <w:rPr>
                <w:rFonts w:ascii="Arial" w:hAnsi="Arial" w:cs="Arial"/>
                <w:lang w:val="es-MX"/>
              </w:rPr>
              <w:t>(</w:t>
            </w:r>
            <w:r w:rsidRPr="00146D27">
              <w:rPr>
                <w:rFonts w:ascii="Arial" w:hAnsi="Arial" w:cs="Arial"/>
                <w:lang w:val="es-MX"/>
              </w:rPr>
              <w:t>PVIH</w:t>
            </w:r>
            <w:r>
              <w:rPr>
                <w:rFonts w:ascii="Arial" w:hAnsi="Arial" w:cs="Arial"/>
                <w:lang w:val="es-MX"/>
              </w:rPr>
              <w:t>)</w:t>
            </w:r>
            <w:r w:rsidRPr="00146D27">
              <w:rPr>
                <w:rFonts w:ascii="Arial" w:hAnsi="Arial" w:cs="Arial"/>
                <w:lang w:val="es-MX"/>
              </w:rPr>
              <w:t>, así como evaluar la migración a esquemas de alto impacto financiero y la mejora de la calidad de vida de las personas.</w:t>
            </w:r>
          </w:p>
          <w:p w14:paraId="12D93CBC" w14:textId="77777777" w:rsidR="000C7FEA" w:rsidRPr="00DD37EC" w:rsidRDefault="000C7FEA" w:rsidP="005E142F">
            <w:pPr>
              <w:spacing w:after="240"/>
              <w:rPr>
                <w:rFonts w:ascii="Arial" w:eastAsia="Times New Roman" w:hAnsi="Arial" w:cs="Arial"/>
                <w:color w:val="000000"/>
                <w:lang w:val="es-MX"/>
              </w:rPr>
            </w:pPr>
            <w:r w:rsidRPr="00146D27">
              <w:rPr>
                <w:rFonts w:ascii="Arial" w:hAnsi="Arial" w:cs="Arial"/>
                <w:lang w:val="es-MX"/>
              </w:rPr>
              <w:t>La migración a esquemas de alto costo (2da y 3era línea)</w:t>
            </w:r>
            <w:r>
              <w:rPr>
                <w:rFonts w:ascii="Arial" w:hAnsi="Arial" w:cs="Arial"/>
                <w:lang w:val="es-MX"/>
              </w:rPr>
              <w:t>,</w:t>
            </w:r>
            <w:r w:rsidRPr="00402B17">
              <w:rPr>
                <w:rFonts w:ascii="Arial" w:hAnsi="Arial" w:cs="Arial"/>
                <w:lang w:val="es-MX"/>
              </w:rPr>
              <w:t xml:space="preserve"> con costos de US$375 y US$4,568 por paciente por año vs US$74 de la 1ª línea</w:t>
            </w:r>
            <w:r>
              <w:rPr>
                <w:rStyle w:val="FootnoteReference"/>
                <w:rFonts w:ascii="Arial" w:hAnsi="Arial" w:cs="Arial"/>
                <w:lang w:val="es-MX"/>
              </w:rPr>
              <w:footnoteReference w:id="64"/>
            </w:r>
            <w:r w:rsidRPr="00402B17">
              <w:rPr>
                <w:rFonts w:ascii="Arial" w:hAnsi="Arial" w:cs="Arial"/>
                <w:lang w:val="es-MX"/>
              </w:rPr>
              <w:t xml:space="preserve">, </w:t>
            </w:r>
            <w:r w:rsidRPr="00146D27">
              <w:rPr>
                <w:rFonts w:ascii="Arial" w:hAnsi="Arial" w:cs="Arial"/>
                <w:lang w:val="es-MX"/>
              </w:rPr>
              <w:t xml:space="preserve">pone en riesgo la continuidad del financiamiento por fuente </w:t>
            </w:r>
            <w:r>
              <w:rPr>
                <w:rFonts w:ascii="Arial" w:hAnsi="Arial" w:cs="Arial"/>
                <w:lang w:val="es-MX"/>
              </w:rPr>
              <w:t>pública</w:t>
            </w:r>
            <w:r w:rsidRPr="00146D27">
              <w:rPr>
                <w:rFonts w:ascii="Arial" w:hAnsi="Arial" w:cs="Arial"/>
                <w:lang w:val="es-MX"/>
              </w:rPr>
              <w:t>, agotando las opciones terapéuticas que el país tiene en su cuadro básico y normas.</w:t>
            </w:r>
          </w:p>
        </w:tc>
      </w:tr>
      <w:tr w:rsidR="000C7FEA" w:rsidRPr="00392E34" w14:paraId="5CEB6097" w14:textId="77777777" w:rsidTr="005E142F">
        <w:trPr>
          <w:trHeight w:val="2060"/>
        </w:trPr>
        <w:tc>
          <w:tcPr>
            <w:tcW w:w="1536" w:type="dxa"/>
          </w:tcPr>
          <w:p w14:paraId="7F9A12D3" w14:textId="77777777" w:rsidR="000C7FEA" w:rsidRDefault="000C7FEA" w:rsidP="005E142F">
            <w:pPr>
              <w:rPr>
                <w:rFonts w:ascii="Arial" w:hAnsi="Arial" w:cs="Arial"/>
                <w:b/>
                <w:lang w:val="es-MX"/>
              </w:rPr>
            </w:pPr>
            <w:r w:rsidRPr="00DD37EC">
              <w:rPr>
                <w:rFonts w:ascii="Arial" w:hAnsi="Arial" w:cs="Arial"/>
                <w:b/>
                <w:lang w:val="es-MX"/>
              </w:rPr>
              <w:t>Soluciones Potenciales</w:t>
            </w:r>
          </w:p>
          <w:p w14:paraId="54D13405" w14:textId="77777777" w:rsidR="000C7FEA" w:rsidRPr="00DD37EC" w:rsidRDefault="000C7FEA" w:rsidP="005E142F">
            <w:pPr>
              <w:rPr>
                <w:rFonts w:ascii="Arial" w:hAnsi="Arial" w:cs="Arial"/>
                <w:b/>
                <w:lang w:val="es-MX"/>
              </w:rPr>
            </w:pPr>
            <w:r>
              <w:rPr>
                <w:rFonts w:ascii="Arial" w:hAnsi="Arial" w:cs="Arial"/>
                <w:b/>
                <w:lang w:val="es-MX"/>
              </w:rPr>
              <w:t>(VIH)</w:t>
            </w:r>
          </w:p>
        </w:tc>
        <w:tc>
          <w:tcPr>
            <w:tcW w:w="8449" w:type="dxa"/>
          </w:tcPr>
          <w:p w14:paraId="78C577F5" w14:textId="77777777" w:rsidR="000C7FEA" w:rsidRDefault="000C7FEA" w:rsidP="005E142F">
            <w:pPr>
              <w:pStyle w:val="ListParagraph"/>
              <w:numPr>
                <w:ilvl w:val="0"/>
                <w:numId w:val="26"/>
              </w:numPr>
              <w:spacing w:after="240"/>
              <w:rPr>
                <w:rFonts w:ascii="Arial" w:hAnsi="Arial" w:cs="Arial"/>
                <w:bCs/>
                <w:lang w:val="es-ES"/>
              </w:rPr>
            </w:pPr>
            <w:r w:rsidRPr="006F5EBF">
              <w:rPr>
                <w:rFonts w:ascii="Arial" w:hAnsi="Arial" w:cs="Arial"/>
                <w:bCs/>
                <w:lang w:val="es-ES"/>
              </w:rPr>
              <w:t>Elaborar el “Plan nacional de abordaje a la resistencia de los ARV en Honduras” que aborda las siguientes acciones (b-d).</w:t>
            </w:r>
          </w:p>
          <w:p w14:paraId="4A97F188" w14:textId="77777777" w:rsidR="000C7FEA" w:rsidRDefault="000C7FEA" w:rsidP="005E142F">
            <w:pPr>
              <w:pStyle w:val="ListParagraph"/>
              <w:numPr>
                <w:ilvl w:val="0"/>
                <w:numId w:val="26"/>
              </w:numPr>
              <w:spacing w:after="240"/>
              <w:rPr>
                <w:rFonts w:ascii="Arial" w:hAnsi="Arial" w:cs="Arial"/>
                <w:bCs/>
                <w:lang w:val="es-ES"/>
              </w:rPr>
            </w:pPr>
            <w:r w:rsidRPr="006F5EBF">
              <w:rPr>
                <w:rFonts w:ascii="Arial" w:hAnsi="Arial" w:cs="Arial"/>
                <w:bCs/>
                <w:lang w:val="es-ES"/>
              </w:rPr>
              <w:t>Establecer un sistema de vigilancia a la resistencia a los ARV</w:t>
            </w:r>
            <w:r>
              <w:rPr>
                <w:rFonts w:ascii="Arial" w:hAnsi="Arial" w:cs="Arial"/>
                <w:bCs/>
                <w:lang w:val="es-ES"/>
              </w:rPr>
              <w:t>.</w:t>
            </w:r>
          </w:p>
          <w:p w14:paraId="4219CE3D" w14:textId="77777777" w:rsidR="000C7FEA" w:rsidRDefault="000C7FEA" w:rsidP="005E142F">
            <w:pPr>
              <w:pStyle w:val="ListParagraph"/>
              <w:numPr>
                <w:ilvl w:val="0"/>
                <w:numId w:val="26"/>
              </w:numPr>
              <w:spacing w:after="240"/>
              <w:rPr>
                <w:rFonts w:ascii="Arial" w:hAnsi="Arial" w:cs="Arial"/>
                <w:bCs/>
                <w:lang w:val="es-ES"/>
              </w:rPr>
            </w:pPr>
            <w:r w:rsidRPr="006F5EBF">
              <w:rPr>
                <w:rFonts w:ascii="Arial" w:hAnsi="Arial" w:cs="Arial"/>
                <w:bCs/>
                <w:lang w:val="es-ES"/>
              </w:rPr>
              <w:t>Actualizar normas, guías y protocolos nacionales en función al perfil de resistencia a los ARV</w:t>
            </w:r>
            <w:r>
              <w:rPr>
                <w:rFonts w:ascii="Arial" w:hAnsi="Arial" w:cs="Arial"/>
                <w:bCs/>
                <w:lang w:val="es-ES"/>
              </w:rPr>
              <w:t>.</w:t>
            </w:r>
          </w:p>
          <w:p w14:paraId="7309E036" w14:textId="77777777" w:rsidR="000C7FEA" w:rsidRPr="006F5EBF" w:rsidRDefault="000C7FEA" w:rsidP="005E142F">
            <w:pPr>
              <w:pStyle w:val="ListParagraph"/>
              <w:numPr>
                <w:ilvl w:val="0"/>
                <w:numId w:val="26"/>
              </w:numPr>
              <w:spacing w:after="240"/>
              <w:rPr>
                <w:rFonts w:ascii="Arial" w:hAnsi="Arial" w:cs="Arial"/>
                <w:bCs/>
                <w:lang w:val="es-ES"/>
              </w:rPr>
            </w:pPr>
            <w:r w:rsidRPr="006F5EBF">
              <w:rPr>
                <w:rFonts w:ascii="Arial" w:hAnsi="Arial" w:cs="Arial"/>
                <w:bCs/>
                <w:lang w:val="es-ES"/>
              </w:rPr>
              <w:t>Elaborar un “Plan de migración de pacientes a un nuevo esquema de tratamiento basado en TLD (dosis diaria fija que combina Tenofovir, Disoproxilo fumarato, Lamivudina y Dolutegravir)”</w:t>
            </w:r>
            <w:r>
              <w:rPr>
                <w:rFonts w:ascii="Arial" w:hAnsi="Arial" w:cs="Arial"/>
                <w:bCs/>
                <w:lang w:val="es-ES"/>
              </w:rPr>
              <w:t>.</w:t>
            </w:r>
          </w:p>
        </w:tc>
      </w:tr>
    </w:tbl>
    <w:p w14:paraId="6A51CA9D" w14:textId="77777777" w:rsidR="000C7FEA" w:rsidRDefault="000C7FEA" w:rsidP="000C7FEA">
      <w:pPr>
        <w:spacing w:after="240" w:line="240" w:lineRule="auto"/>
        <w:rPr>
          <w:rFonts w:ascii="Arial" w:hAnsi="Arial" w:cs="Arial"/>
          <w:highlight w:val="yellow"/>
          <w:lang w:val="es-419"/>
        </w:rPr>
      </w:pPr>
    </w:p>
    <w:tbl>
      <w:tblPr>
        <w:tblStyle w:val="TableGrid"/>
        <w:tblW w:w="9985" w:type="dxa"/>
        <w:tblLayout w:type="fixed"/>
        <w:tblLook w:val="04A0" w:firstRow="1" w:lastRow="0" w:firstColumn="1" w:lastColumn="0" w:noHBand="0" w:noVBand="1"/>
      </w:tblPr>
      <w:tblGrid>
        <w:gridCol w:w="1536"/>
        <w:gridCol w:w="8449"/>
      </w:tblGrid>
      <w:tr w:rsidR="000C7FEA" w:rsidRPr="00392E34" w14:paraId="1ED75D37" w14:textId="77777777" w:rsidTr="005E142F">
        <w:trPr>
          <w:trHeight w:val="512"/>
        </w:trPr>
        <w:tc>
          <w:tcPr>
            <w:tcW w:w="1536" w:type="dxa"/>
            <w:shd w:val="clear" w:color="auto" w:fill="D9D9D9" w:themeFill="background1" w:themeFillShade="D9"/>
          </w:tcPr>
          <w:p w14:paraId="5ED6DB39" w14:textId="77777777" w:rsidR="000C7FEA" w:rsidRPr="00DD37EC" w:rsidRDefault="000C7FEA" w:rsidP="005E142F">
            <w:pPr>
              <w:spacing w:after="240"/>
              <w:rPr>
                <w:rFonts w:ascii="Arial" w:hAnsi="Arial" w:cs="Arial"/>
                <w:b/>
                <w:lang w:val="es-MX"/>
              </w:rPr>
            </w:pPr>
            <w:r w:rsidRPr="00DD37EC">
              <w:rPr>
                <w:rFonts w:ascii="Arial" w:hAnsi="Arial" w:cs="Arial"/>
                <w:b/>
                <w:lang w:val="es-MX"/>
              </w:rPr>
              <w:t xml:space="preserve">RIESGO </w:t>
            </w:r>
            <w:r>
              <w:rPr>
                <w:rFonts w:ascii="Arial" w:hAnsi="Arial" w:cs="Arial"/>
                <w:b/>
                <w:lang w:val="es-MX"/>
              </w:rPr>
              <w:t>2</w:t>
            </w:r>
          </w:p>
        </w:tc>
        <w:tc>
          <w:tcPr>
            <w:tcW w:w="8449" w:type="dxa"/>
            <w:shd w:val="clear" w:color="auto" w:fill="D9D9D9" w:themeFill="background1" w:themeFillShade="D9"/>
          </w:tcPr>
          <w:p w14:paraId="73A51303" w14:textId="77777777" w:rsidR="000C7FEA" w:rsidRPr="00DD37EC" w:rsidRDefault="000C7FEA" w:rsidP="005E142F">
            <w:pPr>
              <w:tabs>
                <w:tab w:val="left" w:pos="337"/>
                <w:tab w:val="left" w:pos="1486"/>
              </w:tabs>
              <w:spacing w:after="240"/>
              <w:rPr>
                <w:rFonts w:ascii="Arial" w:hAnsi="Arial" w:cs="Arial"/>
                <w:b/>
                <w:lang w:val="es-MX"/>
              </w:rPr>
            </w:pPr>
            <w:r w:rsidRPr="00E22E9D">
              <w:rPr>
                <w:rFonts w:ascii="Arial" w:hAnsi="Arial" w:cs="Arial"/>
                <w:b/>
                <w:lang w:val="es-MX"/>
              </w:rPr>
              <w:t>Recursos humanos capacitados en VIH y TB cuentan con contratación irregular (al menos 10 puestos clave todavía son financiados por los cooperantes) y carecen de certificación en protocolos de atención y de incentivos para su desarrollo profesional</w:t>
            </w:r>
          </w:p>
        </w:tc>
      </w:tr>
      <w:tr w:rsidR="000C7FEA" w:rsidRPr="00392E34" w14:paraId="2624957C" w14:textId="77777777" w:rsidTr="005E142F">
        <w:trPr>
          <w:trHeight w:val="802"/>
        </w:trPr>
        <w:tc>
          <w:tcPr>
            <w:tcW w:w="1536" w:type="dxa"/>
          </w:tcPr>
          <w:p w14:paraId="471FDC06" w14:textId="77777777" w:rsidR="000C7FEA" w:rsidRPr="00DD37EC" w:rsidRDefault="000C7FEA" w:rsidP="005E142F">
            <w:pPr>
              <w:spacing w:after="240"/>
              <w:rPr>
                <w:rFonts w:ascii="Arial" w:hAnsi="Arial" w:cs="Arial"/>
                <w:b/>
                <w:lang w:val="es-MX"/>
              </w:rPr>
            </w:pPr>
            <w:r w:rsidRPr="005C09D5">
              <w:rPr>
                <w:rFonts w:ascii="Arial" w:hAnsi="Arial" w:cs="Arial"/>
                <w:b/>
                <w:lang w:val="es-MX"/>
              </w:rPr>
              <w:t>Descripción</w:t>
            </w:r>
            <w:r>
              <w:rPr>
                <w:rFonts w:ascii="Arial" w:hAnsi="Arial" w:cs="Arial"/>
                <w:b/>
                <w:lang w:val="es-MX"/>
              </w:rPr>
              <w:t xml:space="preserve"> e Impacto</w:t>
            </w:r>
          </w:p>
        </w:tc>
        <w:tc>
          <w:tcPr>
            <w:tcW w:w="8449" w:type="dxa"/>
          </w:tcPr>
          <w:p w14:paraId="2C48B23D" w14:textId="77777777" w:rsidR="000C7FEA" w:rsidRPr="00975A78" w:rsidRDefault="000C7FEA" w:rsidP="005E142F">
            <w:pPr>
              <w:spacing w:after="120"/>
              <w:rPr>
                <w:rFonts w:ascii="Arial" w:hAnsi="Arial" w:cs="Arial"/>
                <w:lang w:val="es-ES"/>
              </w:rPr>
            </w:pPr>
            <w:r w:rsidRPr="00975A78">
              <w:rPr>
                <w:rFonts w:ascii="Arial" w:hAnsi="Arial" w:cs="Arial"/>
                <w:lang w:val="es-ES"/>
              </w:rPr>
              <w:t xml:space="preserve">Los recursos humanos pagados por cooperantes deberían ser absorbidos con recursos públicos por la Secretaría de Salud de Honduras (SESAL), ya que están capacitados en la temática de VIH y TB. </w:t>
            </w:r>
          </w:p>
          <w:p w14:paraId="7BEAA2C0" w14:textId="77777777" w:rsidR="000C7FEA" w:rsidRPr="00975A78" w:rsidRDefault="000C7FEA" w:rsidP="005E142F">
            <w:pPr>
              <w:spacing w:after="120"/>
              <w:rPr>
                <w:rFonts w:ascii="Arial" w:hAnsi="Arial" w:cs="Arial"/>
                <w:lang w:val="es-ES"/>
              </w:rPr>
            </w:pPr>
            <w:r w:rsidRPr="00975A78">
              <w:rPr>
                <w:rFonts w:ascii="Arial" w:hAnsi="Arial" w:cs="Arial"/>
                <w:lang w:val="es-ES"/>
              </w:rPr>
              <w:t>Por otra parte, los Recursos Humanos sin capacitación, incluyendo aquellos de nuevo ingreso, ponen en riesgo el acceso efectivo y la calidad de la atención.</w:t>
            </w:r>
          </w:p>
          <w:p w14:paraId="7372A2B9" w14:textId="77777777" w:rsidR="000C7FEA" w:rsidRPr="00975A78" w:rsidRDefault="000C7FEA" w:rsidP="005E142F">
            <w:pPr>
              <w:spacing w:after="120"/>
              <w:rPr>
                <w:rFonts w:ascii="Arial" w:hAnsi="Arial" w:cs="Arial"/>
                <w:lang w:val="es-ES"/>
              </w:rPr>
            </w:pPr>
            <w:r w:rsidRPr="00975A78">
              <w:rPr>
                <w:rFonts w:ascii="Arial" w:hAnsi="Arial" w:cs="Arial"/>
                <w:lang w:val="es-ES"/>
              </w:rPr>
              <w:lastRenderedPageBreak/>
              <w:t>Ambas problemáticas constituyen una amenaza a la implementación sostenible de las acciones de prevención, movilización comunitaria, realización de pruebas, referencia a los servicios de atención para su vinculación a los servicios y monitoreo y evaluación.</w:t>
            </w:r>
          </w:p>
          <w:p w14:paraId="0FD98088" w14:textId="77777777" w:rsidR="000C7FEA" w:rsidRPr="00DD37EC" w:rsidRDefault="000C7FEA" w:rsidP="005E142F">
            <w:pPr>
              <w:spacing w:after="120"/>
              <w:rPr>
                <w:rFonts w:ascii="Arial" w:hAnsi="Arial" w:cs="Arial"/>
                <w:lang w:val="es-MX"/>
              </w:rPr>
            </w:pPr>
            <w:r w:rsidRPr="00975A78">
              <w:rPr>
                <w:rFonts w:ascii="Arial" w:hAnsi="Arial" w:cs="Arial"/>
                <w:lang w:val="es-ES"/>
              </w:rPr>
              <w:t>Asimismo, se expresó preocupación por la baja efectividad de la vigilancia en el cumplimiento del marco normativo de VIH y TB. Así como la falta de capacitación continua del personal de salud, con énfasis en el trato y comunicación con el paciente, en un entorno de respeto a los Derechos Humanos.</w:t>
            </w:r>
          </w:p>
        </w:tc>
      </w:tr>
      <w:tr w:rsidR="000C7FEA" w:rsidRPr="00392E34" w14:paraId="40654912" w14:textId="77777777" w:rsidTr="005E142F">
        <w:trPr>
          <w:trHeight w:val="440"/>
        </w:trPr>
        <w:tc>
          <w:tcPr>
            <w:tcW w:w="1536" w:type="dxa"/>
          </w:tcPr>
          <w:p w14:paraId="648772BD" w14:textId="77777777" w:rsidR="000C7FEA" w:rsidRPr="00DD37EC" w:rsidRDefault="000C7FEA" w:rsidP="005E142F">
            <w:pPr>
              <w:spacing w:after="240"/>
              <w:rPr>
                <w:rFonts w:ascii="Arial" w:hAnsi="Arial" w:cs="Arial"/>
                <w:b/>
                <w:lang w:val="es-MX"/>
              </w:rPr>
            </w:pPr>
            <w:r w:rsidRPr="00DD37EC">
              <w:rPr>
                <w:rFonts w:ascii="Arial" w:hAnsi="Arial" w:cs="Arial"/>
                <w:b/>
                <w:lang w:val="es-MX"/>
              </w:rPr>
              <w:lastRenderedPageBreak/>
              <w:t>Soluciones Potenciales</w:t>
            </w:r>
          </w:p>
        </w:tc>
        <w:tc>
          <w:tcPr>
            <w:tcW w:w="8449" w:type="dxa"/>
          </w:tcPr>
          <w:p w14:paraId="3B499B72" w14:textId="77777777" w:rsidR="000C7FEA" w:rsidRPr="001E528E" w:rsidRDefault="000C7FEA" w:rsidP="005E142F">
            <w:pPr>
              <w:pStyle w:val="ListParagraph"/>
              <w:numPr>
                <w:ilvl w:val="0"/>
                <w:numId w:val="28"/>
              </w:numPr>
              <w:spacing w:after="240"/>
              <w:rPr>
                <w:rFonts w:ascii="Arial" w:hAnsi="Arial" w:cs="Arial"/>
                <w:lang w:val="es-ES"/>
              </w:rPr>
            </w:pPr>
            <w:r w:rsidRPr="001E528E">
              <w:rPr>
                <w:rFonts w:ascii="Arial" w:hAnsi="Arial" w:cs="Arial"/>
                <w:lang w:val="es-ES"/>
              </w:rPr>
              <w:t>Dar seguimiento a los convenios firmados ante la SESAL y los proyectos de cooperación para la regularización permanente de la contratación del personal que ya fue absorbido por la SESAL.</w:t>
            </w:r>
          </w:p>
          <w:p w14:paraId="11DD35A4" w14:textId="77777777" w:rsidR="000C7FEA" w:rsidRDefault="000C7FEA" w:rsidP="005E142F">
            <w:pPr>
              <w:pStyle w:val="ListParagraph"/>
              <w:numPr>
                <w:ilvl w:val="0"/>
                <w:numId w:val="28"/>
              </w:numPr>
              <w:spacing w:after="240"/>
              <w:rPr>
                <w:rFonts w:ascii="Arial" w:hAnsi="Arial" w:cs="Arial"/>
                <w:lang w:val="es-ES"/>
              </w:rPr>
            </w:pPr>
            <w:r w:rsidRPr="00AC7DEC">
              <w:rPr>
                <w:rFonts w:ascii="Arial" w:hAnsi="Arial" w:cs="Arial"/>
                <w:lang w:val="es-ES"/>
              </w:rPr>
              <w:t>Gestionar recursos financieros para el aumento de la contratación de personal capacitado en TB y una mayor logística para su movilización</w:t>
            </w:r>
            <w:r>
              <w:rPr>
                <w:rFonts w:ascii="Arial" w:hAnsi="Arial" w:cs="Arial"/>
                <w:lang w:val="es-ES"/>
              </w:rPr>
              <w:t>.</w:t>
            </w:r>
          </w:p>
          <w:p w14:paraId="6E5F8428" w14:textId="77777777" w:rsidR="000C7FEA" w:rsidRDefault="000C7FEA" w:rsidP="005E142F">
            <w:pPr>
              <w:pStyle w:val="ListParagraph"/>
              <w:numPr>
                <w:ilvl w:val="0"/>
                <w:numId w:val="28"/>
              </w:numPr>
              <w:spacing w:after="240"/>
              <w:rPr>
                <w:rFonts w:ascii="Arial" w:hAnsi="Arial" w:cs="Arial"/>
                <w:lang w:val="es-ES"/>
              </w:rPr>
            </w:pPr>
            <w:r w:rsidRPr="00AC7DEC">
              <w:rPr>
                <w:rFonts w:ascii="Arial" w:hAnsi="Arial" w:cs="Arial"/>
                <w:lang w:val="es-ES"/>
              </w:rPr>
              <w:t>Adoptar las recomendaciones de la OMS sobre servicios diferenciados de atención de VIH</w:t>
            </w:r>
            <w:r>
              <w:rPr>
                <w:rFonts w:ascii="Arial" w:hAnsi="Arial" w:cs="Arial"/>
                <w:lang w:val="es-ES"/>
              </w:rPr>
              <w:t xml:space="preserve"> de acuerdo a las necesidades y capacidades instaladas del país.</w:t>
            </w:r>
          </w:p>
          <w:p w14:paraId="615DD97B" w14:textId="77777777" w:rsidR="000C7FEA" w:rsidRDefault="000C7FEA" w:rsidP="005E142F">
            <w:pPr>
              <w:pStyle w:val="ListParagraph"/>
              <w:numPr>
                <w:ilvl w:val="0"/>
                <w:numId w:val="28"/>
              </w:numPr>
              <w:spacing w:after="240"/>
              <w:rPr>
                <w:rFonts w:ascii="Arial" w:hAnsi="Arial" w:cs="Arial"/>
                <w:lang w:val="es-ES"/>
              </w:rPr>
            </w:pPr>
            <w:r w:rsidRPr="00AC7DEC">
              <w:rPr>
                <w:rFonts w:ascii="Arial" w:hAnsi="Arial" w:cs="Arial"/>
                <w:lang w:val="es-ES"/>
              </w:rPr>
              <w:t>Capacitar y certificar al pe</w:t>
            </w:r>
            <w:r>
              <w:rPr>
                <w:rFonts w:ascii="Arial" w:hAnsi="Arial" w:cs="Arial"/>
                <w:lang w:val="es-ES"/>
              </w:rPr>
              <w:t>r</w:t>
            </w:r>
            <w:r w:rsidRPr="00AC7DEC">
              <w:rPr>
                <w:rFonts w:ascii="Arial" w:hAnsi="Arial" w:cs="Arial"/>
                <w:lang w:val="es-ES"/>
              </w:rPr>
              <w:t>sonal de salud y sociedad civil en protocolos de</w:t>
            </w:r>
            <w:r>
              <w:rPr>
                <w:rFonts w:ascii="Arial" w:hAnsi="Arial" w:cs="Arial"/>
                <w:lang w:val="es-ES"/>
              </w:rPr>
              <w:t>l componente de</w:t>
            </w:r>
            <w:r w:rsidRPr="00AC7DEC">
              <w:rPr>
                <w:rFonts w:ascii="Arial" w:hAnsi="Arial" w:cs="Arial"/>
                <w:lang w:val="es-ES"/>
              </w:rPr>
              <w:t xml:space="preserve"> VIH, TB sensible y TB-MDR y comunicación con el paciente con un enfoque de derechos humanos, específicamente contra la estigma y discriminación.</w:t>
            </w:r>
          </w:p>
          <w:p w14:paraId="686D33B3" w14:textId="77777777" w:rsidR="000C7FEA" w:rsidRPr="00AC7DEC" w:rsidRDefault="000C7FEA" w:rsidP="005E142F">
            <w:pPr>
              <w:pStyle w:val="ListParagraph"/>
              <w:numPr>
                <w:ilvl w:val="0"/>
                <w:numId w:val="28"/>
              </w:numPr>
              <w:spacing w:after="240"/>
              <w:rPr>
                <w:rFonts w:ascii="Arial" w:hAnsi="Arial" w:cs="Arial"/>
                <w:lang w:val="es-ES"/>
              </w:rPr>
            </w:pPr>
            <w:r w:rsidRPr="00AC7DEC">
              <w:rPr>
                <w:rFonts w:ascii="Arial" w:hAnsi="Arial" w:cs="Arial"/>
                <w:lang w:val="es-ES"/>
              </w:rPr>
              <w:t>Proveer oportunidades de promoción a los RRHH para que desarrollen una carrera institucional que disminuya las renuncias y la rotación de personal (proyecto piloto)</w:t>
            </w:r>
            <w:r>
              <w:rPr>
                <w:rFonts w:ascii="Arial" w:hAnsi="Arial" w:cs="Arial"/>
                <w:lang w:val="es-ES"/>
              </w:rPr>
              <w:t>.</w:t>
            </w:r>
          </w:p>
        </w:tc>
      </w:tr>
    </w:tbl>
    <w:p w14:paraId="08B118BA" w14:textId="77777777" w:rsidR="000C7FEA" w:rsidRPr="00DD37EC" w:rsidRDefault="000C7FEA" w:rsidP="000C7FEA">
      <w:pPr>
        <w:spacing w:after="240" w:line="240" w:lineRule="auto"/>
        <w:rPr>
          <w:rFonts w:ascii="Arial" w:hAnsi="Arial" w:cs="Arial"/>
          <w:highlight w:val="yellow"/>
          <w:lang w:val="es-419"/>
        </w:rPr>
      </w:pPr>
    </w:p>
    <w:tbl>
      <w:tblPr>
        <w:tblStyle w:val="TableGrid"/>
        <w:tblW w:w="9985" w:type="dxa"/>
        <w:tblLayout w:type="fixed"/>
        <w:tblLook w:val="04A0" w:firstRow="1" w:lastRow="0" w:firstColumn="1" w:lastColumn="0" w:noHBand="0" w:noVBand="1"/>
      </w:tblPr>
      <w:tblGrid>
        <w:gridCol w:w="1536"/>
        <w:gridCol w:w="8449"/>
      </w:tblGrid>
      <w:tr w:rsidR="000C7FEA" w:rsidRPr="00392E34" w14:paraId="79600E5D" w14:textId="77777777" w:rsidTr="005E142F">
        <w:trPr>
          <w:trHeight w:val="512"/>
        </w:trPr>
        <w:tc>
          <w:tcPr>
            <w:tcW w:w="1536" w:type="dxa"/>
            <w:shd w:val="clear" w:color="auto" w:fill="E7E6E6" w:themeFill="background2"/>
          </w:tcPr>
          <w:p w14:paraId="0D0E3B3D" w14:textId="77777777" w:rsidR="000C7FEA" w:rsidRPr="00DD37EC" w:rsidRDefault="000C7FEA" w:rsidP="005E142F">
            <w:pPr>
              <w:spacing w:after="240"/>
              <w:rPr>
                <w:rFonts w:ascii="Arial" w:hAnsi="Arial" w:cs="Arial"/>
                <w:b/>
                <w:lang w:val="es-MX"/>
              </w:rPr>
            </w:pPr>
            <w:r w:rsidRPr="00DD37EC">
              <w:rPr>
                <w:rFonts w:ascii="Arial" w:hAnsi="Arial" w:cs="Arial"/>
                <w:b/>
                <w:lang w:val="es-MX"/>
              </w:rPr>
              <w:t xml:space="preserve">RIESGO </w:t>
            </w:r>
            <w:r>
              <w:rPr>
                <w:rFonts w:ascii="Arial" w:hAnsi="Arial" w:cs="Arial"/>
                <w:b/>
                <w:lang w:val="es-MX"/>
              </w:rPr>
              <w:t>3</w:t>
            </w:r>
          </w:p>
        </w:tc>
        <w:tc>
          <w:tcPr>
            <w:tcW w:w="8449" w:type="dxa"/>
            <w:shd w:val="clear" w:color="auto" w:fill="E7E6E6" w:themeFill="background2"/>
          </w:tcPr>
          <w:p w14:paraId="76035851" w14:textId="77777777" w:rsidR="000C7FEA" w:rsidRPr="009723E0" w:rsidRDefault="000C7FEA" w:rsidP="005E142F">
            <w:pPr>
              <w:tabs>
                <w:tab w:val="left" w:pos="337"/>
                <w:tab w:val="left" w:pos="1486"/>
              </w:tabs>
              <w:spacing w:after="240"/>
              <w:rPr>
                <w:rFonts w:ascii="Arial" w:hAnsi="Arial" w:cs="Arial"/>
                <w:b/>
                <w:lang w:val="es-MX"/>
              </w:rPr>
            </w:pPr>
            <w:r w:rsidRPr="00297DAB">
              <w:rPr>
                <w:rFonts w:ascii="Arial" w:hAnsi="Arial" w:cs="Arial"/>
                <w:b/>
                <w:bCs/>
                <w:iCs/>
                <w:lang w:val="es-MX"/>
              </w:rPr>
              <w:t>Adquisición de medicamentos e insumos esenciales con recursos externos; limitado acceso a las pruebas diagnóstico y sostenibilidad de adquisición de insumos de diagnóstico para VIH y TB</w:t>
            </w:r>
          </w:p>
        </w:tc>
      </w:tr>
      <w:tr w:rsidR="000C7FEA" w:rsidRPr="00392E34" w14:paraId="1F35A5FF" w14:textId="77777777" w:rsidTr="005E142F">
        <w:trPr>
          <w:trHeight w:val="802"/>
        </w:trPr>
        <w:tc>
          <w:tcPr>
            <w:tcW w:w="1536" w:type="dxa"/>
          </w:tcPr>
          <w:p w14:paraId="7513F833" w14:textId="77777777" w:rsidR="000C7FEA" w:rsidRPr="00DD37EC" w:rsidRDefault="000C7FEA" w:rsidP="005E142F">
            <w:pPr>
              <w:spacing w:after="240"/>
              <w:rPr>
                <w:rFonts w:ascii="Arial" w:hAnsi="Arial" w:cs="Arial"/>
                <w:b/>
                <w:lang w:val="es-MX"/>
              </w:rPr>
            </w:pPr>
            <w:r>
              <w:rPr>
                <w:rFonts w:ascii="Arial" w:hAnsi="Arial" w:cs="Arial"/>
                <w:b/>
                <w:lang w:val="es-MX"/>
              </w:rPr>
              <w:t>Descripción e impacto</w:t>
            </w:r>
          </w:p>
        </w:tc>
        <w:tc>
          <w:tcPr>
            <w:tcW w:w="8449" w:type="dxa"/>
          </w:tcPr>
          <w:p w14:paraId="1A25A475" w14:textId="77777777" w:rsidR="000C7FEA" w:rsidRPr="009723E0" w:rsidRDefault="000C7FEA" w:rsidP="005E142F">
            <w:pPr>
              <w:spacing w:after="120"/>
              <w:rPr>
                <w:rFonts w:ascii="Arial" w:hAnsi="Arial" w:cs="Arial"/>
                <w:lang w:val="es-MX"/>
              </w:rPr>
            </w:pPr>
            <w:r w:rsidRPr="00B9764A">
              <w:rPr>
                <w:rFonts w:ascii="Arial" w:hAnsi="Arial" w:cs="Arial"/>
                <w:lang w:val="es-MX"/>
              </w:rPr>
              <w:t xml:space="preserve">Actualmente los cooperantes cubren la compra emergente de algunos medicamentos e insumos para reducir el impacto de desabastecimientos. </w:t>
            </w:r>
            <w:r w:rsidRPr="009723E0">
              <w:rPr>
                <w:rFonts w:ascii="Arial" w:hAnsi="Arial" w:cs="Arial"/>
                <w:lang w:val="es-MX"/>
              </w:rPr>
              <w:t xml:space="preserve">Sin financiamiento público para el abastecimiento continuo de los ARV y otros </w:t>
            </w:r>
            <w:r w:rsidRPr="00B9764A">
              <w:rPr>
                <w:rFonts w:ascii="Arial" w:hAnsi="Arial" w:cs="Arial"/>
                <w:lang w:val="es-MX"/>
              </w:rPr>
              <w:t xml:space="preserve">productos (incluyendo Carga Viral, CD4, pruebas de diagnóstico, PCR, genotipo, reactivos de Gene-Xpert y medicamentos para infecciones oportunistas) </w:t>
            </w:r>
            <w:r w:rsidRPr="009723E0">
              <w:rPr>
                <w:rFonts w:ascii="Arial" w:hAnsi="Arial" w:cs="Arial"/>
                <w:lang w:val="es-MX"/>
              </w:rPr>
              <w:t>las PVIH en especial población clave, no tendrían acceso a la terapia; por ende, no se obtendría el control de la epidemia en el país ni se cumplirían las metas del 90-90-90 al 2020.</w:t>
            </w:r>
          </w:p>
          <w:p w14:paraId="3122CD95" w14:textId="77777777" w:rsidR="000C7FEA" w:rsidRPr="00DD37EC" w:rsidRDefault="000C7FEA" w:rsidP="005E142F">
            <w:pPr>
              <w:spacing w:after="240"/>
              <w:rPr>
                <w:rFonts w:ascii="Arial" w:eastAsia="Times New Roman" w:hAnsi="Arial" w:cs="Arial"/>
                <w:color w:val="000000"/>
                <w:lang w:val="es-MX"/>
              </w:rPr>
            </w:pPr>
            <w:r w:rsidRPr="009723E0">
              <w:rPr>
                <w:rFonts w:ascii="Arial" w:hAnsi="Arial" w:cs="Arial"/>
                <w:lang w:val="es-MX"/>
              </w:rPr>
              <w:t>Esto refuerza la urgencia de reducir la demora para establecer el diagnóstico, ya que cuanto más alto sea el déficit de cobertura de la prueba y nuevas modalidades de diagnóstico con un enfoque epidemiológico (grupos claves), mayor será la magnitud de la epidemia.</w:t>
            </w:r>
          </w:p>
        </w:tc>
      </w:tr>
      <w:tr w:rsidR="000C7FEA" w:rsidRPr="00392E34" w14:paraId="7624775E" w14:textId="77777777" w:rsidTr="005E142F">
        <w:trPr>
          <w:trHeight w:val="1925"/>
        </w:trPr>
        <w:tc>
          <w:tcPr>
            <w:tcW w:w="1536" w:type="dxa"/>
          </w:tcPr>
          <w:p w14:paraId="682DEB72" w14:textId="77777777" w:rsidR="000C7FEA" w:rsidRPr="00DD37EC" w:rsidRDefault="000C7FEA" w:rsidP="005E142F">
            <w:pPr>
              <w:spacing w:after="240"/>
              <w:rPr>
                <w:rFonts w:ascii="Arial" w:hAnsi="Arial" w:cs="Arial"/>
                <w:b/>
                <w:lang w:val="es-MX"/>
              </w:rPr>
            </w:pPr>
            <w:r w:rsidRPr="00DD37EC">
              <w:rPr>
                <w:rFonts w:ascii="Arial" w:hAnsi="Arial" w:cs="Arial"/>
                <w:b/>
                <w:lang w:val="es-MX"/>
              </w:rPr>
              <w:lastRenderedPageBreak/>
              <w:t>Soluciones Potenciales</w:t>
            </w:r>
          </w:p>
        </w:tc>
        <w:tc>
          <w:tcPr>
            <w:tcW w:w="8449" w:type="dxa"/>
          </w:tcPr>
          <w:p w14:paraId="44AE5D04" w14:textId="77777777" w:rsidR="000C7FEA" w:rsidRPr="00EF3FD7" w:rsidRDefault="000C7FEA" w:rsidP="005E142F">
            <w:pPr>
              <w:pStyle w:val="ListParagraph"/>
              <w:numPr>
                <w:ilvl w:val="0"/>
                <w:numId w:val="29"/>
              </w:numPr>
              <w:spacing w:after="240"/>
              <w:rPr>
                <w:rFonts w:ascii="Arial" w:hAnsi="Arial" w:cs="Arial"/>
                <w:bCs/>
                <w:lang w:val="es-ES"/>
              </w:rPr>
            </w:pPr>
            <w:r w:rsidRPr="00EF3FD7">
              <w:rPr>
                <w:rFonts w:ascii="Arial" w:hAnsi="Arial" w:cs="Arial"/>
                <w:lang w:val="es-MX"/>
              </w:rPr>
              <w:t>Consolidar plan de transición de compras de ARV e insumos para VIH y TB (incluyendo Carga Viral, CD4, pruebas de diagnóstico, PCR, genotipo, reactivos de Gene-Xpert, y reactivos para infecciones oportunistas) y la adquisición centralizada de pruebas de diagnóstico con fondos públicos.</w:t>
            </w:r>
          </w:p>
          <w:p w14:paraId="70332BCE" w14:textId="77777777" w:rsidR="000C7FEA" w:rsidRPr="00EF3FD7" w:rsidRDefault="000C7FEA" w:rsidP="005E142F">
            <w:pPr>
              <w:pStyle w:val="ListParagraph"/>
              <w:numPr>
                <w:ilvl w:val="0"/>
                <w:numId w:val="29"/>
              </w:numPr>
              <w:spacing w:after="240"/>
              <w:rPr>
                <w:rFonts w:ascii="Arial" w:hAnsi="Arial" w:cs="Arial"/>
                <w:bCs/>
                <w:lang w:val="es-ES"/>
              </w:rPr>
            </w:pPr>
            <w:r w:rsidRPr="00EF3FD7">
              <w:rPr>
                <w:rFonts w:ascii="Arial" w:hAnsi="Arial" w:cs="Arial"/>
                <w:lang w:val="es-MX"/>
              </w:rPr>
              <w:t>Gestionar nuevos mecanismos de compra nacionales e internacionales para obtener precios de referencia de medicamentos de ARV (incluyendo los de mayor impacto financiero – 3ª línea).</w:t>
            </w:r>
          </w:p>
        </w:tc>
      </w:tr>
    </w:tbl>
    <w:p w14:paraId="3B064C23" w14:textId="770F39C5" w:rsidR="006A7CA1" w:rsidRDefault="006A7CA1" w:rsidP="006A7CA1">
      <w:pPr>
        <w:rPr>
          <w:lang w:val="es-419"/>
        </w:rPr>
      </w:pPr>
    </w:p>
    <w:p w14:paraId="3A67EF21" w14:textId="2F357930" w:rsidR="003A324D" w:rsidRPr="006336F9" w:rsidRDefault="006336F9" w:rsidP="006336F9">
      <w:pPr>
        <w:pStyle w:val="Heading1"/>
        <w:spacing w:before="0" w:after="240" w:line="240" w:lineRule="auto"/>
        <w:rPr>
          <w:rFonts w:ascii="Arial" w:hAnsi="Arial" w:cs="Arial"/>
          <w:sz w:val="22"/>
          <w:szCs w:val="22"/>
          <w:lang w:val="es-419"/>
        </w:rPr>
      </w:pPr>
      <w:bookmarkStart w:id="63" w:name="_Toc8905234"/>
      <w:r>
        <w:rPr>
          <w:rFonts w:ascii="Arial" w:hAnsi="Arial" w:cs="Arial"/>
          <w:sz w:val="22"/>
          <w:szCs w:val="22"/>
          <w:lang w:val="es-419"/>
        </w:rPr>
        <w:t>5</w:t>
      </w:r>
      <w:r w:rsidR="009D2388" w:rsidRPr="00DD37EC">
        <w:rPr>
          <w:rFonts w:ascii="Arial" w:hAnsi="Arial" w:cs="Arial"/>
          <w:sz w:val="22"/>
          <w:szCs w:val="22"/>
          <w:lang w:val="es-419"/>
        </w:rPr>
        <w:t>. Respuesta del País a la Epidemia de TB</w:t>
      </w:r>
      <w:bookmarkEnd w:id="63"/>
      <w:r w:rsidR="009D2388" w:rsidRPr="00DD37EC">
        <w:rPr>
          <w:rFonts w:ascii="Arial" w:hAnsi="Arial" w:cs="Arial"/>
          <w:sz w:val="22"/>
          <w:szCs w:val="22"/>
          <w:lang w:val="es-419"/>
        </w:rPr>
        <w:t xml:space="preserve"> </w:t>
      </w:r>
    </w:p>
    <w:p w14:paraId="404D8700" w14:textId="32684A7D" w:rsidR="003A324D" w:rsidRPr="005E572A" w:rsidRDefault="003A324D" w:rsidP="0068285B">
      <w:pPr>
        <w:pStyle w:val="Heading2"/>
        <w:numPr>
          <w:ilvl w:val="1"/>
          <w:numId w:val="18"/>
        </w:numPr>
        <w:spacing w:before="0" w:after="240" w:line="240" w:lineRule="auto"/>
        <w:rPr>
          <w:rFonts w:ascii="Arial" w:hAnsi="Arial" w:cs="Arial"/>
          <w:sz w:val="22"/>
          <w:szCs w:val="22"/>
          <w:lang w:val="es-419"/>
        </w:rPr>
      </w:pPr>
      <w:bookmarkStart w:id="64" w:name="_Toc8905235"/>
      <w:r w:rsidRPr="00DD37EC">
        <w:rPr>
          <w:rFonts w:ascii="Arial" w:hAnsi="Arial" w:cs="Arial"/>
          <w:sz w:val="22"/>
          <w:szCs w:val="22"/>
          <w:lang w:val="es-419"/>
        </w:rPr>
        <w:t>Contexto general de la Respuesta Nacional a la TB</w:t>
      </w:r>
      <w:bookmarkEnd w:id="64"/>
    </w:p>
    <w:p w14:paraId="43C2D7DF" w14:textId="54FA675F" w:rsidR="005C47D2" w:rsidRDefault="00413286" w:rsidP="00413286">
      <w:pPr>
        <w:jc w:val="both"/>
        <w:rPr>
          <w:rFonts w:ascii="Arial" w:hAnsi="Arial" w:cs="Arial"/>
          <w:lang w:val="es-419"/>
        </w:rPr>
      </w:pPr>
      <w:r w:rsidRPr="00413286">
        <w:rPr>
          <w:rFonts w:ascii="Arial" w:hAnsi="Arial" w:cs="Arial"/>
          <w:lang w:val="es-419"/>
        </w:rPr>
        <w:t xml:space="preserve">Acabar para 2030 con la epidemia de TB es una de las metas </w:t>
      </w:r>
      <w:r w:rsidR="00434F18">
        <w:rPr>
          <w:rFonts w:ascii="Arial" w:hAnsi="Arial" w:cs="Arial"/>
          <w:lang w:val="es-419"/>
        </w:rPr>
        <w:t>de salud</w:t>
      </w:r>
      <w:r w:rsidRPr="00413286">
        <w:rPr>
          <w:rFonts w:ascii="Arial" w:hAnsi="Arial" w:cs="Arial"/>
          <w:lang w:val="es-419"/>
        </w:rPr>
        <w:t xml:space="preserve"> incluidas en los Objetivos de Desarrollo Sostenible adoptados por Honduras en 2015. Las metas específicas de</w:t>
      </w:r>
      <w:r>
        <w:rPr>
          <w:rFonts w:ascii="Arial" w:hAnsi="Arial" w:cs="Arial"/>
          <w:lang w:val="es-419"/>
        </w:rPr>
        <w:t>l país para</w:t>
      </w:r>
      <w:r w:rsidRPr="00413286">
        <w:rPr>
          <w:rFonts w:ascii="Arial" w:hAnsi="Arial" w:cs="Arial"/>
          <w:lang w:val="es-419"/>
        </w:rPr>
        <w:t xml:space="preserve"> TB se estimaron en el contexto de la Estrategia “Fin a la Tuberculosis” que consiste en reducir la mortalidad en un 90%, y su incidencia en un 80% a 2030, en comparación con las cifras de 2015. Honduras estableció en el Plan Estratégico Nacional de Tuberculosis 2016-2020 (PENTB) </w:t>
      </w:r>
      <w:r w:rsidR="005D6EE6">
        <w:rPr>
          <w:rFonts w:ascii="Arial" w:hAnsi="Arial" w:cs="Arial"/>
          <w:lang w:val="es-419"/>
        </w:rPr>
        <w:t>como metas: reducir</w:t>
      </w:r>
      <w:r w:rsidRPr="00413286">
        <w:rPr>
          <w:rFonts w:ascii="Arial" w:hAnsi="Arial" w:cs="Arial"/>
          <w:lang w:val="es-419"/>
        </w:rPr>
        <w:t xml:space="preserve"> las muertes de TB en un 35%</w:t>
      </w:r>
      <w:r w:rsidR="005D6EE6">
        <w:rPr>
          <w:rFonts w:ascii="Arial" w:hAnsi="Arial" w:cs="Arial"/>
          <w:lang w:val="es-419"/>
        </w:rPr>
        <w:t xml:space="preserve"> al 2020</w:t>
      </w:r>
      <w:r w:rsidRPr="00413286">
        <w:rPr>
          <w:rFonts w:ascii="Arial" w:hAnsi="Arial" w:cs="Arial"/>
          <w:lang w:val="es-419"/>
        </w:rPr>
        <w:t>, detectar al menos el 85% de pacientes por TB y reducir la incidencia en un 20% con respecto al 2015.</w:t>
      </w:r>
      <w:r w:rsidRPr="00413286">
        <w:rPr>
          <w:rStyle w:val="FootnoteReference"/>
          <w:rFonts w:ascii="Arial" w:hAnsi="Arial" w:cs="Arial"/>
          <w:lang w:val="es-419"/>
        </w:rPr>
        <w:footnoteReference w:id="65"/>
      </w:r>
    </w:p>
    <w:p w14:paraId="255C8BEB" w14:textId="6A707921" w:rsidR="001651BC" w:rsidRPr="001651BC" w:rsidRDefault="001651BC" w:rsidP="00413286">
      <w:pPr>
        <w:jc w:val="both"/>
        <w:rPr>
          <w:rFonts w:ascii="Arial" w:hAnsi="Arial" w:cs="Arial"/>
          <w:sz w:val="28"/>
          <w:lang w:val="es-419"/>
        </w:rPr>
      </w:pPr>
    </w:p>
    <w:p w14:paraId="77E3E11E" w14:textId="6C8438E1" w:rsidR="001651BC" w:rsidRPr="001651BC" w:rsidRDefault="001651BC" w:rsidP="001651BC">
      <w:pPr>
        <w:pStyle w:val="Caption"/>
        <w:rPr>
          <w:rFonts w:ascii="Arial" w:hAnsi="Arial" w:cs="Arial"/>
          <w:color w:val="auto"/>
          <w:sz w:val="22"/>
          <w:lang w:val="es-419"/>
        </w:rPr>
      </w:pPr>
      <w:bookmarkStart w:id="65" w:name="_Toc8904102"/>
      <w:r w:rsidRPr="001651BC">
        <w:rPr>
          <w:rFonts w:ascii="Arial" w:hAnsi="Arial" w:cs="Arial"/>
          <w:color w:val="auto"/>
          <w:sz w:val="22"/>
        </w:rPr>
        <w:t xml:space="preserve">Figura </w:t>
      </w:r>
      <w:r w:rsidRPr="001651BC">
        <w:rPr>
          <w:rFonts w:ascii="Arial" w:hAnsi="Arial" w:cs="Arial"/>
          <w:color w:val="auto"/>
          <w:sz w:val="22"/>
        </w:rPr>
        <w:fldChar w:fldCharType="begin"/>
      </w:r>
      <w:r w:rsidRPr="001651BC">
        <w:rPr>
          <w:rFonts w:ascii="Arial" w:hAnsi="Arial" w:cs="Arial"/>
          <w:color w:val="auto"/>
          <w:sz w:val="22"/>
        </w:rPr>
        <w:instrText xml:space="preserve"> SEQ Figura \* ARABIC </w:instrText>
      </w:r>
      <w:r w:rsidRPr="001651BC">
        <w:rPr>
          <w:rFonts w:ascii="Arial" w:hAnsi="Arial" w:cs="Arial"/>
          <w:color w:val="auto"/>
          <w:sz w:val="22"/>
        </w:rPr>
        <w:fldChar w:fldCharType="separate"/>
      </w:r>
      <w:r w:rsidR="00004563">
        <w:rPr>
          <w:rFonts w:ascii="Arial" w:hAnsi="Arial" w:cs="Arial"/>
          <w:noProof/>
          <w:color w:val="auto"/>
          <w:sz w:val="22"/>
        </w:rPr>
        <w:t>5</w:t>
      </w:r>
      <w:r w:rsidRPr="001651BC">
        <w:rPr>
          <w:rFonts w:ascii="Arial" w:hAnsi="Arial" w:cs="Arial"/>
          <w:color w:val="auto"/>
          <w:sz w:val="22"/>
        </w:rPr>
        <w:fldChar w:fldCharType="end"/>
      </w:r>
      <w:r w:rsidRPr="001651BC">
        <w:rPr>
          <w:rFonts w:ascii="Arial" w:hAnsi="Arial" w:cs="Arial"/>
          <w:color w:val="auto"/>
          <w:sz w:val="22"/>
        </w:rPr>
        <w:t>. La cascada de</w:t>
      </w:r>
      <w:r w:rsidR="00644932">
        <w:rPr>
          <w:rFonts w:ascii="Arial" w:hAnsi="Arial" w:cs="Arial"/>
          <w:color w:val="auto"/>
          <w:sz w:val="22"/>
        </w:rPr>
        <w:t>l continuo de la atención en</w:t>
      </w:r>
      <w:r w:rsidRPr="001651BC">
        <w:rPr>
          <w:rFonts w:ascii="Arial" w:hAnsi="Arial" w:cs="Arial"/>
          <w:color w:val="auto"/>
          <w:sz w:val="22"/>
        </w:rPr>
        <w:t xml:space="preserve"> TB</w:t>
      </w:r>
      <w:r w:rsidR="00644932">
        <w:rPr>
          <w:rFonts w:ascii="Arial" w:hAnsi="Arial" w:cs="Arial"/>
          <w:color w:val="auto"/>
          <w:sz w:val="22"/>
        </w:rPr>
        <w:t xml:space="preserve"> en 2017,</w:t>
      </w:r>
      <w:r w:rsidRPr="001651BC">
        <w:rPr>
          <w:rFonts w:ascii="Arial" w:hAnsi="Arial" w:cs="Arial"/>
          <w:color w:val="auto"/>
          <w:sz w:val="22"/>
        </w:rPr>
        <w:t xml:space="preserve"> Honduras</w:t>
      </w:r>
      <w:bookmarkEnd w:id="65"/>
    </w:p>
    <w:p w14:paraId="420A4F39" w14:textId="103CC644" w:rsidR="00B90863" w:rsidRDefault="00B90863" w:rsidP="00B90863">
      <w:pPr>
        <w:jc w:val="center"/>
        <w:rPr>
          <w:rFonts w:ascii="Arial" w:hAnsi="Arial" w:cs="Arial"/>
          <w:lang w:val="es-419"/>
        </w:rPr>
      </w:pPr>
      <w:r>
        <w:rPr>
          <w:rFonts w:ascii="Arial" w:hAnsi="Arial" w:cs="Arial"/>
          <w:noProof/>
          <w:lang w:val="es-419"/>
        </w:rPr>
        <w:drawing>
          <wp:inline distT="0" distB="0" distL="0" distR="0" wp14:anchorId="4F744D6C" wp14:editId="44E7C751">
            <wp:extent cx="4402861" cy="2958465"/>
            <wp:effectExtent l="0" t="0" r="0" b="0"/>
            <wp:docPr id="708" name="Picture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02861" cy="2958465"/>
                    </a:xfrm>
                    <a:prstGeom prst="rect">
                      <a:avLst/>
                    </a:prstGeom>
                    <a:noFill/>
                  </pic:spPr>
                </pic:pic>
              </a:graphicData>
            </a:graphic>
          </wp:inline>
        </w:drawing>
      </w:r>
    </w:p>
    <w:p w14:paraId="068EC91E" w14:textId="777C897A" w:rsidR="00B90863" w:rsidRPr="00167C47" w:rsidRDefault="00B90863" w:rsidP="00A86469">
      <w:pPr>
        <w:ind w:left="720" w:firstLine="720"/>
        <w:rPr>
          <w:rFonts w:ascii="Arial" w:hAnsi="Arial" w:cs="Arial"/>
          <w:i/>
          <w:sz w:val="18"/>
        </w:rPr>
      </w:pPr>
      <w:r w:rsidRPr="00167C47">
        <w:rPr>
          <w:rFonts w:ascii="Arial" w:hAnsi="Arial" w:cs="Arial"/>
          <w:i/>
          <w:sz w:val="18"/>
        </w:rPr>
        <w:t>Fuente: OMS, FM, Stop TB Dashboard</w:t>
      </w:r>
    </w:p>
    <w:p w14:paraId="5E71E87A" w14:textId="77777777" w:rsidR="005C47D2" w:rsidRPr="00854074" w:rsidRDefault="005C47D2" w:rsidP="00026368">
      <w:pPr>
        <w:jc w:val="both"/>
        <w:rPr>
          <w:rFonts w:ascii="Arial" w:hAnsi="Arial" w:cs="Arial"/>
        </w:rPr>
      </w:pPr>
    </w:p>
    <w:p w14:paraId="731EE28A" w14:textId="5D627D01" w:rsidR="005C47D2" w:rsidRDefault="00413286" w:rsidP="005C47D2">
      <w:pPr>
        <w:jc w:val="both"/>
        <w:rPr>
          <w:rFonts w:ascii="Arial" w:hAnsi="Arial" w:cs="Arial"/>
          <w:lang w:val="es-419"/>
        </w:rPr>
      </w:pPr>
      <w:r w:rsidRPr="005D6EE6">
        <w:rPr>
          <w:rFonts w:ascii="Arial" w:hAnsi="Arial" w:cs="Arial"/>
          <w:lang w:val="es-419"/>
        </w:rPr>
        <w:lastRenderedPageBreak/>
        <w:t xml:space="preserve">La tuberculosis en Honduras históricamente ha sido manejada por la </w:t>
      </w:r>
      <w:r w:rsidR="00F618C8">
        <w:rPr>
          <w:rFonts w:ascii="Arial" w:hAnsi="Arial" w:cs="Arial"/>
          <w:lang w:val="es-419"/>
        </w:rPr>
        <w:t>SESAL</w:t>
      </w:r>
      <w:r w:rsidRPr="005D6EE6">
        <w:rPr>
          <w:rFonts w:ascii="Arial" w:hAnsi="Arial" w:cs="Arial"/>
          <w:lang w:val="es-419"/>
        </w:rPr>
        <w:t xml:space="preserve"> con poca participación de otras organizaciones gubernamentales o </w:t>
      </w:r>
      <w:r w:rsidR="00F618C8">
        <w:rPr>
          <w:rFonts w:ascii="Arial" w:hAnsi="Arial" w:cs="Arial"/>
          <w:lang w:val="es-419"/>
        </w:rPr>
        <w:t>OSC</w:t>
      </w:r>
      <w:r w:rsidRPr="005D6EE6">
        <w:rPr>
          <w:rFonts w:ascii="Arial" w:hAnsi="Arial" w:cs="Arial"/>
          <w:lang w:val="es-419"/>
        </w:rPr>
        <w:t xml:space="preserve">, en contraste a lo que ha sucedido con el VIH. Una de las instituciones que se ha sumado a la respuesta nacional contra la TB es el Instituto Nacional </w:t>
      </w:r>
      <w:r w:rsidRPr="00BA5CB4">
        <w:rPr>
          <w:rFonts w:ascii="Arial" w:hAnsi="Arial" w:cs="Arial"/>
          <w:lang w:val="es-419"/>
        </w:rPr>
        <w:t>Penitenciario debido al comportamiento de la TB dentro de las cárceles</w:t>
      </w:r>
      <w:r w:rsidR="00026368" w:rsidRPr="00BA5CB4">
        <w:rPr>
          <w:rFonts w:ascii="Arial" w:hAnsi="Arial" w:cs="Arial"/>
          <w:lang w:val="es-419"/>
        </w:rPr>
        <w:t>.</w:t>
      </w:r>
    </w:p>
    <w:p w14:paraId="02E5C4F8" w14:textId="77777777" w:rsidR="005C47D2" w:rsidRDefault="005C47D2" w:rsidP="005C47D2">
      <w:pPr>
        <w:spacing w:after="240" w:line="240" w:lineRule="auto"/>
        <w:jc w:val="both"/>
        <w:rPr>
          <w:rFonts w:ascii="Arial" w:hAnsi="Arial" w:cs="Arial"/>
          <w:lang w:val="es-419"/>
        </w:rPr>
      </w:pPr>
      <w:r>
        <w:rPr>
          <w:rFonts w:ascii="Arial" w:hAnsi="Arial" w:cs="Arial"/>
          <w:lang w:val="es-419"/>
        </w:rPr>
        <w:t>El PENTB de Honduras para 2016-2020 designa cuatro líneas estratégicas, incluyendo la conducción y regulación de promoción, prevención, diagnóstico y tratamiento de TB; compromiso político, protección social, y participación de la sociedad civil; acceso y cobertura universal para TB; y sistemas de información, vigilancia, epidemiológica e investigación. Es</w:t>
      </w:r>
      <w:r w:rsidRPr="00B8561A">
        <w:rPr>
          <w:rFonts w:ascii="Arial" w:hAnsi="Arial" w:cs="Arial"/>
          <w:lang w:val="es-419"/>
        </w:rPr>
        <w:t>tas áreas estratégicas se centran alrededor de los objetivos nacionales de lograr</w:t>
      </w:r>
      <w:r>
        <w:rPr>
          <w:rFonts w:ascii="Arial" w:hAnsi="Arial" w:cs="Arial"/>
          <w:lang w:val="es-419"/>
        </w:rPr>
        <w:t>:</w:t>
      </w:r>
      <w:r>
        <w:rPr>
          <w:rStyle w:val="FootnoteReference"/>
          <w:rFonts w:ascii="Arial" w:hAnsi="Arial" w:cs="Arial"/>
          <w:lang w:val="es-419"/>
        </w:rPr>
        <w:footnoteReference w:id="66"/>
      </w:r>
      <w:r>
        <w:rPr>
          <w:rFonts w:ascii="Arial" w:hAnsi="Arial" w:cs="Arial"/>
          <w:lang w:val="es-419"/>
        </w:rPr>
        <w:t xml:space="preserve"> </w:t>
      </w:r>
    </w:p>
    <w:p w14:paraId="2775F403" w14:textId="6F84AB0D" w:rsidR="005C47D2" w:rsidRPr="00BA5CB4" w:rsidRDefault="005C47D2" w:rsidP="00E00F2B">
      <w:pPr>
        <w:spacing w:after="240" w:line="240" w:lineRule="auto"/>
        <w:jc w:val="both"/>
        <w:rPr>
          <w:rFonts w:ascii="Arial" w:hAnsi="Arial" w:cs="Arial"/>
          <w:lang w:val="es-419"/>
        </w:rPr>
      </w:pPr>
      <w:r>
        <w:rPr>
          <w:rFonts w:ascii="Arial" w:hAnsi="Arial" w:cs="Arial"/>
          <w:lang w:val="es-419"/>
        </w:rPr>
        <w:t xml:space="preserve">En 2018 </w:t>
      </w:r>
      <w:r w:rsidRPr="00AD0632">
        <w:rPr>
          <w:rFonts w:ascii="Arial" w:hAnsi="Arial" w:cs="Arial"/>
          <w:lang w:val="es-419"/>
        </w:rPr>
        <w:t xml:space="preserve">OPS </w:t>
      </w:r>
      <w:r>
        <w:rPr>
          <w:rFonts w:ascii="Arial" w:hAnsi="Arial" w:cs="Arial"/>
          <w:lang w:val="es-419"/>
        </w:rPr>
        <w:t xml:space="preserve">publicó </w:t>
      </w:r>
      <w:r w:rsidRPr="00AD0632">
        <w:rPr>
          <w:rFonts w:ascii="Arial" w:hAnsi="Arial" w:cs="Arial"/>
          <w:lang w:val="es-419"/>
        </w:rPr>
        <w:t xml:space="preserve">seis recomendaciones clave para acelerar el progreso de los países de las Américas </w:t>
      </w:r>
      <w:r>
        <w:rPr>
          <w:rFonts w:ascii="Arial" w:hAnsi="Arial" w:cs="Arial"/>
          <w:lang w:val="es-419"/>
        </w:rPr>
        <w:t>hacia</w:t>
      </w:r>
      <w:r w:rsidRPr="00AD0632">
        <w:rPr>
          <w:rFonts w:ascii="Arial" w:hAnsi="Arial" w:cs="Arial"/>
          <w:lang w:val="es-419"/>
        </w:rPr>
        <w:t xml:space="preserve"> las metas de “</w:t>
      </w:r>
      <w:r>
        <w:rPr>
          <w:rFonts w:ascii="Arial" w:hAnsi="Arial" w:cs="Arial"/>
          <w:lang w:val="es-419"/>
        </w:rPr>
        <w:t>Fin a la TB</w:t>
      </w:r>
      <w:r w:rsidRPr="00AD0632">
        <w:rPr>
          <w:rFonts w:ascii="Arial" w:hAnsi="Arial" w:cs="Arial"/>
          <w:lang w:val="es-419"/>
        </w:rPr>
        <w:t xml:space="preserve">” en 2035, incluyendo la reducción en el número de muertes por TB </w:t>
      </w:r>
      <w:r>
        <w:rPr>
          <w:rFonts w:ascii="Arial" w:hAnsi="Arial" w:cs="Arial"/>
          <w:lang w:val="es-419"/>
        </w:rPr>
        <w:t>en</w:t>
      </w:r>
      <w:r w:rsidRPr="00AD0632">
        <w:rPr>
          <w:rFonts w:ascii="Arial" w:hAnsi="Arial" w:cs="Arial"/>
          <w:lang w:val="es-419"/>
        </w:rPr>
        <w:t xml:space="preserve"> 95% </w:t>
      </w:r>
      <w:r>
        <w:rPr>
          <w:rFonts w:ascii="Arial" w:hAnsi="Arial" w:cs="Arial"/>
          <w:lang w:val="es-419"/>
        </w:rPr>
        <w:t>con</w:t>
      </w:r>
      <w:r w:rsidRPr="00AD0632">
        <w:rPr>
          <w:rFonts w:ascii="Arial" w:hAnsi="Arial" w:cs="Arial"/>
          <w:lang w:val="es-419"/>
        </w:rPr>
        <w:t xml:space="preserve"> relación </w:t>
      </w:r>
      <w:r>
        <w:rPr>
          <w:rFonts w:ascii="Arial" w:hAnsi="Arial" w:cs="Arial"/>
          <w:lang w:val="es-419"/>
        </w:rPr>
        <w:t>al</w:t>
      </w:r>
      <w:r w:rsidRPr="00AD0632">
        <w:rPr>
          <w:rFonts w:ascii="Arial" w:hAnsi="Arial" w:cs="Arial"/>
          <w:lang w:val="es-419"/>
        </w:rPr>
        <w:t xml:space="preserve"> 2015, la reducción en la incidencia de TB </w:t>
      </w:r>
      <w:r>
        <w:rPr>
          <w:rFonts w:ascii="Arial" w:hAnsi="Arial" w:cs="Arial"/>
          <w:lang w:val="es-419"/>
        </w:rPr>
        <w:t>en</w:t>
      </w:r>
      <w:r w:rsidRPr="00AD0632">
        <w:rPr>
          <w:rFonts w:ascii="Arial" w:hAnsi="Arial" w:cs="Arial"/>
          <w:lang w:val="es-419"/>
        </w:rPr>
        <w:t xml:space="preserve"> 90% </w:t>
      </w:r>
      <w:r>
        <w:rPr>
          <w:rFonts w:ascii="Arial" w:hAnsi="Arial" w:cs="Arial"/>
          <w:lang w:val="es-419"/>
        </w:rPr>
        <w:t>con</w:t>
      </w:r>
      <w:r w:rsidRPr="00AD0632">
        <w:rPr>
          <w:rFonts w:ascii="Arial" w:hAnsi="Arial" w:cs="Arial"/>
          <w:lang w:val="es-419"/>
        </w:rPr>
        <w:t xml:space="preserve"> relación </w:t>
      </w:r>
      <w:r>
        <w:rPr>
          <w:rFonts w:ascii="Arial" w:hAnsi="Arial" w:cs="Arial"/>
          <w:lang w:val="es-419"/>
        </w:rPr>
        <w:t>a</w:t>
      </w:r>
      <w:r w:rsidRPr="00AD0632">
        <w:rPr>
          <w:rFonts w:ascii="Arial" w:hAnsi="Arial" w:cs="Arial"/>
          <w:lang w:val="es-419"/>
        </w:rPr>
        <w:t xml:space="preserve"> 2015, y la eliminación de costos catastróficos para recibir tratamiento para TB </w:t>
      </w:r>
      <w:r>
        <w:rPr>
          <w:rFonts w:ascii="Arial" w:hAnsi="Arial" w:cs="Arial"/>
          <w:lang w:val="es-419"/>
        </w:rPr>
        <w:t>en</w:t>
      </w:r>
      <w:r w:rsidRPr="00AD0632">
        <w:rPr>
          <w:rFonts w:ascii="Arial" w:hAnsi="Arial" w:cs="Arial"/>
          <w:lang w:val="es-419"/>
        </w:rPr>
        <w:t xml:space="preserve"> 2020.</w:t>
      </w:r>
      <w:r w:rsidRPr="00DD37EC">
        <w:rPr>
          <w:rStyle w:val="FootnoteReference"/>
          <w:rFonts w:ascii="Arial" w:hAnsi="Arial" w:cs="Arial"/>
          <w:lang w:val="es-DO"/>
        </w:rPr>
        <w:footnoteReference w:id="67"/>
      </w:r>
      <w:r w:rsidRPr="00AD0632">
        <w:rPr>
          <w:rStyle w:val="FootnoteReference"/>
          <w:rFonts w:ascii="Arial" w:hAnsi="Arial" w:cs="Arial"/>
          <w:lang w:val="es-DO"/>
        </w:rPr>
        <w:t xml:space="preserve"> </w:t>
      </w:r>
      <w:r w:rsidRPr="00AD0632">
        <w:rPr>
          <w:rFonts w:ascii="Arial" w:hAnsi="Arial" w:cs="Arial"/>
          <w:lang w:val="es-419"/>
        </w:rPr>
        <w:t>Estas seis acciones incluyen: 1) mejorar la implementación y expansión de diagnosis con nuevas pruebas moleculares rápidas; 2) promover la investigación de contactos de personas con TB, principalmente entre los niños meno</w:t>
      </w:r>
      <w:r>
        <w:rPr>
          <w:rFonts w:ascii="Arial" w:hAnsi="Arial" w:cs="Arial"/>
          <w:lang w:val="es-419"/>
        </w:rPr>
        <w:t>re</w:t>
      </w:r>
      <w:r w:rsidRPr="00AD0632">
        <w:rPr>
          <w:rFonts w:ascii="Arial" w:hAnsi="Arial" w:cs="Arial"/>
          <w:lang w:val="es-419"/>
        </w:rPr>
        <w:t>s de 15 años; 3) acelerar la implementación de regímenes de tratamiento acortados para TB-DR y la introducción de medicamentos pediátricos dispersables; 4) aumentar el trabajo con poblaciones vulnerables y con determinantes sociales con actividades intersectoriales focalizadas en personas y comunidades; 5) promover enfoques especiales (por ejemplo, la Iniciativa del Control de TB en Ciudades Grandes) e investigaciones operacionales; y 6) eliminar brechas de financiamiento con recursos sostenibles, reduciendo la dependencia en finanzas externas.</w:t>
      </w:r>
      <w:r>
        <w:rPr>
          <w:rStyle w:val="FootnoteReference"/>
          <w:rFonts w:ascii="Arial" w:hAnsi="Arial" w:cs="Arial"/>
          <w:lang w:val="es-419"/>
        </w:rPr>
        <w:footnoteReference w:id="68"/>
      </w:r>
      <w:r w:rsidRPr="00AD0632">
        <w:rPr>
          <w:rFonts w:ascii="Arial" w:hAnsi="Arial" w:cs="Arial"/>
          <w:lang w:val="es-419"/>
        </w:rPr>
        <w:t xml:space="preserve"> </w:t>
      </w:r>
      <w:r w:rsidR="004D14CB">
        <w:rPr>
          <w:rFonts w:ascii="Arial" w:hAnsi="Arial" w:cs="Arial"/>
          <w:lang w:val="es-419"/>
        </w:rPr>
        <w:t xml:space="preserve"> Estas líneas servirán como guía para evaluar la respuesta a la TB en Honduras, sin embargo cabe destacar que el punto 3) se modificó a partir de las últimas recomendaciones de la OMS respecto al tratamiento de la TB-MDR</w:t>
      </w:r>
      <w:r w:rsidR="00996656">
        <w:rPr>
          <w:rFonts w:ascii="Arial" w:hAnsi="Arial" w:cs="Arial"/>
          <w:lang w:val="es-419"/>
        </w:rPr>
        <w:t xml:space="preserve"> (ver sección 5.4)</w:t>
      </w:r>
      <w:r w:rsidR="004D14CB">
        <w:rPr>
          <w:rFonts w:ascii="Arial" w:hAnsi="Arial" w:cs="Arial"/>
          <w:lang w:val="es-419"/>
        </w:rPr>
        <w:t>.</w:t>
      </w:r>
    </w:p>
    <w:p w14:paraId="43519E4E" w14:textId="2BD4B1ED" w:rsidR="003A324D" w:rsidRPr="00026368" w:rsidRDefault="003A324D" w:rsidP="0068285B">
      <w:pPr>
        <w:pStyle w:val="Heading2"/>
        <w:numPr>
          <w:ilvl w:val="1"/>
          <w:numId w:val="18"/>
        </w:numPr>
        <w:spacing w:before="0" w:after="240" w:line="240" w:lineRule="auto"/>
        <w:rPr>
          <w:rFonts w:ascii="Arial" w:hAnsi="Arial" w:cs="Arial"/>
          <w:sz w:val="22"/>
          <w:szCs w:val="22"/>
          <w:lang w:val="es-419"/>
        </w:rPr>
      </w:pPr>
      <w:bookmarkStart w:id="66" w:name="_Toc8905236"/>
      <w:r w:rsidRPr="00DD37EC">
        <w:rPr>
          <w:rFonts w:ascii="Arial" w:hAnsi="Arial" w:cs="Arial"/>
          <w:sz w:val="22"/>
          <w:szCs w:val="22"/>
          <w:lang w:val="es-419"/>
        </w:rPr>
        <w:t>Situación epidemiológica – Carga de enfermedad del TB</w:t>
      </w:r>
      <w:bookmarkEnd w:id="66"/>
      <w:r w:rsidRPr="00DD37EC">
        <w:rPr>
          <w:rFonts w:ascii="Arial" w:hAnsi="Arial" w:cs="Arial"/>
          <w:sz w:val="22"/>
          <w:szCs w:val="22"/>
          <w:lang w:val="es-419"/>
        </w:rPr>
        <w:t xml:space="preserve"> </w:t>
      </w:r>
    </w:p>
    <w:p w14:paraId="2D32FD10" w14:textId="36EEB38C" w:rsidR="003A324D" w:rsidRPr="00DD37EC" w:rsidRDefault="003A324D" w:rsidP="003A324D">
      <w:pPr>
        <w:spacing w:after="240" w:line="240" w:lineRule="auto"/>
        <w:jc w:val="both"/>
        <w:rPr>
          <w:rFonts w:ascii="Arial" w:hAnsi="Arial" w:cs="Arial"/>
          <w:lang w:val="es-419"/>
        </w:rPr>
      </w:pPr>
      <w:bookmarkStart w:id="67" w:name="_Hlk1663396"/>
      <w:r w:rsidRPr="00DD37EC">
        <w:rPr>
          <w:rFonts w:ascii="Arial" w:hAnsi="Arial" w:cs="Arial"/>
          <w:lang w:val="es-419"/>
        </w:rPr>
        <w:t xml:space="preserve">Para el 2016 la incidencia estimada de TB todas las formas (TBTF) en los países de las américas </w:t>
      </w:r>
      <w:r w:rsidR="00DF42BE">
        <w:rPr>
          <w:rFonts w:ascii="Arial" w:hAnsi="Arial" w:cs="Arial"/>
          <w:lang w:val="es-419"/>
        </w:rPr>
        <w:t>fue</w:t>
      </w:r>
      <w:r w:rsidRPr="00DD37EC">
        <w:rPr>
          <w:rFonts w:ascii="Arial" w:hAnsi="Arial" w:cs="Arial"/>
          <w:lang w:val="es-419"/>
        </w:rPr>
        <w:t xml:space="preserve"> de 27.5 por 100,000 habitantes, Honduras se ubic</w:t>
      </w:r>
      <w:r w:rsidR="001B329D">
        <w:rPr>
          <w:rFonts w:ascii="Arial" w:hAnsi="Arial" w:cs="Arial"/>
          <w:lang w:val="es-419"/>
        </w:rPr>
        <w:t>ó</w:t>
      </w:r>
      <w:r w:rsidRPr="00DD37EC">
        <w:rPr>
          <w:rFonts w:ascii="Arial" w:hAnsi="Arial" w:cs="Arial"/>
          <w:lang w:val="es-419"/>
        </w:rPr>
        <w:t xml:space="preserve"> en el 12</w:t>
      </w:r>
      <w:r w:rsidR="00BA5CB4">
        <w:rPr>
          <w:rFonts w:ascii="Arial" w:hAnsi="Arial" w:cs="Arial"/>
          <w:lang w:val="es-419"/>
        </w:rPr>
        <w:t xml:space="preserve">º </w:t>
      </w:r>
      <w:r w:rsidRPr="00DD37EC">
        <w:rPr>
          <w:rFonts w:ascii="Arial" w:hAnsi="Arial" w:cs="Arial"/>
          <w:lang w:val="es-419"/>
        </w:rPr>
        <w:t xml:space="preserve">lugar </w:t>
      </w:r>
      <w:r w:rsidR="00BA5CB4">
        <w:rPr>
          <w:rFonts w:ascii="Arial" w:hAnsi="Arial" w:cs="Arial"/>
          <w:lang w:val="es-419"/>
        </w:rPr>
        <w:t xml:space="preserve">entre estos países </w:t>
      </w:r>
      <w:r w:rsidRPr="00DD37EC">
        <w:rPr>
          <w:rFonts w:ascii="Arial" w:hAnsi="Arial" w:cs="Arial"/>
          <w:lang w:val="es-419"/>
        </w:rPr>
        <w:t xml:space="preserve">con una incidencia </w:t>
      </w:r>
      <w:r w:rsidR="00BA5CB4">
        <w:rPr>
          <w:rFonts w:ascii="Arial" w:hAnsi="Arial" w:cs="Arial"/>
          <w:lang w:val="es-419"/>
        </w:rPr>
        <w:t>de</w:t>
      </w:r>
      <w:r w:rsidRPr="00DD37EC">
        <w:rPr>
          <w:rFonts w:ascii="Arial" w:hAnsi="Arial" w:cs="Arial"/>
          <w:lang w:val="es-419"/>
        </w:rPr>
        <w:t xml:space="preserve"> 39.5 </w:t>
      </w:r>
      <w:r w:rsidR="00BA5CB4">
        <w:rPr>
          <w:rFonts w:ascii="Arial" w:hAnsi="Arial" w:cs="Arial"/>
          <w:lang w:val="es-419"/>
        </w:rPr>
        <w:t xml:space="preserve">por 100,000 habitantes </w:t>
      </w:r>
      <w:r w:rsidRPr="00DD37EC">
        <w:rPr>
          <w:rFonts w:ascii="Arial" w:hAnsi="Arial" w:cs="Arial"/>
          <w:lang w:val="es-419"/>
        </w:rPr>
        <w:t>y el 4</w:t>
      </w:r>
      <w:r w:rsidR="00BA5CB4">
        <w:rPr>
          <w:rFonts w:ascii="Arial" w:hAnsi="Arial" w:cs="Arial"/>
          <w:lang w:val="es-419"/>
        </w:rPr>
        <w:t xml:space="preserve">º </w:t>
      </w:r>
      <w:r w:rsidRPr="00DD37EC">
        <w:rPr>
          <w:rFonts w:ascii="Arial" w:hAnsi="Arial" w:cs="Arial"/>
          <w:lang w:val="es-419"/>
        </w:rPr>
        <w:t xml:space="preserve">lugar </w:t>
      </w:r>
      <w:r w:rsidR="00146166">
        <w:rPr>
          <w:rFonts w:ascii="Arial" w:hAnsi="Arial" w:cs="Arial"/>
          <w:lang w:val="es-419"/>
        </w:rPr>
        <w:t>en</w:t>
      </w:r>
      <w:r w:rsidRPr="00DD37EC">
        <w:rPr>
          <w:rFonts w:ascii="Arial" w:hAnsi="Arial" w:cs="Arial"/>
          <w:lang w:val="es-419"/>
        </w:rPr>
        <w:t xml:space="preserve"> Centroamérica.</w:t>
      </w:r>
      <w:r w:rsidR="00BA5CB4">
        <w:rPr>
          <w:rStyle w:val="FootnoteReference"/>
          <w:rFonts w:ascii="Arial" w:hAnsi="Arial" w:cs="Arial"/>
          <w:lang w:val="es-419"/>
        </w:rPr>
        <w:footnoteReference w:id="69"/>
      </w:r>
    </w:p>
    <w:p w14:paraId="000BABC9" w14:textId="4CA022E0" w:rsidR="005F4042" w:rsidRDefault="00DF42BE" w:rsidP="00146166">
      <w:pPr>
        <w:jc w:val="both"/>
        <w:rPr>
          <w:rFonts w:ascii="Arial" w:hAnsi="Arial" w:cs="Arial"/>
          <w:lang w:val="es-419"/>
        </w:rPr>
      </w:pPr>
      <w:r w:rsidRPr="00DF42BE">
        <w:rPr>
          <w:rFonts w:ascii="Arial" w:hAnsi="Arial" w:cs="Arial"/>
          <w:lang w:val="es-419"/>
        </w:rPr>
        <w:t>A partir del año 2000, Honduras logró una importante reducción de los casos incidentes de TB hasta el año 2006, a partir del cual se presenta una tendencia estacionaria con una TBTF al 2017 de 31,6 por 100,000 habitantes</w:t>
      </w:r>
      <w:r>
        <w:rPr>
          <w:rFonts w:ascii="Arial" w:hAnsi="Arial" w:cs="Arial"/>
          <w:lang w:val="es-419"/>
        </w:rPr>
        <w:t xml:space="preserve"> y</w:t>
      </w:r>
      <w:r w:rsidRPr="00DF42BE">
        <w:rPr>
          <w:rFonts w:ascii="Arial" w:hAnsi="Arial" w:cs="Arial"/>
          <w:lang w:val="es-419"/>
        </w:rPr>
        <w:t xml:space="preserve"> 2,813 casos,</w:t>
      </w:r>
      <w:r>
        <w:rPr>
          <w:rFonts w:ascii="Arial" w:hAnsi="Arial" w:cs="Arial"/>
          <w:lang w:val="es-419"/>
        </w:rPr>
        <w:t xml:space="preserve"> de los cuales 2,</w:t>
      </w:r>
      <w:r w:rsidR="009D7870">
        <w:rPr>
          <w:rFonts w:ascii="Arial" w:hAnsi="Arial" w:cs="Arial"/>
          <w:lang w:val="es-419"/>
        </w:rPr>
        <w:t>579 (</w:t>
      </w:r>
      <w:r w:rsidR="009D7870" w:rsidRPr="00DF42BE">
        <w:rPr>
          <w:rFonts w:ascii="Arial" w:hAnsi="Arial" w:cs="Arial"/>
          <w:lang w:val="es-419"/>
        </w:rPr>
        <w:t>91.7%)</w:t>
      </w:r>
      <w:r w:rsidRPr="00DF42BE">
        <w:rPr>
          <w:rFonts w:ascii="Arial" w:hAnsi="Arial" w:cs="Arial"/>
          <w:lang w:val="es-419"/>
        </w:rPr>
        <w:t xml:space="preserve"> corresponden</w:t>
      </w:r>
      <w:r w:rsidR="009D7870">
        <w:rPr>
          <w:rFonts w:ascii="Arial" w:hAnsi="Arial" w:cs="Arial"/>
          <w:lang w:val="es-419"/>
        </w:rPr>
        <w:t xml:space="preserve"> a</w:t>
      </w:r>
      <w:r w:rsidRPr="00DF42BE">
        <w:rPr>
          <w:rFonts w:ascii="Arial" w:hAnsi="Arial" w:cs="Arial"/>
          <w:lang w:val="es-419"/>
        </w:rPr>
        <w:t xml:space="preserve"> casos nuevos</w:t>
      </w:r>
      <w:r w:rsidR="009D7870">
        <w:rPr>
          <w:rFonts w:ascii="Arial" w:hAnsi="Arial" w:cs="Arial"/>
          <w:lang w:val="es-419"/>
        </w:rPr>
        <w:t xml:space="preserve"> </w:t>
      </w:r>
      <w:r w:rsidRPr="00DF42BE">
        <w:rPr>
          <w:rFonts w:ascii="Arial" w:hAnsi="Arial" w:cs="Arial"/>
          <w:lang w:val="es-419"/>
        </w:rPr>
        <w:t>y</w:t>
      </w:r>
      <w:r w:rsidR="009D7870">
        <w:rPr>
          <w:rFonts w:ascii="Arial" w:hAnsi="Arial" w:cs="Arial"/>
          <w:lang w:val="es-419"/>
        </w:rPr>
        <w:t xml:space="preserve"> </w:t>
      </w:r>
      <w:r w:rsidR="009D7870" w:rsidRPr="00DF42BE">
        <w:rPr>
          <w:rFonts w:ascii="Arial" w:hAnsi="Arial" w:cs="Arial"/>
          <w:lang w:val="es-419"/>
        </w:rPr>
        <w:t>219</w:t>
      </w:r>
      <w:r w:rsidR="009D7870">
        <w:rPr>
          <w:rFonts w:ascii="Arial" w:hAnsi="Arial" w:cs="Arial"/>
          <w:lang w:val="es-419"/>
        </w:rPr>
        <w:t xml:space="preserve"> a </w:t>
      </w:r>
      <w:r w:rsidRPr="00DF42BE">
        <w:rPr>
          <w:rFonts w:ascii="Arial" w:hAnsi="Arial" w:cs="Arial"/>
          <w:lang w:val="es-419"/>
        </w:rPr>
        <w:t>recaídas (7.8%).</w:t>
      </w:r>
      <w:r w:rsidRPr="00DF42BE">
        <w:rPr>
          <w:rStyle w:val="FootnoteReference"/>
          <w:rFonts w:ascii="Arial" w:hAnsi="Arial" w:cs="Arial"/>
          <w:lang w:val="es-419"/>
        </w:rPr>
        <w:footnoteReference w:id="70"/>
      </w:r>
    </w:p>
    <w:bookmarkEnd w:id="67"/>
    <w:p w14:paraId="3F8262DB" w14:textId="05586C4A" w:rsidR="005F4042" w:rsidRPr="00146166" w:rsidRDefault="005F4042" w:rsidP="00146166">
      <w:pPr>
        <w:jc w:val="both"/>
        <w:rPr>
          <w:rFonts w:ascii="Arial" w:hAnsi="Arial" w:cs="Arial"/>
          <w:lang w:val="es-419"/>
        </w:rPr>
      </w:pPr>
      <w:r w:rsidRPr="00DD0784">
        <w:rPr>
          <w:rFonts w:ascii="Arial" w:hAnsi="Arial" w:cs="Arial"/>
          <w:lang w:val="es-419"/>
        </w:rPr>
        <w:t xml:space="preserve">El descenso de la incidencia de casos de TB logrado en el periodo 2000-2006 se debió a estrategias e intervenciones exitosas como acciones de información y comunicación y la implementación del Tratamiento Acortado Estrictamente Supervisado (TAES) institucional y comunitario entre otras, mismas que tenían una aplicación a la población general. </w:t>
      </w:r>
    </w:p>
    <w:p w14:paraId="5AA61AEE" w14:textId="7ABA3A7A" w:rsidR="0053287A" w:rsidRPr="0053287A" w:rsidRDefault="0053287A" w:rsidP="0053287A">
      <w:pPr>
        <w:pStyle w:val="Caption"/>
        <w:rPr>
          <w:rStyle w:val="IntenseReference"/>
          <w:rFonts w:ascii="Arial" w:hAnsi="Arial" w:cs="Arial"/>
          <w:color w:val="auto"/>
          <w:sz w:val="22"/>
          <w:lang w:val="es-MX"/>
        </w:rPr>
      </w:pPr>
      <w:bookmarkStart w:id="68" w:name="_Toc8904103"/>
      <w:bookmarkStart w:id="69" w:name="_Hlk535490324"/>
      <w:r w:rsidRPr="0053287A">
        <w:rPr>
          <w:rFonts w:ascii="Arial" w:hAnsi="Arial" w:cs="Arial"/>
          <w:color w:val="auto"/>
          <w:sz w:val="22"/>
        </w:rPr>
        <w:lastRenderedPageBreak/>
        <w:t xml:space="preserve">Figura </w:t>
      </w:r>
      <w:r w:rsidRPr="0053287A">
        <w:rPr>
          <w:rFonts w:ascii="Arial" w:hAnsi="Arial" w:cs="Arial"/>
          <w:color w:val="auto"/>
          <w:sz w:val="22"/>
        </w:rPr>
        <w:fldChar w:fldCharType="begin"/>
      </w:r>
      <w:r w:rsidRPr="0053287A">
        <w:rPr>
          <w:rFonts w:ascii="Arial" w:hAnsi="Arial" w:cs="Arial"/>
          <w:color w:val="auto"/>
          <w:sz w:val="22"/>
        </w:rPr>
        <w:instrText xml:space="preserve"> SEQ Figura \* ARABIC </w:instrText>
      </w:r>
      <w:r w:rsidRPr="0053287A">
        <w:rPr>
          <w:rFonts w:ascii="Arial" w:hAnsi="Arial" w:cs="Arial"/>
          <w:color w:val="auto"/>
          <w:sz w:val="22"/>
        </w:rPr>
        <w:fldChar w:fldCharType="separate"/>
      </w:r>
      <w:r w:rsidR="00004563">
        <w:rPr>
          <w:rFonts w:ascii="Arial" w:hAnsi="Arial" w:cs="Arial"/>
          <w:noProof/>
          <w:color w:val="auto"/>
          <w:sz w:val="22"/>
        </w:rPr>
        <w:t>6</w:t>
      </w:r>
      <w:r w:rsidRPr="0053287A">
        <w:rPr>
          <w:rFonts w:ascii="Arial" w:hAnsi="Arial" w:cs="Arial"/>
          <w:color w:val="auto"/>
          <w:sz w:val="22"/>
        </w:rPr>
        <w:fldChar w:fldCharType="end"/>
      </w:r>
      <w:r w:rsidRPr="0053287A">
        <w:rPr>
          <w:rFonts w:ascii="Arial" w:hAnsi="Arial" w:cs="Arial"/>
          <w:color w:val="auto"/>
          <w:sz w:val="22"/>
        </w:rPr>
        <w:t>. Casos incidentes de TB (estimados y notificados) Honduras, 2000-2017</w:t>
      </w:r>
      <w:bookmarkEnd w:id="68"/>
    </w:p>
    <w:bookmarkEnd w:id="69"/>
    <w:p w14:paraId="569F0EBF" w14:textId="77777777" w:rsidR="00146166" w:rsidRPr="002344AA" w:rsidRDefault="00146166" w:rsidP="00146166">
      <w:pPr>
        <w:rPr>
          <w:lang w:val="es-419"/>
        </w:rPr>
      </w:pPr>
      <w:r>
        <w:rPr>
          <w:noProof/>
          <w:color w:val="FF0000"/>
          <w:sz w:val="24"/>
          <w:lang w:val="es-HN" w:eastAsia="es-HN"/>
        </w:rPr>
        <w:drawing>
          <wp:inline distT="0" distB="0" distL="0" distR="0" wp14:anchorId="05B01A96" wp14:editId="2948D7AD">
            <wp:extent cx="4194785" cy="2255520"/>
            <wp:effectExtent l="0" t="0" r="0" b="0"/>
            <wp:docPr id="71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02133" cy="2313240"/>
                    </a:xfrm>
                    <a:prstGeom prst="rect">
                      <a:avLst/>
                    </a:prstGeom>
                    <a:noFill/>
                  </pic:spPr>
                </pic:pic>
              </a:graphicData>
            </a:graphic>
          </wp:inline>
        </w:drawing>
      </w:r>
    </w:p>
    <w:p w14:paraId="5F07A7FB" w14:textId="1FBCE5F9" w:rsidR="00146166" w:rsidRPr="00167C47" w:rsidRDefault="00146166" w:rsidP="00FC245E">
      <w:pPr>
        <w:rPr>
          <w:rFonts w:ascii="Arial" w:hAnsi="Arial" w:cs="Arial"/>
          <w:i/>
          <w:sz w:val="18"/>
          <w:szCs w:val="18"/>
          <w:lang w:val="es-419"/>
        </w:rPr>
      </w:pPr>
      <w:r w:rsidRPr="00167C47">
        <w:rPr>
          <w:rFonts w:ascii="Arial" w:hAnsi="Arial" w:cs="Arial"/>
          <w:i/>
          <w:sz w:val="18"/>
          <w:szCs w:val="18"/>
          <w:lang w:val="es-419"/>
        </w:rPr>
        <w:t>Fuente: Base de datos del Global TB Report OMS 2017 y datos de la Secretaría de Salud de Honduras</w:t>
      </w:r>
    </w:p>
    <w:p w14:paraId="715299D7" w14:textId="1FD54E36" w:rsidR="0053287A" w:rsidRPr="0053287A" w:rsidRDefault="0053287A" w:rsidP="0053287A">
      <w:pPr>
        <w:pStyle w:val="Caption"/>
        <w:rPr>
          <w:rStyle w:val="IntenseReference"/>
          <w:rFonts w:ascii="Arial" w:hAnsi="Arial" w:cs="Arial"/>
          <w:color w:val="auto"/>
          <w:sz w:val="22"/>
          <w:highlight w:val="yellow"/>
          <w:lang w:val="es-MX"/>
        </w:rPr>
      </w:pPr>
      <w:bookmarkStart w:id="70" w:name="_Toc8904104"/>
      <w:r w:rsidRPr="0053287A">
        <w:rPr>
          <w:rFonts w:ascii="Arial" w:hAnsi="Arial" w:cs="Arial"/>
          <w:color w:val="auto"/>
          <w:sz w:val="22"/>
        </w:rPr>
        <w:t xml:space="preserve">Figura </w:t>
      </w:r>
      <w:r w:rsidRPr="0053287A">
        <w:rPr>
          <w:rFonts w:ascii="Arial" w:hAnsi="Arial" w:cs="Arial"/>
          <w:color w:val="auto"/>
          <w:sz w:val="22"/>
        </w:rPr>
        <w:fldChar w:fldCharType="begin"/>
      </w:r>
      <w:r w:rsidRPr="0053287A">
        <w:rPr>
          <w:rFonts w:ascii="Arial" w:hAnsi="Arial" w:cs="Arial"/>
          <w:color w:val="auto"/>
          <w:sz w:val="22"/>
        </w:rPr>
        <w:instrText xml:space="preserve"> SEQ Figura \* ARABIC </w:instrText>
      </w:r>
      <w:r w:rsidRPr="0053287A">
        <w:rPr>
          <w:rFonts w:ascii="Arial" w:hAnsi="Arial" w:cs="Arial"/>
          <w:color w:val="auto"/>
          <w:sz w:val="22"/>
        </w:rPr>
        <w:fldChar w:fldCharType="separate"/>
      </w:r>
      <w:r w:rsidR="00004563">
        <w:rPr>
          <w:rFonts w:ascii="Arial" w:hAnsi="Arial" w:cs="Arial"/>
          <w:noProof/>
          <w:color w:val="auto"/>
          <w:sz w:val="22"/>
        </w:rPr>
        <w:t>7</w:t>
      </w:r>
      <w:r w:rsidRPr="0053287A">
        <w:rPr>
          <w:rFonts w:ascii="Arial" w:hAnsi="Arial" w:cs="Arial"/>
          <w:color w:val="auto"/>
          <w:sz w:val="22"/>
        </w:rPr>
        <w:fldChar w:fldCharType="end"/>
      </w:r>
      <w:r w:rsidRPr="0053287A">
        <w:rPr>
          <w:rFonts w:ascii="Arial" w:hAnsi="Arial" w:cs="Arial"/>
          <w:color w:val="auto"/>
          <w:sz w:val="22"/>
        </w:rPr>
        <w:t>. Distribución de casos de TB por factores de riesgo</w:t>
      </w:r>
      <w:bookmarkEnd w:id="70"/>
    </w:p>
    <w:p w14:paraId="43BD8BA1" w14:textId="41C108A2" w:rsidR="00716CD5" w:rsidRDefault="00F315C6" w:rsidP="00F315C6">
      <w:pPr>
        <w:spacing w:after="240" w:line="240" w:lineRule="auto"/>
        <w:jc w:val="center"/>
        <w:rPr>
          <w:rFonts w:ascii="Arial" w:hAnsi="Arial" w:cs="Arial"/>
          <w:lang w:val="es-HN"/>
        </w:rPr>
      </w:pPr>
      <w:r w:rsidRPr="00034027">
        <w:rPr>
          <w:rFonts w:cs="Calibri"/>
          <w:noProof/>
          <w:lang w:val="es-HN" w:eastAsia="es-HN"/>
        </w:rPr>
        <w:drawing>
          <wp:inline distT="0" distB="0" distL="0" distR="0" wp14:anchorId="12CFC7FB" wp14:editId="73F90AFB">
            <wp:extent cx="4085493" cy="2858722"/>
            <wp:effectExtent l="0" t="0" r="0" b="0"/>
            <wp:docPr id="15" name="Gráfico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57500E6" w14:textId="5E2EAFA8" w:rsidR="007F1F52" w:rsidRPr="00AB5728" w:rsidRDefault="007F1F52" w:rsidP="007F1F52">
      <w:pPr>
        <w:autoSpaceDE w:val="0"/>
        <w:autoSpaceDN w:val="0"/>
        <w:adjustRightInd w:val="0"/>
        <w:rPr>
          <w:rFonts w:ascii="Arial" w:hAnsi="Arial" w:cs="Arial"/>
          <w:i/>
          <w:sz w:val="18"/>
          <w:szCs w:val="18"/>
          <w:lang w:val="es-HN"/>
        </w:rPr>
      </w:pPr>
      <w:r w:rsidRPr="00167C47">
        <w:rPr>
          <w:rFonts w:ascii="Arial" w:hAnsi="Arial" w:cs="Arial"/>
          <w:i/>
          <w:sz w:val="18"/>
          <w:szCs w:val="18"/>
          <w:lang w:val="es-HN"/>
        </w:rPr>
        <w:t>Fuente</w:t>
      </w:r>
      <w:r w:rsidRPr="00AB5728">
        <w:rPr>
          <w:rFonts w:ascii="Arial" w:hAnsi="Arial" w:cs="Arial"/>
          <w:i/>
          <w:sz w:val="18"/>
          <w:szCs w:val="18"/>
          <w:lang w:val="es-HN"/>
        </w:rPr>
        <w:t xml:space="preserve">: </w:t>
      </w:r>
      <w:r w:rsidR="00084228" w:rsidRPr="00AB5728">
        <w:rPr>
          <w:rFonts w:ascii="Arial" w:hAnsi="Arial" w:cs="Arial"/>
          <w:i/>
          <w:sz w:val="18"/>
          <w:szCs w:val="18"/>
          <w:lang w:val="es-HN"/>
        </w:rPr>
        <w:t>Secretaria de Salud de Honduras. (2018). Subsistema de Información de TB 2017/UGI/UVS.</w:t>
      </w:r>
    </w:p>
    <w:p w14:paraId="5D92F7BD" w14:textId="0B799D88" w:rsidR="00084228" w:rsidRPr="00617548" w:rsidRDefault="00DD0784" w:rsidP="00617548">
      <w:pPr>
        <w:jc w:val="both"/>
        <w:rPr>
          <w:rFonts w:ascii="Arial" w:hAnsi="Arial" w:cs="Arial"/>
          <w:lang w:val="es-419"/>
        </w:rPr>
      </w:pPr>
      <w:r w:rsidRPr="00DD0784">
        <w:rPr>
          <w:rFonts w:ascii="Arial" w:hAnsi="Arial" w:cs="Arial"/>
          <w:lang w:val="es-419"/>
        </w:rPr>
        <w:t>En cuanto a la incidencia de la TB por área geográfica, entre el 2014 y el 2017 las Regiones Sanitarias (RS) que presentan una tasa de incidencia de TBTF por encima del promedio nacional que es de 31.6 han sido: Gracias a Dios (106.8), Metro de San Pedro Sula (66.3), Islas de la Bahía (44.6), Atlántida (43.7), Santa Bárbara (39.9), Valle (37.2), Cortés (36.7), Choluteca (36.4), Yoro (36.2) y Colón (35.7). Estas RS concentran el 68.8% de la carga de TB del país, y en ellas residen el 49% de la población. Estas RS están dentro de la zona geográfica priorizada por la subvención actual del Fondo Mundial.</w:t>
      </w:r>
      <w:r w:rsidRPr="00DD0784">
        <w:rPr>
          <w:rStyle w:val="FootnoteReference"/>
          <w:rFonts w:ascii="Arial" w:hAnsi="Arial" w:cs="Arial"/>
          <w:lang w:val="es-419"/>
        </w:rPr>
        <w:footnoteReference w:id="71"/>
      </w:r>
      <w:r w:rsidRPr="00DD0784">
        <w:rPr>
          <w:rFonts w:ascii="Arial" w:hAnsi="Arial" w:cs="Arial"/>
          <w:lang w:val="es-419"/>
        </w:rPr>
        <w:t xml:space="preserve"> </w:t>
      </w:r>
    </w:p>
    <w:p w14:paraId="75060978" w14:textId="292A9018" w:rsidR="00507011" w:rsidRPr="00507011" w:rsidRDefault="00507011" w:rsidP="00507011">
      <w:pPr>
        <w:pStyle w:val="Caption"/>
        <w:rPr>
          <w:rStyle w:val="IntenseReference"/>
          <w:rFonts w:ascii="Arial" w:hAnsi="Arial" w:cs="Arial"/>
          <w:color w:val="auto"/>
          <w:sz w:val="22"/>
          <w:szCs w:val="22"/>
          <w:lang w:val="es-MX"/>
        </w:rPr>
      </w:pPr>
      <w:bookmarkStart w:id="72" w:name="_Toc8904105"/>
      <w:bookmarkStart w:id="73" w:name="_Hlk535491069"/>
      <w:r w:rsidRPr="00507011">
        <w:rPr>
          <w:rFonts w:ascii="Arial" w:hAnsi="Arial" w:cs="Arial"/>
          <w:color w:val="auto"/>
          <w:sz w:val="22"/>
          <w:szCs w:val="22"/>
        </w:rPr>
        <w:lastRenderedPageBreak/>
        <w:t xml:space="preserve">Figura </w:t>
      </w:r>
      <w:r w:rsidRPr="00507011">
        <w:rPr>
          <w:rFonts w:ascii="Arial" w:hAnsi="Arial" w:cs="Arial"/>
          <w:color w:val="auto"/>
          <w:sz w:val="22"/>
          <w:szCs w:val="22"/>
        </w:rPr>
        <w:fldChar w:fldCharType="begin"/>
      </w:r>
      <w:r w:rsidRPr="00507011">
        <w:rPr>
          <w:rFonts w:ascii="Arial" w:hAnsi="Arial" w:cs="Arial"/>
          <w:color w:val="auto"/>
          <w:sz w:val="22"/>
          <w:szCs w:val="22"/>
        </w:rPr>
        <w:instrText xml:space="preserve"> SEQ Figura \* ARABIC </w:instrText>
      </w:r>
      <w:r w:rsidRPr="00507011">
        <w:rPr>
          <w:rFonts w:ascii="Arial" w:hAnsi="Arial" w:cs="Arial"/>
          <w:color w:val="auto"/>
          <w:sz w:val="22"/>
          <w:szCs w:val="22"/>
        </w:rPr>
        <w:fldChar w:fldCharType="separate"/>
      </w:r>
      <w:r w:rsidR="00004563">
        <w:rPr>
          <w:rFonts w:ascii="Arial" w:hAnsi="Arial" w:cs="Arial"/>
          <w:noProof/>
          <w:color w:val="auto"/>
          <w:sz w:val="22"/>
          <w:szCs w:val="22"/>
        </w:rPr>
        <w:t>8</w:t>
      </w:r>
      <w:r w:rsidRPr="00507011">
        <w:rPr>
          <w:rFonts w:ascii="Arial" w:hAnsi="Arial" w:cs="Arial"/>
          <w:color w:val="auto"/>
          <w:sz w:val="22"/>
          <w:szCs w:val="22"/>
        </w:rPr>
        <w:fldChar w:fldCharType="end"/>
      </w:r>
      <w:r w:rsidRPr="00507011">
        <w:rPr>
          <w:rFonts w:ascii="Arial" w:hAnsi="Arial" w:cs="Arial"/>
          <w:color w:val="auto"/>
          <w:sz w:val="22"/>
          <w:szCs w:val="22"/>
        </w:rPr>
        <w:t>. Incidencia de TB por Región Sanitaria, Honduras 2017</w:t>
      </w:r>
      <w:bookmarkEnd w:id="72"/>
    </w:p>
    <w:bookmarkEnd w:id="73"/>
    <w:p w14:paraId="2E92902A" w14:textId="03184A63" w:rsidR="00EC1C1E" w:rsidRDefault="00E214BE" w:rsidP="00DA4917">
      <w:pPr>
        <w:jc w:val="both"/>
        <w:rPr>
          <w:rFonts w:ascii="Arial" w:hAnsi="Arial" w:cs="Arial"/>
          <w:lang w:val="es-419"/>
        </w:rPr>
      </w:pPr>
      <w:r w:rsidRPr="00034027">
        <w:rPr>
          <w:rFonts w:cs="Calibri"/>
          <w:noProof/>
          <w:lang w:val="es-HN" w:eastAsia="es-HN"/>
        </w:rPr>
        <w:drawing>
          <wp:inline distT="0" distB="0" distL="0" distR="0" wp14:anchorId="13635478" wp14:editId="5BD48DDC">
            <wp:extent cx="2848300" cy="1767625"/>
            <wp:effectExtent l="0" t="0" r="0" b="4445"/>
            <wp:docPr id="71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61421" cy="1775768"/>
                    </a:xfrm>
                    <a:prstGeom prst="rect">
                      <a:avLst/>
                    </a:prstGeom>
                    <a:noFill/>
                    <a:ln>
                      <a:noFill/>
                    </a:ln>
                  </pic:spPr>
                </pic:pic>
              </a:graphicData>
            </a:graphic>
          </wp:inline>
        </w:drawing>
      </w:r>
    </w:p>
    <w:p w14:paraId="37DA0E7E" w14:textId="4F892B85" w:rsidR="00EC1C1E" w:rsidRPr="00AB5728" w:rsidRDefault="00EC1C1E" w:rsidP="00EC1C1E">
      <w:pPr>
        <w:rPr>
          <w:rFonts w:ascii="Arial" w:hAnsi="Arial" w:cs="Arial"/>
          <w:i/>
          <w:sz w:val="18"/>
          <w:lang w:val="es-419"/>
        </w:rPr>
      </w:pPr>
      <w:r w:rsidRPr="00AB5728">
        <w:rPr>
          <w:rFonts w:ascii="Arial" w:hAnsi="Arial" w:cs="Arial"/>
          <w:i/>
          <w:sz w:val="18"/>
          <w:lang w:val="es-419"/>
        </w:rPr>
        <w:t xml:space="preserve">Fuente: </w:t>
      </w:r>
      <w:r w:rsidR="00084228" w:rsidRPr="00AB5728">
        <w:rPr>
          <w:rFonts w:ascii="Arial" w:hAnsi="Arial" w:cs="Arial"/>
          <w:i/>
          <w:sz w:val="18"/>
          <w:lang w:val="es-419"/>
        </w:rPr>
        <w:t>Secretaria de Salud de Honduras. (2018). Informe Situación Epidemiológica y Programática de la Tuberculosis en Honduras 2017.</w:t>
      </w:r>
    </w:p>
    <w:p w14:paraId="7B0632DC" w14:textId="0048DD6F" w:rsidR="00EC1C1E" w:rsidRDefault="00EC1C1E" w:rsidP="00DA4917">
      <w:pPr>
        <w:jc w:val="both"/>
        <w:rPr>
          <w:rFonts w:ascii="Arial" w:hAnsi="Arial" w:cs="Arial"/>
          <w:lang w:val="es-419"/>
        </w:rPr>
      </w:pPr>
      <w:r w:rsidRPr="000E485C">
        <w:rPr>
          <w:rFonts w:ascii="Arial" w:hAnsi="Arial" w:cs="Arial"/>
          <w:lang w:val="es-419"/>
        </w:rPr>
        <w:t>Con apoyo de la OPS, se ha elaborado una estratificación priorizada de los departamentos geográficos en función de la carga de población, baciloscopias reportadas, casos de BK positivos, porcentaje de positividad, factores de riesgo/vulnerabilidad para enfermar por TB (como la accesibilidad geográfica, violencia, desnutrición, pobreza) e Índice de Desarrollo Humano (IDH). Con base dicha estratificación se han identificado las RS que requieren mayores esfuerzos de búsqueda, detección, diagnóstico y tratamiento. Por ejemplo, se han identificado RS como las regiones fronterizas de Lempira e Intibucá que antes estaban catalogas como de bajo riesgo y han aumentado su riesgo. En la actual es</w:t>
      </w:r>
      <w:r w:rsidR="000E485C" w:rsidRPr="000E485C">
        <w:rPr>
          <w:rFonts w:ascii="Arial" w:hAnsi="Arial" w:cs="Arial"/>
          <w:lang w:val="es-419"/>
        </w:rPr>
        <w:t xml:space="preserve">tratificación </w:t>
      </w:r>
      <w:r w:rsidR="001804AE">
        <w:rPr>
          <w:rFonts w:ascii="Arial" w:hAnsi="Arial" w:cs="Arial"/>
          <w:lang w:val="es-419"/>
        </w:rPr>
        <w:t>las regiones con mayor prioridad son las RS</w:t>
      </w:r>
      <w:r w:rsidRPr="000E485C">
        <w:rPr>
          <w:rFonts w:ascii="Arial" w:hAnsi="Arial" w:cs="Arial"/>
          <w:lang w:val="es-419"/>
        </w:rPr>
        <w:t xml:space="preserve"> de Atlántida y Cortés</w:t>
      </w:r>
      <w:r w:rsidR="001804AE">
        <w:rPr>
          <w:rFonts w:ascii="Arial" w:hAnsi="Arial" w:cs="Arial"/>
          <w:lang w:val="es-419"/>
        </w:rPr>
        <w:t xml:space="preserve"> (con 10 puntos o más), seguidas de </w:t>
      </w:r>
      <w:r w:rsidRPr="000E485C">
        <w:rPr>
          <w:rFonts w:ascii="Arial" w:hAnsi="Arial" w:cs="Arial"/>
          <w:lang w:val="es-419"/>
        </w:rPr>
        <w:t>Gracias a Dios, Lempira, Islas de la Bahía, Santa Bárbara, Yoro e Intibucá</w:t>
      </w:r>
      <w:r w:rsidR="001804AE">
        <w:rPr>
          <w:rFonts w:ascii="Arial" w:hAnsi="Arial" w:cs="Arial"/>
          <w:lang w:val="es-419"/>
        </w:rPr>
        <w:t xml:space="preserve"> (con entre </w:t>
      </w:r>
      <w:r w:rsidR="001804AE" w:rsidRPr="000E485C">
        <w:rPr>
          <w:rFonts w:ascii="Arial" w:hAnsi="Arial" w:cs="Arial"/>
          <w:lang w:val="es-419"/>
        </w:rPr>
        <w:t>7.5 – 9.9 puntos</w:t>
      </w:r>
      <w:r w:rsidR="001804AE">
        <w:rPr>
          <w:rFonts w:ascii="Arial" w:hAnsi="Arial" w:cs="Arial"/>
          <w:lang w:val="es-419"/>
        </w:rPr>
        <w:t>)</w:t>
      </w:r>
      <w:r w:rsidRPr="000E485C">
        <w:rPr>
          <w:rFonts w:ascii="Arial" w:hAnsi="Arial" w:cs="Arial"/>
          <w:lang w:val="es-419"/>
        </w:rPr>
        <w:t>.</w:t>
      </w:r>
      <w:r w:rsidRPr="000E485C">
        <w:rPr>
          <w:rStyle w:val="FootnoteReference"/>
          <w:rFonts w:ascii="Arial" w:hAnsi="Arial" w:cs="Arial"/>
          <w:lang w:val="es-419"/>
        </w:rPr>
        <w:footnoteReference w:id="72"/>
      </w:r>
    </w:p>
    <w:p w14:paraId="3C9DC2EB" w14:textId="575BE3BE" w:rsidR="00F720B5" w:rsidRPr="00184FB9" w:rsidRDefault="00F720B5" w:rsidP="00F720B5">
      <w:pPr>
        <w:jc w:val="both"/>
        <w:rPr>
          <w:rFonts w:ascii="Arial" w:hAnsi="Arial" w:cs="Arial"/>
          <w:lang w:val="es-419"/>
        </w:rPr>
      </w:pPr>
      <w:bookmarkStart w:id="74" w:name="_Hlk1663483"/>
      <w:r w:rsidRPr="00B20DE9">
        <w:rPr>
          <w:rFonts w:ascii="Arial" w:hAnsi="Arial" w:cs="Arial"/>
          <w:lang w:val="es-419"/>
        </w:rPr>
        <w:t xml:space="preserve">La mortalidad notificada por el país entre el 2004 al 2017 presenta </w:t>
      </w:r>
      <w:r w:rsidR="007B0B21">
        <w:rPr>
          <w:rFonts w:ascii="Arial" w:hAnsi="Arial" w:cs="Arial"/>
          <w:lang w:val="es-419"/>
        </w:rPr>
        <w:t>fluctuaciones y</w:t>
      </w:r>
      <w:r w:rsidRPr="00B20DE9">
        <w:rPr>
          <w:rFonts w:ascii="Arial" w:hAnsi="Arial" w:cs="Arial"/>
          <w:lang w:val="es-419"/>
        </w:rPr>
        <w:t xml:space="preserve"> una tendencia al aumento, especialmente a partir del año 2013 con una tasa de mortalidad de 2.22 para el 2017.</w:t>
      </w:r>
      <w:r w:rsidRPr="00B20DE9">
        <w:rPr>
          <w:rStyle w:val="FootnoteReference"/>
          <w:rFonts w:ascii="Arial" w:hAnsi="Arial" w:cs="Arial"/>
          <w:lang w:val="es-419"/>
        </w:rPr>
        <w:footnoteReference w:id="73"/>
      </w:r>
      <w:r w:rsidRPr="00B20DE9">
        <w:rPr>
          <w:rFonts w:ascii="Arial" w:hAnsi="Arial" w:cs="Arial"/>
          <w:lang w:val="es-419"/>
        </w:rPr>
        <w:t xml:space="preserve"> Estas variaciones en la mortalidad notificada por el país pueden deberse a dificultades con el registro de las muertes y al sistema </w:t>
      </w:r>
      <w:r w:rsidRPr="00184FB9">
        <w:rPr>
          <w:rFonts w:ascii="Arial" w:hAnsi="Arial" w:cs="Arial"/>
          <w:lang w:val="es-419"/>
        </w:rPr>
        <w:t>de información.</w:t>
      </w:r>
      <w:r w:rsidRPr="00184FB9">
        <w:rPr>
          <w:rStyle w:val="FootnoteReference"/>
          <w:rFonts w:ascii="Arial" w:hAnsi="Arial" w:cs="Arial"/>
          <w:lang w:val="es-419"/>
        </w:rPr>
        <w:footnoteReference w:id="74"/>
      </w:r>
    </w:p>
    <w:bookmarkEnd w:id="74"/>
    <w:p w14:paraId="0E6E074D" w14:textId="7D98BCE1" w:rsidR="002E6B85" w:rsidRDefault="002E6B85" w:rsidP="00F720B5">
      <w:pPr>
        <w:jc w:val="both"/>
        <w:rPr>
          <w:rFonts w:ascii="Arial" w:hAnsi="Arial" w:cs="Arial"/>
          <w:lang w:val="es-ES"/>
        </w:rPr>
      </w:pPr>
      <w:r w:rsidRPr="00184FB9">
        <w:rPr>
          <w:rFonts w:ascii="Arial" w:hAnsi="Arial" w:cs="Arial"/>
          <w:lang w:val="es-419"/>
        </w:rPr>
        <w:t>E</w:t>
      </w:r>
      <w:r w:rsidRPr="00184FB9">
        <w:rPr>
          <w:rFonts w:ascii="Arial" w:hAnsi="Arial" w:cs="Arial"/>
          <w:lang w:val="es-ES"/>
        </w:rPr>
        <w:t xml:space="preserve">l país ha </w:t>
      </w:r>
      <w:r>
        <w:rPr>
          <w:rFonts w:ascii="Arial" w:hAnsi="Arial" w:cs="Arial"/>
          <w:lang w:val="es-ES"/>
        </w:rPr>
        <w:t>realizado</w:t>
      </w:r>
      <w:r w:rsidRPr="00184FB9">
        <w:rPr>
          <w:rFonts w:ascii="Arial" w:hAnsi="Arial" w:cs="Arial"/>
          <w:lang w:val="es-ES"/>
        </w:rPr>
        <w:t xml:space="preserve"> esfuerzos para fortalecer la vigilancia de </w:t>
      </w:r>
      <w:r w:rsidRPr="00184FB9">
        <w:rPr>
          <w:rFonts w:ascii="Arial" w:hAnsi="Arial" w:cs="Arial"/>
          <w:lang w:val="es-419"/>
        </w:rPr>
        <w:t>la tuberculosis resistente a la primera línea de tratamiento (TB-MDR)</w:t>
      </w:r>
      <w:r w:rsidRPr="00184FB9">
        <w:rPr>
          <w:rFonts w:ascii="Arial" w:hAnsi="Arial" w:cs="Arial"/>
          <w:lang w:val="es-ES"/>
        </w:rPr>
        <w:t>, lo que se evidencia en el incremento de las Pruebas de Sensibilidad (PSD) realizadas en los pacientes antes tratados, que ha pasado de 34% en el 2011, a 51% en el 2017</w:t>
      </w:r>
      <w:r>
        <w:rPr>
          <w:rFonts w:ascii="Arial" w:hAnsi="Arial" w:cs="Arial"/>
          <w:lang w:val="es-ES"/>
        </w:rPr>
        <w:t xml:space="preserve"> </w:t>
      </w:r>
      <w:r w:rsidRPr="007A72A3">
        <w:rPr>
          <w:rFonts w:ascii="Arial" w:hAnsi="Arial" w:cs="Arial"/>
          <w:lang w:val="es-ES"/>
        </w:rPr>
        <w:t xml:space="preserve">(Ver Figura </w:t>
      </w:r>
      <w:r w:rsidR="007A72A3" w:rsidRPr="007A72A3">
        <w:rPr>
          <w:rFonts w:ascii="Arial" w:hAnsi="Arial" w:cs="Arial"/>
          <w:lang w:val="es-ES"/>
        </w:rPr>
        <w:t>9</w:t>
      </w:r>
      <w:r w:rsidRPr="007A72A3">
        <w:rPr>
          <w:rFonts w:ascii="Arial" w:hAnsi="Arial" w:cs="Arial"/>
          <w:lang w:val="es-ES"/>
        </w:rPr>
        <w:t>).</w:t>
      </w:r>
      <w:r w:rsidRPr="00184FB9">
        <w:rPr>
          <w:rFonts w:ascii="Arial" w:hAnsi="Arial" w:cs="Arial"/>
          <w:lang w:val="es-ES"/>
        </w:rPr>
        <w:t xml:space="preserve"> </w:t>
      </w:r>
      <w:r>
        <w:rPr>
          <w:rFonts w:ascii="Arial" w:hAnsi="Arial" w:cs="Arial"/>
          <w:lang w:val="es-ES"/>
        </w:rPr>
        <w:t>Sin embargo</w:t>
      </w:r>
      <w:r w:rsidRPr="00184FB9">
        <w:rPr>
          <w:rFonts w:ascii="Arial" w:hAnsi="Arial" w:cs="Arial"/>
          <w:lang w:val="es-ES"/>
        </w:rPr>
        <w:t xml:space="preserve">, en pacientes nuevos con factores de riesgo para TB-MDR, en 2017 se lograron detectar </w:t>
      </w:r>
      <w:r>
        <w:rPr>
          <w:rFonts w:ascii="Arial" w:hAnsi="Arial" w:cs="Arial"/>
          <w:lang w:val="es-ES"/>
        </w:rPr>
        <w:t xml:space="preserve">únicamente </w:t>
      </w:r>
      <w:r w:rsidRPr="00184FB9">
        <w:rPr>
          <w:rFonts w:ascii="Arial" w:hAnsi="Arial" w:cs="Arial"/>
          <w:lang w:val="es-ES"/>
        </w:rPr>
        <w:t>21 casos de los 103 casos estimados (</w:t>
      </w:r>
      <w:r>
        <w:rPr>
          <w:rFonts w:ascii="Arial" w:hAnsi="Arial" w:cs="Arial"/>
          <w:lang w:val="es-ES"/>
        </w:rPr>
        <w:t>el 20% del total</w:t>
      </w:r>
      <w:r w:rsidRPr="00184FB9">
        <w:rPr>
          <w:rFonts w:ascii="Arial" w:hAnsi="Arial" w:cs="Arial"/>
          <w:lang w:val="es-ES"/>
        </w:rPr>
        <w:t>).</w:t>
      </w:r>
      <w:r w:rsidRPr="00184FB9">
        <w:rPr>
          <w:rStyle w:val="FootnoteReference"/>
          <w:rFonts w:ascii="Arial" w:hAnsi="Arial" w:cs="Arial"/>
          <w:lang w:val="es-ES"/>
        </w:rPr>
        <w:footnoteReference w:id="75"/>
      </w:r>
      <w:r>
        <w:rPr>
          <w:rFonts w:ascii="Arial" w:hAnsi="Arial" w:cs="Arial"/>
          <w:lang w:val="es-ES"/>
        </w:rPr>
        <w:t xml:space="preserve"> </w:t>
      </w:r>
    </w:p>
    <w:p w14:paraId="6793019E" w14:textId="2C3F0A2E" w:rsidR="007A72A3" w:rsidRDefault="007A72A3" w:rsidP="00F720B5">
      <w:pPr>
        <w:jc w:val="both"/>
        <w:rPr>
          <w:rFonts w:ascii="Arial" w:hAnsi="Arial" w:cs="Arial"/>
          <w:lang w:val="es-419"/>
        </w:rPr>
      </w:pPr>
    </w:p>
    <w:p w14:paraId="09766280" w14:textId="1DAD8F89" w:rsidR="00257534" w:rsidRDefault="00257534" w:rsidP="00F720B5">
      <w:pPr>
        <w:jc w:val="both"/>
        <w:rPr>
          <w:rFonts w:ascii="Arial" w:hAnsi="Arial" w:cs="Arial"/>
          <w:lang w:val="es-419"/>
        </w:rPr>
      </w:pPr>
    </w:p>
    <w:p w14:paraId="266835BD" w14:textId="5613AF1B" w:rsidR="00257534" w:rsidRDefault="00257534" w:rsidP="00F720B5">
      <w:pPr>
        <w:jc w:val="both"/>
        <w:rPr>
          <w:rFonts w:ascii="Arial" w:hAnsi="Arial" w:cs="Arial"/>
          <w:lang w:val="es-419"/>
        </w:rPr>
      </w:pPr>
    </w:p>
    <w:p w14:paraId="4C318A08" w14:textId="77777777" w:rsidR="00257534" w:rsidRDefault="00257534" w:rsidP="00F720B5">
      <w:pPr>
        <w:jc w:val="both"/>
        <w:rPr>
          <w:rFonts w:ascii="Arial" w:hAnsi="Arial" w:cs="Arial"/>
          <w:lang w:val="es-419"/>
        </w:rPr>
      </w:pPr>
    </w:p>
    <w:p w14:paraId="1D211BF7" w14:textId="5AA5A59C" w:rsidR="00E13FEF" w:rsidRPr="003976DF" w:rsidRDefault="00E13FEF" w:rsidP="00E13FEF">
      <w:pPr>
        <w:pStyle w:val="Caption"/>
        <w:rPr>
          <w:rFonts w:ascii="Arial" w:hAnsi="Arial" w:cs="Arial"/>
          <w:color w:val="auto"/>
          <w:sz w:val="22"/>
          <w:szCs w:val="22"/>
          <w:lang w:val="es-419"/>
        </w:rPr>
      </w:pPr>
      <w:bookmarkStart w:id="75" w:name="_Toc8904106"/>
      <w:bookmarkStart w:id="76" w:name="_Hlk535491283"/>
      <w:r w:rsidRPr="003976DF">
        <w:rPr>
          <w:rFonts w:ascii="Arial" w:hAnsi="Arial" w:cs="Arial"/>
          <w:color w:val="auto"/>
          <w:sz w:val="22"/>
          <w:szCs w:val="22"/>
        </w:rPr>
        <w:lastRenderedPageBreak/>
        <w:t xml:space="preserve">Figura </w:t>
      </w:r>
      <w:r w:rsidRPr="003976DF">
        <w:rPr>
          <w:rFonts w:ascii="Arial" w:hAnsi="Arial" w:cs="Arial"/>
          <w:color w:val="auto"/>
          <w:sz w:val="22"/>
          <w:szCs w:val="22"/>
        </w:rPr>
        <w:fldChar w:fldCharType="begin"/>
      </w:r>
      <w:r w:rsidRPr="003976DF">
        <w:rPr>
          <w:rFonts w:ascii="Arial" w:hAnsi="Arial" w:cs="Arial"/>
          <w:color w:val="auto"/>
          <w:sz w:val="22"/>
          <w:szCs w:val="22"/>
        </w:rPr>
        <w:instrText xml:space="preserve"> SEQ Figura \* ARABIC </w:instrText>
      </w:r>
      <w:r w:rsidRPr="003976DF">
        <w:rPr>
          <w:rFonts w:ascii="Arial" w:hAnsi="Arial" w:cs="Arial"/>
          <w:color w:val="auto"/>
          <w:sz w:val="22"/>
          <w:szCs w:val="22"/>
        </w:rPr>
        <w:fldChar w:fldCharType="separate"/>
      </w:r>
      <w:r w:rsidR="00004563">
        <w:rPr>
          <w:rFonts w:ascii="Arial" w:hAnsi="Arial" w:cs="Arial"/>
          <w:noProof/>
          <w:color w:val="auto"/>
          <w:sz w:val="22"/>
          <w:szCs w:val="22"/>
        </w:rPr>
        <w:t>9</w:t>
      </w:r>
      <w:r w:rsidRPr="003976DF">
        <w:rPr>
          <w:rFonts w:ascii="Arial" w:hAnsi="Arial" w:cs="Arial"/>
          <w:color w:val="auto"/>
          <w:sz w:val="22"/>
          <w:szCs w:val="22"/>
        </w:rPr>
        <w:fldChar w:fldCharType="end"/>
      </w:r>
      <w:r w:rsidRPr="003976DF">
        <w:rPr>
          <w:rFonts w:ascii="Arial" w:hAnsi="Arial" w:cs="Arial"/>
          <w:color w:val="auto"/>
          <w:sz w:val="22"/>
          <w:szCs w:val="22"/>
        </w:rPr>
        <w:t>. Vigilancia de la resistencia a medicamentos anti-TB. Solicitud de pruebas de sensibilidad diagnóstica a casos nuevos y antes tratados. Honduras, 2011-2017</w:t>
      </w:r>
      <w:bookmarkEnd w:id="75"/>
    </w:p>
    <w:bookmarkEnd w:id="76"/>
    <w:p w14:paraId="1F1C06B0" w14:textId="77777777" w:rsidR="009B4A56" w:rsidRDefault="009B4A56" w:rsidP="009B4A56">
      <w:pPr>
        <w:jc w:val="both"/>
        <w:rPr>
          <w:highlight w:val="yellow"/>
          <w:lang w:val="es-HN"/>
        </w:rPr>
      </w:pPr>
      <w:r w:rsidRPr="001121B1">
        <w:rPr>
          <w:rFonts w:ascii="Georgia" w:hAnsi="Georgia" w:cs="Calibri"/>
          <w:noProof/>
          <w:sz w:val="24"/>
          <w:szCs w:val="24"/>
          <w:lang w:val="es-HN" w:eastAsia="es-HN"/>
        </w:rPr>
        <w:drawing>
          <wp:inline distT="0" distB="0" distL="0" distR="0" wp14:anchorId="5CCBAE76" wp14:editId="3F38FDD1">
            <wp:extent cx="4521200" cy="1932940"/>
            <wp:effectExtent l="0" t="0" r="0" b="0"/>
            <wp:docPr id="17" name="Gráfico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6728CA7" w14:textId="5C85E105" w:rsidR="009B4A56" w:rsidRDefault="009B4A56" w:rsidP="00F720B5">
      <w:pPr>
        <w:jc w:val="both"/>
        <w:rPr>
          <w:rFonts w:ascii="Arial" w:hAnsi="Arial" w:cs="Arial"/>
          <w:i/>
          <w:sz w:val="18"/>
          <w:szCs w:val="18"/>
          <w:lang w:val="es-ES"/>
        </w:rPr>
      </w:pPr>
      <w:r w:rsidRPr="00167C47">
        <w:rPr>
          <w:rFonts w:ascii="Arial" w:hAnsi="Arial" w:cs="Arial"/>
          <w:i/>
          <w:sz w:val="18"/>
          <w:szCs w:val="18"/>
          <w:lang w:val="es-ES"/>
        </w:rPr>
        <w:t xml:space="preserve">Fuente: </w:t>
      </w:r>
      <w:r w:rsidR="00AC6A5A" w:rsidRPr="00AC6A5A">
        <w:rPr>
          <w:rFonts w:ascii="Arial" w:hAnsi="Arial" w:cs="Arial"/>
          <w:i/>
          <w:sz w:val="18"/>
          <w:szCs w:val="18"/>
          <w:lang w:val="es-ES"/>
        </w:rPr>
        <w:t>Secretaria de Salud de Honduras. (2018). Subsistema de Información de TB 2017/UGI/UVS.</w:t>
      </w:r>
    </w:p>
    <w:p w14:paraId="351D3EC3" w14:textId="77777777" w:rsidR="007A72A3" w:rsidRDefault="007A72A3" w:rsidP="007A72A3">
      <w:pPr>
        <w:jc w:val="both"/>
        <w:rPr>
          <w:rFonts w:ascii="Arial" w:hAnsi="Arial" w:cs="Arial"/>
          <w:lang w:val="es-HN"/>
        </w:rPr>
      </w:pPr>
      <w:r w:rsidRPr="00184FB9">
        <w:rPr>
          <w:rFonts w:ascii="Arial" w:hAnsi="Arial" w:cs="Arial"/>
          <w:lang w:val="es-HN"/>
        </w:rPr>
        <w:t xml:space="preserve">En el 2017 se investigaron 6 casos TB-MDR con PSD a drogas de segunda línea, </w:t>
      </w:r>
      <w:bookmarkStart w:id="77" w:name="_Hlk1727563"/>
      <w:r w:rsidRPr="00184FB9">
        <w:rPr>
          <w:rFonts w:ascii="Arial" w:hAnsi="Arial" w:cs="Arial"/>
          <w:lang w:val="es-HN"/>
        </w:rPr>
        <w:t xml:space="preserve">se descarta hasta el momento la existencia de casos de tuberculosis resistente a isoniazida y rifampicina (TB-XDR) </w:t>
      </w:r>
      <w:bookmarkEnd w:id="77"/>
      <w:r w:rsidRPr="00184FB9">
        <w:rPr>
          <w:rFonts w:ascii="Arial" w:hAnsi="Arial" w:cs="Arial"/>
          <w:lang w:val="es-HN"/>
        </w:rPr>
        <w:t>de acuerdo con los resultados de pruebas realizadas por el Laboratorio Supranacional de México.</w:t>
      </w:r>
      <w:r w:rsidRPr="00184FB9">
        <w:rPr>
          <w:rFonts w:ascii="Arial" w:eastAsia="Calibri" w:hAnsi="Arial" w:cs="Arial"/>
          <w:sz w:val="24"/>
          <w:szCs w:val="24"/>
          <w:lang w:val="es-HN" w:eastAsia="es-HN"/>
        </w:rPr>
        <w:t xml:space="preserve"> </w:t>
      </w:r>
      <w:r w:rsidRPr="00184FB9">
        <w:rPr>
          <w:rFonts w:ascii="Arial" w:hAnsi="Arial" w:cs="Arial"/>
          <w:lang w:val="es-HN"/>
        </w:rPr>
        <w:t>El equipo técnico del Laboratorio Nacional de Vigilancia de la TB (LNVTB) ha sido capacitado en técnicas de diagnóstico de resistencia a drogas de segunda línea por el Laboratorio Supranacional, quienes además realizan el control externo de la calidad. Con la presente subvención se está en proceso de compra el MGIT para lograr la cobertura de pruebas de segunda línea al 100% de los casos TB-MDR /RR.</w:t>
      </w:r>
      <w:r w:rsidRPr="00184FB9">
        <w:rPr>
          <w:rStyle w:val="FootnoteReference"/>
          <w:rFonts w:ascii="Arial" w:hAnsi="Arial" w:cs="Arial"/>
          <w:lang w:val="es-HN"/>
        </w:rPr>
        <w:footnoteReference w:id="76"/>
      </w:r>
    </w:p>
    <w:p w14:paraId="3DFD9AA1" w14:textId="77777777" w:rsidR="007A72A3" w:rsidRDefault="007A72A3" w:rsidP="007A72A3">
      <w:pPr>
        <w:jc w:val="both"/>
        <w:rPr>
          <w:rFonts w:ascii="Arial" w:hAnsi="Arial" w:cs="Arial"/>
          <w:lang w:val="es-419"/>
        </w:rPr>
      </w:pPr>
      <w:bookmarkStart w:id="78" w:name="_Hlk1727582"/>
      <w:r>
        <w:rPr>
          <w:rFonts w:ascii="Arial" w:hAnsi="Arial" w:cs="Arial"/>
          <w:lang w:val="es-419"/>
        </w:rPr>
        <w:t>Por último, se observa</w:t>
      </w:r>
      <w:r w:rsidRPr="00DA4917">
        <w:rPr>
          <w:rFonts w:ascii="Arial" w:hAnsi="Arial" w:cs="Arial"/>
          <w:lang w:val="es-419"/>
        </w:rPr>
        <w:t xml:space="preserve"> </w:t>
      </w:r>
      <w:r>
        <w:rPr>
          <w:rFonts w:ascii="Arial" w:hAnsi="Arial" w:cs="Arial"/>
          <w:lang w:val="es-419"/>
        </w:rPr>
        <w:t>que la</w:t>
      </w:r>
      <w:r w:rsidRPr="00DA4917">
        <w:rPr>
          <w:rFonts w:ascii="Arial" w:hAnsi="Arial" w:cs="Arial"/>
          <w:lang w:val="es-419"/>
        </w:rPr>
        <w:t xml:space="preserve"> tasa de TB en Centros Penales (CP) </w:t>
      </w:r>
      <w:r>
        <w:rPr>
          <w:rFonts w:ascii="Arial" w:hAnsi="Arial" w:cs="Arial"/>
          <w:lang w:val="es-419"/>
        </w:rPr>
        <w:t>se incrementó</w:t>
      </w:r>
      <w:r w:rsidRPr="00DA4917">
        <w:rPr>
          <w:rFonts w:ascii="Arial" w:hAnsi="Arial" w:cs="Arial"/>
          <w:lang w:val="es-419"/>
        </w:rPr>
        <w:t xml:space="preserve"> de 800 casos por 100,000 habitantes</w:t>
      </w:r>
      <w:r>
        <w:rPr>
          <w:rFonts w:ascii="Arial" w:hAnsi="Arial" w:cs="Arial"/>
          <w:lang w:val="es-419"/>
        </w:rPr>
        <w:t xml:space="preserve"> en 2009 a</w:t>
      </w:r>
      <w:r w:rsidRPr="00DA4917">
        <w:rPr>
          <w:rFonts w:ascii="Arial" w:hAnsi="Arial" w:cs="Arial"/>
          <w:lang w:val="es-419"/>
        </w:rPr>
        <w:t xml:space="preserve"> 1,169 casos por 100,000 habitantes en 2014. Estas incidencias muestran un promedio 36 veces mayor de riesgo de </w:t>
      </w:r>
      <w:r>
        <w:rPr>
          <w:rFonts w:ascii="Arial" w:hAnsi="Arial" w:cs="Arial"/>
          <w:lang w:val="es-419"/>
        </w:rPr>
        <w:t>contraer</w:t>
      </w:r>
      <w:r w:rsidRPr="00DA4917">
        <w:rPr>
          <w:rFonts w:ascii="Arial" w:hAnsi="Arial" w:cs="Arial"/>
          <w:lang w:val="es-419"/>
        </w:rPr>
        <w:t xml:space="preserve"> TB dentro de los CP que el resto de la población debido a condiciones de hacinamiento y vulnerabilidad de l</w:t>
      </w:r>
      <w:r>
        <w:rPr>
          <w:rFonts w:ascii="Arial" w:hAnsi="Arial" w:cs="Arial"/>
          <w:lang w:val="es-419"/>
        </w:rPr>
        <w:t>as personas privadas de la libertad (PPL)</w:t>
      </w:r>
      <w:r w:rsidRPr="00DA4917">
        <w:rPr>
          <w:rFonts w:ascii="Arial" w:hAnsi="Arial" w:cs="Arial"/>
          <w:lang w:val="es-419"/>
        </w:rPr>
        <w:t>.</w:t>
      </w:r>
      <w:r w:rsidRPr="00DA4917">
        <w:rPr>
          <w:rStyle w:val="FootnoteReference"/>
          <w:rFonts w:ascii="Arial" w:hAnsi="Arial" w:cs="Arial"/>
          <w:lang w:val="es-419"/>
        </w:rPr>
        <w:footnoteReference w:id="77"/>
      </w:r>
      <w:r w:rsidRPr="00DA4917">
        <w:rPr>
          <w:rFonts w:ascii="Arial" w:hAnsi="Arial" w:cs="Arial"/>
          <w:lang w:val="es-419"/>
        </w:rPr>
        <w:t xml:space="preserve"> </w:t>
      </w:r>
      <w:bookmarkEnd w:id="78"/>
      <w:r>
        <w:rPr>
          <w:rFonts w:ascii="Arial" w:hAnsi="Arial" w:cs="Arial"/>
          <w:lang w:val="es-419"/>
        </w:rPr>
        <w:t>Adicionalmente, en los talleres de sociedad civil se reportó que el personal de enfermería en los CP no realiza periódicamente la búsqueda de casos, sino que son las OSC quienes realizan esta función sin compensación económica. Se recomienda buscar sinergias entre la Secretar</w:t>
      </w:r>
      <w:r>
        <w:rPr>
          <w:rFonts w:ascii="Arial" w:hAnsi="Arial" w:cs="Arial"/>
          <w:lang w:val="es-MX"/>
        </w:rPr>
        <w:t>ía de Gobernación, Justicia y Descentralización</w:t>
      </w:r>
      <w:r>
        <w:rPr>
          <w:rFonts w:ascii="Arial" w:hAnsi="Arial" w:cs="Arial"/>
          <w:lang w:val="es-419"/>
        </w:rPr>
        <w:t>, el Sistema Penitenciario y la SESAL para fortalecer el diagnóstico y tratamiento en este ámbito.</w:t>
      </w:r>
    </w:p>
    <w:p w14:paraId="17166917" w14:textId="77777777" w:rsidR="007A72A3" w:rsidRPr="00167C47" w:rsidRDefault="007A72A3" w:rsidP="00F720B5">
      <w:pPr>
        <w:jc w:val="both"/>
        <w:rPr>
          <w:rFonts w:ascii="Arial" w:hAnsi="Arial" w:cs="Arial"/>
          <w:i/>
          <w:sz w:val="18"/>
          <w:szCs w:val="18"/>
          <w:lang w:val="es-419"/>
        </w:rPr>
      </w:pPr>
    </w:p>
    <w:p w14:paraId="1DBCE3BA" w14:textId="56359C2A" w:rsidR="00517AD3" w:rsidRPr="00082D10" w:rsidRDefault="00517AD3" w:rsidP="0068285B">
      <w:pPr>
        <w:pStyle w:val="Heading2"/>
        <w:numPr>
          <w:ilvl w:val="1"/>
          <w:numId w:val="18"/>
        </w:numPr>
        <w:spacing w:before="0" w:after="240" w:line="240" w:lineRule="auto"/>
        <w:rPr>
          <w:rFonts w:ascii="Arial" w:hAnsi="Arial" w:cs="Arial"/>
          <w:sz w:val="22"/>
          <w:szCs w:val="22"/>
          <w:lang w:val="es-419"/>
        </w:rPr>
      </w:pPr>
      <w:bookmarkStart w:id="79" w:name="_Toc8905237"/>
      <w:r w:rsidRPr="00DD37EC">
        <w:rPr>
          <w:rFonts w:ascii="Arial" w:hAnsi="Arial" w:cs="Arial"/>
          <w:sz w:val="22"/>
          <w:szCs w:val="22"/>
          <w:lang w:val="es-419"/>
        </w:rPr>
        <w:t>Actividades de prevención y promoción, fuerzas y debilidades</w:t>
      </w:r>
      <w:bookmarkEnd w:id="79"/>
      <w:r w:rsidRPr="00DD37EC">
        <w:rPr>
          <w:rFonts w:ascii="Arial" w:hAnsi="Arial" w:cs="Arial"/>
          <w:sz w:val="22"/>
          <w:szCs w:val="22"/>
          <w:lang w:val="es-419"/>
        </w:rPr>
        <w:t xml:space="preserve"> </w:t>
      </w:r>
    </w:p>
    <w:p w14:paraId="11C3CEA9" w14:textId="5AC9D9D2" w:rsidR="00D7332C" w:rsidRPr="00A0341A" w:rsidRDefault="00D7332C" w:rsidP="00D7332C">
      <w:pPr>
        <w:spacing w:after="240" w:line="240" w:lineRule="auto"/>
        <w:jc w:val="both"/>
        <w:rPr>
          <w:rFonts w:ascii="Arial" w:hAnsi="Arial" w:cs="Arial"/>
          <w:lang w:val="es-419"/>
        </w:rPr>
      </w:pPr>
      <w:r w:rsidRPr="00D7332C">
        <w:rPr>
          <w:rFonts w:ascii="Arial" w:hAnsi="Arial" w:cs="Arial"/>
          <w:lang w:val="es-419"/>
        </w:rPr>
        <w:t xml:space="preserve">El país ha trabajado para elaborar normas que homologuen la entrega de servicios de prevención de la TB, la promoción de estilos de vida saludables de la población y el fortalecimiento de los </w:t>
      </w:r>
      <w:r w:rsidRPr="00A0341A">
        <w:rPr>
          <w:rFonts w:ascii="Arial" w:hAnsi="Arial" w:cs="Arial"/>
          <w:lang w:val="es-419"/>
        </w:rPr>
        <w:t xml:space="preserve">conocimientos de los proveedores de servicios de salud y personal comunitario y voluntarios. </w:t>
      </w:r>
      <w:r w:rsidR="00AF42D3">
        <w:rPr>
          <w:rFonts w:ascii="Arial" w:hAnsi="Arial" w:cs="Arial"/>
          <w:lang w:val="es-419"/>
        </w:rPr>
        <w:t>En visitas a los centros de salud se evidencia que el personal conoce la normativa de TB, pero desconoce las medidas de protección respiratoria para la prevención de la transmisión</w:t>
      </w:r>
      <w:r w:rsidR="00C62D66">
        <w:rPr>
          <w:rFonts w:ascii="Arial" w:hAnsi="Arial" w:cs="Arial"/>
          <w:lang w:val="es-419"/>
        </w:rPr>
        <w:t>, es decir, su implementación</w:t>
      </w:r>
      <w:r w:rsidR="00AF42D3">
        <w:rPr>
          <w:rFonts w:ascii="Arial" w:hAnsi="Arial" w:cs="Arial"/>
          <w:lang w:val="es-419"/>
        </w:rPr>
        <w:t>.</w:t>
      </w:r>
      <w:r w:rsidR="003B6CCB">
        <w:rPr>
          <w:rStyle w:val="FootnoteReference"/>
          <w:rFonts w:ascii="Arial" w:hAnsi="Arial" w:cs="Arial"/>
          <w:lang w:val="es-419"/>
        </w:rPr>
        <w:footnoteReference w:id="78"/>
      </w:r>
      <w:r w:rsidR="00C62D66">
        <w:rPr>
          <w:rFonts w:ascii="Arial" w:hAnsi="Arial" w:cs="Arial"/>
          <w:lang w:val="es-419"/>
        </w:rPr>
        <w:t xml:space="preserve"> </w:t>
      </w:r>
      <w:r w:rsidR="00C62D66">
        <w:rPr>
          <w:rFonts w:ascii="Arial" w:hAnsi="Arial" w:cs="Arial"/>
          <w:lang w:val="es-419"/>
        </w:rPr>
        <w:lastRenderedPageBreak/>
        <w:t xml:space="preserve">Con la actualización de </w:t>
      </w:r>
      <w:r w:rsidR="0045246F">
        <w:rPr>
          <w:rFonts w:ascii="Arial" w:hAnsi="Arial" w:cs="Arial"/>
          <w:lang w:val="es-419"/>
        </w:rPr>
        <w:t>múltiples</w:t>
      </w:r>
      <w:r w:rsidR="00C62D66">
        <w:rPr>
          <w:rFonts w:ascii="Arial" w:hAnsi="Arial" w:cs="Arial"/>
          <w:lang w:val="es-419"/>
        </w:rPr>
        <w:t xml:space="preserve"> normativas es necesario realizar la adecuada difusión y supervisión para garantizar su conocimiento e implementación.</w:t>
      </w:r>
    </w:p>
    <w:p w14:paraId="4D8D353E" w14:textId="6DE6BEFD" w:rsidR="00AB3711" w:rsidRDefault="00D7332C" w:rsidP="00D7332C">
      <w:pPr>
        <w:spacing w:after="240" w:line="240" w:lineRule="auto"/>
        <w:jc w:val="both"/>
        <w:rPr>
          <w:rFonts w:ascii="Arial" w:hAnsi="Arial" w:cs="Arial"/>
          <w:lang w:val="es-419"/>
        </w:rPr>
      </w:pPr>
      <w:r w:rsidRPr="008B1843">
        <w:rPr>
          <w:rFonts w:ascii="Arial" w:hAnsi="Arial" w:cs="Arial"/>
          <w:lang w:val="es-419"/>
        </w:rPr>
        <w:t xml:space="preserve">La acción prioritaria en la prevención de la TB se </w:t>
      </w:r>
      <w:r w:rsidR="00FB30F3">
        <w:rPr>
          <w:rFonts w:ascii="Arial" w:hAnsi="Arial" w:cs="Arial"/>
          <w:lang w:val="es-419"/>
        </w:rPr>
        <w:t xml:space="preserve">relaciona con el </w:t>
      </w:r>
      <w:r w:rsidRPr="008B1843">
        <w:rPr>
          <w:rFonts w:ascii="Arial" w:hAnsi="Arial" w:cs="Arial"/>
          <w:lang w:val="es-419"/>
        </w:rPr>
        <w:t xml:space="preserve">tamizaje de todos los casos </w:t>
      </w:r>
      <w:r w:rsidR="00C33F7F">
        <w:rPr>
          <w:rFonts w:ascii="Arial" w:hAnsi="Arial" w:cs="Arial"/>
          <w:lang w:val="es-419"/>
        </w:rPr>
        <w:t>detectados</w:t>
      </w:r>
      <w:r w:rsidRPr="008B1843">
        <w:rPr>
          <w:rFonts w:ascii="Arial" w:hAnsi="Arial" w:cs="Arial"/>
          <w:lang w:val="es-419"/>
        </w:rPr>
        <w:t xml:space="preserve"> como sintomáticos respiratorios (SR). Estos casos, en su mayoría, con captados en los servicios de salud de primer nivel </w:t>
      </w:r>
      <w:r w:rsidRPr="004A21CB">
        <w:rPr>
          <w:rFonts w:ascii="Arial" w:hAnsi="Arial" w:cs="Arial"/>
          <w:lang w:val="es-419"/>
        </w:rPr>
        <w:t>de atención</w:t>
      </w:r>
      <w:r w:rsidR="004A21CB" w:rsidRPr="004A21CB">
        <w:rPr>
          <w:rFonts w:ascii="Arial" w:hAnsi="Arial" w:cs="Arial"/>
          <w:lang w:val="es-419"/>
        </w:rPr>
        <w:t xml:space="preserve"> - el 87 % de los casos son notificados por la SESAL, 7 % por el IHSS y 6 % por los CP.</w:t>
      </w:r>
      <w:r w:rsidR="004A21CB">
        <w:rPr>
          <w:rFonts w:ascii="Arial" w:hAnsi="Arial" w:cs="Arial"/>
          <w:lang w:val="es-419"/>
        </w:rPr>
        <w:t xml:space="preserve"> S</w:t>
      </w:r>
      <w:r w:rsidR="0045246F" w:rsidRPr="004A21CB">
        <w:rPr>
          <w:rFonts w:ascii="Arial" w:hAnsi="Arial" w:cs="Arial"/>
          <w:lang w:val="es-419"/>
        </w:rPr>
        <w:t>in embargo, a 2017</w:t>
      </w:r>
      <w:r w:rsidR="00F61A42">
        <w:rPr>
          <w:rFonts w:ascii="Arial" w:hAnsi="Arial" w:cs="Arial"/>
          <w:lang w:val="es-419"/>
        </w:rPr>
        <w:t>,</w:t>
      </w:r>
      <w:r w:rsidR="0045246F" w:rsidRPr="004A21CB">
        <w:rPr>
          <w:rFonts w:ascii="Arial" w:hAnsi="Arial" w:cs="Arial"/>
          <w:lang w:val="es-419"/>
        </w:rPr>
        <w:t xml:space="preserve"> únicamente se lograba </w:t>
      </w:r>
      <w:r w:rsidR="0045246F">
        <w:rPr>
          <w:rFonts w:ascii="Arial" w:hAnsi="Arial" w:cs="Arial"/>
          <w:lang w:val="es-419"/>
        </w:rPr>
        <w:t>examinar al 40% de los SR esperados</w:t>
      </w:r>
      <w:r w:rsidR="00664C1E">
        <w:rPr>
          <w:rFonts w:ascii="Arial" w:hAnsi="Arial" w:cs="Arial"/>
          <w:lang w:val="es-419"/>
        </w:rPr>
        <w:t>.</w:t>
      </w:r>
      <w:r w:rsidR="0045246F">
        <w:rPr>
          <w:rStyle w:val="FootnoteReference"/>
          <w:rFonts w:ascii="Arial" w:hAnsi="Arial" w:cs="Arial"/>
          <w:lang w:val="es-419"/>
        </w:rPr>
        <w:footnoteReference w:id="79"/>
      </w:r>
      <w:r w:rsidR="00664C1E">
        <w:rPr>
          <w:rFonts w:ascii="Arial" w:hAnsi="Arial" w:cs="Arial"/>
          <w:lang w:val="es-419"/>
        </w:rPr>
        <w:t xml:space="preserve"> </w:t>
      </w:r>
    </w:p>
    <w:p w14:paraId="1AA91212" w14:textId="3398CCA6" w:rsidR="0045246F" w:rsidRDefault="00B877E4" w:rsidP="00D7332C">
      <w:pPr>
        <w:spacing w:after="240" w:line="240" w:lineRule="auto"/>
        <w:jc w:val="both"/>
        <w:rPr>
          <w:rFonts w:ascii="Arial" w:hAnsi="Arial" w:cs="Arial"/>
          <w:lang w:val="es-419"/>
        </w:rPr>
      </w:pPr>
      <w:r>
        <w:rPr>
          <w:rFonts w:ascii="Arial" w:hAnsi="Arial" w:cs="Arial"/>
          <w:lang w:val="es-419"/>
        </w:rPr>
        <w:t>Recientemente se ha detectado que el incremento en casos proviene de población menor de 15 años y adultos mayores</w:t>
      </w:r>
      <w:r w:rsidR="007F1F17">
        <w:rPr>
          <w:rFonts w:ascii="Arial" w:hAnsi="Arial" w:cs="Arial"/>
          <w:lang w:val="es-419"/>
        </w:rPr>
        <w:t>. Esto</w:t>
      </w:r>
      <w:r>
        <w:rPr>
          <w:rFonts w:ascii="Arial" w:hAnsi="Arial" w:cs="Arial"/>
          <w:lang w:val="es-419"/>
        </w:rPr>
        <w:t xml:space="preserve"> </w:t>
      </w:r>
      <w:r w:rsidR="007F1F17">
        <w:rPr>
          <w:rFonts w:ascii="Arial" w:hAnsi="Arial" w:cs="Arial"/>
          <w:lang w:val="es-419"/>
        </w:rPr>
        <w:t>representa</w:t>
      </w:r>
      <w:r>
        <w:rPr>
          <w:rFonts w:ascii="Arial" w:hAnsi="Arial" w:cs="Arial"/>
          <w:lang w:val="es-419"/>
        </w:rPr>
        <w:t xml:space="preserve"> un riesgo a la sostenibilidad ya que</w:t>
      </w:r>
      <w:r w:rsidR="00814222">
        <w:rPr>
          <w:rFonts w:ascii="Arial" w:hAnsi="Arial" w:cs="Arial"/>
          <w:lang w:val="es-419"/>
        </w:rPr>
        <w:t>, de acuerdo al INEI,</w:t>
      </w:r>
      <w:r>
        <w:rPr>
          <w:rFonts w:ascii="Arial" w:hAnsi="Arial" w:cs="Arial"/>
          <w:lang w:val="es-419"/>
        </w:rPr>
        <w:t xml:space="preserve"> la población menor de 17 años representa una tercera parte de la población y se encuentra expuest</w:t>
      </w:r>
      <w:r w:rsidR="007F1F17">
        <w:rPr>
          <w:rFonts w:ascii="Arial" w:hAnsi="Arial" w:cs="Arial"/>
          <w:lang w:val="es-419"/>
        </w:rPr>
        <w:t>a</w:t>
      </w:r>
      <w:r>
        <w:rPr>
          <w:rFonts w:ascii="Arial" w:hAnsi="Arial" w:cs="Arial"/>
          <w:lang w:val="es-419"/>
        </w:rPr>
        <w:t xml:space="preserve"> a un mayor número de convivientes en el entorno escolar.</w:t>
      </w:r>
      <w:r w:rsidR="00E869F4">
        <w:rPr>
          <w:rFonts w:ascii="Arial" w:hAnsi="Arial" w:cs="Arial"/>
          <w:lang w:val="es-419"/>
        </w:rPr>
        <w:t xml:space="preserve"> </w:t>
      </w:r>
      <w:r>
        <w:rPr>
          <w:rFonts w:ascii="Arial" w:hAnsi="Arial" w:cs="Arial"/>
          <w:lang w:val="es-419"/>
        </w:rPr>
        <w:t>Para aumentar la captación de casos</w:t>
      </w:r>
      <w:r w:rsidRPr="008B1843">
        <w:rPr>
          <w:rFonts w:ascii="Arial" w:hAnsi="Arial" w:cs="Arial"/>
          <w:lang w:val="es-419"/>
        </w:rPr>
        <w:t xml:space="preserve"> se </w:t>
      </w:r>
      <w:r>
        <w:rPr>
          <w:rFonts w:ascii="Arial" w:hAnsi="Arial" w:cs="Arial"/>
          <w:lang w:val="es-419"/>
        </w:rPr>
        <w:t>sugiere</w:t>
      </w:r>
      <w:r w:rsidRPr="008B1843">
        <w:rPr>
          <w:rFonts w:ascii="Arial" w:hAnsi="Arial" w:cs="Arial"/>
          <w:lang w:val="es-419"/>
        </w:rPr>
        <w:t xml:space="preserve"> realizar el tamizaje a los familiares que conviven con el paciente y a sus compañeros de trabajo</w:t>
      </w:r>
      <w:r w:rsidR="005C15AE">
        <w:rPr>
          <w:rFonts w:ascii="Arial" w:hAnsi="Arial" w:cs="Arial"/>
          <w:lang w:val="es-419"/>
        </w:rPr>
        <w:t>, con especial atención en la población joven y adulta mayor.</w:t>
      </w:r>
    </w:p>
    <w:p w14:paraId="574E7996" w14:textId="4FF2BFBD" w:rsidR="00E869F4" w:rsidRPr="00453FDC" w:rsidRDefault="00E869F4" w:rsidP="00E869F4">
      <w:pPr>
        <w:jc w:val="both"/>
        <w:rPr>
          <w:rFonts w:ascii="Arial" w:hAnsi="Arial" w:cs="Arial"/>
          <w:lang w:val="es-419"/>
        </w:rPr>
      </w:pPr>
      <w:r>
        <w:rPr>
          <w:rFonts w:ascii="Arial" w:hAnsi="Arial" w:cs="Arial"/>
          <w:lang w:val="es-419"/>
        </w:rPr>
        <w:t>Anteriormente</w:t>
      </w:r>
      <w:r w:rsidRPr="00DF42BE">
        <w:rPr>
          <w:rFonts w:ascii="Arial" w:hAnsi="Arial" w:cs="Arial"/>
          <w:lang w:val="es-419"/>
        </w:rPr>
        <w:t xml:space="preserve"> la búsqueda de casos de TB </w:t>
      </w:r>
      <w:r>
        <w:rPr>
          <w:rFonts w:ascii="Arial" w:hAnsi="Arial" w:cs="Arial"/>
          <w:lang w:val="es-419"/>
        </w:rPr>
        <w:t>no incluía</w:t>
      </w:r>
      <w:r w:rsidRPr="00DF42BE">
        <w:rPr>
          <w:rFonts w:ascii="Arial" w:hAnsi="Arial" w:cs="Arial"/>
          <w:lang w:val="es-419"/>
        </w:rPr>
        <w:t xml:space="preserve"> un mayor análisis de determinantes sociales y factores de riesgo por vulnerabilidad</w:t>
      </w:r>
      <w:r>
        <w:rPr>
          <w:rFonts w:ascii="Arial" w:hAnsi="Arial" w:cs="Arial"/>
          <w:lang w:val="es-419"/>
        </w:rPr>
        <w:t xml:space="preserve"> (</w:t>
      </w:r>
      <w:r w:rsidRPr="00DF42BE">
        <w:rPr>
          <w:rFonts w:ascii="Arial" w:hAnsi="Arial" w:cs="Arial"/>
          <w:lang w:val="es-419"/>
        </w:rPr>
        <w:t>a pesar de que la</w:t>
      </w:r>
      <w:r>
        <w:rPr>
          <w:rFonts w:ascii="Arial" w:hAnsi="Arial" w:cs="Arial"/>
          <w:lang w:val="es-419"/>
        </w:rPr>
        <w:t xml:space="preserve"> información se recolecta en la</w:t>
      </w:r>
      <w:r w:rsidRPr="00DF42BE">
        <w:rPr>
          <w:rFonts w:ascii="Arial" w:hAnsi="Arial" w:cs="Arial"/>
          <w:lang w:val="es-419"/>
        </w:rPr>
        <w:t xml:space="preserve"> ficha de notificación de cas</w:t>
      </w:r>
      <w:r>
        <w:rPr>
          <w:rFonts w:ascii="Arial" w:hAnsi="Arial" w:cs="Arial"/>
          <w:lang w:val="es-419"/>
        </w:rPr>
        <w:t>o)</w:t>
      </w:r>
      <w:r w:rsidRPr="00DF42BE">
        <w:rPr>
          <w:rFonts w:ascii="Arial" w:hAnsi="Arial" w:cs="Arial"/>
          <w:lang w:val="es-419"/>
        </w:rPr>
        <w:t xml:space="preserve">. </w:t>
      </w:r>
      <w:r>
        <w:rPr>
          <w:rFonts w:ascii="Arial" w:hAnsi="Arial" w:cs="Arial"/>
          <w:lang w:val="es-419"/>
        </w:rPr>
        <w:t>Sin embargo, a partir del 2018,</w:t>
      </w:r>
      <w:r w:rsidRPr="00DF42BE">
        <w:rPr>
          <w:rFonts w:ascii="Arial" w:hAnsi="Arial" w:cs="Arial"/>
          <w:lang w:val="es-419"/>
        </w:rPr>
        <w:t xml:space="preserve"> se incorpor</w:t>
      </w:r>
      <w:r>
        <w:rPr>
          <w:rFonts w:ascii="Arial" w:hAnsi="Arial" w:cs="Arial"/>
          <w:lang w:val="es-419"/>
        </w:rPr>
        <w:t>ó</w:t>
      </w:r>
      <w:r w:rsidRPr="00DF42BE">
        <w:rPr>
          <w:rFonts w:ascii="Arial" w:hAnsi="Arial" w:cs="Arial"/>
          <w:lang w:val="es-419"/>
        </w:rPr>
        <w:t xml:space="preserve"> este análisis</w:t>
      </w:r>
      <w:r>
        <w:rPr>
          <w:rFonts w:ascii="Arial" w:hAnsi="Arial" w:cs="Arial"/>
          <w:lang w:val="es-419"/>
        </w:rPr>
        <w:t xml:space="preserve"> a partir de visitas de monitoreo</w:t>
      </w:r>
      <w:r w:rsidRPr="00DF42BE">
        <w:rPr>
          <w:rFonts w:ascii="Arial" w:hAnsi="Arial" w:cs="Arial"/>
          <w:lang w:val="es-419"/>
        </w:rPr>
        <w:t xml:space="preserve"> para evaluar los factores de riesgo o </w:t>
      </w:r>
      <w:r>
        <w:rPr>
          <w:rFonts w:ascii="Arial" w:hAnsi="Arial" w:cs="Arial"/>
          <w:lang w:val="es-419"/>
        </w:rPr>
        <w:t xml:space="preserve">los </w:t>
      </w:r>
      <w:r w:rsidRPr="00DF42BE">
        <w:rPr>
          <w:rFonts w:ascii="Arial" w:hAnsi="Arial" w:cs="Arial"/>
          <w:lang w:val="es-419"/>
        </w:rPr>
        <w:t>altos riesgos para enfermar por TB</w:t>
      </w:r>
      <w:r>
        <w:rPr>
          <w:rFonts w:ascii="Arial" w:hAnsi="Arial" w:cs="Arial"/>
          <w:lang w:val="es-419"/>
        </w:rPr>
        <w:t>.</w:t>
      </w:r>
      <w:r>
        <w:rPr>
          <w:rStyle w:val="FootnoteReference"/>
          <w:rFonts w:ascii="Arial" w:hAnsi="Arial" w:cs="Arial"/>
          <w:lang w:val="es-419"/>
        </w:rPr>
        <w:footnoteReference w:id="80"/>
      </w:r>
      <w:r>
        <w:rPr>
          <w:rFonts w:ascii="Arial" w:hAnsi="Arial" w:cs="Arial"/>
          <w:lang w:val="es-419"/>
        </w:rPr>
        <w:t xml:space="preserve">Sin embargo, de acuerdo a fuentes de información secundaria, no existen suficientes recursos financieros y humanos para desplegar esta estrategia y hacer sostenible su logística. </w:t>
      </w:r>
      <w:r w:rsidRPr="00374A23">
        <w:rPr>
          <w:rFonts w:ascii="Arial" w:hAnsi="Arial" w:cs="Arial"/>
          <w:lang w:val="es-419"/>
        </w:rPr>
        <w:t>De los 2</w:t>
      </w:r>
      <w:r>
        <w:rPr>
          <w:rFonts w:ascii="Arial" w:hAnsi="Arial" w:cs="Arial"/>
          <w:lang w:val="es-419"/>
        </w:rPr>
        <w:t>,</w:t>
      </w:r>
      <w:r w:rsidRPr="00374A23">
        <w:rPr>
          <w:rFonts w:ascii="Arial" w:hAnsi="Arial" w:cs="Arial"/>
          <w:lang w:val="es-419"/>
        </w:rPr>
        <w:t>813 casos de TB notificados</w:t>
      </w:r>
      <w:r>
        <w:rPr>
          <w:rFonts w:ascii="Arial" w:hAnsi="Arial" w:cs="Arial"/>
          <w:lang w:val="es-419"/>
        </w:rPr>
        <w:t xml:space="preserve"> en 2017</w:t>
      </w:r>
      <w:r w:rsidRPr="00374A23">
        <w:rPr>
          <w:rFonts w:ascii="Arial" w:hAnsi="Arial" w:cs="Arial"/>
          <w:lang w:val="es-419"/>
        </w:rPr>
        <w:t xml:space="preserve"> muchos presenta</w:t>
      </w:r>
      <w:r>
        <w:rPr>
          <w:rFonts w:ascii="Arial" w:hAnsi="Arial" w:cs="Arial"/>
          <w:lang w:val="es-419"/>
        </w:rPr>
        <w:t>ron</w:t>
      </w:r>
      <w:r w:rsidRPr="00374A23">
        <w:rPr>
          <w:rFonts w:ascii="Arial" w:hAnsi="Arial" w:cs="Arial"/>
          <w:lang w:val="es-419"/>
        </w:rPr>
        <w:t xml:space="preserve"> uno o más riesgo asociados. De todas las personas con riesgo se encontró que las personas con diabetes</w:t>
      </w:r>
      <w:r>
        <w:rPr>
          <w:rFonts w:ascii="Arial" w:hAnsi="Arial" w:cs="Arial"/>
          <w:lang w:val="es-419"/>
        </w:rPr>
        <w:t xml:space="preserve"> (26.6%)</w:t>
      </w:r>
      <w:r w:rsidRPr="00374A23">
        <w:rPr>
          <w:rFonts w:ascii="Arial" w:hAnsi="Arial" w:cs="Arial"/>
          <w:lang w:val="es-419"/>
        </w:rPr>
        <w:t>, personas privadas de libertad (</w:t>
      </w:r>
      <w:r>
        <w:rPr>
          <w:rFonts w:ascii="Arial" w:hAnsi="Arial" w:cs="Arial"/>
          <w:lang w:val="es-419"/>
        </w:rPr>
        <w:t>21.4%)</w:t>
      </w:r>
      <w:r w:rsidRPr="00374A23">
        <w:rPr>
          <w:rFonts w:ascii="Arial" w:hAnsi="Arial" w:cs="Arial"/>
          <w:lang w:val="es-419"/>
        </w:rPr>
        <w:t xml:space="preserve"> y personas con el virus de la inmunodeficiencia</w:t>
      </w:r>
      <w:r>
        <w:rPr>
          <w:rFonts w:ascii="Arial" w:hAnsi="Arial" w:cs="Arial"/>
          <w:lang w:val="es-419"/>
        </w:rPr>
        <w:t xml:space="preserve"> (15.6%)</w:t>
      </w:r>
      <w:r w:rsidRPr="00374A23">
        <w:rPr>
          <w:rFonts w:ascii="Arial" w:hAnsi="Arial" w:cs="Arial"/>
          <w:lang w:val="es-419"/>
        </w:rPr>
        <w:t>, ocupan los tres primeros lugares.</w:t>
      </w:r>
      <w:r w:rsidRPr="00374A23">
        <w:rPr>
          <w:rStyle w:val="FootnoteReference"/>
          <w:rFonts w:ascii="Arial" w:hAnsi="Arial" w:cs="Arial"/>
          <w:lang w:val="es-419"/>
        </w:rPr>
        <w:footnoteReference w:id="81"/>
      </w:r>
    </w:p>
    <w:p w14:paraId="0BCFD164" w14:textId="3FECAEE7" w:rsidR="00D7332C" w:rsidRDefault="00664C1E" w:rsidP="00D7332C">
      <w:pPr>
        <w:spacing w:after="240" w:line="240" w:lineRule="auto"/>
        <w:jc w:val="both"/>
        <w:rPr>
          <w:rFonts w:ascii="Arial" w:hAnsi="Arial" w:cs="Arial"/>
          <w:lang w:val="es-419"/>
        </w:rPr>
      </w:pPr>
      <w:r>
        <w:rPr>
          <w:rFonts w:ascii="Arial" w:hAnsi="Arial" w:cs="Arial"/>
          <w:lang w:val="es-419"/>
        </w:rPr>
        <w:t>Se</w:t>
      </w:r>
      <w:r w:rsidR="00D7332C" w:rsidRPr="00664C1E">
        <w:rPr>
          <w:rFonts w:ascii="Arial" w:hAnsi="Arial" w:cs="Arial"/>
          <w:lang w:val="es-419"/>
        </w:rPr>
        <w:t xml:space="preserve"> report</w:t>
      </w:r>
      <w:r>
        <w:rPr>
          <w:rFonts w:ascii="Arial" w:hAnsi="Arial" w:cs="Arial"/>
          <w:lang w:val="es-419"/>
        </w:rPr>
        <w:t xml:space="preserve">ó que </w:t>
      </w:r>
      <w:r w:rsidR="00BE1E99">
        <w:rPr>
          <w:rFonts w:ascii="Arial" w:hAnsi="Arial" w:cs="Arial"/>
          <w:lang w:val="es-419"/>
        </w:rPr>
        <w:t>27</w:t>
      </w:r>
      <w:r>
        <w:rPr>
          <w:rFonts w:ascii="Arial" w:hAnsi="Arial" w:cs="Arial"/>
          <w:lang w:val="es-419"/>
        </w:rPr>
        <w:t xml:space="preserve"> t</w:t>
      </w:r>
      <w:r w:rsidR="00D7332C" w:rsidRPr="00664C1E">
        <w:rPr>
          <w:rFonts w:ascii="Arial" w:hAnsi="Arial" w:cs="Arial"/>
          <w:lang w:val="es-419"/>
        </w:rPr>
        <w:t xml:space="preserve">rabajadores de salud enfermaron con TB </w:t>
      </w:r>
      <w:r>
        <w:rPr>
          <w:rFonts w:ascii="Arial" w:hAnsi="Arial" w:cs="Arial"/>
          <w:lang w:val="es-419"/>
        </w:rPr>
        <w:t>durante</w:t>
      </w:r>
      <w:r w:rsidR="00D7332C" w:rsidRPr="00664C1E">
        <w:rPr>
          <w:rFonts w:ascii="Arial" w:hAnsi="Arial" w:cs="Arial"/>
          <w:lang w:val="es-419"/>
        </w:rPr>
        <w:t xml:space="preserve"> el 2014 </w:t>
      </w:r>
      <w:r w:rsidR="00BE1E99">
        <w:rPr>
          <w:rFonts w:ascii="Arial" w:hAnsi="Arial" w:cs="Arial"/>
          <w:lang w:val="es-419"/>
        </w:rPr>
        <w:t>(</w:t>
      </w:r>
      <w:r w:rsidR="00D7332C" w:rsidRPr="00664C1E">
        <w:rPr>
          <w:rFonts w:ascii="Arial" w:hAnsi="Arial" w:cs="Arial"/>
          <w:lang w:val="es-419"/>
        </w:rPr>
        <w:t>una tasa de incidencia de 122.7 por 100,000 habitantes</w:t>
      </w:r>
      <w:r w:rsidR="00BE1E99">
        <w:rPr>
          <w:rFonts w:ascii="Arial" w:hAnsi="Arial" w:cs="Arial"/>
          <w:lang w:val="es-419"/>
        </w:rPr>
        <w:t>)</w:t>
      </w:r>
      <w:r w:rsidR="00D7332C" w:rsidRPr="00664C1E">
        <w:rPr>
          <w:rFonts w:ascii="Arial" w:hAnsi="Arial" w:cs="Arial"/>
          <w:lang w:val="es-419"/>
        </w:rPr>
        <w:t>. El país cuenta con una Guía y un Plan Nacional de Control de Infecciones</w:t>
      </w:r>
      <w:r w:rsidRPr="00664C1E">
        <w:rPr>
          <w:rFonts w:ascii="Arial" w:hAnsi="Arial" w:cs="Arial"/>
          <w:lang w:val="es-419"/>
        </w:rPr>
        <w:t xml:space="preserve"> que incluye medidas para la prevención entre el personal de salud,</w:t>
      </w:r>
      <w:r w:rsidR="00D7332C" w:rsidRPr="00664C1E">
        <w:rPr>
          <w:rFonts w:ascii="Arial" w:hAnsi="Arial" w:cs="Arial"/>
          <w:lang w:val="es-419"/>
        </w:rPr>
        <w:t xml:space="preserve"> sin embargo, las medidas administrativas definidas en el plan han sido de lenta y difícil implementación. Esta situación pone en riesgo al personal de salud que tiene un riesgo de 4:1 de enfermar de TB que el resto de la población.</w:t>
      </w:r>
    </w:p>
    <w:p w14:paraId="688B9346" w14:textId="09C9C890" w:rsidR="002611C3" w:rsidRDefault="008B1843" w:rsidP="00664C1E">
      <w:pPr>
        <w:spacing w:after="240" w:line="240" w:lineRule="auto"/>
        <w:jc w:val="both"/>
        <w:rPr>
          <w:rFonts w:ascii="Arial" w:hAnsi="Arial" w:cs="Arial"/>
          <w:lang w:val="es-419"/>
        </w:rPr>
      </w:pPr>
      <w:r w:rsidRPr="00A0341A">
        <w:rPr>
          <w:rFonts w:ascii="Arial" w:hAnsi="Arial" w:cs="Arial"/>
          <w:lang w:val="es-419"/>
        </w:rPr>
        <w:t>En 2018, la SESAL realizó una campaña de promoción y prevención de la TB, utilizando videos en las diferentes lenguas de los pueblos indígenas existentes en el país dado que son poblaciones vulnerables a la TB. Esta campaña demuestra un esfuerzo de SESAL para alcanzar poblaciones más aisladas con mayores cargas de TB.</w:t>
      </w:r>
    </w:p>
    <w:tbl>
      <w:tblPr>
        <w:tblStyle w:val="PlainTable3"/>
        <w:tblW w:w="0" w:type="auto"/>
        <w:tblLook w:val="04A0" w:firstRow="1" w:lastRow="0" w:firstColumn="1" w:lastColumn="0" w:noHBand="0" w:noVBand="1"/>
      </w:tblPr>
      <w:tblGrid>
        <w:gridCol w:w="1800"/>
        <w:gridCol w:w="7560"/>
        <w:gridCol w:w="540"/>
      </w:tblGrid>
      <w:tr w:rsidR="00664C1E" w:rsidRPr="00392E34" w14:paraId="64BE84C8" w14:textId="77777777" w:rsidTr="00485DF1">
        <w:trPr>
          <w:gridAfter w:val="1"/>
          <w:cnfStyle w:val="100000000000" w:firstRow="1" w:lastRow="0" w:firstColumn="0" w:lastColumn="0" w:oddVBand="0" w:evenVBand="0" w:oddHBand="0" w:evenHBand="0" w:firstRowFirstColumn="0" w:firstRowLastColumn="0" w:lastRowFirstColumn="0" w:lastRowLastColumn="0"/>
          <w:wAfter w:w="540" w:type="dxa"/>
        </w:trPr>
        <w:tc>
          <w:tcPr>
            <w:cnfStyle w:val="001000000100" w:firstRow="0" w:lastRow="0" w:firstColumn="1" w:lastColumn="0" w:oddVBand="0" w:evenVBand="0" w:oddHBand="0" w:evenHBand="0" w:firstRowFirstColumn="1" w:firstRowLastColumn="0" w:lastRowFirstColumn="0" w:lastRowLastColumn="0"/>
            <w:tcW w:w="9360" w:type="dxa"/>
            <w:gridSpan w:val="2"/>
          </w:tcPr>
          <w:p w14:paraId="6C6473E2" w14:textId="3B446AAB" w:rsidR="00664C1E" w:rsidRPr="00664C1E" w:rsidRDefault="00664C1E" w:rsidP="00485DF1">
            <w:pPr>
              <w:contextualSpacing/>
              <w:jc w:val="both"/>
              <w:rPr>
                <w:rFonts w:ascii="Arial" w:hAnsi="Arial" w:cs="Arial"/>
                <w:b w:val="0"/>
                <w:lang w:val="es-DO"/>
              </w:rPr>
            </w:pPr>
            <w:r w:rsidRPr="00664C1E">
              <w:rPr>
                <w:rFonts w:ascii="Arial" w:hAnsi="Arial" w:cs="Arial"/>
                <w:b w:val="0"/>
                <w:lang w:val="es-DO"/>
              </w:rPr>
              <w:t xml:space="preserve">Resumen de Fortalezas y debilidades en </w:t>
            </w:r>
            <w:r w:rsidR="002851FB">
              <w:rPr>
                <w:rFonts w:ascii="Arial" w:hAnsi="Arial" w:cs="Arial"/>
                <w:b w:val="0"/>
                <w:lang w:val="es-DO"/>
              </w:rPr>
              <w:t>LA PREVENCIÓN Y PROMOCIÓN DE LA TB</w:t>
            </w:r>
          </w:p>
        </w:tc>
      </w:tr>
      <w:tr w:rsidR="00664C1E" w:rsidRPr="00392E34" w14:paraId="7D3BD803" w14:textId="77777777" w:rsidTr="005F40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Pr>
          <w:p w14:paraId="7BF8EB35" w14:textId="77777777" w:rsidR="00664C1E" w:rsidRPr="00664C1E" w:rsidRDefault="00664C1E" w:rsidP="00485DF1">
            <w:pPr>
              <w:contextualSpacing/>
              <w:jc w:val="both"/>
              <w:rPr>
                <w:rFonts w:ascii="Arial" w:hAnsi="Arial" w:cs="Arial"/>
                <w:lang w:val="es-DO"/>
              </w:rPr>
            </w:pPr>
            <w:r w:rsidRPr="00664C1E">
              <w:rPr>
                <w:rFonts w:ascii="Arial" w:hAnsi="Arial" w:cs="Arial"/>
                <w:lang w:val="es-DO"/>
              </w:rPr>
              <w:t>fortalezas</w:t>
            </w:r>
          </w:p>
        </w:tc>
        <w:tc>
          <w:tcPr>
            <w:tcW w:w="8100" w:type="dxa"/>
            <w:gridSpan w:val="2"/>
          </w:tcPr>
          <w:p w14:paraId="17644871" w14:textId="36974767" w:rsidR="00664C1E" w:rsidRPr="00664C1E" w:rsidRDefault="00664C1E" w:rsidP="00485DF1">
            <w:pPr>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lang w:val="es-DO"/>
              </w:rPr>
            </w:pPr>
            <w:r w:rsidRPr="00664C1E">
              <w:rPr>
                <w:rFonts w:ascii="Arial" w:hAnsi="Arial" w:cs="Arial"/>
                <w:lang w:val="es-419"/>
              </w:rPr>
              <w:t>Existe un marco legal y regulatorio para los proveedores de salud y personal comunitario para la promoción y prevención de la TB, y se están elaborando documentos normativos para la incorporación de la comunidad en las estrategias de promoción y prevención en TB</w:t>
            </w:r>
          </w:p>
        </w:tc>
      </w:tr>
      <w:tr w:rsidR="00664C1E" w:rsidRPr="00392E34" w14:paraId="627F9A2C" w14:textId="77777777" w:rsidTr="005F4042">
        <w:tc>
          <w:tcPr>
            <w:cnfStyle w:val="001000000000" w:firstRow="0" w:lastRow="0" w:firstColumn="1" w:lastColumn="0" w:oddVBand="0" w:evenVBand="0" w:oddHBand="0" w:evenHBand="0" w:firstRowFirstColumn="0" w:firstRowLastColumn="0" w:lastRowFirstColumn="0" w:lastRowLastColumn="0"/>
            <w:tcW w:w="1800" w:type="dxa"/>
          </w:tcPr>
          <w:p w14:paraId="2EA819FC" w14:textId="77777777" w:rsidR="00664C1E" w:rsidRPr="00664C1E" w:rsidRDefault="00664C1E" w:rsidP="00485DF1">
            <w:pPr>
              <w:contextualSpacing/>
              <w:jc w:val="both"/>
              <w:rPr>
                <w:rFonts w:ascii="Arial" w:hAnsi="Arial" w:cs="Arial"/>
                <w:b w:val="0"/>
                <w:lang w:val="es-DO"/>
              </w:rPr>
            </w:pPr>
          </w:p>
        </w:tc>
        <w:tc>
          <w:tcPr>
            <w:tcW w:w="8100" w:type="dxa"/>
            <w:gridSpan w:val="2"/>
            <w:shd w:val="clear" w:color="auto" w:fill="auto"/>
          </w:tcPr>
          <w:p w14:paraId="01F9AD72" w14:textId="14AED0F5" w:rsidR="00664C1E" w:rsidRPr="00164F50" w:rsidRDefault="00664C1E" w:rsidP="00164F50">
            <w:p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lang w:val="es-DO"/>
              </w:rPr>
            </w:pPr>
            <w:r w:rsidRPr="00164F50">
              <w:rPr>
                <w:rFonts w:ascii="Arial" w:hAnsi="Arial" w:cs="Arial"/>
                <w:lang w:val="es-419"/>
              </w:rPr>
              <w:t xml:space="preserve">Se implementó la Estrategia Alto a la TB a nivel nacional con incremento paulatino de los recursos financieros, especialmente del </w:t>
            </w:r>
            <w:r w:rsidR="00164F50" w:rsidRPr="00164F50">
              <w:rPr>
                <w:rFonts w:ascii="Arial" w:hAnsi="Arial" w:cs="Arial"/>
                <w:lang w:val="es-419"/>
              </w:rPr>
              <w:t>g</w:t>
            </w:r>
            <w:r w:rsidRPr="00164F50">
              <w:rPr>
                <w:rFonts w:ascii="Arial" w:hAnsi="Arial" w:cs="Arial"/>
                <w:lang w:val="es-419"/>
              </w:rPr>
              <w:t>obierno</w:t>
            </w:r>
            <w:r w:rsidR="008E0123" w:rsidRPr="00164F50">
              <w:rPr>
                <w:rFonts w:ascii="Arial" w:hAnsi="Arial" w:cs="Arial"/>
                <w:shd w:val="clear" w:color="auto" w:fill="D9D9D9" w:themeFill="background1" w:themeFillShade="D9"/>
                <w:lang w:val="es-419"/>
              </w:rPr>
              <w:t xml:space="preserve"> </w:t>
            </w:r>
          </w:p>
        </w:tc>
      </w:tr>
      <w:tr w:rsidR="00664C1E" w:rsidRPr="00392E34" w14:paraId="47CFB877" w14:textId="77777777" w:rsidTr="005F40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Pr>
          <w:p w14:paraId="544A66D2" w14:textId="77777777" w:rsidR="00664C1E" w:rsidRPr="00664C1E" w:rsidRDefault="00664C1E" w:rsidP="00485DF1">
            <w:pPr>
              <w:contextualSpacing/>
              <w:jc w:val="both"/>
              <w:rPr>
                <w:rFonts w:ascii="Arial" w:hAnsi="Arial" w:cs="Arial"/>
                <w:b w:val="0"/>
                <w:lang w:val="es-DO"/>
              </w:rPr>
            </w:pPr>
          </w:p>
        </w:tc>
        <w:tc>
          <w:tcPr>
            <w:tcW w:w="8100" w:type="dxa"/>
            <w:gridSpan w:val="2"/>
          </w:tcPr>
          <w:p w14:paraId="45577927" w14:textId="2215CCF3" w:rsidR="00664C1E" w:rsidRPr="008E0123" w:rsidRDefault="00664C1E" w:rsidP="00485DF1">
            <w:pPr>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lang w:val="es-DO"/>
              </w:rPr>
            </w:pPr>
            <w:r w:rsidRPr="008E0123">
              <w:rPr>
                <w:rFonts w:ascii="Arial" w:hAnsi="Arial" w:cs="Arial"/>
                <w:lang w:val="es-DO"/>
              </w:rPr>
              <w:t>Se ha mejorado la bioseguridad del personal y del ambiente de trabajo con la adquisición y puesta en marcha de las cabinas de bioseguridad.</w:t>
            </w:r>
            <w:r w:rsidR="00224D9D">
              <w:rPr>
                <w:rFonts w:ascii="Arial" w:hAnsi="Arial" w:cs="Arial"/>
                <w:lang w:val="es-DO"/>
              </w:rPr>
              <w:t xml:space="preserve"> </w:t>
            </w:r>
          </w:p>
        </w:tc>
      </w:tr>
      <w:tr w:rsidR="00664C1E" w:rsidRPr="00392E34" w14:paraId="36D00DE2" w14:textId="77777777" w:rsidTr="005F4042">
        <w:tc>
          <w:tcPr>
            <w:cnfStyle w:val="001000000000" w:firstRow="0" w:lastRow="0" w:firstColumn="1" w:lastColumn="0" w:oddVBand="0" w:evenVBand="0" w:oddHBand="0" w:evenHBand="0" w:firstRowFirstColumn="0" w:firstRowLastColumn="0" w:lastRowFirstColumn="0" w:lastRowLastColumn="0"/>
            <w:tcW w:w="1800" w:type="dxa"/>
          </w:tcPr>
          <w:p w14:paraId="06E48B45" w14:textId="77777777" w:rsidR="00664C1E" w:rsidRPr="00664C1E" w:rsidRDefault="00664C1E" w:rsidP="00485DF1">
            <w:pPr>
              <w:contextualSpacing/>
              <w:jc w:val="both"/>
              <w:rPr>
                <w:rFonts w:ascii="Arial" w:hAnsi="Arial" w:cs="Arial"/>
                <w:b w:val="0"/>
                <w:lang w:val="es-DO"/>
              </w:rPr>
            </w:pPr>
          </w:p>
        </w:tc>
        <w:tc>
          <w:tcPr>
            <w:tcW w:w="8100" w:type="dxa"/>
            <w:gridSpan w:val="2"/>
          </w:tcPr>
          <w:p w14:paraId="08BF87F9" w14:textId="74DCD08B" w:rsidR="00664C1E" w:rsidRPr="00664C1E" w:rsidRDefault="00664C1E" w:rsidP="00485DF1">
            <w:p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lang w:val="es-DO"/>
              </w:rPr>
            </w:pPr>
            <w:r w:rsidRPr="00664C1E">
              <w:rPr>
                <w:rFonts w:ascii="Arial" w:hAnsi="Arial" w:cs="Arial"/>
                <w:lang w:val="es-419"/>
              </w:rPr>
              <w:t xml:space="preserve">Se han elaborado spots de promoción para educar a la población </w:t>
            </w:r>
            <w:r w:rsidR="00164F50">
              <w:rPr>
                <w:rFonts w:ascii="Arial" w:hAnsi="Arial" w:cs="Arial"/>
                <w:lang w:val="es-419"/>
              </w:rPr>
              <w:t>de</w:t>
            </w:r>
            <w:r w:rsidRPr="00664C1E">
              <w:rPr>
                <w:rFonts w:ascii="Arial" w:hAnsi="Arial" w:cs="Arial"/>
                <w:lang w:val="es-419"/>
              </w:rPr>
              <w:t xml:space="preserve"> poblaciones indígenas y afrohondureñas en sus lenguas originarias</w:t>
            </w:r>
          </w:p>
        </w:tc>
      </w:tr>
      <w:tr w:rsidR="00664C1E" w:rsidRPr="00392E34" w14:paraId="48B8DB6E" w14:textId="77777777" w:rsidTr="005F40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Pr>
          <w:p w14:paraId="66B17A4E" w14:textId="77777777" w:rsidR="00664C1E" w:rsidRPr="00664C1E" w:rsidRDefault="00664C1E" w:rsidP="00485DF1">
            <w:pPr>
              <w:contextualSpacing/>
              <w:jc w:val="both"/>
              <w:rPr>
                <w:rFonts w:ascii="Arial" w:hAnsi="Arial" w:cs="Arial"/>
                <w:lang w:val="es-DO"/>
              </w:rPr>
            </w:pPr>
            <w:r w:rsidRPr="00664C1E">
              <w:rPr>
                <w:rFonts w:ascii="Arial" w:hAnsi="Arial" w:cs="Arial"/>
                <w:lang w:val="es-DO"/>
              </w:rPr>
              <w:t>Debilidades</w:t>
            </w:r>
          </w:p>
        </w:tc>
        <w:tc>
          <w:tcPr>
            <w:tcW w:w="8100" w:type="dxa"/>
            <w:gridSpan w:val="2"/>
          </w:tcPr>
          <w:p w14:paraId="41ADEF0F" w14:textId="2A039511" w:rsidR="00664C1E" w:rsidRPr="00664C1E" w:rsidRDefault="00664C1E" w:rsidP="00485DF1">
            <w:pPr>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lang w:val="es-DO"/>
              </w:rPr>
            </w:pPr>
            <w:r w:rsidRPr="00664C1E">
              <w:rPr>
                <w:rFonts w:ascii="Arial" w:hAnsi="Arial" w:cs="Arial"/>
                <w:lang w:val="es-419"/>
              </w:rPr>
              <w:t>Falta de aplicación de la normativa de promoción y prevención existente en todos los servicios de salud, tanto públicos como privados</w:t>
            </w:r>
          </w:p>
        </w:tc>
      </w:tr>
      <w:tr w:rsidR="00664C1E" w:rsidRPr="00392E34" w14:paraId="071874BC" w14:textId="77777777" w:rsidTr="005F4042">
        <w:trPr>
          <w:trHeight w:val="117"/>
        </w:trPr>
        <w:tc>
          <w:tcPr>
            <w:cnfStyle w:val="001000000000" w:firstRow="0" w:lastRow="0" w:firstColumn="1" w:lastColumn="0" w:oddVBand="0" w:evenVBand="0" w:oddHBand="0" w:evenHBand="0" w:firstRowFirstColumn="0" w:firstRowLastColumn="0" w:lastRowFirstColumn="0" w:lastRowLastColumn="0"/>
            <w:tcW w:w="1800" w:type="dxa"/>
          </w:tcPr>
          <w:p w14:paraId="769538CE" w14:textId="77777777" w:rsidR="00664C1E" w:rsidRPr="00664C1E" w:rsidRDefault="00664C1E" w:rsidP="00485DF1">
            <w:pPr>
              <w:contextualSpacing/>
              <w:jc w:val="both"/>
              <w:rPr>
                <w:rFonts w:ascii="Arial" w:hAnsi="Arial" w:cs="Arial"/>
                <w:b w:val="0"/>
                <w:lang w:val="es-DO"/>
              </w:rPr>
            </w:pPr>
          </w:p>
        </w:tc>
        <w:tc>
          <w:tcPr>
            <w:tcW w:w="8100" w:type="dxa"/>
            <w:gridSpan w:val="2"/>
          </w:tcPr>
          <w:p w14:paraId="55B11FA9" w14:textId="77777777" w:rsidR="00664C1E" w:rsidRPr="00664C1E" w:rsidRDefault="00664C1E" w:rsidP="00485DF1">
            <w:p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lang w:val="es-DO"/>
              </w:rPr>
            </w:pPr>
            <w:r w:rsidRPr="00664C1E">
              <w:rPr>
                <w:rFonts w:ascii="Arial" w:hAnsi="Arial" w:cs="Arial"/>
                <w:lang w:val="es-419"/>
              </w:rPr>
              <w:t>La participación de la sociedad civil y otros sectores como la empresa privada, todavía es muy pobre para responder al trabajo de prevención y promoción en el tema de TB</w:t>
            </w:r>
          </w:p>
        </w:tc>
      </w:tr>
      <w:tr w:rsidR="00664C1E" w:rsidRPr="00392E34" w14:paraId="28AD18F1" w14:textId="77777777" w:rsidTr="005F4042">
        <w:trPr>
          <w:cnfStyle w:val="000000100000" w:firstRow="0" w:lastRow="0" w:firstColumn="0" w:lastColumn="0" w:oddVBand="0" w:evenVBand="0" w:oddHBand="1" w:evenHBand="0" w:firstRowFirstColumn="0" w:firstRowLastColumn="0" w:lastRowFirstColumn="0" w:lastRowLastColumn="0"/>
          <w:trHeight w:val="117"/>
        </w:trPr>
        <w:tc>
          <w:tcPr>
            <w:cnfStyle w:val="001000000000" w:firstRow="0" w:lastRow="0" w:firstColumn="1" w:lastColumn="0" w:oddVBand="0" w:evenVBand="0" w:oddHBand="0" w:evenHBand="0" w:firstRowFirstColumn="0" w:firstRowLastColumn="0" w:lastRowFirstColumn="0" w:lastRowLastColumn="0"/>
            <w:tcW w:w="1800" w:type="dxa"/>
          </w:tcPr>
          <w:p w14:paraId="5042F7B5" w14:textId="77777777" w:rsidR="00664C1E" w:rsidRPr="00664C1E" w:rsidRDefault="00664C1E" w:rsidP="00485DF1">
            <w:pPr>
              <w:contextualSpacing/>
              <w:jc w:val="both"/>
              <w:rPr>
                <w:rFonts w:ascii="Arial" w:hAnsi="Arial" w:cs="Arial"/>
                <w:b w:val="0"/>
                <w:lang w:val="es-DO"/>
              </w:rPr>
            </w:pPr>
          </w:p>
        </w:tc>
        <w:tc>
          <w:tcPr>
            <w:tcW w:w="8100" w:type="dxa"/>
            <w:gridSpan w:val="2"/>
          </w:tcPr>
          <w:p w14:paraId="3425C96D" w14:textId="54B589B1" w:rsidR="00664C1E" w:rsidRPr="00664C1E" w:rsidRDefault="00664C1E" w:rsidP="00485DF1">
            <w:pPr>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lang w:val="es-DO"/>
              </w:rPr>
            </w:pPr>
            <w:r w:rsidRPr="00664C1E">
              <w:rPr>
                <w:rFonts w:ascii="Arial" w:hAnsi="Arial" w:cs="Arial"/>
                <w:lang w:val="es-419"/>
              </w:rPr>
              <w:t xml:space="preserve">La difusión de los spots promocionales depende exclusivamente del financiamiento del Fondo Mundial lo que pone en riesgo </w:t>
            </w:r>
            <w:r w:rsidR="008E0123">
              <w:rPr>
                <w:rFonts w:ascii="Arial" w:hAnsi="Arial" w:cs="Arial"/>
                <w:lang w:val="es-419"/>
              </w:rPr>
              <w:t>su sostenibilidad</w:t>
            </w:r>
          </w:p>
        </w:tc>
      </w:tr>
      <w:tr w:rsidR="00224D9D" w:rsidRPr="00392E34" w14:paraId="6FB26989" w14:textId="77777777" w:rsidTr="005F4042">
        <w:trPr>
          <w:trHeight w:val="117"/>
        </w:trPr>
        <w:tc>
          <w:tcPr>
            <w:cnfStyle w:val="001000000000" w:firstRow="0" w:lastRow="0" w:firstColumn="1" w:lastColumn="0" w:oddVBand="0" w:evenVBand="0" w:oddHBand="0" w:evenHBand="0" w:firstRowFirstColumn="0" w:firstRowLastColumn="0" w:lastRowFirstColumn="0" w:lastRowLastColumn="0"/>
            <w:tcW w:w="1800" w:type="dxa"/>
          </w:tcPr>
          <w:p w14:paraId="12D56A8E" w14:textId="77777777" w:rsidR="00224D9D" w:rsidRPr="00664C1E" w:rsidRDefault="00224D9D" w:rsidP="00485DF1">
            <w:pPr>
              <w:contextualSpacing/>
              <w:jc w:val="both"/>
              <w:rPr>
                <w:rFonts w:ascii="Arial" w:hAnsi="Arial" w:cs="Arial"/>
                <w:b w:val="0"/>
                <w:lang w:val="es-DO"/>
              </w:rPr>
            </w:pPr>
          </w:p>
        </w:tc>
        <w:tc>
          <w:tcPr>
            <w:tcW w:w="8100" w:type="dxa"/>
            <w:gridSpan w:val="2"/>
          </w:tcPr>
          <w:p w14:paraId="206577D2" w14:textId="1A644C3D" w:rsidR="00224D9D" w:rsidRPr="00664C1E" w:rsidRDefault="00224D9D" w:rsidP="00485DF1">
            <w:p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lang w:val="es-419"/>
              </w:rPr>
            </w:pPr>
            <w:r w:rsidRPr="00DD37EC">
              <w:rPr>
                <w:rFonts w:ascii="Arial" w:hAnsi="Arial" w:cs="Arial"/>
                <w:lang w:val="es-419"/>
              </w:rPr>
              <w:t>Aún persisten debilidades en la infraestructura de la red de laboratorios que ponen en riesgo la bioseguridad del personal de salud</w:t>
            </w:r>
          </w:p>
        </w:tc>
      </w:tr>
    </w:tbl>
    <w:p w14:paraId="1D1FEA19" w14:textId="77777777" w:rsidR="00664C1E" w:rsidRPr="00664C1E" w:rsidRDefault="00664C1E" w:rsidP="00664C1E">
      <w:pPr>
        <w:spacing w:after="240" w:line="240" w:lineRule="auto"/>
        <w:jc w:val="both"/>
        <w:rPr>
          <w:rFonts w:ascii="Arial" w:hAnsi="Arial" w:cs="Arial"/>
          <w:lang w:val="es-MX"/>
        </w:rPr>
      </w:pPr>
    </w:p>
    <w:p w14:paraId="3A7BED81" w14:textId="6F189637" w:rsidR="002611C3" w:rsidRPr="006238B5" w:rsidRDefault="002611C3" w:rsidP="0068285B">
      <w:pPr>
        <w:pStyle w:val="Heading2"/>
        <w:numPr>
          <w:ilvl w:val="1"/>
          <w:numId w:val="18"/>
        </w:numPr>
        <w:spacing w:before="0" w:after="240" w:line="240" w:lineRule="auto"/>
        <w:rPr>
          <w:rFonts w:ascii="Arial" w:hAnsi="Arial" w:cs="Arial"/>
          <w:sz w:val="22"/>
          <w:szCs w:val="22"/>
          <w:lang w:val="es-419"/>
        </w:rPr>
      </w:pPr>
      <w:bookmarkStart w:id="80" w:name="_Toc8905238"/>
      <w:r w:rsidRPr="00DD37EC">
        <w:rPr>
          <w:rFonts w:ascii="Arial" w:hAnsi="Arial" w:cs="Arial"/>
          <w:sz w:val="22"/>
          <w:szCs w:val="22"/>
          <w:lang w:val="es-419"/>
        </w:rPr>
        <w:t>Actividades de diagnóstico, fuerzas y debilidades</w:t>
      </w:r>
      <w:bookmarkEnd w:id="80"/>
      <w:r w:rsidRPr="00DD37EC">
        <w:rPr>
          <w:rFonts w:ascii="Arial" w:hAnsi="Arial" w:cs="Arial"/>
          <w:sz w:val="22"/>
          <w:szCs w:val="22"/>
          <w:lang w:val="es-419"/>
        </w:rPr>
        <w:t xml:space="preserve"> </w:t>
      </w:r>
    </w:p>
    <w:p w14:paraId="40F61F51" w14:textId="71C27330" w:rsidR="0080050B" w:rsidRDefault="005E7CD3" w:rsidP="00224D9D">
      <w:pPr>
        <w:spacing w:after="240" w:line="240" w:lineRule="auto"/>
        <w:jc w:val="both"/>
        <w:rPr>
          <w:rFonts w:ascii="Arial" w:hAnsi="Arial" w:cs="Arial"/>
          <w:lang w:val="es-419"/>
        </w:rPr>
      </w:pPr>
      <w:r w:rsidRPr="00224D9D">
        <w:rPr>
          <w:rFonts w:ascii="Arial" w:hAnsi="Arial" w:cs="Arial"/>
          <w:lang w:val="es-419"/>
        </w:rPr>
        <w:t>La red de laboratorios para el diagnóstico de la TB se ha fortalecido</w:t>
      </w:r>
      <w:r w:rsidR="00FA1B48" w:rsidRPr="00224D9D">
        <w:rPr>
          <w:rFonts w:ascii="Arial" w:hAnsi="Arial" w:cs="Arial"/>
          <w:lang w:val="es-419"/>
        </w:rPr>
        <w:t>,</w:t>
      </w:r>
      <w:r w:rsidRPr="00224D9D">
        <w:rPr>
          <w:rFonts w:ascii="Arial" w:hAnsi="Arial" w:cs="Arial"/>
          <w:lang w:val="es-419"/>
        </w:rPr>
        <w:t xml:space="preserve"> actualmente 9 laboratorios </w:t>
      </w:r>
      <w:r w:rsidR="00FA1B48" w:rsidRPr="00224D9D">
        <w:rPr>
          <w:rFonts w:ascii="Arial" w:hAnsi="Arial" w:cs="Arial"/>
          <w:lang w:val="es-419"/>
        </w:rPr>
        <w:t>ya cuentan</w:t>
      </w:r>
      <w:r w:rsidRPr="00224D9D">
        <w:rPr>
          <w:rFonts w:ascii="Arial" w:hAnsi="Arial" w:cs="Arial"/>
          <w:lang w:val="es-419"/>
        </w:rPr>
        <w:t xml:space="preserve"> con cultivo de TB</w:t>
      </w:r>
      <w:r w:rsidR="00FA1B48" w:rsidRPr="00224D9D">
        <w:rPr>
          <w:rFonts w:ascii="Arial" w:hAnsi="Arial" w:cs="Arial"/>
          <w:lang w:val="es-419"/>
        </w:rPr>
        <w:t>.</w:t>
      </w:r>
      <w:r w:rsidR="00D020B5" w:rsidRPr="00224D9D">
        <w:rPr>
          <w:rFonts w:ascii="Arial" w:hAnsi="Arial" w:cs="Arial"/>
          <w:lang w:val="es-419"/>
        </w:rPr>
        <w:t xml:space="preserve"> </w:t>
      </w:r>
      <w:r w:rsidR="00641982" w:rsidRPr="00224D9D">
        <w:rPr>
          <w:rFonts w:ascii="Arial" w:hAnsi="Arial" w:cs="Arial"/>
          <w:lang w:val="es-419"/>
        </w:rPr>
        <w:t>Aproximadamente el 60% de la red de laboratorios de microscopía a nivel nacional requieren ser fortalecidos con insumos y equipamiento y 40% ha sido cubierto por la subvención para TB del FM.</w:t>
      </w:r>
      <w:r w:rsidR="00641982" w:rsidRPr="00224D9D">
        <w:rPr>
          <w:rStyle w:val="FootnoteReference"/>
          <w:rFonts w:ascii="Arial" w:hAnsi="Arial" w:cs="Arial"/>
          <w:lang w:val="es-419"/>
        </w:rPr>
        <w:footnoteReference w:id="82"/>
      </w:r>
      <w:r w:rsidR="00641982" w:rsidRPr="00224D9D">
        <w:rPr>
          <w:rFonts w:ascii="Arial" w:hAnsi="Arial" w:cs="Arial"/>
          <w:lang w:val="es-419"/>
        </w:rPr>
        <w:t xml:space="preserve"> </w:t>
      </w:r>
      <w:r w:rsidR="0080050B">
        <w:rPr>
          <w:rFonts w:ascii="Arial" w:hAnsi="Arial" w:cs="Arial"/>
          <w:lang w:val="es-419"/>
        </w:rPr>
        <w:t>En 2017, la OPS sugirió establecer un sistema de transporte de muestras, sustituyendo el envío de extendidos por el envío oportuno de muestras de esputo al laboratorio.</w:t>
      </w:r>
      <w:r w:rsidR="0080050B">
        <w:rPr>
          <w:rStyle w:val="FootnoteReference"/>
          <w:rFonts w:ascii="Arial" w:hAnsi="Arial" w:cs="Arial"/>
          <w:lang w:val="es-419"/>
        </w:rPr>
        <w:footnoteReference w:id="83"/>
      </w:r>
      <w:r w:rsidR="0080050B">
        <w:rPr>
          <w:rFonts w:ascii="Arial" w:hAnsi="Arial" w:cs="Arial"/>
          <w:lang w:val="es-419"/>
        </w:rPr>
        <w:t xml:space="preserve"> El fortalecimiento de la red de laboratorios es necesario para garantizar que el diagnóstico y entrega de resultados sea oportuno.</w:t>
      </w:r>
    </w:p>
    <w:p w14:paraId="0612E468" w14:textId="78708525" w:rsidR="005E7CD3" w:rsidRDefault="005E7CD3" w:rsidP="00224D9D">
      <w:pPr>
        <w:spacing w:after="240" w:line="240" w:lineRule="auto"/>
        <w:jc w:val="both"/>
        <w:rPr>
          <w:rFonts w:ascii="Arial" w:hAnsi="Arial" w:cs="Arial"/>
          <w:lang w:val="es-MX"/>
        </w:rPr>
      </w:pPr>
      <w:r w:rsidRPr="00224D9D">
        <w:rPr>
          <w:rFonts w:ascii="Arial" w:hAnsi="Arial" w:cs="Arial"/>
          <w:lang w:val="es-419"/>
        </w:rPr>
        <w:t>El uso del Gene</w:t>
      </w:r>
      <w:r w:rsidR="00FA5231">
        <w:rPr>
          <w:rFonts w:ascii="Arial" w:hAnsi="Arial" w:cs="Arial"/>
          <w:lang w:val="es-419"/>
        </w:rPr>
        <w:t>-</w:t>
      </w:r>
      <w:r w:rsidRPr="00224D9D">
        <w:rPr>
          <w:rFonts w:ascii="Arial" w:hAnsi="Arial" w:cs="Arial"/>
          <w:lang w:val="es-419"/>
        </w:rPr>
        <w:t xml:space="preserve">Xpert MTB/RIF es muy importante porque además de diagnosticar la TB, también realiza un estudio de sensibilidad a la Rifampicina para identificar oportunamente los casos de resistencia. </w:t>
      </w:r>
      <w:r w:rsidR="00FA5231">
        <w:rPr>
          <w:rFonts w:ascii="Arial" w:hAnsi="Arial" w:cs="Arial"/>
          <w:lang w:val="es-419"/>
        </w:rPr>
        <w:t>El diagnóstico con Gene-Xpert</w:t>
      </w:r>
      <w:r w:rsidRPr="00224D9D">
        <w:rPr>
          <w:rFonts w:ascii="Arial" w:hAnsi="Arial" w:cs="Arial"/>
          <w:lang w:val="es-419"/>
        </w:rPr>
        <w:t xml:space="preserve"> requiere de insumos y reactivos</w:t>
      </w:r>
      <w:r w:rsidRPr="00224D9D">
        <w:rPr>
          <w:rStyle w:val="CommentReference"/>
          <w:rFonts w:ascii="Arial" w:hAnsi="Arial" w:cs="Arial"/>
          <w:sz w:val="22"/>
          <w:szCs w:val="22"/>
          <w:lang w:val="es-419"/>
        </w:rPr>
        <w:t>, incluyendo los cartuchos que se utilizan, q</w:t>
      </w:r>
      <w:r w:rsidRPr="00224D9D">
        <w:rPr>
          <w:rFonts w:ascii="Arial" w:hAnsi="Arial" w:cs="Arial"/>
          <w:lang w:val="es-419"/>
        </w:rPr>
        <w:t xml:space="preserve">ue actualmente están siendo financiados en un 100% por </w:t>
      </w:r>
      <w:r w:rsidR="0034529F">
        <w:rPr>
          <w:rFonts w:ascii="Arial" w:hAnsi="Arial" w:cs="Arial"/>
          <w:lang w:val="es-419"/>
        </w:rPr>
        <w:t>el</w:t>
      </w:r>
      <w:r w:rsidRPr="00224D9D">
        <w:rPr>
          <w:rFonts w:ascii="Arial" w:hAnsi="Arial" w:cs="Arial"/>
          <w:lang w:val="es-419"/>
        </w:rPr>
        <w:t xml:space="preserve"> </w:t>
      </w:r>
      <w:r w:rsidR="00FA5231">
        <w:rPr>
          <w:rFonts w:ascii="Arial" w:hAnsi="Arial" w:cs="Arial"/>
          <w:lang w:val="es-419"/>
        </w:rPr>
        <w:t>FM</w:t>
      </w:r>
      <w:r w:rsidRPr="00224D9D">
        <w:rPr>
          <w:rFonts w:ascii="Arial" w:hAnsi="Arial" w:cs="Arial"/>
          <w:lang w:val="es-419"/>
        </w:rPr>
        <w:t xml:space="preserve"> y lo que pone en riesgo la sostenibilidad de estos procedimientos</w:t>
      </w:r>
      <w:r w:rsidR="00D020B5" w:rsidRPr="00224D9D">
        <w:rPr>
          <w:rFonts w:ascii="Arial" w:hAnsi="Arial" w:cs="Arial"/>
          <w:lang w:val="es-MX"/>
        </w:rPr>
        <w:t>.</w:t>
      </w:r>
    </w:p>
    <w:p w14:paraId="3899C357" w14:textId="4C82CF5E" w:rsidR="000131FF" w:rsidRPr="00E02545" w:rsidRDefault="00E02545" w:rsidP="00224D9D">
      <w:pPr>
        <w:spacing w:after="240" w:line="240" w:lineRule="auto"/>
        <w:jc w:val="both"/>
        <w:rPr>
          <w:rFonts w:ascii="Arial" w:hAnsi="Arial" w:cs="Arial"/>
          <w:lang w:val="es-MX"/>
        </w:rPr>
      </w:pPr>
      <w:r>
        <w:rPr>
          <w:rFonts w:ascii="Arial" w:hAnsi="Arial" w:cs="Arial"/>
          <w:lang w:val="es-419"/>
        </w:rPr>
        <w:t>Actualmente el país cuenta con</w:t>
      </w:r>
      <w:r w:rsidRPr="00664C1E">
        <w:rPr>
          <w:rFonts w:ascii="Arial" w:hAnsi="Arial" w:cs="Arial"/>
          <w:lang w:val="es-419"/>
        </w:rPr>
        <w:t xml:space="preserve"> </w:t>
      </w:r>
      <w:r w:rsidRPr="00664C1E">
        <w:rPr>
          <w:rFonts w:ascii="Arial" w:hAnsi="Arial" w:cs="Arial"/>
          <w:lang w:val="es-DO"/>
        </w:rPr>
        <w:t xml:space="preserve">5 equipos a nivel nacional </w:t>
      </w:r>
      <w:r>
        <w:rPr>
          <w:rFonts w:ascii="Arial" w:hAnsi="Arial" w:cs="Arial"/>
          <w:lang w:val="es-DO"/>
        </w:rPr>
        <w:t>distribuidos de acuerdo a la prevalencia de TB-MDR</w:t>
      </w:r>
      <w:r w:rsidRPr="00664C1E">
        <w:rPr>
          <w:rFonts w:ascii="Arial" w:hAnsi="Arial" w:cs="Arial"/>
          <w:lang w:val="es-DO"/>
        </w:rPr>
        <w:t>: uno en el Instituto Cardiopulmonar en Tegucigalpa, uno en la RS de Copán, uno en el Laboratorio Nacional de Vigilancia de TB, uno en la RS de Cortés y uno en la RS de Atlántida</w:t>
      </w:r>
      <w:r>
        <w:rPr>
          <w:rFonts w:ascii="Arial" w:hAnsi="Arial" w:cs="Arial"/>
          <w:lang w:val="es-DO"/>
        </w:rPr>
        <w:t>.</w:t>
      </w:r>
      <w:r w:rsidRPr="00664C1E">
        <w:rPr>
          <w:rFonts w:ascii="Arial" w:hAnsi="Arial" w:cs="Arial"/>
          <w:vertAlign w:val="superscript"/>
          <w:lang w:val="es-DO"/>
        </w:rPr>
        <w:footnoteReference w:id="84"/>
      </w:r>
      <w:r>
        <w:rPr>
          <w:rFonts w:ascii="Arial" w:hAnsi="Arial" w:cs="Arial"/>
          <w:lang w:val="es-DO"/>
        </w:rPr>
        <w:t xml:space="preserve"> A partir de su introducción en 2014, se ha incrementando considerablemente el diagnóstico de casos de 5 casos anuales antes de 2014, a 12 en 2014 y 20 en 2016, sin embargo se estima que aún hay una brecha de 78% en el diagnóstico (aproximadamente 73 casos sin detectar).</w:t>
      </w:r>
      <w:r w:rsidR="00C66A15">
        <w:rPr>
          <w:rStyle w:val="FootnoteReference"/>
          <w:rFonts w:ascii="Arial" w:hAnsi="Arial" w:cs="Arial"/>
          <w:lang w:val="es-DO"/>
        </w:rPr>
        <w:footnoteReference w:id="85"/>
      </w:r>
      <w:r w:rsidR="00DE17B5">
        <w:rPr>
          <w:rFonts w:ascii="Arial" w:hAnsi="Arial" w:cs="Arial"/>
          <w:lang w:val="es-DO"/>
        </w:rPr>
        <w:t xml:space="preserve"> Al mismo tiempo se reporta subutilización del equipo al realizar </w:t>
      </w:r>
      <w:r w:rsidR="0087482A">
        <w:rPr>
          <w:rFonts w:ascii="Arial" w:hAnsi="Arial" w:cs="Arial"/>
          <w:lang w:val="es-DO"/>
        </w:rPr>
        <w:t>menos de 300 pruebas al año por laboratorio cuando la utilización óptima se estima en 240 pruebas por mes por laboratorio.</w:t>
      </w:r>
      <w:r w:rsidR="004939F6">
        <w:rPr>
          <w:rStyle w:val="FootnoteReference"/>
          <w:rFonts w:ascii="Arial" w:hAnsi="Arial" w:cs="Arial"/>
          <w:lang w:val="es-DO"/>
        </w:rPr>
        <w:footnoteReference w:id="86"/>
      </w:r>
    </w:p>
    <w:p w14:paraId="7D2B8346" w14:textId="62D20A96" w:rsidR="002611C3" w:rsidRDefault="005E7CD3" w:rsidP="00224D9D">
      <w:pPr>
        <w:spacing w:after="240" w:line="240" w:lineRule="auto"/>
        <w:jc w:val="both"/>
        <w:rPr>
          <w:rFonts w:ascii="Arial" w:hAnsi="Arial" w:cs="Arial"/>
          <w:lang w:val="es-419"/>
        </w:rPr>
      </w:pPr>
      <w:r w:rsidRPr="00224D9D">
        <w:rPr>
          <w:rFonts w:ascii="Arial" w:hAnsi="Arial" w:cs="Arial"/>
          <w:lang w:val="es-419"/>
        </w:rPr>
        <w:t xml:space="preserve">El uso del MGIT-960 está indicado para identificar de manera más oportuna los casos de resistencia a medicamentos de segunda línea que son los pacientes TB-XDR que todavía no existen en el país. </w:t>
      </w:r>
      <w:r w:rsidRPr="00224D9D">
        <w:rPr>
          <w:rFonts w:ascii="Arial" w:hAnsi="Arial" w:cs="Arial"/>
          <w:lang w:val="es-419"/>
        </w:rPr>
        <w:lastRenderedPageBreak/>
        <w:t>Dentro de las actividades de la subvención actual del Fondo Mundial está contemplado la adquisición de este equipo y sus respectivos reactivos.</w:t>
      </w:r>
    </w:p>
    <w:p w14:paraId="19CE2B43" w14:textId="2F60F5E3" w:rsidR="00656770" w:rsidRPr="00656770" w:rsidRDefault="00F41EFC" w:rsidP="00224D9D">
      <w:pPr>
        <w:spacing w:after="240" w:line="240" w:lineRule="auto"/>
        <w:jc w:val="both"/>
        <w:rPr>
          <w:rFonts w:ascii="Arial" w:hAnsi="Arial" w:cs="Arial"/>
          <w:lang w:val="es-419"/>
        </w:rPr>
      </w:pPr>
      <w:r>
        <w:rPr>
          <w:rFonts w:ascii="Arial" w:hAnsi="Arial" w:cs="Arial"/>
          <w:lang w:val="es-419"/>
        </w:rPr>
        <w:t>Por último, se ha solicitado la inclusión del diagnóstico genotípico en la normativa de TB</w:t>
      </w:r>
      <w:r w:rsidR="00A55F60">
        <w:rPr>
          <w:rFonts w:ascii="Arial" w:hAnsi="Arial" w:cs="Arial"/>
          <w:lang w:val="es-419"/>
        </w:rPr>
        <w:t xml:space="preserve"> y </w:t>
      </w:r>
      <w:r w:rsidR="00FD4401">
        <w:rPr>
          <w:rFonts w:ascii="Arial" w:hAnsi="Arial" w:cs="Arial"/>
          <w:lang w:val="es-419"/>
        </w:rPr>
        <w:t>VIH, para facilitar el uso de pruebas rápidas con miras a un inicio del tratamiento oportuno y una reducción n las tasas de mortalidad.</w:t>
      </w:r>
      <w:r w:rsidR="00656770">
        <w:rPr>
          <w:rStyle w:val="FootnoteReference"/>
          <w:rFonts w:ascii="Arial" w:hAnsi="Arial" w:cs="Arial"/>
          <w:lang w:val="es-419"/>
        </w:rPr>
        <w:footnoteReference w:id="87"/>
      </w:r>
    </w:p>
    <w:tbl>
      <w:tblPr>
        <w:tblStyle w:val="PlainTable3"/>
        <w:tblW w:w="9990" w:type="dxa"/>
        <w:tblLook w:val="04A0" w:firstRow="1" w:lastRow="0" w:firstColumn="1" w:lastColumn="0" w:noHBand="0" w:noVBand="1"/>
      </w:tblPr>
      <w:tblGrid>
        <w:gridCol w:w="1800"/>
        <w:gridCol w:w="7560"/>
        <w:gridCol w:w="630"/>
      </w:tblGrid>
      <w:tr w:rsidR="002611C3" w:rsidRPr="00392E34" w14:paraId="4A3B4AF7" w14:textId="77777777" w:rsidTr="005F4042">
        <w:trPr>
          <w:gridAfter w:val="1"/>
          <w:cnfStyle w:val="100000000000" w:firstRow="1" w:lastRow="0" w:firstColumn="0" w:lastColumn="0" w:oddVBand="0" w:evenVBand="0" w:oddHBand="0" w:evenHBand="0" w:firstRowFirstColumn="0" w:firstRowLastColumn="0" w:lastRowFirstColumn="0" w:lastRowLastColumn="0"/>
          <w:wAfter w:w="630" w:type="dxa"/>
        </w:trPr>
        <w:tc>
          <w:tcPr>
            <w:cnfStyle w:val="001000000100" w:firstRow="0" w:lastRow="0" w:firstColumn="1" w:lastColumn="0" w:oddVBand="0" w:evenVBand="0" w:oddHBand="0" w:evenHBand="0" w:firstRowFirstColumn="1" w:firstRowLastColumn="0" w:lastRowFirstColumn="0" w:lastRowLastColumn="0"/>
            <w:tcW w:w="9360" w:type="dxa"/>
            <w:gridSpan w:val="2"/>
          </w:tcPr>
          <w:p w14:paraId="745DB6D0" w14:textId="0700E4F2" w:rsidR="002611C3" w:rsidRPr="00DD37EC" w:rsidRDefault="002611C3" w:rsidP="00224D9D">
            <w:pPr>
              <w:spacing w:after="240"/>
              <w:jc w:val="both"/>
              <w:rPr>
                <w:rFonts w:ascii="Arial" w:hAnsi="Arial" w:cs="Arial"/>
                <w:b w:val="0"/>
                <w:lang w:val="es-DO"/>
              </w:rPr>
            </w:pPr>
            <w:r w:rsidRPr="00DD37EC">
              <w:rPr>
                <w:rFonts w:ascii="Arial" w:hAnsi="Arial" w:cs="Arial"/>
                <w:b w:val="0"/>
                <w:lang w:val="es-DO"/>
              </w:rPr>
              <w:t>Resumen de Fortalezas y debilidades en el</w:t>
            </w:r>
            <w:r w:rsidR="00685B82">
              <w:rPr>
                <w:rFonts w:ascii="Arial" w:hAnsi="Arial" w:cs="Arial"/>
                <w:b w:val="0"/>
                <w:lang w:val="es-DO"/>
              </w:rPr>
              <w:t xml:space="preserve"> DIANGÓSTICO DE LA TB</w:t>
            </w:r>
          </w:p>
        </w:tc>
      </w:tr>
      <w:tr w:rsidR="002611C3" w:rsidRPr="00392E34" w14:paraId="3A8E3990" w14:textId="77777777" w:rsidTr="005F40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Pr>
          <w:p w14:paraId="5FB7B3E1" w14:textId="77777777" w:rsidR="002611C3" w:rsidRPr="00DD37EC" w:rsidRDefault="002611C3" w:rsidP="00DD37EC">
            <w:pPr>
              <w:spacing w:after="240"/>
              <w:contextualSpacing/>
              <w:jc w:val="both"/>
              <w:rPr>
                <w:rFonts w:ascii="Arial" w:hAnsi="Arial" w:cs="Arial"/>
                <w:lang w:val="es-DO"/>
              </w:rPr>
            </w:pPr>
            <w:r w:rsidRPr="00DD37EC">
              <w:rPr>
                <w:rFonts w:ascii="Arial" w:hAnsi="Arial" w:cs="Arial"/>
                <w:lang w:val="es-DO"/>
              </w:rPr>
              <w:t>fortalezas</w:t>
            </w:r>
          </w:p>
        </w:tc>
        <w:tc>
          <w:tcPr>
            <w:tcW w:w="8190" w:type="dxa"/>
            <w:gridSpan w:val="2"/>
          </w:tcPr>
          <w:p w14:paraId="257CA9E3" w14:textId="667A7DDF" w:rsidR="002611C3" w:rsidRPr="00DD37EC" w:rsidRDefault="002611C3" w:rsidP="00DD37EC">
            <w:pPr>
              <w:spacing w:after="240"/>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lang w:val="es-DO"/>
              </w:rPr>
            </w:pPr>
            <w:r w:rsidRPr="00DD37EC">
              <w:rPr>
                <w:rFonts w:ascii="Arial" w:hAnsi="Arial" w:cs="Arial"/>
                <w:lang w:val="es-419"/>
              </w:rPr>
              <w:t>Se ha fortalecido la red de laboratorios para el diagnóstico por cultivo de la TB</w:t>
            </w:r>
          </w:p>
        </w:tc>
      </w:tr>
      <w:tr w:rsidR="002611C3" w:rsidRPr="00392E34" w14:paraId="1412C1D8" w14:textId="77777777" w:rsidTr="005F4042">
        <w:tc>
          <w:tcPr>
            <w:cnfStyle w:val="001000000000" w:firstRow="0" w:lastRow="0" w:firstColumn="1" w:lastColumn="0" w:oddVBand="0" w:evenVBand="0" w:oddHBand="0" w:evenHBand="0" w:firstRowFirstColumn="0" w:firstRowLastColumn="0" w:lastRowFirstColumn="0" w:lastRowLastColumn="0"/>
            <w:tcW w:w="1800" w:type="dxa"/>
          </w:tcPr>
          <w:p w14:paraId="7D4329D1" w14:textId="77777777" w:rsidR="002611C3" w:rsidRPr="00DD37EC" w:rsidRDefault="002611C3" w:rsidP="00DD37EC">
            <w:pPr>
              <w:spacing w:after="240"/>
              <w:contextualSpacing/>
              <w:jc w:val="both"/>
              <w:rPr>
                <w:rFonts w:ascii="Arial" w:hAnsi="Arial" w:cs="Arial"/>
                <w:lang w:val="es-DO"/>
              </w:rPr>
            </w:pPr>
          </w:p>
        </w:tc>
        <w:tc>
          <w:tcPr>
            <w:tcW w:w="8190" w:type="dxa"/>
            <w:gridSpan w:val="2"/>
          </w:tcPr>
          <w:p w14:paraId="14A83555" w14:textId="043BC5E8" w:rsidR="002611C3" w:rsidRPr="00DD37EC" w:rsidRDefault="002611C3" w:rsidP="00DD37EC">
            <w:pPr>
              <w:spacing w:after="240"/>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lang w:val="es-DO"/>
              </w:rPr>
            </w:pPr>
            <w:r w:rsidRPr="00DD37EC">
              <w:rPr>
                <w:rFonts w:ascii="Arial" w:hAnsi="Arial" w:cs="Arial"/>
                <w:lang w:val="es-419"/>
              </w:rPr>
              <w:t>Se implementaron pruebas moleculares con la adquisición de equipos de Gene-Xpert MTB/RIF que cubren a las zonas geográficas de mayor incidencia de TB</w:t>
            </w:r>
          </w:p>
        </w:tc>
      </w:tr>
      <w:tr w:rsidR="002611C3" w:rsidRPr="00392E34" w14:paraId="3FDC6C1D" w14:textId="77777777" w:rsidTr="005F40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Pr>
          <w:p w14:paraId="1C0BCC2C" w14:textId="77777777" w:rsidR="002611C3" w:rsidRPr="00DD37EC" w:rsidRDefault="002611C3" w:rsidP="00DD37EC">
            <w:pPr>
              <w:spacing w:after="240"/>
              <w:contextualSpacing/>
              <w:jc w:val="both"/>
              <w:rPr>
                <w:rFonts w:ascii="Arial" w:hAnsi="Arial" w:cs="Arial"/>
                <w:b w:val="0"/>
                <w:lang w:val="es-DO"/>
              </w:rPr>
            </w:pPr>
          </w:p>
        </w:tc>
        <w:tc>
          <w:tcPr>
            <w:tcW w:w="8190" w:type="dxa"/>
            <w:gridSpan w:val="2"/>
          </w:tcPr>
          <w:p w14:paraId="0BA479AC" w14:textId="73398DB6" w:rsidR="002611C3" w:rsidRPr="00DD37EC" w:rsidRDefault="002611C3" w:rsidP="00DD37EC">
            <w:pPr>
              <w:spacing w:after="240"/>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lang w:val="es-DO"/>
              </w:rPr>
            </w:pPr>
            <w:r w:rsidRPr="00DD37EC">
              <w:rPr>
                <w:rFonts w:ascii="Arial" w:hAnsi="Arial" w:cs="Arial"/>
                <w:lang w:val="es-419"/>
              </w:rPr>
              <w:t>Se ha aumentado la capacidad para el procesamiento de muestras para realizar cultivos para el diagnóstico y pruebas de sensibilidad.</w:t>
            </w:r>
            <w:r w:rsidR="00A14E9D">
              <w:rPr>
                <w:rFonts w:ascii="Arial" w:hAnsi="Arial" w:cs="Arial"/>
                <w:lang w:val="es-419"/>
              </w:rPr>
              <w:t xml:space="preserve"> Esto ha fortalecido la vigilancia de TB sensible y TB-MDR</w:t>
            </w:r>
          </w:p>
        </w:tc>
      </w:tr>
      <w:tr w:rsidR="002611C3" w:rsidRPr="00392E34" w14:paraId="47C80C2E" w14:textId="77777777" w:rsidTr="005F4042">
        <w:tc>
          <w:tcPr>
            <w:cnfStyle w:val="001000000000" w:firstRow="0" w:lastRow="0" w:firstColumn="1" w:lastColumn="0" w:oddVBand="0" w:evenVBand="0" w:oddHBand="0" w:evenHBand="0" w:firstRowFirstColumn="0" w:firstRowLastColumn="0" w:lastRowFirstColumn="0" w:lastRowLastColumn="0"/>
            <w:tcW w:w="1800" w:type="dxa"/>
          </w:tcPr>
          <w:p w14:paraId="61CFE7A9" w14:textId="77777777" w:rsidR="002611C3" w:rsidRPr="00DD37EC" w:rsidRDefault="002611C3" w:rsidP="00DD37EC">
            <w:pPr>
              <w:spacing w:after="240"/>
              <w:contextualSpacing/>
              <w:jc w:val="both"/>
              <w:rPr>
                <w:rFonts w:ascii="Arial" w:hAnsi="Arial" w:cs="Arial"/>
                <w:lang w:val="es-DO"/>
              </w:rPr>
            </w:pPr>
            <w:r w:rsidRPr="00DD37EC">
              <w:rPr>
                <w:rFonts w:ascii="Arial" w:hAnsi="Arial" w:cs="Arial"/>
                <w:lang w:val="es-DO"/>
              </w:rPr>
              <w:t>Debilidades</w:t>
            </w:r>
          </w:p>
        </w:tc>
        <w:tc>
          <w:tcPr>
            <w:tcW w:w="8190" w:type="dxa"/>
            <w:gridSpan w:val="2"/>
          </w:tcPr>
          <w:p w14:paraId="7FF7280A" w14:textId="04240C5C" w:rsidR="002611C3" w:rsidRPr="00DD37EC" w:rsidRDefault="002611C3" w:rsidP="00DD37EC">
            <w:pPr>
              <w:spacing w:after="240"/>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lang w:val="es-DO"/>
              </w:rPr>
            </w:pPr>
            <w:r w:rsidRPr="00DD37EC">
              <w:rPr>
                <w:rFonts w:ascii="Arial" w:hAnsi="Arial" w:cs="Arial"/>
                <w:lang w:val="es-419"/>
              </w:rPr>
              <w:t>No existe un sistema operativo de transporte de muestras y resultados de los laboratorio</w:t>
            </w:r>
            <w:r w:rsidR="00765438" w:rsidRPr="00DD37EC">
              <w:rPr>
                <w:rFonts w:ascii="Arial" w:hAnsi="Arial" w:cs="Arial"/>
                <w:lang w:val="es-419"/>
              </w:rPr>
              <w:t>s</w:t>
            </w:r>
            <w:r w:rsidRPr="00DD37EC">
              <w:rPr>
                <w:rFonts w:ascii="Arial" w:hAnsi="Arial" w:cs="Arial"/>
                <w:lang w:val="es-419"/>
              </w:rPr>
              <w:t xml:space="preserve"> regionales al nivel nacional, solo el 30% de los establecimientos de salud cuentan con facilidades de transporte de muestras con financiamiento nacional, el resto es con fondos del </w:t>
            </w:r>
            <w:r w:rsidR="00765438" w:rsidRPr="00DD37EC">
              <w:rPr>
                <w:rFonts w:ascii="Arial" w:hAnsi="Arial" w:cs="Arial"/>
                <w:lang w:val="es-419"/>
              </w:rPr>
              <w:t>FM</w:t>
            </w:r>
            <w:r w:rsidRPr="00DD37EC">
              <w:rPr>
                <w:rFonts w:ascii="Arial" w:hAnsi="Arial" w:cs="Arial"/>
                <w:lang w:val="es-419"/>
              </w:rPr>
              <w:t xml:space="preserve"> (70%)</w:t>
            </w:r>
          </w:p>
        </w:tc>
      </w:tr>
      <w:tr w:rsidR="002611C3" w:rsidRPr="00392E34" w14:paraId="2E27286F" w14:textId="77777777" w:rsidTr="005F40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Pr>
          <w:p w14:paraId="608826FD" w14:textId="77777777" w:rsidR="002611C3" w:rsidRPr="00DD37EC" w:rsidRDefault="002611C3" w:rsidP="00DD37EC">
            <w:pPr>
              <w:spacing w:after="240"/>
              <w:contextualSpacing/>
              <w:jc w:val="both"/>
              <w:rPr>
                <w:rFonts w:ascii="Arial" w:hAnsi="Arial" w:cs="Arial"/>
                <w:b w:val="0"/>
                <w:lang w:val="es-DO"/>
              </w:rPr>
            </w:pPr>
          </w:p>
        </w:tc>
        <w:tc>
          <w:tcPr>
            <w:tcW w:w="8190" w:type="dxa"/>
            <w:gridSpan w:val="2"/>
          </w:tcPr>
          <w:p w14:paraId="624C8F6D" w14:textId="308881F2" w:rsidR="002611C3" w:rsidRPr="00DD37EC" w:rsidRDefault="002611C3" w:rsidP="00DD37EC">
            <w:pPr>
              <w:spacing w:after="240"/>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lang w:val="es-DO"/>
              </w:rPr>
            </w:pPr>
            <w:r w:rsidRPr="00DD37EC">
              <w:rPr>
                <w:rFonts w:ascii="Arial" w:hAnsi="Arial" w:cs="Arial"/>
                <w:lang w:val="es-419"/>
              </w:rPr>
              <w:t xml:space="preserve">Los cartuchos que se utilizan para realizar los estos </w:t>
            </w:r>
            <w:r w:rsidR="00173590">
              <w:rPr>
                <w:rFonts w:ascii="Arial" w:hAnsi="Arial" w:cs="Arial"/>
                <w:lang w:val="es-419"/>
              </w:rPr>
              <w:t xml:space="preserve">pruebas </w:t>
            </w:r>
            <w:r w:rsidRPr="00DD37EC">
              <w:rPr>
                <w:rFonts w:ascii="Arial" w:hAnsi="Arial" w:cs="Arial"/>
                <w:lang w:val="es-419"/>
              </w:rPr>
              <w:t>de laboratorio con el equipo del GeneXpert MTB/RIF son adquiridos en su totalidad por fondos del Fondo Mundial</w:t>
            </w:r>
          </w:p>
        </w:tc>
      </w:tr>
      <w:tr w:rsidR="002611C3" w:rsidRPr="00392E34" w14:paraId="144F516A" w14:textId="77777777" w:rsidTr="005F4042">
        <w:trPr>
          <w:trHeight w:val="117"/>
        </w:trPr>
        <w:tc>
          <w:tcPr>
            <w:cnfStyle w:val="001000000000" w:firstRow="0" w:lastRow="0" w:firstColumn="1" w:lastColumn="0" w:oddVBand="0" w:evenVBand="0" w:oddHBand="0" w:evenHBand="0" w:firstRowFirstColumn="0" w:firstRowLastColumn="0" w:lastRowFirstColumn="0" w:lastRowLastColumn="0"/>
            <w:tcW w:w="1800" w:type="dxa"/>
          </w:tcPr>
          <w:p w14:paraId="2565C9A8" w14:textId="77777777" w:rsidR="002611C3" w:rsidRPr="00DD37EC" w:rsidRDefault="002611C3" w:rsidP="00DD37EC">
            <w:pPr>
              <w:spacing w:after="240"/>
              <w:contextualSpacing/>
              <w:jc w:val="both"/>
              <w:rPr>
                <w:rFonts w:ascii="Arial" w:hAnsi="Arial" w:cs="Arial"/>
                <w:b w:val="0"/>
                <w:lang w:val="es-DO"/>
              </w:rPr>
            </w:pPr>
          </w:p>
        </w:tc>
        <w:tc>
          <w:tcPr>
            <w:tcW w:w="8190" w:type="dxa"/>
            <w:gridSpan w:val="2"/>
          </w:tcPr>
          <w:p w14:paraId="4CF5FF48" w14:textId="7FEE0131" w:rsidR="002611C3" w:rsidRPr="00DD37EC" w:rsidRDefault="002611C3" w:rsidP="00DD37EC">
            <w:pPr>
              <w:spacing w:after="240"/>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lang w:val="es-DO"/>
              </w:rPr>
            </w:pPr>
            <w:r w:rsidRPr="00DD37EC">
              <w:rPr>
                <w:rFonts w:ascii="Arial" w:hAnsi="Arial" w:cs="Arial"/>
                <w:lang w:val="es-419"/>
              </w:rPr>
              <w:t>Aproximadamente el 60% de la red de laboratorios de microscopía a nivel nacional requieren ser fortalecidos con insumos y equipamiento</w:t>
            </w:r>
          </w:p>
        </w:tc>
      </w:tr>
      <w:tr w:rsidR="002611C3" w:rsidRPr="00392E34" w14:paraId="6DCD62C3" w14:textId="77777777" w:rsidTr="005F4042">
        <w:trPr>
          <w:cnfStyle w:val="000000100000" w:firstRow="0" w:lastRow="0" w:firstColumn="0" w:lastColumn="0" w:oddVBand="0" w:evenVBand="0" w:oddHBand="1" w:evenHBand="0" w:firstRowFirstColumn="0" w:firstRowLastColumn="0" w:lastRowFirstColumn="0" w:lastRowLastColumn="0"/>
          <w:trHeight w:val="117"/>
        </w:trPr>
        <w:tc>
          <w:tcPr>
            <w:cnfStyle w:val="001000000000" w:firstRow="0" w:lastRow="0" w:firstColumn="1" w:lastColumn="0" w:oddVBand="0" w:evenVBand="0" w:oddHBand="0" w:evenHBand="0" w:firstRowFirstColumn="0" w:firstRowLastColumn="0" w:lastRowFirstColumn="0" w:lastRowLastColumn="0"/>
            <w:tcW w:w="1800" w:type="dxa"/>
          </w:tcPr>
          <w:p w14:paraId="41F30455" w14:textId="77777777" w:rsidR="002611C3" w:rsidRPr="00DD37EC" w:rsidRDefault="002611C3" w:rsidP="00DD37EC">
            <w:pPr>
              <w:spacing w:after="240"/>
              <w:contextualSpacing/>
              <w:jc w:val="both"/>
              <w:rPr>
                <w:rFonts w:ascii="Arial" w:hAnsi="Arial" w:cs="Arial"/>
                <w:b w:val="0"/>
                <w:lang w:val="es-DO"/>
              </w:rPr>
            </w:pPr>
          </w:p>
        </w:tc>
        <w:tc>
          <w:tcPr>
            <w:tcW w:w="8190" w:type="dxa"/>
            <w:gridSpan w:val="2"/>
          </w:tcPr>
          <w:p w14:paraId="22FA0CE5" w14:textId="781AECE7" w:rsidR="002611C3" w:rsidRPr="00DD37EC" w:rsidRDefault="002611C3" w:rsidP="00DD37EC">
            <w:pPr>
              <w:spacing w:after="240"/>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lang w:val="es-DO"/>
              </w:rPr>
            </w:pPr>
            <w:r w:rsidRPr="00DD37EC">
              <w:rPr>
                <w:rFonts w:ascii="Arial" w:hAnsi="Arial" w:cs="Arial"/>
                <w:lang w:val="es-419"/>
              </w:rPr>
              <w:t>Existe un limitado tamizaje de TB en personas con VIH</w:t>
            </w:r>
            <w:r w:rsidR="0037636B">
              <w:rPr>
                <w:rFonts w:ascii="Arial" w:hAnsi="Arial" w:cs="Arial"/>
                <w:lang w:val="es-419"/>
              </w:rPr>
              <w:t xml:space="preserve"> (por documentar)</w:t>
            </w:r>
          </w:p>
        </w:tc>
      </w:tr>
      <w:tr w:rsidR="002611C3" w:rsidRPr="00392E34" w14:paraId="7C053C6E" w14:textId="77777777" w:rsidTr="005F4042">
        <w:trPr>
          <w:trHeight w:val="117"/>
        </w:trPr>
        <w:tc>
          <w:tcPr>
            <w:cnfStyle w:val="001000000000" w:firstRow="0" w:lastRow="0" w:firstColumn="1" w:lastColumn="0" w:oddVBand="0" w:evenVBand="0" w:oddHBand="0" w:evenHBand="0" w:firstRowFirstColumn="0" w:firstRowLastColumn="0" w:lastRowFirstColumn="0" w:lastRowLastColumn="0"/>
            <w:tcW w:w="1800" w:type="dxa"/>
          </w:tcPr>
          <w:p w14:paraId="7B52CE2B" w14:textId="77777777" w:rsidR="002611C3" w:rsidRPr="00DD37EC" w:rsidRDefault="002611C3" w:rsidP="00DD37EC">
            <w:pPr>
              <w:spacing w:after="240"/>
              <w:contextualSpacing/>
              <w:jc w:val="both"/>
              <w:rPr>
                <w:rFonts w:ascii="Arial" w:hAnsi="Arial" w:cs="Arial"/>
                <w:b w:val="0"/>
                <w:lang w:val="es-DO"/>
              </w:rPr>
            </w:pPr>
          </w:p>
        </w:tc>
        <w:tc>
          <w:tcPr>
            <w:tcW w:w="8190" w:type="dxa"/>
            <w:gridSpan w:val="2"/>
          </w:tcPr>
          <w:p w14:paraId="32BC473A" w14:textId="68B0C4A9" w:rsidR="002611C3" w:rsidRPr="00DD37EC" w:rsidRDefault="002611C3" w:rsidP="00DD37EC">
            <w:pPr>
              <w:spacing w:after="240"/>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lang w:val="es-DO"/>
              </w:rPr>
            </w:pPr>
            <w:r w:rsidRPr="00DD37EC">
              <w:rPr>
                <w:rFonts w:ascii="Arial" w:hAnsi="Arial" w:cs="Arial"/>
                <w:lang w:val="es-419"/>
              </w:rPr>
              <w:t>Persiste un porcentaje de alrededor del 30% de extendidos diagnósticos de mala calidad realizados por personal no capacitado</w:t>
            </w:r>
          </w:p>
        </w:tc>
      </w:tr>
      <w:tr w:rsidR="006538EA" w:rsidRPr="00392E34" w14:paraId="284B840E" w14:textId="77777777" w:rsidTr="005F4042">
        <w:trPr>
          <w:cnfStyle w:val="000000100000" w:firstRow="0" w:lastRow="0" w:firstColumn="0" w:lastColumn="0" w:oddVBand="0" w:evenVBand="0" w:oddHBand="1" w:evenHBand="0" w:firstRowFirstColumn="0" w:firstRowLastColumn="0" w:lastRowFirstColumn="0" w:lastRowLastColumn="0"/>
          <w:trHeight w:val="117"/>
        </w:trPr>
        <w:tc>
          <w:tcPr>
            <w:cnfStyle w:val="001000000000" w:firstRow="0" w:lastRow="0" w:firstColumn="1" w:lastColumn="0" w:oddVBand="0" w:evenVBand="0" w:oddHBand="0" w:evenHBand="0" w:firstRowFirstColumn="0" w:firstRowLastColumn="0" w:lastRowFirstColumn="0" w:lastRowLastColumn="0"/>
            <w:tcW w:w="1800" w:type="dxa"/>
          </w:tcPr>
          <w:p w14:paraId="527DF1EA" w14:textId="77777777" w:rsidR="006538EA" w:rsidRPr="00DD37EC" w:rsidRDefault="006538EA" w:rsidP="00DD37EC">
            <w:pPr>
              <w:spacing w:after="240"/>
              <w:contextualSpacing/>
              <w:jc w:val="both"/>
              <w:rPr>
                <w:rFonts w:ascii="Arial" w:hAnsi="Arial" w:cs="Arial"/>
                <w:b w:val="0"/>
                <w:lang w:val="es-DO"/>
              </w:rPr>
            </w:pPr>
          </w:p>
        </w:tc>
        <w:tc>
          <w:tcPr>
            <w:tcW w:w="8190" w:type="dxa"/>
            <w:gridSpan w:val="2"/>
          </w:tcPr>
          <w:p w14:paraId="44B67FA4" w14:textId="60757E01" w:rsidR="006538EA" w:rsidRPr="00DD37EC" w:rsidRDefault="006538EA" w:rsidP="00DD37EC">
            <w:pPr>
              <w:spacing w:after="240"/>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lang w:val="es-419"/>
              </w:rPr>
            </w:pPr>
            <w:r w:rsidRPr="00DD37EC">
              <w:rPr>
                <w:rFonts w:ascii="Arial" w:hAnsi="Arial" w:cs="Arial"/>
                <w:lang w:val="es-419"/>
              </w:rPr>
              <w:t>El presupuesto asignado para las actividades de diagnóstico laboratorial y estudios de sensibilidad a medicamentos antituberculosos, así como el destinado al monitoreo, supervisión, evaluación y capacitación es insuficiente</w:t>
            </w:r>
            <w:r w:rsidR="00744F4B">
              <w:rPr>
                <w:rFonts w:ascii="Arial" w:hAnsi="Arial" w:cs="Arial"/>
                <w:lang w:val="es-419"/>
              </w:rPr>
              <w:t xml:space="preserve"> (por documentar)</w:t>
            </w:r>
          </w:p>
        </w:tc>
      </w:tr>
    </w:tbl>
    <w:p w14:paraId="1D74C8B9" w14:textId="77777777" w:rsidR="002611C3" w:rsidRPr="00DD37EC" w:rsidRDefault="002611C3" w:rsidP="00DD37EC">
      <w:pPr>
        <w:spacing w:after="240" w:line="240" w:lineRule="auto"/>
        <w:rPr>
          <w:rFonts w:ascii="Arial" w:hAnsi="Arial" w:cs="Arial"/>
          <w:lang w:val="es-419"/>
        </w:rPr>
      </w:pPr>
    </w:p>
    <w:p w14:paraId="370E9E16" w14:textId="53ECB2CC" w:rsidR="002611C3" w:rsidRPr="00120CEF" w:rsidRDefault="002611C3" w:rsidP="0068285B">
      <w:pPr>
        <w:pStyle w:val="Heading2"/>
        <w:numPr>
          <w:ilvl w:val="1"/>
          <w:numId w:val="18"/>
        </w:numPr>
        <w:spacing w:before="0" w:after="240" w:line="240" w:lineRule="auto"/>
        <w:rPr>
          <w:rFonts w:ascii="Arial" w:hAnsi="Arial" w:cs="Arial"/>
          <w:sz w:val="22"/>
          <w:szCs w:val="22"/>
          <w:lang w:val="es-419"/>
        </w:rPr>
      </w:pPr>
      <w:bookmarkStart w:id="81" w:name="_Toc8905239"/>
      <w:r w:rsidRPr="00DD37EC">
        <w:rPr>
          <w:rFonts w:ascii="Arial" w:hAnsi="Arial" w:cs="Arial"/>
          <w:sz w:val="22"/>
          <w:szCs w:val="22"/>
          <w:lang w:val="es-419"/>
        </w:rPr>
        <w:t>Actividades de tratamiento y retención en atención, fuerzas y debilidades</w:t>
      </w:r>
      <w:bookmarkEnd w:id="81"/>
      <w:r w:rsidRPr="00DD37EC">
        <w:rPr>
          <w:rFonts w:ascii="Arial" w:hAnsi="Arial" w:cs="Arial"/>
          <w:sz w:val="22"/>
          <w:szCs w:val="22"/>
          <w:lang w:val="es-419"/>
        </w:rPr>
        <w:t xml:space="preserve"> </w:t>
      </w:r>
    </w:p>
    <w:p w14:paraId="2F9BAECD" w14:textId="77777777" w:rsidR="00343D0E" w:rsidRDefault="00120CEF" w:rsidP="00120CEF">
      <w:pPr>
        <w:spacing w:after="240" w:line="240" w:lineRule="auto"/>
        <w:jc w:val="both"/>
        <w:rPr>
          <w:rFonts w:ascii="Arial" w:hAnsi="Arial" w:cs="Arial"/>
          <w:lang w:val="es-419"/>
        </w:rPr>
      </w:pPr>
      <w:r w:rsidRPr="00120CEF">
        <w:rPr>
          <w:rFonts w:ascii="Arial" w:hAnsi="Arial" w:cs="Arial"/>
          <w:lang w:val="es-419"/>
        </w:rPr>
        <w:t>El tratamiento de la TB y la adherencia son la base para el control de la enfermedad y de su eliminación.  En términos de sostenibilidad, el país tiene la capacidad de</w:t>
      </w:r>
      <w:r>
        <w:rPr>
          <w:rFonts w:ascii="Arial" w:hAnsi="Arial" w:cs="Arial"/>
          <w:lang w:val="es-419"/>
        </w:rPr>
        <w:t xml:space="preserve"> </w:t>
      </w:r>
      <w:r w:rsidRPr="00120CEF">
        <w:rPr>
          <w:rFonts w:ascii="Arial" w:hAnsi="Arial" w:cs="Arial"/>
          <w:lang w:val="es-419"/>
        </w:rPr>
        <w:t>garantizar el tratamiento de primera y segunda línea para la TB</w:t>
      </w:r>
      <w:r w:rsidR="00A82B26">
        <w:rPr>
          <w:rFonts w:ascii="Arial" w:hAnsi="Arial" w:cs="Arial"/>
          <w:lang w:val="es-419"/>
        </w:rPr>
        <w:t xml:space="preserve"> </w:t>
      </w:r>
      <w:r w:rsidRPr="00120CEF">
        <w:rPr>
          <w:rFonts w:ascii="Arial" w:hAnsi="Arial" w:cs="Arial"/>
          <w:lang w:val="es-419"/>
        </w:rPr>
        <w:t>ya que los medicamentos antituberculosos están incluidos en el cuadro básico de medicamentos de la SESAL y son comprados con fondos domésticos.</w:t>
      </w:r>
    </w:p>
    <w:p w14:paraId="05A3B59B" w14:textId="40EA2B77" w:rsidR="00343D0E" w:rsidRDefault="00120CEF" w:rsidP="00120CEF">
      <w:pPr>
        <w:spacing w:after="240" w:line="240" w:lineRule="auto"/>
        <w:jc w:val="both"/>
        <w:rPr>
          <w:rFonts w:ascii="Arial" w:hAnsi="Arial" w:cs="Arial"/>
          <w:lang w:val="es-419"/>
        </w:rPr>
      </w:pPr>
      <w:r w:rsidRPr="00120CEF">
        <w:rPr>
          <w:rFonts w:ascii="Arial" w:hAnsi="Arial" w:cs="Arial"/>
          <w:lang w:val="es-419"/>
        </w:rPr>
        <w:t>A la fecha, el país no cuenta con datos sobre adherencia al tratamiento antituberculoso, pero se reporta que el porcentaje de curación de pacientes actualmente es del 88%.</w:t>
      </w:r>
      <w:r w:rsidRPr="00120CEF">
        <w:rPr>
          <w:rStyle w:val="FootnoteReference"/>
          <w:rFonts w:ascii="Arial" w:hAnsi="Arial" w:cs="Arial"/>
          <w:lang w:val="es-419"/>
        </w:rPr>
        <w:footnoteReference w:id="88"/>
      </w:r>
      <w:r w:rsidR="00343D0E">
        <w:rPr>
          <w:rFonts w:ascii="Arial" w:hAnsi="Arial" w:cs="Arial"/>
          <w:lang w:val="es-419"/>
        </w:rPr>
        <w:t xml:space="preserve"> Para la TB-MDR se reporta una tasa de éxito de 37% y una mortalidad del 50%, esto se asocia al diagnóstico tardío y al mal manejo de comorbilidades (como la diabetes).</w:t>
      </w:r>
    </w:p>
    <w:p w14:paraId="5218A002" w14:textId="218F7A9C" w:rsidR="003E61E2" w:rsidRDefault="004E495A" w:rsidP="00120CEF">
      <w:pPr>
        <w:spacing w:after="240" w:line="240" w:lineRule="auto"/>
        <w:jc w:val="both"/>
        <w:rPr>
          <w:rFonts w:ascii="Arial" w:hAnsi="Arial" w:cs="Arial"/>
          <w:lang w:val="es-MX"/>
        </w:rPr>
      </w:pPr>
      <w:r w:rsidRPr="004E495A">
        <w:rPr>
          <w:rFonts w:ascii="Arial" w:hAnsi="Arial" w:cs="Arial"/>
          <w:lang w:val="es-MX"/>
        </w:rPr>
        <w:t>A finales de 2018, la OMS publicó</w:t>
      </w:r>
      <w:r>
        <w:rPr>
          <w:rFonts w:ascii="Arial" w:hAnsi="Arial" w:cs="Arial"/>
          <w:lang w:val="es-MX"/>
        </w:rPr>
        <w:t xml:space="preserve"> sus nuevas </w:t>
      </w:r>
      <w:r w:rsidR="003E61E2">
        <w:rPr>
          <w:rFonts w:ascii="Arial" w:hAnsi="Arial" w:cs="Arial"/>
          <w:lang w:val="es-MX"/>
        </w:rPr>
        <w:t>guías de tratamiento para TB-MDR y TB-RR (Tuberculosis resistente a la rifampicina), en donde se marca una importante separación de los enfoques previos para el tratamiento. Los regímenes orales se vuelven preferenciales</w:t>
      </w:r>
      <w:r w:rsidR="00A251AC">
        <w:rPr>
          <w:rFonts w:ascii="Arial" w:hAnsi="Arial" w:cs="Arial"/>
          <w:lang w:val="es-MX"/>
        </w:rPr>
        <w:t xml:space="preserve"> sobre los inyectables</w:t>
      </w:r>
      <w:r w:rsidR="003E61E2">
        <w:rPr>
          <w:rFonts w:ascii="Arial" w:hAnsi="Arial" w:cs="Arial"/>
          <w:lang w:val="es-MX"/>
        </w:rPr>
        <w:t>, y las fluoroquinolonas (</w:t>
      </w:r>
      <w:r w:rsidR="003E61E2" w:rsidRPr="00DE64E7">
        <w:rPr>
          <w:rFonts w:ascii="Arial" w:hAnsi="Arial" w:cs="Arial"/>
          <w:lang w:val="es-MX"/>
        </w:rPr>
        <w:t>levofloxacin</w:t>
      </w:r>
      <w:r w:rsidR="00DE64E7" w:rsidRPr="00DE64E7">
        <w:rPr>
          <w:rFonts w:ascii="Arial" w:hAnsi="Arial" w:cs="Arial"/>
          <w:lang w:val="es-MX"/>
        </w:rPr>
        <w:t>a</w:t>
      </w:r>
      <w:r w:rsidR="003E61E2" w:rsidRPr="00DE64E7">
        <w:rPr>
          <w:rFonts w:ascii="Arial" w:hAnsi="Arial" w:cs="Arial"/>
          <w:lang w:val="es-MX"/>
        </w:rPr>
        <w:t xml:space="preserve"> o moxifloxacin</w:t>
      </w:r>
      <w:r w:rsidR="00DE64E7" w:rsidRPr="00DE64E7">
        <w:rPr>
          <w:rFonts w:ascii="Arial" w:hAnsi="Arial" w:cs="Arial"/>
          <w:lang w:val="es-MX"/>
        </w:rPr>
        <w:t>a)</w:t>
      </w:r>
      <w:r w:rsidR="00DE64E7">
        <w:rPr>
          <w:rFonts w:ascii="Arial" w:hAnsi="Arial" w:cs="Arial"/>
          <w:lang w:val="es-MX"/>
        </w:rPr>
        <w:t xml:space="preserve">, bedaquilina y linezolida se </w:t>
      </w:r>
      <w:r w:rsidR="00DE64E7">
        <w:rPr>
          <w:rFonts w:ascii="Arial" w:hAnsi="Arial" w:cs="Arial"/>
          <w:lang w:val="es-MX"/>
        </w:rPr>
        <w:lastRenderedPageBreak/>
        <w:t>recomiendan fuertemente para los regímenes largos. El régimen corto (9 a 12 meses) se sugiere para pacientes elegibles, con el riesgo de una menor efectividad que los regímenes largos.</w:t>
      </w:r>
      <w:r w:rsidR="00A251AC">
        <w:rPr>
          <w:rFonts w:ascii="Arial" w:hAnsi="Arial" w:cs="Arial"/>
          <w:lang w:val="es-MX"/>
        </w:rPr>
        <w:t xml:space="preserve"> Cabe mencionar que en 2018 la SESAL inició el proceso de adquisición de la bedaquilina y delamanid</w:t>
      </w:r>
      <w:r w:rsidR="001D450D">
        <w:rPr>
          <w:rFonts w:ascii="Arial" w:hAnsi="Arial" w:cs="Arial"/>
          <w:lang w:val="es-MX"/>
        </w:rPr>
        <w:t>.</w:t>
      </w:r>
    </w:p>
    <w:p w14:paraId="739489F3" w14:textId="77777777" w:rsidR="003976DF" w:rsidRDefault="003976DF" w:rsidP="00A321BD">
      <w:pPr>
        <w:spacing w:after="240" w:line="240" w:lineRule="auto"/>
        <w:jc w:val="both"/>
        <w:rPr>
          <w:rFonts w:ascii="Arial" w:hAnsi="Arial" w:cs="Arial"/>
          <w:lang w:val="es-MX"/>
        </w:rPr>
      </w:pPr>
    </w:p>
    <w:p w14:paraId="39265C8D" w14:textId="0DC43A26" w:rsidR="00A321BD" w:rsidRPr="003976DF" w:rsidRDefault="003976DF" w:rsidP="003976DF">
      <w:pPr>
        <w:pStyle w:val="Caption"/>
        <w:rPr>
          <w:rFonts w:ascii="Arial" w:hAnsi="Arial" w:cs="Arial"/>
          <w:color w:val="auto"/>
          <w:sz w:val="22"/>
          <w:szCs w:val="22"/>
        </w:rPr>
      </w:pPr>
      <w:bookmarkStart w:id="82" w:name="_Toc8904509"/>
      <w:r w:rsidRPr="003976DF">
        <w:rPr>
          <w:rFonts w:ascii="Arial" w:hAnsi="Arial" w:cs="Arial"/>
          <w:color w:val="auto"/>
          <w:sz w:val="22"/>
          <w:szCs w:val="22"/>
        </w:rPr>
        <w:t xml:space="preserve">Tabla </w:t>
      </w:r>
      <w:r w:rsidRPr="003976DF">
        <w:rPr>
          <w:rFonts w:ascii="Arial" w:hAnsi="Arial" w:cs="Arial"/>
          <w:color w:val="auto"/>
          <w:sz w:val="22"/>
          <w:szCs w:val="22"/>
        </w:rPr>
        <w:fldChar w:fldCharType="begin"/>
      </w:r>
      <w:r w:rsidRPr="003976DF">
        <w:rPr>
          <w:rFonts w:ascii="Arial" w:hAnsi="Arial" w:cs="Arial"/>
          <w:color w:val="auto"/>
          <w:sz w:val="22"/>
          <w:szCs w:val="22"/>
        </w:rPr>
        <w:instrText xml:space="preserve"> SEQ Tabla \* ARABIC </w:instrText>
      </w:r>
      <w:r w:rsidRPr="003976DF">
        <w:rPr>
          <w:rFonts w:ascii="Arial" w:hAnsi="Arial" w:cs="Arial"/>
          <w:color w:val="auto"/>
          <w:sz w:val="22"/>
          <w:szCs w:val="22"/>
        </w:rPr>
        <w:fldChar w:fldCharType="separate"/>
      </w:r>
      <w:r w:rsidR="00D447AE">
        <w:rPr>
          <w:rFonts w:ascii="Arial" w:hAnsi="Arial" w:cs="Arial"/>
          <w:noProof/>
          <w:color w:val="auto"/>
          <w:sz w:val="22"/>
          <w:szCs w:val="22"/>
        </w:rPr>
        <w:t>7</w:t>
      </w:r>
      <w:r w:rsidRPr="003976DF">
        <w:rPr>
          <w:rFonts w:ascii="Arial" w:hAnsi="Arial" w:cs="Arial"/>
          <w:color w:val="auto"/>
          <w:sz w:val="22"/>
          <w:szCs w:val="22"/>
        </w:rPr>
        <w:fldChar w:fldCharType="end"/>
      </w:r>
      <w:r w:rsidRPr="003976DF">
        <w:rPr>
          <w:rFonts w:ascii="Arial" w:hAnsi="Arial" w:cs="Arial"/>
          <w:color w:val="auto"/>
          <w:sz w:val="22"/>
          <w:szCs w:val="22"/>
        </w:rPr>
        <w:t>. Comparación Guías Clínicas OMS del 2011-2017 y las del 2018</w:t>
      </w:r>
      <w:bookmarkEnd w:id="82"/>
    </w:p>
    <w:tbl>
      <w:tblPr>
        <w:tblStyle w:val="TableGrid"/>
        <w:tblW w:w="0" w:type="auto"/>
        <w:tblLook w:val="04A0" w:firstRow="1" w:lastRow="0" w:firstColumn="1" w:lastColumn="0" w:noHBand="0" w:noVBand="1"/>
      </w:tblPr>
      <w:tblGrid>
        <w:gridCol w:w="1975"/>
        <w:gridCol w:w="3690"/>
        <w:gridCol w:w="3685"/>
      </w:tblGrid>
      <w:tr w:rsidR="00A321BD" w14:paraId="667CDB35" w14:textId="77777777" w:rsidTr="008B0A6B">
        <w:tc>
          <w:tcPr>
            <w:tcW w:w="1975" w:type="dxa"/>
            <w:shd w:val="clear" w:color="auto" w:fill="F2F2F2" w:themeFill="background1" w:themeFillShade="F2"/>
          </w:tcPr>
          <w:p w14:paraId="0FB953F5" w14:textId="77777777" w:rsidR="00A321BD" w:rsidRPr="0028116B" w:rsidRDefault="00A321BD" w:rsidP="008B0A6B">
            <w:pPr>
              <w:spacing w:after="240"/>
              <w:jc w:val="both"/>
              <w:rPr>
                <w:rFonts w:ascii="Arial" w:hAnsi="Arial" w:cs="Arial"/>
                <w:b/>
                <w:lang w:val="es-MX"/>
              </w:rPr>
            </w:pPr>
            <w:r w:rsidRPr="0028116B">
              <w:rPr>
                <w:rFonts w:ascii="Arial" w:hAnsi="Arial" w:cs="Arial"/>
                <w:b/>
                <w:lang w:val="es-MX"/>
              </w:rPr>
              <w:t>Tratamiento</w:t>
            </w:r>
            <w:r>
              <w:rPr>
                <w:rFonts w:ascii="Arial" w:hAnsi="Arial" w:cs="Arial"/>
                <w:b/>
                <w:lang w:val="es-MX"/>
              </w:rPr>
              <w:t xml:space="preserve"> para TB-MDR</w:t>
            </w:r>
          </w:p>
        </w:tc>
        <w:tc>
          <w:tcPr>
            <w:tcW w:w="3690" w:type="dxa"/>
            <w:shd w:val="clear" w:color="auto" w:fill="F2F2F2" w:themeFill="background1" w:themeFillShade="F2"/>
          </w:tcPr>
          <w:p w14:paraId="53D6A376" w14:textId="77777777" w:rsidR="00A321BD" w:rsidRPr="0028116B" w:rsidRDefault="00A321BD" w:rsidP="008B0A6B">
            <w:pPr>
              <w:spacing w:after="240"/>
              <w:jc w:val="both"/>
              <w:rPr>
                <w:rFonts w:ascii="Arial" w:hAnsi="Arial" w:cs="Arial"/>
                <w:b/>
                <w:lang w:val="es-MX"/>
              </w:rPr>
            </w:pPr>
            <w:r w:rsidRPr="0028116B">
              <w:rPr>
                <w:rFonts w:ascii="Arial" w:hAnsi="Arial" w:cs="Arial"/>
                <w:b/>
                <w:lang w:val="es-MX"/>
              </w:rPr>
              <w:t>Guías anteriores (2011-2017)</w:t>
            </w:r>
          </w:p>
        </w:tc>
        <w:tc>
          <w:tcPr>
            <w:tcW w:w="3685" w:type="dxa"/>
            <w:shd w:val="clear" w:color="auto" w:fill="F2F2F2" w:themeFill="background1" w:themeFillShade="F2"/>
          </w:tcPr>
          <w:p w14:paraId="6C49CE51" w14:textId="77777777" w:rsidR="00A321BD" w:rsidRPr="0028116B" w:rsidRDefault="00A321BD" w:rsidP="008B0A6B">
            <w:pPr>
              <w:spacing w:after="240"/>
              <w:jc w:val="both"/>
              <w:rPr>
                <w:rFonts w:ascii="Arial" w:hAnsi="Arial" w:cs="Arial"/>
                <w:b/>
                <w:lang w:val="es-MX"/>
              </w:rPr>
            </w:pPr>
            <w:r w:rsidRPr="0028116B">
              <w:rPr>
                <w:rFonts w:ascii="Arial" w:hAnsi="Arial" w:cs="Arial"/>
                <w:b/>
                <w:lang w:val="es-MX"/>
              </w:rPr>
              <w:t>Nuevas guías (2018)</w:t>
            </w:r>
            <w:r>
              <w:rPr>
                <w:rFonts w:ascii="Arial" w:hAnsi="Arial" w:cs="Arial"/>
                <w:b/>
                <w:lang w:val="es-MX"/>
              </w:rPr>
              <w:t xml:space="preserve">- OMS- </w:t>
            </w:r>
          </w:p>
        </w:tc>
      </w:tr>
      <w:tr w:rsidR="00A321BD" w:rsidRPr="00392E34" w14:paraId="07BBD75D" w14:textId="77777777" w:rsidTr="008B0A6B">
        <w:tc>
          <w:tcPr>
            <w:tcW w:w="1975" w:type="dxa"/>
            <w:shd w:val="clear" w:color="auto" w:fill="F2F2F2" w:themeFill="background1" w:themeFillShade="F2"/>
          </w:tcPr>
          <w:p w14:paraId="5EF25BBD" w14:textId="77777777" w:rsidR="00A321BD" w:rsidRPr="0028116B" w:rsidRDefault="00A321BD" w:rsidP="008B0A6B">
            <w:pPr>
              <w:spacing w:after="240"/>
              <w:jc w:val="both"/>
              <w:rPr>
                <w:rFonts w:ascii="Arial" w:hAnsi="Arial" w:cs="Arial"/>
                <w:b/>
                <w:lang w:val="es-MX"/>
              </w:rPr>
            </w:pPr>
            <w:r w:rsidRPr="0028116B">
              <w:rPr>
                <w:rFonts w:ascii="Arial" w:hAnsi="Arial" w:cs="Arial"/>
                <w:b/>
                <w:lang w:val="es-MX"/>
              </w:rPr>
              <w:t>Régimen largo</w:t>
            </w:r>
          </w:p>
        </w:tc>
        <w:tc>
          <w:tcPr>
            <w:tcW w:w="3690" w:type="dxa"/>
          </w:tcPr>
          <w:p w14:paraId="12B6598C" w14:textId="77777777" w:rsidR="00A321BD" w:rsidRDefault="00A321BD" w:rsidP="0068285B">
            <w:pPr>
              <w:pStyle w:val="ListParagraph"/>
              <w:numPr>
                <w:ilvl w:val="0"/>
                <w:numId w:val="22"/>
              </w:numPr>
              <w:spacing w:after="240"/>
              <w:ind w:left="432" w:hanging="288"/>
              <w:rPr>
                <w:rFonts w:ascii="Arial" w:hAnsi="Arial" w:cs="Arial"/>
                <w:lang w:val="es-MX"/>
              </w:rPr>
            </w:pPr>
            <w:r>
              <w:rPr>
                <w:rFonts w:ascii="Arial" w:hAnsi="Arial" w:cs="Arial"/>
                <w:lang w:val="es-MX"/>
              </w:rPr>
              <w:t>Etionamida o prothonamida</w:t>
            </w:r>
          </w:p>
          <w:p w14:paraId="78961B4F" w14:textId="77777777" w:rsidR="00A321BD" w:rsidRDefault="00A321BD" w:rsidP="0068285B">
            <w:pPr>
              <w:pStyle w:val="ListParagraph"/>
              <w:numPr>
                <w:ilvl w:val="0"/>
                <w:numId w:val="22"/>
              </w:numPr>
              <w:spacing w:after="240"/>
              <w:ind w:left="432" w:hanging="288"/>
              <w:rPr>
                <w:rFonts w:ascii="Arial" w:hAnsi="Arial" w:cs="Arial"/>
                <w:lang w:val="es-MX"/>
              </w:rPr>
            </w:pPr>
            <w:r>
              <w:rPr>
                <w:rFonts w:ascii="Arial" w:hAnsi="Arial" w:cs="Arial"/>
                <w:lang w:val="es-MX"/>
              </w:rPr>
              <w:t xml:space="preserve">Fluoroquinolona </w:t>
            </w:r>
          </w:p>
          <w:p w14:paraId="31A2A288" w14:textId="77777777" w:rsidR="00A321BD" w:rsidRDefault="00A321BD" w:rsidP="0068285B">
            <w:pPr>
              <w:pStyle w:val="ListParagraph"/>
              <w:numPr>
                <w:ilvl w:val="0"/>
                <w:numId w:val="22"/>
              </w:numPr>
              <w:spacing w:after="240"/>
              <w:ind w:left="432" w:hanging="288"/>
              <w:rPr>
                <w:rFonts w:ascii="Arial" w:hAnsi="Arial" w:cs="Arial"/>
                <w:lang w:val="es-MX"/>
              </w:rPr>
            </w:pPr>
            <w:r>
              <w:rPr>
                <w:rFonts w:ascii="Arial" w:hAnsi="Arial" w:cs="Arial"/>
                <w:lang w:val="es-MX"/>
              </w:rPr>
              <w:t>5 medicinas incluyendo pirazinamida y 4 medicamentos de segunda línea.</w:t>
            </w:r>
          </w:p>
          <w:p w14:paraId="4742068F" w14:textId="77777777" w:rsidR="00A321BD" w:rsidRDefault="00A321BD" w:rsidP="0068285B">
            <w:pPr>
              <w:pStyle w:val="ListParagraph"/>
              <w:numPr>
                <w:ilvl w:val="0"/>
                <w:numId w:val="22"/>
              </w:numPr>
              <w:spacing w:after="240"/>
              <w:ind w:left="432" w:hanging="288"/>
              <w:rPr>
                <w:rFonts w:ascii="Arial" w:hAnsi="Arial" w:cs="Arial"/>
                <w:lang w:val="es-MX"/>
              </w:rPr>
            </w:pPr>
            <w:r>
              <w:rPr>
                <w:rFonts w:ascii="Arial" w:hAnsi="Arial" w:cs="Arial"/>
                <w:lang w:val="es-MX"/>
              </w:rPr>
              <w:t>Fortalecido con isoniazida y etambutol</w:t>
            </w:r>
          </w:p>
          <w:p w14:paraId="4B027CE8" w14:textId="77777777" w:rsidR="00A321BD" w:rsidRDefault="00A321BD" w:rsidP="0068285B">
            <w:pPr>
              <w:pStyle w:val="ListParagraph"/>
              <w:numPr>
                <w:ilvl w:val="0"/>
                <w:numId w:val="22"/>
              </w:numPr>
              <w:spacing w:after="240"/>
              <w:ind w:left="432" w:hanging="288"/>
              <w:rPr>
                <w:rFonts w:ascii="Arial" w:hAnsi="Arial" w:cs="Arial"/>
                <w:lang w:val="es-MX"/>
              </w:rPr>
            </w:pPr>
            <w:r>
              <w:rPr>
                <w:rFonts w:ascii="Arial" w:hAnsi="Arial" w:cs="Arial"/>
                <w:lang w:val="es-MX"/>
              </w:rPr>
              <w:t>Bedaquilina para pacientes con TB-MDR pulmonar</w:t>
            </w:r>
          </w:p>
          <w:p w14:paraId="397EABC5" w14:textId="77777777" w:rsidR="00A321BD" w:rsidRPr="0028116B" w:rsidRDefault="00A321BD" w:rsidP="0068285B">
            <w:pPr>
              <w:pStyle w:val="ListParagraph"/>
              <w:numPr>
                <w:ilvl w:val="0"/>
                <w:numId w:val="22"/>
              </w:numPr>
              <w:spacing w:after="240"/>
              <w:ind w:left="432" w:hanging="288"/>
              <w:rPr>
                <w:rFonts w:ascii="Arial" w:hAnsi="Arial" w:cs="Arial"/>
                <w:lang w:val="es-MX"/>
              </w:rPr>
            </w:pPr>
            <w:r>
              <w:rPr>
                <w:rFonts w:ascii="Arial" w:hAnsi="Arial" w:cs="Arial"/>
                <w:lang w:val="es-MX"/>
              </w:rPr>
              <w:t>Delamanida puede incluirse para pacientes con TB-MDR pulmonar mayores de 5 años, o aquellos entre 6-17 años, no elegibles para el régimen corto.</w:t>
            </w:r>
          </w:p>
        </w:tc>
        <w:tc>
          <w:tcPr>
            <w:tcW w:w="3685" w:type="dxa"/>
          </w:tcPr>
          <w:p w14:paraId="4B907617" w14:textId="77777777" w:rsidR="00A321BD" w:rsidRDefault="00A321BD" w:rsidP="0068285B">
            <w:pPr>
              <w:pStyle w:val="ListParagraph"/>
              <w:numPr>
                <w:ilvl w:val="0"/>
                <w:numId w:val="22"/>
              </w:numPr>
              <w:spacing w:after="240"/>
              <w:ind w:left="432" w:hanging="288"/>
              <w:rPr>
                <w:rFonts w:ascii="Arial" w:hAnsi="Arial" w:cs="Arial"/>
                <w:lang w:val="es-MX"/>
              </w:rPr>
            </w:pPr>
            <w:r>
              <w:rPr>
                <w:rFonts w:ascii="Arial" w:hAnsi="Arial" w:cs="Arial"/>
                <w:lang w:val="es-MX"/>
              </w:rPr>
              <w:t>Levoflaxacina o moxifloxacina (recomendación fuerte)</w:t>
            </w:r>
          </w:p>
          <w:p w14:paraId="000F1BD0" w14:textId="77777777" w:rsidR="00A321BD" w:rsidRDefault="00A321BD" w:rsidP="0068285B">
            <w:pPr>
              <w:pStyle w:val="ListParagraph"/>
              <w:numPr>
                <w:ilvl w:val="0"/>
                <w:numId w:val="22"/>
              </w:numPr>
              <w:spacing w:after="240"/>
              <w:ind w:left="432" w:hanging="288"/>
              <w:rPr>
                <w:rFonts w:ascii="Arial" w:hAnsi="Arial" w:cs="Arial"/>
                <w:lang w:val="es-MX"/>
              </w:rPr>
            </w:pPr>
            <w:r>
              <w:rPr>
                <w:rFonts w:ascii="Arial" w:hAnsi="Arial" w:cs="Arial"/>
                <w:lang w:val="es-MX"/>
              </w:rPr>
              <w:t>Bedaquilina para pacientes mayores de 18 años.</w:t>
            </w:r>
          </w:p>
          <w:p w14:paraId="5EAAAAAA" w14:textId="77777777" w:rsidR="00A321BD" w:rsidRDefault="00A321BD" w:rsidP="0068285B">
            <w:pPr>
              <w:pStyle w:val="ListParagraph"/>
              <w:numPr>
                <w:ilvl w:val="0"/>
                <w:numId w:val="22"/>
              </w:numPr>
              <w:spacing w:after="240"/>
              <w:ind w:left="432" w:hanging="288"/>
              <w:rPr>
                <w:rFonts w:ascii="Arial" w:hAnsi="Arial" w:cs="Arial"/>
                <w:lang w:val="es-MX"/>
              </w:rPr>
            </w:pPr>
            <w:r>
              <w:rPr>
                <w:rFonts w:ascii="Arial" w:hAnsi="Arial" w:cs="Arial"/>
                <w:lang w:val="es-MX"/>
              </w:rPr>
              <w:t>Linezolida</w:t>
            </w:r>
          </w:p>
          <w:p w14:paraId="54622D20" w14:textId="77777777" w:rsidR="00A321BD" w:rsidRDefault="00A321BD" w:rsidP="0068285B">
            <w:pPr>
              <w:pStyle w:val="ListParagraph"/>
              <w:numPr>
                <w:ilvl w:val="0"/>
                <w:numId w:val="22"/>
              </w:numPr>
              <w:spacing w:after="240"/>
              <w:ind w:left="432" w:hanging="288"/>
              <w:rPr>
                <w:rFonts w:ascii="Arial" w:hAnsi="Arial" w:cs="Arial"/>
                <w:lang w:val="es-MX"/>
              </w:rPr>
            </w:pPr>
            <w:r w:rsidRPr="00AF5F90">
              <w:rPr>
                <w:rFonts w:ascii="Arial" w:hAnsi="Arial" w:cs="Arial"/>
                <w:lang w:val="es-MX"/>
              </w:rPr>
              <w:t>Clofazimin</w:t>
            </w:r>
            <w:r>
              <w:rPr>
                <w:rFonts w:ascii="Arial" w:hAnsi="Arial" w:cs="Arial"/>
                <w:lang w:val="es-MX"/>
              </w:rPr>
              <w:t>a</w:t>
            </w:r>
            <w:r w:rsidRPr="00AF5F90">
              <w:rPr>
                <w:rFonts w:ascii="Arial" w:hAnsi="Arial" w:cs="Arial"/>
                <w:lang w:val="es-MX"/>
              </w:rPr>
              <w:t xml:space="preserve"> </w:t>
            </w:r>
            <w:r>
              <w:rPr>
                <w:rFonts w:ascii="Arial" w:hAnsi="Arial" w:cs="Arial"/>
                <w:lang w:val="es-MX"/>
              </w:rPr>
              <w:t>y</w:t>
            </w:r>
            <w:r w:rsidRPr="00AF5F90">
              <w:rPr>
                <w:rFonts w:ascii="Arial" w:hAnsi="Arial" w:cs="Arial"/>
                <w:lang w:val="es-MX"/>
              </w:rPr>
              <w:t xml:space="preserve"> cycloserin</w:t>
            </w:r>
            <w:r>
              <w:rPr>
                <w:rFonts w:ascii="Arial" w:hAnsi="Arial" w:cs="Arial"/>
                <w:lang w:val="es-MX"/>
              </w:rPr>
              <w:t>a</w:t>
            </w:r>
            <w:r w:rsidRPr="00AF5F90">
              <w:rPr>
                <w:rFonts w:ascii="Arial" w:hAnsi="Arial" w:cs="Arial"/>
                <w:lang w:val="es-MX"/>
              </w:rPr>
              <w:t xml:space="preserve"> o</w:t>
            </w:r>
            <w:r>
              <w:rPr>
                <w:rFonts w:ascii="Arial" w:hAnsi="Arial" w:cs="Arial"/>
                <w:lang w:val="es-MX"/>
              </w:rPr>
              <w:t xml:space="preserve"> </w:t>
            </w:r>
            <w:r w:rsidRPr="00AF5F90">
              <w:rPr>
                <w:rFonts w:ascii="Arial" w:hAnsi="Arial" w:cs="Arial"/>
                <w:lang w:val="es-MX"/>
              </w:rPr>
              <w:t>terizidon</w:t>
            </w:r>
            <w:r>
              <w:rPr>
                <w:rFonts w:ascii="Arial" w:hAnsi="Arial" w:cs="Arial"/>
                <w:lang w:val="es-MX"/>
              </w:rPr>
              <w:t>a</w:t>
            </w:r>
          </w:p>
          <w:p w14:paraId="556A0548" w14:textId="77777777" w:rsidR="00A321BD" w:rsidRPr="00AF5F90" w:rsidRDefault="00A321BD" w:rsidP="0068285B">
            <w:pPr>
              <w:pStyle w:val="ListParagraph"/>
              <w:numPr>
                <w:ilvl w:val="0"/>
                <w:numId w:val="22"/>
              </w:numPr>
              <w:spacing w:after="240"/>
              <w:ind w:left="432" w:hanging="288"/>
              <w:rPr>
                <w:rFonts w:ascii="Arial" w:hAnsi="Arial" w:cs="Arial"/>
                <w:lang w:val="es-MX"/>
              </w:rPr>
            </w:pPr>
            <w:r>
              <w:rPr>
                <w:rFonts w:ascii="Arial" w:hAnsi="Arial" w:cs="Arial"/>
                <w:lang w:val="es-MX"/>
              </w:rPr>
              <w:t>Delamanid en pac</w:t>
            </w:r>
            <w:r w:rsidRPr="00AF5F90">
              <w:rPr>
                <w:rFonts w:ascii="Arial" w:hAnsi="Arial" w:cs="Arial"/>
                <w:lang w:val="es-MX"/>
              </w:rPr>
              <w:t>ientes mayores a 3 años</w:t>
            </w:r>
          </w:p>
          <w:p w14:paraId="5F598122" w14:textId="77777777" w:rsidR="00A321BD" w:rsidRDefault="00A321BD" w:rsidP="0068285B">
            <w:pPr>
              <w:pStyle w:val="ListParagraph"/>
              <w:numPr>
                <w:ilvl w:val="0"/>
                <w:numId w:val="22"/>
              </w:numPr>
              <w:spacing w:after="240"/>
              <w:ind w:left="432" w:hanging="288"/>
              <w:rPr>
                <w:rFonts w:ascii="Arial" w:hAnsi="Arial" w:cs="Arial"/>
                <w:lang w:val="es-MX"/>
              </w:rPr>
            </w:pPr>
            <w:r w:rsidRPr="00A05E48">
              <w:rPr>
                <w:rFonts w:ascii="Arial" w:hAnsi="Arial" w:cs="Arial"/>
                <w:lang w:val="es-MX"/>
              </w:rPr>
              <w:t>Medicinas a ser incluidas para completar los regímen</w:t>
            </w:r>
            <w:r>
              <w:rPr>
                <w:rFonts w:ascii="Arial" w:hAnsi="Arial" w:cs="Arial"/>
                <w:lang w:val="es-MX"/>
              </w:rPr>
              <w:t>es</w:t>
            </w:r>
            <w:r w:rsidRPr="00A05E48">
              <w:rPr>
                <w:rFonts w:ascii="Arial" w:hAnsi="Arial" w:cs="Arial"/>
                <w:lang w:val="es-MX"/>
              </w:rPr>
              <w:t xml:space="preserve"> y cuando alguna molécula del grupo A o B no puede ser usado: etambutol, delamanid, pirazinamida, imipenem-cilastatina, meropenem, amikacina (Estreptomicina), etionamida/prothionamide, acido p-aminosalicilico</w:t>
            </w:r>
          </w:p>
        </w:tc>
      </w:tr>
      <w:tr w:rsidR="00A321BD" w:rsidRPr="00392E34" w14:paraId="6A20DFEC" w14:textId="77777777" w:rsidTr="008B0A6B">
        <w:tc>
          <w:tcPr>
            <w:tcW w:w="1975" w:type="dxa"/>
            <w:shd w:val="clear" w:color="auto" w:fill="F2F2F2" w:themeFill="background1" w:themeFillShade="F2"/>
          </w:tcPr>
          <w:p w14:paraId="4C41AE60" w14:textId="77777777" w:rsidR="00A321BD" w:rsidRPr="0028116B" w:rsidRDefault="00A321BD" w:rsidP="008B0A6B">
            <w:pPr>
              <w:spacing w:after="240"/>
              <w:jc w:val="both"/>
              <w:rPr>
                <w:rFonts w:ascii="Arial" w:hAnsi="Arial" w:cs="Arial"/>
                <w:b/>
                <w:lang w:val="es-MX"/>
              </w:rPr>
            </w:pPr>
            <w:r w:rsidRPr="0028116B">
              <w:rPr>
                <w:rFonts w:ascii="Arial" w:hAnsi="Arial" w:cs="Arial"/>
                <w:b/>
                <w:lang w:val="es-MX"/>
              </w:rPr>
              <w:t>Régimen corto</w:t>
            </w:r>
          </w:p>
        </w:tc>
        <w:tc>
          <w:tcPr>
            <w:tcW w:w="3690" w:type="dxa"/>
          </w:tcPr>
          <w:p w14:paraId="0ECB7D6F" w14:textId="77777777" w:rsidR="00A321BD" w:rsidRPr="008A0959" w:rsidRDefault="00A321BD" w:rsidP="0068285B">
            <w:pPr>
              <w:pStyle w:val="ListParagraph"/>
              <w:numPr>
                <w:ilvl w:val="0"/>
                <w:numId w:val="22"/>
              </w:numPr>
              <w:spacing w:after="240"/>
              <w:ind w:left="432" w:hanging="288"/>
              <w:rPr>
                <w:rFonts w:ascii="Arial" w:hAnsi="Arial" w:cs="Arial"/>
                <w:lang w:val="es-MX"/>
              </w:rPr>
            </w:pPr>
            <w:r>
              <w:rPr>
                <w:rFonts w:ascii="Arial" w:hAnsi="Arial" w:cs="Arial"/>
                <w:lang w:val="es-MX"/>
              </w:rPr>
              <w:t>En pacientes que no han sido tratados con medicamentos de segunda línea y en quien la resistencia a fluoroquinolonas e inyectables de segunda línea sea excluida o poco probable, este régimen puede usarse por 9-12 meses en vez del largo.</w:t>
            </w:r>
          </w:p>
        </w:tc>
        <w:tc>
          <w:tcPr>
            <w:tcW w:w="3685" w:type="dxa"/>
          </w:tcPr>
          <w:p w14:paraId="2F97B5A9" w14:textId="77777777" w:rsidR="00A321BD" w:rsidRDefault="00A321BD" w:rsidP="0068285B">
            <w:pPr>
              <w:pStyle w:val="ListParagraph"/>
              <w:numPr>
                <w:ilvl w:val="0"/>
                <w:numId w:val="22"/>
              </w:numPr>
              <w:spacing w:after="240"/>
              <w:ind w:left="432" w:hanging="288"/>
              <w:rPr>
                <w:rFonts w:ascii="Arial" w:hAnsi="Arial" w:cs="Arial"/>
                <w:lang w:val="es-MX"/>
              </w:rPr>
            </w:pPr>
            <w:r>
              <w:rPr>
                <w:rFonts w:ascii="Arial" w:hAnsi="Arial" w:cs="Arial"/>
                <w:lang w:val="es-MX"/>
              </w:rPr>
              <w:t xml:space="preserve">En pacientes que no han sido tratados </w:t>
            </w:r>
            <w:r w:rsidRPr="00392514">
              <w:rPr>
                <w:rFonts w:ascii="Arial" w:hAnsi="Arial" w:cs="Arial"/>
                <w:b/>
                <w:color w:val="000000" w:themeColor="text1"/>
                <w:lang w:val="es-MX"/>
              </w:rPr>
              <w:t>por más de un mes</w:t>
            </w:r>
            <w:r w:rsidRPr="00392514">
              <w:rPr>
                <w:rFonts w:ascii="Arial" w:hAnsi="Arial" w:cs="Arial"/>
                <w:color w:val="000000" w:themeColor="text1"/>
                <w:lang w:val="es-MX"/>
              </w:rPr>
              <w:t xml:space="preserve"> </w:t>
            </w:r>
            <w:r>
              <w:rPr>
                <w:rFonts w:ascii="Arial" w:hAnsi="Arial" w:cs="Arial"/>
                <w:lang w:val="es-MX"/>
              </w:rPr>
              <w:t xml:space="preserve">con medicamentos de segunda línea </w:t>
            </w:r>
            <w:r w:rsidRPr="00392514">
              <w:rPr>
                <w:rFonts w:ascii="Arial" w:hAnsi="Arial" w:cs="Arial"/>
                <w:b/>
                <w:lang w:val="es-MX"/>
              </w:rPr>
              <w:t>utilizados en el régimen corto MDR</w:t>
            </w:r>
            <w:r>
              <w:rPr>
                <w:rFonts w:ascii="Arial" w:hAnsi="Arial" w:cs="Arial"/>
                <w:lang w:val="es-MX"/>
              </w:rPr>
              <w:t xml:space="preserve"> y en quien la resistencia a fluoroquinolonas e inyectables de segunda línea sea excluida o poco probable, este régimen puede usarse por 9-12 meses en vez del largo.</w:t>
            </w:r>
          </w:p>
        </w:tc>
      </w:tr>
    </w:tbl>
    <w:p w14:paraId="58C9C56D" w14:textId="77777777" w:rsidR="00A321BD" w:rsidRDefault="00A321BD" w:rsidP="00A321BD">
      <w:pPr>
        <w:spacing w:after="240" w:line="240" w:lineRule="auto"/>
        <w:jc w:val="both"/>
        <w:rPr>
          <w:rFonts w:ascii="Arial" w:hAnsi="Arial" w:cs="Arial"/>
          <w:lang w:val="es-MX"/>
        </w:rPr>
      </w:pPr>
    </w:p>
    <w:p w14:paraId="265D354E" w14:textId="351484DE" w:rsidR="00A321BD" w:rsidRPr="0083406D" w:rsidRDefault="00234A30" w:rsidP="00A321BD">
      <w:pPr>
        <w:spacing w:after="240" w:line="240" w:lineRule="auto"/>
        <w:jc w:val="both"/>
        <w:rPr>
          <w:rFonts w:ascii="Arial" w:hAnsi="Arial" w:cs="Arial"/>
          <w:lang w:val="es-MX"/>
        </w:rPr>
      </w:pPr>
      <w:r>
        <w:rPr>
          <w:rFonts w:ascii="Arial" w:hAnsi="Arial" w:cs="Arial"/>
          <w:lang w:val="es-MX"/>
        </w:rPr>
        <w:t>Para</w:t>
      </w:r>
      <w:r w:rsidR="00A321BD">
        <w:rPr>
          <w:rFonts w:ascii="Arial" w:hAnsi="Arial" w:cs="Arial"/>
          <w:lang w:val="es-MX"/>
        </w:rPr>
        <w:t xml:space="preserve"> responder a las nuevas guías de la OMS</w:t>
      </w:r>
      <w:r>
        <w:rPr>
          <w:rFonts w:ascii="Arial" w:hAnsi="Arial" w:cs="Arial"/>
          <w:lang w:val="es-MX"/>
        </w:rPr>
        <w:t xml:space="preserve"> será necesario ajustar los protocolos de atención</w:t>
      </w:r>
      <w:r w:rsidR="00A321BD">
        <w:rPr>
          <w:rFonts w:ascii="Arial" w:hAnsi="Arial" w:cs="Arial"/>
          <w:lang w:val="es-MX"/>
        </w:rPr>
        <w:t xml:space="preserve">. Sin embargo, aún no es claro si el interés de la SESAL en la aplicación de los regímenes cortos se concretizó en el 2018. Así mismo el cambio de etionamida a moxifloxacina como medicamento base representa un incremento </w:t>
      </w:r>
      <w:r w:rsidR="00F74A36">
        <w:rPr>
          <w:rFonts w:ascii="Arial" w:hAnsi="Arial" w:cs="Arial"/>
          <w:lang w:val="es-MX"/>
        </w:rPr>
        <w:t>significativo en precios</w:t>
      </w:r>
      <w:r w:rsidR="00A321BD">
        <w:rPr>
          <w:rFonts w:ascii="Arial" w:hAnsi="Arial" w:cs="Arial"/>
          <w:lang w:val="es-MX"/>
        </w:rPr>
        <w:t>. Adicionalmente, la recomendación de bedaquilina para pacientes mayores de 21 años podría incrementar el costo por paciente al año significativamente.</w:t>
      </w:r>
      <w:r w:rsidR="00A321BD" w:rsidRPr="00A321BD">
        <w:rPr>
          <w:rFonts w:ascii="Arial" w:hAnsi="Arial" w:cs="Arial"/>
          <w:highlight w:val="yellow"/>
          <w:lang w:val="es-MX"/>
        </w:rPr>
        <w:t xml:space="preserve"> </w:t>
      </w:r>
    </w:p>
    <w:p w14:paraId="60D2BDE9" w14:textId="47C17035" w:rsidR="00A321BD" w:rsidRPr="0083406D" w:rsidRDefault="00F74A36" w:rsidP="00A321BD">
      <w:pPr>
        <w:spacing w:after="240" w:line="240" w:lineRule="auto"/>
        <w:jc w:val="both"/>
        <w:rPr>
          <w:rFonts w:ascii="Arial" w:hAnsi="Arial" w:cs="Arial"/>
          <w:lang w:val="es-MX"/>
        </w:rPr>
      </w:pPr>
      <w:r w:rsidRPr="0083406D">
        <w:rPr>
          <w:rFonts w:ascii="Arial" w:hAnsi="Arial" w:cs="Arial"/>
          <w:lang w:val="es-MX"/>
        </w:rPr>
        <w:lastRenderedPageBreak/>
        <w:t>El programa de TB deberá realizar un análisis comparativo entre el costo actual y el costo bajo las nuevas guías. Si como se espera, e</w:t>
      </w:r>
      <w:r w:rsidR="00A321BD" w:rsidRPr="0083406D">
        <w:rPr>
          <w:rFonts w:ascii="Arial" w:hAnsi="Arial" w:cs="Arial"/>
          <w:lang w:val="es-MX"/>
        </w:rPr>
        <w:t xml:space="preserve">l costo de la terapia del tratamiento largo que propone la OMS 2018 </w:t>
      </w:r>
      <w:r w:rsidRPr="0083406D">
        <w:rPr>
          <w:rFonts w:ascii="Arial" w:hAnsi="Arial" w:cs="Arial"/>
          <w:lang w:val="es-MX"/>
        </w:rPr>
        <w:t>es mayor se deberá proponer</w:t>
      </w:r>
      <w:r w:rsidR="00A321BD" w:rsidRPr="0083406D">
        <w:rPr>
          <w:rFonts w:ascii="Arial" w:hAnsi="Arial" w:cs="Arial"/>
          <w:lang w:val="es-MX"/>
        </w:rPr>
        <w:t xml:space="preserve"> una transición gradual hacia las recomendaciones de la OMS, considerando: </w:t>
      </w:r>
    </w:p>
    <w:p w14:paraId="0FCC85EA" w14:textId="1FD3B33E" w:rsidR="00A321BD" w:rsidRPr="0083406D" w:rsidRDefault="00A321BD" w:rsidP="0068285B">
      <w:pPr>
        <w:pStyle w:val="ListParagraph"/>
        <w:numPr>
          <w:ilvl w:val="0"/>
          <w:numId w:val="25"/>
        </w:numPr>
        <w:spacing w:after="240" w:line="240" w:lineRule="auto"/>
        <w:jc w:val="both"/>
        <w:rPr>
          <w:rFonts w:ascii="Arial" w:hAnsi="Arial" w:cs="Arial"/>
          <w:lang w:val="es-MX"/>
        </w:rPr>
      </w:pPr>
      <w:r w:rsidRPr="0083406D">
        <w:rPr>
          <w:rFonts w:ascii="Arial" w:hAnsi="Arial" w:cs="Arial"/>
          <w:lang w:val="es-MX"/>
        </w:rPr>
        <w:t>Pres</w:t>
      </w:r>
      <w:r w:rsidR="00F74A36" w:rsidRPr="0083406D">
        <w:rPr>
          <w:rFonts w:ascii="Arial" w:hAnsi="Arial" w:cs="Arial"/>
          <w:lang w:val="es-MX"/>
        </w:rPr>
        <w:t>u</w:t>
      </w:r>
      <w:r w:rsidRPr="0083406D">
        <w:rPr>
          <w:rFonts w:ascii="Arial" w:hAnsi="Arial" w:cs="Arial"/>
          <w:lang w:val="es-MX"/>
        </w:rPr>
        <w:t xml:space="preserve">puesto por fuente nacional </w:t>
      </w:r>
    </w:p>
    <w:p w14:paraId="343A158F" w14:textId="3F4D4948" w:rsidR="00A321BD" w:rsidRPr="0083406D" w:rsidRDefault="00F74A36" w:rsidP="0068285B">
      <w:pPr>
        <w:pStyle w:val="ListParagraph"/>
        <w:numPr>
          <w:ilvl w:val="0"/>
          <w:numId w:val="25"/>
        </w:numPr>
        <w:spacing w:after="240" w:line="240" w:lineRule="auto"/>
        <w:jc w:val="both"/>
        <w:rPr>
          <w:rFonts w:ascii="Arial" w:hAnsi="Arial" w:cs="Arial"/>
          <w:lang w:val="es-MX"/>
        </w:rPr>
      </w:pPr>
      <w:r w:rsidRPr="0083406D">
        <w:rPr>
          <w:rFonts w:ascii="Arial" w:hAnsi="Arial" w:cs="Arial"/>
          <w:lang w:val="es-MX"/>
        </w:rPr>
        <w:t>Actualización</w:t>
      </w:r>
      <w:r w:rsidR="00A321BD" w:rsidRPr="0083406D">
        <w:rPr>
          <w:rFonts w:ascii="Arial" w:hAnsi="Arial" w:cs="Arial"/>
          <w:lang w:val="es-MX"/>
        </w:rPr>
        <w:t xml:space="preserve"> de las normas/ </w:t>
      </w:r>
      <w:r w:rsidRPr="0083406D">
        <w:rPr>
          <w:rFonts w:ascii="Arial" w:hAnsi="Arial" w:cs="Arial"/>
          <w:lang w:val="es-MX"/>
        </w:rPr>
        <w:t>guías</w:t>
      </w:r>
      <w:r w:rsidR="00A321BD" w:rsidRPr="0083406D">
        <w:rPr>
          <w:rFonts w:ascii="Arial" w:hAnsi="Arial" w:cs="Arial"/>
          <w:lang w:val="es-MX"/>
        </w:rPr>
        <w:t xml:space="preserve"> </w:t>
      </w:r>
    </w:p>
    <w:p w14:paraId="3359E797" w14:textId="35D978CE" w:rsidR="00A321BD" w:rsidRPr="0083406D" w:rsidRDefault="00F74A36" w:rsidP="0068285B">
      <w:pPr>
        <w:pStyle w:val="ListParagraph"/>
        <w:numPr>
          <w:ilvl w:val="0"/>
          <w:numId w:val="25"/>
        </w:numPr>
        <w:spacing w:after="240" w:line="240" w:lineRule="auto"/>
        <w:jc w:val="both"/>
        <w:rPr>
          <w:rFonts w:ascii="Arial" w:hAnsi="Arial" w:cs="Arial"/>
          <w:lang w:val="es-MX"/>
        </w:rPr>
      </w:pPr>
      <w:r w:rsidRPr="0083406D">
        <w:rPr>
          <w:rFonts w:ascii="Arial" w:hAnsi="Arial" w:cs="Arial"/>
          <w:lang w:val="es-MX"/>
        </w:rPr>
        <w:t>Capacitación</w:t>
      </w:r>
      <w:r w:rsidR="00A321BD" w:rsidRPr="0083406D">
        <w:rPr>
          <w:rFonts w:ascii="Arial" w:hAnsi="Arial" w:cs="Arial"/>
          <w:lang w:val="es-MX"/>
        </w:rPr>
        <w:t xml:space="preserve"> de los </w:t>
      </w:r>
      <w:r w:rsidRPr="0083406D">
        <w:rPr>
          <w:rFonts w:ascii="Arial" w:hAnsi="Arial" w:cs="Arial"/>
          <w:lang w:val="es-MX"/>
        </w:rPr>
        <w:t>trabajadores</w:t>
      </w:r>
      <w:r w:rsidR="00A321BD" w:rsidRPr="0083406D">
        <w:rPr>
          <w:rFonts w:ascii="Arial" w:hAnsi="Arial" w:cs="Arial"/>
          <w:lang w:val="es-MX"/>
        </w:rPr>
        <w:t xml:space="preserve"> de la salud en TB-MDR</w:t>
      </w:r>
    </w:p>
    <w:p w14:paraId="1B166120" w14:textId="77777777" w:rsidR="00A321BD" w:rsidRPr="0083406D" w:rsidRDefault="00A321BD" w:rsidP="0068285B">
      <w:pPr>
        <w:pStyle w:val="ListParagraph"/>
        <w:numPr>
          <w:ilvl w:val="0"/>
          <w:numId w:val="25"/>
        </w:numPr>
        <w:spacing w:after="240" w:line="240" w:lineRule="auto"/>
        <w:jc w:val="both"/>
        <w:rPr>
          <w:rFonts w:ascii="Arial" w:hAnsi="Arial" w:cs="Arial"/>
          <w:lang w:val="es-MX"/>
        </w:rPr>
      </w:pPr>
      <w:r w:rsidRPr="0083406D">
        <w:rPr>
          <w:rFonts w:ascii="Arial" w:hAnsi="Arial" w:cs="Arial"/>
          <w:lang w:val="es-MX"/>
        </w:rPr>
        <w:t xml:space="preserve">Ajustes planes de compras </w:t>
      </w:r>
    </w:p>
    <w:p w14:paraId="7464E17F" w14:textId="4BC044D2" w:rsidR="00A321BD" w:rsidRPr="0044279D" w:rsidRDefault="00A321BD" w:rsidP="00A321BD">
      <w:pPr>
        <w:spacing w:after="240" w:line="240" w:lineRule="auto"/>
        <w:jc w:val="both"/>
        <w:rPr>
          <w:rFonts w:ascii="Arial" w:hAnsi="Arial" w:cs="Arial"/>
          <w:lang w:val="es-419"/>
        </w:rPr>
      </w:pPr>
      <w:r w:rsidRPr="00120CEF">
        <w:rPr>
          <w:rFonts w:ascii="Arial" w:hAnsi="Arial" w:cs="Arial"/>
          <w:lang w:val="es-419"/>
        </w:rPr>
        <w:t>Para el control de la TB</w:t>
      </w:r>
      <w:r>
        <w:rPr>
          <w:rFonts w:ascii="Arial" w:hAnsi="Arial" w:cs="Arial"/>
          <w:lang w:val="es-419"/>
        </w:rPr>
        <w:t>,</w:t>
      </w:r>
      <w:r w:rsidR="005D2274">
        <w:rPr>
          <w:rFonts w:ascii="Arial" w:hAnsi="Arial" w:cs="Arial"/>
          <w:lang w:val="es-419"/>
        </w:rPr>
        <w:t xml:space="preserve"> también</w:t>
      </w:r>
      <w:r w:rsidRPr="00120CEF">
        <w:rPr>
          <w:rFonts w:ascii="Arial" w:hAnsi="Arial" w:cs="Arial"/>
          <w:lang w:val="es-419"/>
        </w:rPr>
        <w:t xml:space="preserve"> se debe acortar la brecha entre el diagnóstico y el tratamiento</w:t>
      </w:r>
      <w:r>
        <w:rPr>
          <w:rFonts w:ascii="Arial" w:hAnsi="Arial" w:cs="Arial"/>
          <w:lang w:val="es-419"/>
        </w:rPr>
        <w:t xml:space="preserve">. </w:t>
      </w:r>
      <w:r w:rsidRPr="00120CEF">
        <w:rPr>
          <w:rFonts w:ascii="Arial" w:hAnsi="Arial" w:cs="Arial"/>
          <w:lang w:val="es-419"/>
        </w:rPr>
        <w:t>Esto es aún más grave para TB-</w:t>
      </w:r>
      <w:r>
        <w:rPr>
          <w:rFonts w:ascii="Arial" w:hAnsi="Arial" w:cs="Arial"/>
          <w:lang w:val="es-419"/>
        </w:rPr>
        <w:t>M</w:t>
      </w:r>
      <w:r w:rsidRPr="00120CEF">
        <w:rPr>
          <w:rFonts w:ascii="Arial" w:hAnsi="Arial" w:cs="Arial"/>
          <w:lang w:val="es-419"/>
        </w:rPr>
        <w:t>DR, en donde</w:t>
      </w:r>
      <w:r>
        <w:rPr>
          <w:rFonts w:ascii="Arial" w:hAnsi="Arial" w:cs="Arial"/>
          <w:lang w:val="es-419"/>
        </w:rPr>
        <w:t xml:space="preserve"> se reporta</w:t>
      </w:r>
      <w:r w:rsidRPr="00120CEF">
        <w:rPr>
          <w:rFonts w:ascii="Arial" w:hAnsi="Arial" w:cs="Arial"/>
          <w:lang w:val="es-419"/>
        </w:rPr>
        <w:t xml:space="preserve"> una brecha de aproximadamente 3 semanas o más entre el diagnóstico y el inicio de tratamiento, </w:t>
      </w:r>
      <w:r>
        <w:rPr>
          <w:rFonts w:ascii="Arial" w:hAnsi="Arial" w:cs="Arial"/>
          <w:lang w:val="es-419"/>
        </w:rPr>
        <w:t>generando un riesgo mayor de transmisión, ya</w:t>
      </w:r>
      <w:r w:rsidRPr="00120CEF">
        <w:rPr>
          <w:rFonts w:ascii="Arial" w:hAnsi="Arial" w:cs="Arial"/>
          <w:lang w:val="es-419"/>
        </w:rPr>
        <w:t xml:space="preserve"> </w:t>
      </w:r>
      <w:r>
        <w:rPr>
          <w:rFonts w:ascii="Arial" w:hAnsi="Arial" w:cs="Arial"/>
          <w:lang w:val="es-419"/>
        </w:rPr>
        <w:t>q</w:t>
      </w:r>
      <w:r w:rsidRPr="00120CEF">
        <w:rPr>
          <w:rFonts w:ascii="Arial" w:hAnsi="Arial" w:cs="Arial"/>
          <w:lang w:val="es-419"/>
        </w:rPr>
        <w:t xml:space="preserve">ue el paciente que no está en tratamiento continúa transmitiendo </w:t>
      </w:r>
      <w:r>
        <w:rPr>
          <w:rFonts w:ascii="Arial" w:hAnsi="Arial" w:cs="Arial"/>
          <w:lang w:val="es-419"/>
        </w:rPr>
        <w:t>la</w:t>
      </w:r>
      <w:r w:rsidRPr="00120CEF">
        <w:rPr>
          <w:rFonts w:ascii="Arial" w:hAnsi="Arial" w:cs="Arial"/>
          <w:lang w:val="es-419"/>
        </w:rPr>
        <w:t xml:space="preserve"> TB-</w:t>
      </w:r>
      <w:r>
        <w:rPr>
          <w:rFonts w:ascii="Arial" w:hAnsi="Arial" w:cs="Arial"/>
          <w:lang w:val="es-419"/>
        </w:rPr>
        <w:t>M</w:t>
      </w:r>
      <w:r w:rsidRPr="00120CEF">
        <w:rPr>
          <w:rFonts w:ascii="Arial" w:hAnsi="Arial" w:cs="Arial"/>
          <w:lang w:val="es-419"/>
        </w:rPr>
        <w:t>DR.</w:t>
      </w:r>
      <w:r>
        <w:rPr>
          <w:rFonts w:ascii="Arial" w:hAnsi="Arial" w:cs="Arial"/>
          <w:lang w:val="es-419"/>
        </w:rPr>
        <w:t xml:space="preserve"> De igual forma se estima que solo se trata al 22% de los casos de TB-MDR (21 casos de 103). Se estima que el costo anual de un paciente TB-MDR es de US$</w:t>
      </w:r>
      <w:r w:rsidR="0083406D">
        <w:rPr>
          <w:rFonts w:ascii="Arial" w:hAnsi="Arial" w:cs="Arial"/>
          <w:lang w:val="es-419"/>
        </w:rPr>
        <w:t>1,850</w:t>
      </w:r>
      <w:r w:rsidR="00A35C89">
        <w:rPr>
          <w:rFonts w:ascii="Arial" w:hAnsi="Arial" w:cs="Arial"/>
          <w:lang w:val="es-419"/>
        </w:rPr>
        <w:t xml:space="preserve"> (vs. US$26</w:t>
      </w:r>
      <w:r w:rsidR="0083406D">
        <w:rPr>
          <w:rFonts w:ascii="Arial" w:hAnsi="Arial" w:cs="Arial"/>
          <w:lang w:val="es-419"/>
        </w:rPr>
        <w:t xml:space="preserve"> </w:t>
      </w:r>
      <w:r w:rsidR="00A35C89">
        <w:rPr>
          <w:rFonts w:ascii="Arial" w:hAnsi="Arial" w:cs="Arial"/>
          <w:lang w:val="es-419"/>
        </w:rPr>
        <w:t xml:space="preserve">del costo de la primera línea para TB sensible) </w:t>
      </w:r>
      <w:r>
        <w:rPr>
          <w:rFonts w:ascii="Arial" w:hAnsi="Arial" w:cs="Arial"/>
          <w:lang w:val="es-419"/>
        </w:rPr>
        <w:t xml:space="preserve">por lo que tratar a los 82 casos restantes implicaría un gasto adicional de </w:t>
      </w:r>
      <w:r w:rsidR="0083406D">
        <w:rPr>
          <w:rFonts w:ascii="Arial" w:hAnsi="Arial" w:cs="Arial"/>
          <w:lang w:val="es-419"/>
        </w:rPr>
        <w:t>al menos</w:t>
      </w:r>
      <w:r>
        <w:rPr>
          <w:rFonts w:ascii="Arial" w:hAnsi="Arial" w:cs="Arial"/>
          <w:lang w:val="es-419"/>
        </w:rPr>
        <w:t xml:space="preserve"> US$1</w:t>
      </w:r>
      <w:r w:rsidR="0083406D">
        <w:rPr>
          <w:rFonts w:ascii="Arial" w:hAnsi="Arial" w:cs="Arial"/>
          <w:lang w:val="es-419"/>
        </w:rPr>
        <w:t>51</w:t>
      </w:r>
      <w:r>
        <w:rPr>
          <w:rFonts w:ascii="Arial" w:hAnsi="Arial" w:cs="Arial"/>
          <w:lang w:val="es-419"/>
        </w:rPr>
        <w:t xml:space="preserve"> mil</w:t>
      </w:r>
      <w:r w:rsidR="0083406D">
        <w:rPr>
          <w:rFonts w:ascii="Arial" w:hAnsi="Arial" w:cs="Arial"/>
          <w:lang w:val="es-419"/>
        </w:rPr>
        <w:t xml:space="preserve">. </w:t>
      </w:r>
    </w:p>
    <w:p w14:paraId="5D2BCD48" w14:textId="77777777" w:rsidR="00A321BD" w:rsidRPr="006106BA" w:rsidRDefault="00A321BD" w:rsidP="00A321BD">
      <w:pPr>
        <w:spacing w:after="240" w:line="240" w:lineRule="auto"/>
        <w:jc w:val="both"/>
        <w:rPr>
          <w:rFonts w:ascii="Arial" w:hAnsi="Arial" w:cs="Arial"/>
          <w:lang w:val="es-419"/>
        </w:rPr>
      </w:pPr>
      <w:r w:rsidRPr="00120CEF">
        <w:rPr>
          <w:rFonts w:ascii="Arial" w:hAnsi="Arial" w:cs="Arial"/>
          <w:lang w:val="es-419"/>
        </w:rPr>
        <w:t>El sistema de referencia y respuesta de pacientes tiene muchas debilidades</w:t>
      </w:r>
      <w:r>
        <w:rPr>
          <w:rFonts w:ascii="Arial" w:hAnsi="Arial" w:cs="Arial"/>
          <w:lang w:val="es-419"/>
        </w:rPr>
        <w:t xml:space="preserve">, en especial para </w:t>
      </w:r>
      <w:r w:rsidRPr="00120CEF">
        <w:rPr>
          <w:rFonts w:ascii="Arial" w:hAnsi="Arial" w:cs="Arial"/>
          <w:lang w:val="es-419"/>
        </w:rPr>
        <w:t>los casos de TB-DR</w:t>
      </w:r>
      <w:r>
        <w:rPr>
          <w:rFonts w:ascii="Arial" w:hAnsi="Arial" w:cs="Arial"/>
          <w:lang w:val="es-419"/>
        </w:rPr>
        <w:t>,</w:t>
      </w:r>
      <w:r w:rsidRPr="00120CEF">
        <w:rPr>
          <w:rFonts w:ascii="Arial" w:hAnsi="Arial" w:cs="Arial"/>
          <w:lang w:val="es-419"/>
        </w:rPr>
        <w:t xml:space="preserve"> que después de recibir su tratamiento inicial de forma intrahospitalaria deben regresar a su comunidad y recibir el tratamiento del servicio de salud más cercano</w:t>
      </w:r>
      <w:r>
        <w:rPr>
          <w:rFonts w:ascii="Arial" w:hAnsi="Arial" w:cs="Arial"/>
          <w:lang w:val="es-419"/>
        </w:rPr>
        <w:t>.</w:t>
      </w:r>
    </w:p>
    <w:p w14:paraId="28218B79" w14:textId="49B8D81E" w:rsidR="00A86469" w:rsidRPr="00FA6488" w:rsidRDefault="00F957F3" w:rsidP="004C1AA3">
      <w:pPr>
        <w:spacing w:after="240" w:line="240" w:lineRule="auto"/>
        <w:jc w:val="both"/>
        <w:rPr>
          <w:rFonts w:ascii="Arial" w:hAnsi="Arial" w:cs="Arial"/>
          <w:lang w:val="es-419"/>
        </w:rPr>
      </w:pPr>
      <w:r>
        <w:rPr>
          <w:rFonts w:ascii="Arial" w:hAnsi="Arial" w:cs="Arial"/>
          <w:lang w:val="es-419"/>
        </w:rPr>
        <w:t>También existen</w:t>
      </w:r>
      <w:r w:rsidR="00120CEF" w:rsidRPr="00120CEF">
        <w:rPr>
          <w:rFonts w:ascii="Arial" w:hAnsi="Arial" w:cs="Arial"/>
          <w:lang w:val="es-419"/>
        </w:rPr>
        <w:t xml:space="preserve"> brechas en las personas con coinfección TB/VIH</w:t>
      </w:r>
      <w:r w:rsidR="00237B71">
        <w:rPr>
          <w:rFonts w:ascii="Arial" w:hAnsi="Arial" w:cs="Arial"/>
          <w:lang w:val="es-419"/>
        </w:rPr>
        <w:t xml:space="preserve">. </w:t>
      </w:r>
      <w:r w:rsidR="00120CEF" w:rsidRPr="00120CEF">
        <w:rPr>
          <w:rFonts w:ascii="Arial" w:hAnsi="Arial" w:cs="Arial"/>
          <w:lang w:val="es-419"/>
        </w:rPr>
        <w:t xml:space="preserve">Casi 82% de </w:t>
      </w:r>
      <w:r w:rsidR="00237B71">
        <w:rPr>
          <w:rFonts w:ascii="Arial" w:hAnsi="Arial" w:cs="Arial"/>
          <w:lang w:val="es-419"/>
        </w:rPr>
        <w:t xml:space="preserve">las </w:t>
      </w:r>
      <w:r w:rsidR="00120CEF" w:rsidRPr="00120CEF">
        <w:rPr>
          <w:rFonts w:ascii="Arial" w:hAnsi="Arial" w:cs="Arial"/>
          <w:lang w:val="es-419"/>
        </w:rPr>
        <w:t>personas con la coinfección TB/HIV reciben TAR, sin embargo, solamente 29% de PVIH reciben medicamentos para la prevención de la TB.</w:t>
      </w:r>
      <w:r w:rsidR="00120CEF" w:rsidRPr="00120CEF">
        <w:rPr>
          <w:rStyle w:val="FootnoteReference"/>
          <w:rFonts w:ascii="Arial" w:hAnsi="Arial" w:cs="Arial"/>
          <w:lang w:val="es-419"/>
        </w:rPr>
        <w:footnoteReference w:id="89"/>
      </w:r>
      <w:r w:rsidR="00120CEF" w:rsidRPr="00120CEF">
        <w:rPr>
          <w:rFonts w:ascii="Arial" w:hAnsi="Arial" w:cs="Arial"/>
          <w:lang w:val="es-419"/>
        </w:rPr>
        <w:t xml:space="preserve"> </w:t>
      </w:r>
      <w:r w:rsidR="001A50C3">
        <w:rPr>
          <w:rFonts w:ascii="Arial" w:hAnsi="Arial" w:cs="Arial"/>
          <w:lang w:val="es-419"/>
        </w:rPr>
        <w:t>También se reporta una pérdida de casos de TB/VIH</w:t>
      </w:r>
      <w:r w:rsidR="00343D0E">
        <w:rPr>
          <w:rFonts w:ascii="Arial" w:hAnsi="Arial" w:cs="Arial"/>
          <w:lang w:val="es-419"/>
        </w:rPr>
        <w:t xml:space="preserve"> y altas tasas de fallecimiento (24%), sin la posibilidad de determinar la vinculación entre dichas muertes y la TB. </w:t>
      </w:r>
      <w:r w:rsidR="00120CEF" w:rsidRPr="00120CEF">
        <w:rPr>
          <w:rFonts w:ascii="Arial" w:hAnsi="Arial" w:cs="Arial"/>
          <w:lang w:val="es-419"/>
        </w:rPr>
        <w:t xml:space="preserve">La </w:t>
      </w:r>
      <w:r w:rsidR="00627183">
        <w:rPr>
          <w:rFonts w:ascii="Arial" w:hAnsi="Arial" w:cs="Arial"/>
          <w:lang w:val="es-419"/>
        </w:rPr>
        <w:t>c</w:t>
      </w:r>
      <w:r w:rsidR="00120CEF" w:rsidRPr="00120CEF">
        <w:rPr>
          <w:rFonts w:ascii="Arial" w:hAnsi="Arial" w:cs="Arial"/>
          <w:lang w:val="es-419"/>
        </w:rPr>
        <w:t>oinfección TB/VIH amerita un esfuerzo adicional para su adecuado manejo farmacológico como también el resto de las actividades colaborativas entre TB y VIH recomendadas internacionalmente</w:t>
      </w:r>
      <w:r w:rsidR="00B91DE6">
        <w:rPr>
          <w:rFonts w:ascii="Arial" w:hAnsi="Arial" w:cs="Arial"/>
          <w:lang w:val="es-419"/>
        </w:rPr>
        <w:t>.</w:t>
      </w:r>
    </w:p>
    <w:tbl>
      <w:tblPr>
        <w:tblStyle w:val="PlainTable3"/>
        <w:tblW w:w="0" w:type="auto"/>
        <w:tblLook w:val="04A0" w:firstRow="1" w:lastRow="0" w:firstColumn="1" w:lastColumn="0" w:noHBand="0" w:noVBand="1"/>
      </w:tblPr>
      <w:tblGrid>
        <w:gridCol w:w="1800"/>
        <w:gridCol w:w="7560"/>
      </w:tblGrid>
      <w:tr w:rsidR="0042290E" w:rsidRPr="00392E34" w14:paraId="78C95B9C" w14:textId="77777777" w:rsidTr="009111C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360" w:type="dxa"/>
            <w:gridSpan w:val="2"/>
          </w:tcPr>
          <w:p w14:paraId="16132D9B" w14:textId="0721B279" w:rsidR="0042290E" w:rsidRPr="00DD37EC" w:rsidRDefault="0042290E" w:rsidP="00DD37EC">
            <w:pPr>
              <w:spacing w:after="240"/>
              <w:contextualSpacing/>
              <w:jc w:val="both"/>
              <w:rPr>
                <w:rFonts w:ascii="Arial" w:hAnsi="Arial" w:cs="Arial"/>
                <w:b w:val="0"/>
                <w:lang w:val="es-DO"/>
              </w:rPr>
            </w:pPr>
            <w:r w:rsidRPr="00DD37EC">
              <w:rPr>
                <w:rFonts w:ascii="Arial" w:hAnsi="Arial" w:cs="Arial"/>
                <w:b w:val="0"/>
                <w:lang w:val="es-DO"/>
              </w:rPr>
              <w:t xml:space="preserve">Resumen de Fortalezas y debilidades en el </w:t>
            </w:r>
            <w:r w:rsidR="00766E91">
              <w:rPr>
                <w:rFonts w:ascii="Arial" w:hAnsi="Arial" w:cs="Arial"/>
                <w:b w:val="0"/>
                <w:lang w:val="es-DO"/>
              </w:rPr>
              <w:t>Tratamiento y retención en la atención</w:t>
            </w:r>
          </w:p>
        </w:tc>
      </w:tr>
      <w:tr w:rsidR="0042290E" w:rsidRPr="00392E34" w14:paraId="49F2BDE5" w14:textId="77777777" w:rsidTr="009111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Pr>
          <w:p w14:paraId="5FCC7ABD" w14:textId="77777777" w:rsidR="0042290E" w:rsidRPr="00DD37EC" w:rsidRDefault="0042290E" w:rsidP="00DD37EC">
            <w:pPr>
              <w:spacing w:after="240"/>
              <w:contextualSpacing/>
              <w:jc w:val="both"/>
              <w:rPr>
                <w:rFonts w:ascii="Arial" w:hAnsi="Arial" w:cs="Arial"/>
                <w:lang w:val="es-DO"/>
              </w:rPr>
            </w:pPr>
            <w:r w:rsidRPr="00DD37EC">
              <w:rPr>
                <w:rFonts w:ascii="Arial" w:hAnsi="Arial" w:cs="Arial"/>
                <w:lang w:val="es-DO"/>
              </w:rPr>
              <w:t>fortalezas</w:t>
            </w:r>
          </w:p>
        </w:tc>
        <w:tc>
          <w:tcPr>
            <w:tcW w:w="7560" w:type="dxa"/>
          </w:tcPr>
          <w:p w14:paraId="428D834B" w14:textId="7AA244DF" w:rsidR="0042290E" w:rsidRPr="00DD37EC" w:rsidRDefault="0042290E" w:rsidP="00DD37EC">
            <w:pPr>
              <w:spacing w:after="240"/>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lang w:val="es-DO"/>
              </w:rPr>
            </w:pPr>
            <w:r w:rsidRPr="00DD37EC">
              <w:rPr>
                <w:rFonts w:ascii="Arial" w:hAnsi="Arial" w:cs="Arial"/>
                <w:lang w:val="es-419"/>
              </w:rPr>
              <w:t>Con la estrategia de Alto a la TB se ha fortalecido la gestión y la estandarización del manejo de la TB, la TB-DR y la coinfección TB/VIH</w:t>
            </w:r>
          </w:p>
        </w:tc>
      </w:tr>
      <w:tr w:rsidR="0042290E" w:rsidRPr="00392E34" w14:paraId="1BF3ECD1" w14:textId="77777777" w:rsidTr="009111CD">
        <w:tc>
          <w:tcPr>
            <w:cnfStyle w:val="001000000000" w:firstRow="0" w:lastRow="0" w:firstColumn="1" w:lastColumn="0" w:oddVBand="0" w:evenVBand="0" w:oddHBand="0" w:evenHBand="0" w:firstRowFirstColumn="0" w:firstRowLastColumn="0" w:lastRowFirstColumn="0" w:lastRowLastColumn="0"/>
            <w:tcW w:w="1800" w:type="dxa"/>
          </w:tcPr>
          <w:p w14:paraId="006BD861" w14:textId="77777777" w:rsidR="0042290E" w:rsidRPr="00DD37EC" w:rsidRDefault="0042290E" w:rsidP="00DD37EC">
            <w:pPr>
              <w:spacing w:after="240"/>
              <w:contextualSpacing/>
              <w:jc w:val="both"/>
              <w:rPr>
                <w:rFonts w:ascii="Arial" w:hAnsi="Arial" w:cs="Arial"/>
                <w:lang w:val="es-DO"/>
              </w:rPr>
            </w:pPr>
          </w:p>
        </w:tc>
        <w:tc>
          <w:tcPr>
            <w:tcW w:w="7560" w:type="dxa"/>
          </w:tcPr>
          <w:p w14:paraId="4458C114" w14:textId="5C2A06FF" w:rsidR="0042290E" w:rsidRPr="00DD37EC" w:rsidRDefault="0042290E" w:rsidP="00DD37EC">
            <w:pPr>
              <w:spacing w:after="240"/>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lang w:val="es-DO"/>
              </w:rPr>
            </w:pPr>
            <w:r w:rsidRPr="00DD37EC">
              <w:rPr>
                <w:rFonts w:ascii="Arial" w:hAnsi="Arial" w:cs="Arial"/>
                <w:lang w:val="es-419"/>
              </w:rPr>
              <w:t>Se ha iniciado y expandido de forma exitosa el manejo clínico de la TB-DR a nivel nacional</w:t>
            </w:r>
          </w:p>
        </w:tc>
      </w:tr>
      <w:tr w:rsidR="0042290E" w:rsidRPr="00392E34" w14:paraId="65959267" w14:textId="77777777" w:rsidTr="009111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Pr>
          <w:p w14:paraId="77D0D6FA" w14:textId="77777777" w:rsidR="0042290E" w:rsidRPr="00DD37EC" w:rsidRDefault="0042290E" w:rsidP="00DD37EC">
            <w:pPr>
              <w:spacing w:after="240"/>
              <w:contextualSpacing/>
              <w:jc w:val="both"/>
              <w:rPr>
                <w:rFonts w:ascii="Arial" w:hAnsi="Arial" w:cs="Arial"/>
                <w:b w:val="0"/>
                <w:lang w:val="es-DO"/>
              </w:rPr>
            </w:pPr>
          </w:p>
        </w:tc>
        <w:tc>
          <w:tcPr>
            <w:tcW w:w="7560" w:type="dxa"/>
          </w:tcPr>
          <w:p w14:paraId="21D438D9" w14:textId="535B4FA2" w:rsidR="0042290E" w:rsidRPr="00DD37EC" w:rsidRDefault="009111CD" w:rsidP="00DD37EC">
            <w:pPr>
              <w:spacing w:after="240"/>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lang w:val="es-DO"/>
              </w:rPr>
            </w:pPr>
            <w:r w:rsidRPr="00DD37EC">
              <w:rPr>
                <w:rFonts w:ascii="Arial" w:hAnsi="Arial" w:cs="Arial"/>
                <w:lang w:val="es-419"/>
              </w:rPr>
              <w:t>Se organizó el Comité Nacional de Coinfección y se han coordinado acciones con el Instituto Nacional Penitenciario, los Centros de Atención al Migrante para asegurar que las poblaciones más vulnerables a la TB como los privados de libertad y los migrantes retornados</w:t>
            </w:r>
          </w:p>
        </w:tc>
      </w:tr>
      <w:tr w:rsidR="0042290E" w:rsidRPr="00392E34" w14:paraId="2C4C8AD2" w14:textId="77777777" w:rsidTr="009111CD">
        <w:tc>
          <w:tcPr>
            <w:cnfStyle w:val="001000000000" w:firstRow="0" w:lastRow="0" w:firstColumn="1" w:lastColumn="0" w:oddVBand="0" w:evenVBand="0" w:oddHBand="0" w:evenHBand="0" w:firstRowFirstColumn="0" w:firstRowLastColumn="0" w:lastRowFirstColumn="0" w:lastRowLastColumn="0"/>
            <w:tcW w:w="1800" w:type="dxa"/>
          </w:tcPr>
          <w:p w14:paraId="361E74C0" w14:textId="77777777" w:rsidR="0042290E" w:rsidRPr="00DD37EC" w:rsidRDefault="0042290E" w:rsidP="00DD37EC">
            <w:pPr>
              <w:spacing w:after="240"/>
              <w:contextualSpacing/>
              <w:jc w:val="both"/>
              <w:rPr>
                <w:rFonts w:ascii="Arial" w:hAnsi="Arial" w:cs="Arial"/>
                <w:b w:val="0"/>
                <w:lang w:val="es-DO"/>
              </w:rPr>
            </w:pPr>
          </w:p>
        </w:tc>
        <w:tc>
          <w:tcPr>
            <w:tcW w:w="7560" w:type="dxa"/>
          </w:tcPr>
          <w:p w14:paraId="4971C2D7" w14:textId="710AE260" w:rsidR="0042290E" w:rsidRPr="00DD37EC" w:rsidRDefault="00A93A04" w:rsidP="00DD37EC">
            <w:pPr>
              <w:spacing w:after="240"/>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lang w:val="es-DO"/>
              </w:rPr>
            </w:pPr>
            <w:r w:rsidRPr="00DD37EC">
              <w:rPr>
                <w:rFonts w:ascii="Arial" w:hAnsi="Arial" w:cs="Arial"/>
                <w:lang w:val="es-419"/>
              </w:rPr>
              <w:t>El tratamiento antituberculoso está disponible en el primer nivel de atención de salud en tod</w:t>
            </w:r>
            <w:r w:rsidR="00E322C2" w:rsidRPr="00DD37EC">
              <w:rPr>
                <w:rFonts w:ascii="Arial" w:hAnsi="Arial" w:cs="Arial"/>
                <w:lang w:val="es-419"/>
              </w:rPr>
              <w:t>o el país</w:t>
            </w:r>
          </w:p>
        </w:tc>
      </w:tr>
      <w:tr w:rsidR="00A93A04" w:rsidRPr="00392E34" w14:paraId="7FFE5448" w14:textId="77777777" w:rsidTr="009111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Pr>
          <w:p w14:paraId="0F767687" w14:textId="77777777" w:rsidR="00A93A04" w:rsidRPr="00DD37EC" w:rsidRDefault="00A93A04" w:rsidP="00DD37EC">
            <w:pPr>
              <w:spacing w:after="240"/>
              <w:contextualSpacing/>
              <w:jc w:val="both"/>
              <w:rPr>
                <w:rFonts w:ascii="Arial" w:hAnsi="Arial" w:cs="Arial"/>
                <w:lang w:val="es-DO"/>
              </w:rPr>
            </w:pPr>
            <w:r w:rsidRPr="00DD37EC">
              <w:rPr>
                <w:rFonts w:ascii="Arial" w:hAnsi="Arial" w:cs="Arial"/>
                <w:lang w:val="es-DO"/>
              </w:rPr>
              <w:t>Debilidades</w:t>
            </w:r>
          </w:p>
        </w:tc>
        <w:tc>
          <w:tcPr>
            <w:tcW w:w="7560" w:type="dxa"/>
          </w:tcPr>
          <w:p w14:paraId="4EADE385" w14:textId="4E580A6D" w:rsidR="00A93A04" w:rsidRPr="00DD37EC" w:rsidRDefault="00E322C2" w:rsidP="00DD37EC">
            <w:pPr>
              <w:spacing w:after="240"/>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lang w:val="es-419"/>
              </w:rPr>
            </w:pPr>
            <w:r w:rsidRPr="00DD37EC">
              <w:rPr>
                <w:rFonts w:ascii="Arial" w:hAnsi="Arial" w:cs="Arial"/>
                <w:lang w:val="es-419"/>
              </w:rPr>
              <w:t>La brecha persistente entre diagnóstico y tratamiento</w:t>
            </w:r>
            <w:r w:rsidR="003E6729" w:rsidRPr="00DD37EC">
              <w:rPr>
                <w:rFonts w:ascii="Arial" w:hAnsi="Arial" w:cs="Arial"/>
                <w:lang w:val="es-419"/>
              </w:rPr>
              <w:t>, especialmente para TB-DR</w:t>
            </w:r>
          </w:p>
        </w:tc>
      </w:tr>
      <w:tr w:rsidR="00A93A04" w:rsidRPr="00392E34" w14:paraId="07841091" w14:textId="77777777" w:rsidTr="009111CD">
        <w:tc>
          <w:tcPr>
            <w:cnfStyle w:val="001000000000" w:firstRow="0" w:lastRow="0" w:firstColumn="1" w:lastColumn="0" w:oddVBand="0" w:evenVBand="0" w:oddHBand="0" w:evenHBand="0" w:firstRowFirstColumn="0" w:firstRowLastColumn="0" w:lastRowFirstColumn="0" w:lastRowLastColumn="0"/>
            <w:tcW w:w="1800" w:type="dxa"/>
          </w:tcPr>
          <w:p w14:paraId="5AF44EBB" w14:textId="77777777" w:rsidR="00A93A04" w:rsidRPr="00DD37EC" w:rsidRDefault="00A93A04" w:rsidP="00DD37EC">
            <w:pPr>
              <w:spacing w:after="240"/>
              <w:contextualSpacing/>
              <w:jc w:val="both"/>
              <w:rPr>
                <w:rFonts w:ascii="Arial" w:hAnsi="Arial" w:cs="Arial"/>
                <w:b w:val="0"/>
                <w:lang w:val="es-DO"/>
              </w:rPr>
            </w:pPr>
          </w:p>
        </w:tc>
        <w:tc>
          <w:tcPr>
            <w:tcW w:w="7560" w:type="dxa"/>
          </w:tcPr>
          <w:p w14:paraId="697D5072" w14:textId="499B65A0" w:rsidR="00A93A04" w:rsidRPr="00DD37EC" w:rsidRDefault="00A93A04" w:rsidP="00DD37EC">
            <w:pPr>
              <w:spacing w:after="240"/>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lang w:val="es-419"/>
              </w:rPr>
            </w:pPr>
            <w:r w:rsidRPr="00DD37EC">
              <w:rPr>
                <w:rFonts w:ascii="Arial" w:hAnsi="Arial" w:cs="Arial"/>
                <w:lang w:val="es-419"/>
              </w:rPr>
              <w:t>La duración del tratamiento de la TB-DR, los efectos adversos, la etapa de manejo intrahospitalaria y la alimentación inadecuada (baja en calorías y proteínas) por parte de los pacientes ha provocado que persista una pérdida de seguimiento de los casos de TB</w:t>
            </w:r>
            <w:r w:rsidR="003E6729" w:rsidRPr="00DD37EC">
              <w:rPr>
                <w:rFonts w:ascii="Arial" w:hAnsi="Arial" w:cs="Arial"/>
                <w:lang w:val="es-419"/>
              </w:rPr>
              <w:t>-</w:t>
            </w:r>
            <w:r w:rsidRPr="00DD37EC">
              <w:rPr>
                <w:rFonts w:ascii="Arial" w:hAnsi="Arial" w:cs="Arial"/>
                <w:lang w:val="es-419"/>
              </w:rPr>
              <w:t>DR que supera el promedio regional</w:t>
            </w:r>
          </w:p>
        </w:tc>
      </w:tr>
      <w:tr w:rsidR="00A93A04" w:rsidRPr="00392E34" w14:paraId="039B5EB6" w14:textId="77777777" w:rsidTr="009111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Pr>
          <w:p w14:paraId="707C3469" w14:textId="77777777" w:rsidR="00A93A04" w:rsidRPr="00DD37EC" w:rsidRDefault="00A93A04" w:rsidP="00DD37EC">
            <w:pPr>
              <w:spacing w:after="240"/>
              <w:contextualSpacing/>
              <w:jc w:val="both"/>
              <w:rPr>
                <w:rFonts w:ascii="Arial" w:hAnsi="Arial" w:cs="Arial"/>
                <w:b w:val="0"/>
                <w:lang w:val="es-DO"/>
              </w:rPr>
            </w:pPr>
          </w:p>
        </w:tc>
        <w:tc>
          <w:tcPr>
            <w:tcW w:w="7560" w:type="dxa"/>
          </w:tcPr>
          <w:p w14:paraId="67F380A6" w14:textId="69968290" w:rsidR="00A93A04" w:rsidRPr="00DD37EC" w:rsidRDefault="00A93A04" w:rsidP="00DD37EC">
            <w:pPr>
              <w:spacing w:after="240"/>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lang w:val="es-419"/>
              </w:rPr>
            </w:pPr>
            <w:r w:rsidRPr="00DD37EC">
              <w:rPr>
                <w:rFonts w:ascii="Arial" w:hAnsi="Arial" w:cs="Arial"/>
                <w:lang w:val="es-419"/>
              </w:rPr>
              <w:t>Falta de monitoreo del resultado de los modelos de atención integrada de TB/VIH para su posterior implementación a nivel nacional del modelo más exitoso</w:t>
            </w:r>
          </w:p>
        </w:tc>
      </w:tr>
      <w:tr w:rsidR="00A93A04" w:rsidRPr="00392E34" w14:paraId="794D6182" w14:textId="77777777" w:rsidTr="009111CD">
        <w:trPr>
          <w:trHeight w:val="117"/>
        </w:trPr>
        <w:tc>
          <w:tcPr>
            <w:cnfStyle w:val="001000000000" w:firstRow="0" w:lastRow="0" w:firstColumn="1" w:lastColumn="0" w:oddVBand="0" w:evenVBand="0" w:oddHBand="0" w:evenHBand="0" w:firstRowFirstColumn="0" w:firstRowLastColumn="0" w:lastRowFirstColumn="0" w:lastRowLastColumn="0"/>
            <w:tcW w:w="1800" w:type="dxa"/>
          </w:tcPr>
          <w:p w14:paraId="783115D8" w14:textId="77777777" w:rsidR="00A93A04" w:rsidRPr="00DD37EC" w:rsidRDefault="00A93A04" w:rsidP="00DD37EC">
            <w:pPr>
              <w:spacing w:after="240"/>
              <w:contextualSpacing/>
              <w:jc w:val="both"/>
              <w:rPr>
                <w:rFonts w:ascii="Arial" w:hAnsi="Arial" w:cs="Arial"/>
                <w:b w:val="0"/>
                <w:lang w:val="es-DO"/>
              </w:rPr>
            </w:pPr>
          </w:p>
        </w:tc>
        <w:tc>
          <w:tcPr>
            <w:tcW w:w="7560" w:type="dxa"/>
          </w:tcPr>
          <w:p w14:paraId="0E1FE97F" w14:textId="605105BF" w:rsidR="00A93A04" w:rsidRPr="00DD37EC" w:rsidRDefault="00B74F8C" w:rsidP="00DD37EC">
            <w:pPr>
              <w:spacing w:after="240"/>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lang w:val="es-DO"/>
              </w:rPr>
            </w:pPr>
            <w:r w:rsidRPr="00DD37EC">
              <w:rPr>
                <w:rFonts w:ascii="Arial" w:hAnsi="Arial" w:cs="Arial"/>
                <w:lang w:val="es-419"/>
              </w:rPr>
              <w:t>La</w:t>
            </w:r>
            <w:r w:rsidR="00A93A04" w:rsidRPr="00DD37EC">
              <w:rPr>
                <w:rFonts w:ascii="Arial" w:hAnsi="Arial" w:cs="Arial"/>
                <w:lang w:val="es-419"/>
              </w:rPr>
              <w:t xml:space="preserve"> pérdida de casos de personas en tratamiento que tienen coinfección TB/VIH</w:t>
            </w:r>
          </w:p>
        </w:tc>
      </w:tr>
      <w:tr w:rsidR="00A93A04" w:rsidRPr="00392E34" w14:paraId="4D2B48D7" w14:textId="77777777" w:rsidTr="009111CD">
        <w:trPr>
          <w:cnfStyle w:val="000000100000" w:firstRow="0" w:lastRow="0" w:firstColumn="0" w:lastColumn="0" w:oddVBand="0" w:evenVBand="0" w:oddHBand="1" w:evenHBand="0" w:firstRowFirstColumn="0" w:firstRowLastColumn="0" w:lastRowFirstColumn="0" w:lastRowLastColumn="0"/>
          <w:trHeight w:val="117"/>
        </w:trPr>
        <w:tc>
          <w:tcPr>
            <w:cnfStyle w:val="001000000000" w:firstRow="0" w:lastRow="0" w:firstColumn="1" w:lastColumn="0" w:oddVBand="0" w:evenVBand="0" w:oddHBand="0" w:evenHBand="0" w:firstRowFirstColumn="0" w:firstRowLastColumn="0" w:lastRowFirstColumn="0" w:lastRowLastColumn="0"/>
            <w:tcW w:w="1800" w:type="dxa"/>
          </w:tcPr>
          <w:p w14:paraId="28A2B728" w14:textId="77777777" w:rsidR="00A93A04" w:rsidRPr="00DD37EC" w:rsidRDefault="00A93A04" w:rsidP="00DD37EC">
            <w:pPr>
              <w:spacing w:after="240"/>
              <w:contextualSpacing/>
              <w:jc w:val="both"/>
              <w:rPr>
                <w:rFonts w:ascii="Arial" w:hAnsi="Arial" w:cs="Arial"/>
                <w:b w:val="0"/>
                <w:lang w:val="es-DO"/>
              </w:rPr>
            </w:pPr>
          </w:p>
        </w:tc>
        <w:tc>
          <w:tcPr>
            <w:tcW w:w="7560" w:type="dxa"/>
          </w:tcPr>
          <w:p w14:paraId="055947FC" w14:textId="4E1BCD8A" w:rsidR="00A93A04" w:rsidRPr="00DD37EC" w:rsidRDefault="00A93A04" w:rsidP="00DD37EC">
            <w:pPr>
              <w:spacing w:after="240"/>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lang w:val="es-DO"/>
              </w:rPr>
            </w:pPr>
            <w:r w:rsidRPr="00DD37EC">
              <w:rPr>
                <w:rFonts w:ascii="Arial" w:hAnsi="Arial" w:cs="Arial"/>
                <w:lang w:val="es-419"/>
              </w:rPr>
              <w:t>Los casos que están en tratamiento de TB-DR y coinfección TB/VIH reciben apoyo nutricional y un estipendio en efectivo que apoya su movilización para sus controles en el Instituto Nacional Cardio Pulmonar (INCP) pero estas acciones no son financiadas por fondos nacionales sino con recursos del Fondo Mundial</w:t>
            </w:r>
          </w:p>
        </w:tc>
      </w:tr>
    </w:tbl>
    <w:p w14:paraId="34BF09F4" w14:textId="77777777" w:rsidR="00595D4E" w:rsidRPr="00DD37EC" w:rsidRDefault="00595D4E" w:rsidP="00DD37EC">
      <w:pPr>
        <w:spacing w:after="240" w:line="240" w:lineRule="auto"/>
        <w:rPr>
          <w:rFonts w:ascii="Arial" w:hAnsi="Arial" w:cs="Arial"/>
          <w:lang w:val="es-419"/>
        </w:rPr>
      </w:pPr>
    </w:p>
    <w:p w14:paraId="1C422FBA" w14:textId="5B162C1A" w:rsidR="00595D4E" w:rsidRPr="00EC3B8F" w:rsidRDefault="00595D4E" w:rsidP="0068285B">
      <w:pPr>
        <w:pStyle w:val="Heading2"/>
        <w:numPr>
          <w:ilvl w:val="1"/>
          <w:numId w:val="18"/>
        </w:numPr>
        <w:spacing w:before="0" w:after="240" w:line="240" w:lineRule="auto"/>
        <w:rPr>
          <w:rFonts w:ascii="Arial" w:hAnsi="Arial" w:cs="Arial"/>
          <w:sz w:val="22"/>
          <w:szCs w:val="22"/>
          <w:lang w:val="es-419"/>
        </w:rPr>
      </w:pPr>
      <w:r w:rsidRPr="00DD37EC">
        <w:rPr>
          <w:rFonts w:ascii="Arial" w:hAnsi="Arial" w:cs="Arial"/>
          <w:sz w:val="22"/>
          <w:szCs w:val="22"/>
          <w:lang w:val="es-419"/>
        </w:rPr>
        <w:t xml:space="preserve"> </w:t>
      </w:r>
      <w:bookmarkStart w:id="84" w:name="_Toc8905240"/>
      <w:r w:rsidRPr="00DD37EC">
        <w:rPr>
          <w:rFonts w:ascii="Arial" w:hAnsi="Arial" w:cs="Arial"/>
          <w:sz w:val="22"/>
          <w:szCs w:val="22"/>
          <w:lang w:val="es-419"/>
        </w:rPr>
        <w:t>Aspectos operativos</w:t>
      </w:r>
      <w:bookmarkEnd w:id="84"/>
    </w:p>
    <w:p w14:paraId="28C5F3E4" w14:textId="3366D4BB" w:rsidR="00F2205C" w:rsidRDefault="009D2388" w:rsidP="0068285B">
      <w:pPr>
        <w:pStyle w:val="Heading3"/>
        <w:numPr>
          <w:ilvl w:val="2"/>
          <w:numId w:val="18"/>
        </w:numPr>
        <w:spacing w:before="0" w:after="240" w:line="240" w:lineRule="auto"/>
        <w:rPr>
          <w:rFonts w:ascii="Arial" w:hAnsi="Arial" w:cs="Arial"/>
          <w:sz w:val="22"/>
          <w:szCs w:val="22"/>
          <w:lang w:val="es-419"/>
        </w:rPr>
      </w:pPr>
      <w:bookmarkStart w:id="85" w:name="_Toc8905241"/>
      <w:r w:rsidRPr="00DD37EC">
        <w:rPr>
          <w:rFonts w:ascii="Arial" w:hAnsi="Arial" w:cs="Arial"/>
          <w:sz w:val="22"/>
          <w:szCs w:val="22"/>
          <w:lang w:val="es-419"/>
        </w:rPr>
        <w:t>Adquisición de productos y gestión de cadena de suministros</w:t>
      </w:r>
      <w:bookmarkEnd w:id="85"/>
    </w:p>
    <w:p w14:paraId="010AB6D2" w14:textId="2BB96C32" w:rsidR="00EC3B8F" w:rsidRPr="005B54B4" w:rsidRDefault="00EC3B8F" w:rsidP="007815F4">
      <w:pPr>
        <w:spacing w:after="240" w:line="240" w:lineRule="auto"/>
        <w:jc w:val="both"/>
        <w:rPr>
          <w:rFonts w:ascii="Arial" w:hAnsi="Arial" w:cs="Arial"/>
          <w:lang w:val="es-DO"/>
        </w:rPr>
      </w:pPr>
      <w:r w:rsidRPr="008E6E1F">
        <w:rPr>
          <w:rFonts w:ascii="Arial" w:hAnsi="Arial" w:cs="Arial"/>
          <w:lang w:val="es-DO"/>
        </w:rPr>
        <w:t>Los procesos de gestión en la cadena de suministros de TB dentro de la Secretaría de Salud también se maneja</w:t>
      </w:r>
      <w:r w:rsidR="00D967A0">
        <w:rPr>
          <w:rFonts w:ascii="Arial" w:hAnsi="Arial" w:cs="Arial"/>
          <w:lang w:val="es-DO"/>
        </w:rPr>
        <w:t>n</w:t>
      </w:r>
      <w:r w:rsidRPr="008E6E1F">
        <w:rPr>
          <w:rFonts w:ascii="Arial" w:hAnsi="Arial" w:cs="Arial"/>
          <w:lang w:val="es-DO"/>
        </w:rPr>
        <w:t xml:space="preserve"> por la ULMIE.</w:t>
      </w:r>
    </w:p>
    <w:p w14:paraId="73B6BEDC" w14:textId="13DEE288" w:rsidR="00EC3B8F" w:rsidRPr="00833DF6" w:rsidRDefault="00EC3B8F" w:rsidP="007815F4">
      <w:pPr>
        <w:spacing w:after="240" w:line="240" w:lineRule="auto"/>
        <w:jc w:val="both"/>
        <w:rPr>
          <w:rFonts w:ascii="Arial" w:hAnsi="Arial" w:cs="Arial"/>
          <w:lang w:val="es-419"/>
        </w:rPr>
      </w:pPr>
      <w:r w:rsidRPr="008E6E1F">
        <w:rPr>
          <w:rFonts w:ascii="Arial" w:hAnsi="Arial" w:cs="Arial"/>
          <w:lang w:val="es-HN"/>
        </w:rPr>
        <w:t xml:space="preserve">Los medicamentos de primera y segunda línea para el tratamiento de la TB se encuentran en el cuadro básico de medicamentos y son </w:t>
      </w:r>
      <w:r w:rsidR="00ED76A9" w:rsidRPr="008E6E1F">
        <w:rPr>
          <w:rFonts w:ascii="Arial" w:hAnsi="Arial" w:cs="Arial"/>
          <w:lang w:val="es-HN"/>
        </w:rPr>
        <w:t>adquiridos en</w:t>
      </w:r>
      <w:r w:rsidRPr="008E6E1F">
        <w:rPr>
          <w:rFonts w:ascii="Arial" w:hAnsi="Arial" w:cs="Arial"/>
          <w:lang w:val="es-HN"/>
        </w:rPr>
        <w:t xml:space="preserve"> su totalidad </w:t>
      </w:r>
      <w:r w:rsidR="00ED76A9">
        <w:rPr>
          <w:rFonts w:ascii="Arial" w:hAnsi="Arial" w:cs="Arial"/>
          <w:lang w:val="es-HN"/>
        </w:rPr>
        <w:t xml:space="preserve">con </w:t>
      </w:r>
      <w:r w:rsidRPr="008E6E1F">
        <w:rPr>
          <w:rFonts w:ascii="Arial" w:hAnsi="Arial" w:cs="Arial"/>
          <w:lang w:val="es-HN"/>
        </w:rPr>
        <w:t>fondos nacionales</w:t>
      </w:r>
      <w:r w:rsidR="00ED76A9">
        <w:rPr>
          <w:rFonts w:ascii="Arial" w:hAnsi="Arial" w:cs="Arial"/>
          <w:lang w:val="es-HN"/>
        </w:rPr>
        <w:t>.</w:t>
      </w:r>
      <w:r w:rsidR="009A4E61">
        <w:rPr>
          <w:rFonts w:ascii="Arial" w:hAnsi="Arial" w:cs="Arial"/>
          <w:lang w:val="es-HN"/>
        </w:rPr>
        <w:t xml:space="preserve"> Sin embargo, </w:t>
      </w:r>
      <w:r w:rsidRPr="008E6E1F">
        <w:rPr>
          <w:rFonts w:ascii="Arial" w:hAnsi="Arial" w:cs="Arial"/>
          <w:lang w:val="es-DO"/>
        </w:rPr>
        <w:t xml:space="preserve">los </w:t>
      </w:r>
      <w:r w:rsidR="009A4E61">
        <w:rPr>
          <w:rFonts w:ascii="Arial" w:hAnsi="Arial" w:cs="Arial"/>
          <w:lang w:val="es-DO"/>
        </w:rPr>
        <w:t xml:space="preserve">insumos </w:t>
      </w:r>
      <w:r w:rsidR="00FE2CB5">
        <w:rPr>
          <w:rFonts w:ascii="Arial" w:hAnsi="Arial" w:cs="Arial"/>
          <w:lang w:val="es-DO"/>
        </w:rPr>
        <w:t xml:space="preserve">de </w:t>
      </w:r>
      <w:r w:rsidRPr="008E6E1F">
        <w:rPr>
          <w:rFonts w:ascii="Arial" w:hAnsi="Arial" w:cs="Arial"/>
          <w:lang w:val="es-DO"/>
        </w:rPr>
        <w:t>laboratorio, reactivos y equipamiento</w:t>
      </w:r>
      <w:r w:rsidR="009A4E61">
        <w:rPr>
          <w:rFonts w:ascii="Arial" w:hAnsi="Arial" w:cs="Arial"/>
          <w:lang w:val="es-DO"/>
        </w:rPr>
        <w:t xml:space="preserve">, como el mantenimiento de los equipos </w:t>
      </w:r>
      <w:r w:rsidRPr="008E6E1F">
        <w:rPr>
          <w:rFonts w:ascii="Arial" w:hAnsi="Arial" w:cs="Arial"/>
          <w:lang w:val="es-DO"/>
        </w:rPr>
        <w:t>Gene-Xpert MTB/RIF y los cartuchos que se utilizan para el diagnóstico</w:t>
      </w:r>
      <w:r w:rsidR="004A4A91">
        <w:rPr>
          <w:rFonts w:ascii="Arial" w:hAnsi="Arial" w:cs="Arial"/>
          <w:lang w:val="es-DO"/>
        </w:rPr>
        <w:t xml:space="preserve"> (</w:t>
      </w:r>
      <w:r w:rsidR="004A4A91">
        <w:rPr>
          <w:lang w:val="es-419"/>
        </w:rPr>
        <w:t xml:space="preserve">US$10 por unidad y </w:t>
      </w:r>
      <w:r w:rsidR="004A4A91" w:rsidRPr="00C478C0">
        <w:rPr>
          <w:lang w:val="es-MX"/>
        </w:rPr>
        <w:t>~5</w:t>
      </w:r>
      <w:r w:rsidR="004A4A91">
        <w:rPr>
          <w:lang w:val="es-MX"/>
        </w:rPr>
        <w:t>,500 cartuchos por año, aproximadamente US$55 mil por año)</w:t>
      </w:r>
      <w:r w:rsidR="004A4A91">
        <w:rPr>
          <w:lang w:val="es-419"/>
        </w:rPr>
        <w:t xml:space="preserve"> </w:t>
      </w:r>
      <w:r w:rsidRPr="008E6E1F">
        <w:rPr>
          <w:rFonts w:ascii="Arial" w:hAnsi="Arial" w:cs="Arial"/>
          <w:lang w:val="es-DO"/>
        </w:rPr>
        <w:t>y pruebas de sensibilidad a la Rifampicina</w:t>
      </w:r>
      <w:r w:rsidR="009A4E61">
        <w:rPr>
          <w:rFonts w:ascii="Arial" w:hAnsi="Arial" w:cs="Arial"/>
          <w:lang w:val="es-DO"/>
        </w:rPr>
        <w:t>,</w:t>
      </w:r>
      <w:r w:rsidRPr="008E6E1F">
        <w:rPr>
          <w:rFonts w:ascii="Arial" w:hAnsi="Arial" w:cs="Arial"/>
          <w:lang w:val="es-DO"/>
        </w:rPr>
        <w:t xml:space="preserve"> </w:t>
      </w:r>
      <w:r w:rsidR="009A4E61">
        <w:rPr>
          <w:rFonts w:ascii="Arial" w:hAnsi="Arial" w:cs="Arial"/>
          <w:lang w:val="es-DO"/>
        </w:rPr>
        <w:t xml:space="preserve">se encuentran en riesgo de sostenibilidad ya que </w:t>
      </w:r>
      <w:r w:rsidRPr="008E6E1F">
        <w:rPr>
          <w:rFonts w:ascii="Arial" w:hAnsi="Arial" w:cs="Arial"/>
          <w:lang w:val="es-DO"/>
        </w:rPr>
        <w:t xml:space="preserve">son </w:t>
      </w:r>
      <w:r w:rsidR="009A4E61">
        <w:rPr>
          <w:rFonts w:ascii="Arial" w:hAnsi="Arial" w:cs="Arial"/>
          <w:lang w:val="es-DO"/>
        </w:rPr>
        <w:t>pagados</w:t>
      </w:r>
      <w:r w:rsidRPr="008E6E1F">
        <w:rPr>
          <w:rFonts w:ascii="Arial" w:hAnsi="Arial" w:cs="Arial"/>
          <w:lang w:val="es-DO"/>
        </w:rPr>
        <w:t xml:space="preserve"> en su totalidad por el Fondo Mundial.</w:t>
      </w:r>
      <w:r w:rsidR="00833DF6">
        <w:rPr>
          <w:rFonts w:ascii="Arial" w:hAnsi="Arial" w:cs="Arial"/>
          <w:lang w:val="es-DO"/>
        </w:rPr>
        <w:t xml:space="preserve"> </w:t>
      </w:r>
      <w:r w:rsidR="00833DF6" w:rsidRPr="00833DF6">
        <w:rPr>
          <w:rFonts w:ascii="Arial" w:hAnsi="Arial" w:cs="Arial"/>
          <w:lang w:val="es-DO"/>
        </w:rPr>
        <w:t>A partir de 2021 se ha programado una transición gradual de esta compra a fondos públicos</w:t>
      </w:r>
      <w:r w:rsidR="00833DF6">
        <w:rPr>
          <w:rFonts w:ascii="Arial" w:hAnsi="Arial" w:cs="Arial"/>
          <w:lang w:val="es-DO"/>
        </w:rPr>
        <w:t xml:space="preserve"> </w:t>
      </w:r>
      <w:r w:rsidR="00833DF6" w:rsidRPr="00833DF6">
        <w:rPr>
          <w:rFonts w:ascii="Arial" w:hAnsi="Arial" w:cs="Arial"/>
          <w:lang w:val="es-DO"/>
        </w:rPr>
        <w:t xml:space="preserve">nacionales (26% en 2021 y 42% en 2022). </w:t>
      </w:r>
    </w:p>
    <w:p w14:paraId="74E50515" w14:textId="53D40436" w:rsidR="00F26077" w:rsidRPr="00F26077" w:rsidRDefault="00F26077" w:rsidP="007815F4">
      <w:pPr>
        <w:spacing w:after="240" w:line="240" w:lineRule="auto"/>
        <w:jc w:val="both"/>
        <w:rPr>
          <w:rFonts w:ascii="Arial" w:hAnsi="Arial" w:cs="Arial"/>
          <w:lang w:val="es-DO"/>
        </w:rPr>
      </w:pPr>
      <w:r w:rsidRPr="008E6E1F">
        <w:rPr>
          <w:rFonts w:ascii="Arial" w:hAnsi="Arial" w:cs="Arial"/>
          <w:lang w:val="es-DO"/>
        </w:rPr>
        <w:t xml:space="preserve">La promoción del uso racional de </w:t>
      </w:r>
      <w:r>
        <w:rPr>
          <w:rFonts w:ascii="Arial" w:hAnsi="Arial" w:cs="Arial"/>
          <w:lang w:val="es-DO"/>
        </w:rPr>
        <w:t xml:space="preserve">medicamentos de TB </w:t>
      </w:r>
      <w:r w:rsidRPr="008E6E1F">
        <w:rPr>
          <w:rFonts w:ascii="Arial" w:hAnsi="Arial" w:cs="Arial"/>
          <w:lang w:val="es-DO"/>
        </w:rPr>
        <w:t>realiza a través de la farmacovigilancia de acuerdo a las directrices del Manual de Norma para el Control de la TB, esta actividad requiere ser fortalecida dentro de la SESA</w:t>
      </w:r>
      <w:r w:rsidR="00FE2CB5">
        <w:rPr>
          <w:rFonts w:ascii="Arial" w:hAnsi="Arial" w:cs="Arial"/>
          <w:lang w:val="es-DO"/>
        </w:rPr>
        <w:t>L.</w:t>
      </w:r>
    </w:p>
    <w:p w14:paraId="2FA0F206" w14:textId="1C6FECCA" w:rsidR="002344AA" w:rsidRPr="007815F4" w:rsidRDefault="00E21807" w:rsidP="007815F4">
      <w:pPr>
        <w:pStyle w:val="Heading3"/>
        <w:spacing w:before="0" w:after="240" w:line="240" w:lineRule="auto"/>
        <w:rPr>
          <w:rFonts w:ascii="Arial" w:hAnsi="Arial" w:cs="Arial"/>
          <w:sz w:val="22"/>
          <w:szCs w:val="22"/>
          <w:lang w:val="es-419"/>
        </w:rPr>
      </w:pPr>
      <w:bookmarkStart w:id="86" w:name="_Toc8905242"/>
      <w:r>
        <w:rPr>
          <w:rFonts w:ascii="Arial" w:hAnsi="Arial" w:cs="Arial"/>
          <w:sz w:val="22"/>
          <w:szCs w:val="22"/>
          <w:lang w:val="es-419"/>
        </w:rPr>
        <w:t>5.7.2</w:t>
      </w:r>
      <w:r w:rsidR="00F96945" w:rsidRPr="00DD37EC">
        <w:rPr>
          <w:rFonts w:ascii="Arial" w:hAnsi="Arial" w:cs="Arial"/>
          <w:sz w:val="22"/>
          <w:szCs w:val="22"/>
          <w:lang w:val="es-419"/>
        </w:rPr>
        <w:t xml:space="preserve"> </w:t>
      </w:r>
      <w:r w:rsidR="002344AA" w:rsidRPr="00DD37EC">
        <w:rPr>
          <w:rFonts w:ascii="Arial" w:hAnsi="Arial" w:cs="Arial"/>
          <w:sz w:val="22"/>
          <w:szCs w:val="22"/>
          <w:lang w:val="es-419"/>
        </w:rPr>
        <w:t>Recursos humanos</w:t>
      </w:r>
      <w:bookmarkEnd w:id="86"/>
    </w:p>
    <w:p w14:paraId="73B32AB7" w14:textId="41F30BFF" w:rsidR="002344AA" w:rsidRPr="00DD37EC" w:rsidRDefault="002344AA" w:rsidP="006761A5">
      <w:pPr>
        <w:spacing w:after="240" w:line="240" w:lineRule="auto"/>
        <w:jc w:val="both"/>
        <w:rPr>
          <w:rFonts w:ascii="Arial" w:hAnsi="Arial" w:cs="Arial"/>
          <w:lang w:val="es-419"/>
        </w:rPr>
      </w:pPr>
      <w:r w:rsidRPr="00DD37EC">
        <w:rPr>
          <w:rFonts w:ascii="Arial" w:hAnsi="Arial" w:cs="Arial"/>
          <w:lang w:val="es-419"/>
        </w:rPr>
        <w:t xml:space="preserve">Los recursos humanos para TB son empleados financiados con fondos domésticos asignados de la Secretaría de Finanzas a la </w:t>
      </w:r>
      <w:r w:rsidR="00E110D4" w:rsidRPr="00DD37EC">
        <w:rPr>
          <w:rFonts w:ascii="Arial" w:hAnsi="Arial" w:cs="Arial"/>
          <w:lang w:val="es-419"/>
        </w:rPr>
        <w:t>SESAL</w:t>
      </w:r>
      <w:r w:rsidRPr="00DD37EC">
        <w:rPr>
          <w:rFonts w:ascii="Arial" w:hAnsi="Arial" w:cs="Arial"/>
          <w:lang w:val="es-419"/>
        </w:rPr>
        <w:t>, el personal que atiende las necesidades de TB no es exclusivo para esta enfermedad, al contrario, está vinculado a las acciones de la atención primaria y trabajan bajo el liderazgo de la Dirección de Redes Integradas de Servicios de Salud de la SESAL.</w:t>
      </w:r>
    </w:p>
    <w:p w14:paraId="142E0A1B" w14:textId="3E08C994" w:rsidR="009D6483" w:rsidRPr="00DD37EC" w:rsidRDefault="002344AA" w:rsidP="006761A5">
      <w:pPr>
        <w:spacing w:after="240" w:line="240" w:lineRule="auto"/>
        <w:jc w:val="both"/>
        <w:rPr>
          <w:rFonts w:ascii="Arial" w:hAnsi="Arial" w:cs="Arial"/>
          <w:lang w:val="es-419"/>
        </w:rPr>
      </w:pPr>
      <w:r w:rsidRPr="00DD37EC">
        <w:rPr>
          <w:rFonts w:ascii="Arial" w:hAnsi="Arial" w:cs="Arial"/>
          <w:lang w:val="es-419"/>
        </w:rPr>
        <w:t xml:space="preserve">La absorción de personal </w:t>
      </w:r>
      <w:r w:rsidR="00D34D6F">
        <w:rPr>
          <w:rFonts w:ascii="Arial" w:hAnsi="Arial" w:cs="Arial"/>
          <w:lang w:val="es-419"/>
        </w:rPr>
        <w:t>pagado por el FM</w:t>
      </w:r>
      <w:r w:rsidR="006855D7">
        <w:rPr>
          <w:rFonts w:ascii="Arial" w:hAnsi="Arial" w:cs="Arial"/>
          <w:lang w:val="es-419"/>
        </w:rPr>
        <w:t xml:space="preserve"> </w:t>
      </w:r>
      <w:r w:rsidRPr="00DD37EC">
        <w:rPr>
          <w:rFonts w:ascii="Arial" w:hAnsi="Arial" w:cs="Arial"/>
          <w:lang w:val="es-419"/>
        </w:rPr>
        <w:t>por parte de la SESA</w:t>
      </w:r>
      <w:r w:rsidR="006855D7">
        <w:rPr>
          <w:rFonts w:ascii="Arial" w:hAnsi="Arial" w:cs="Arial"/>
          <w:lang w:val="es-419"/>
        </w:rPr>
        <w:t>L</w:t>
      </w:r>
      <w:r w:rsidRPr="00DD37EC">
        <w:rPr>
          <w:rFonts w:ascii="Arial" w:hAnsi="Arial" w:cs="Arial"/>
          <w:lang w:val="es-419"/>
        </w:rPr>
        <w:t xml:space="preserve"> ha sido un compromiso de país para poder recibir el financiamiento del Fondo Mundial</w:t>
      </w:r>
      <w:r w:rsidR="006855D7">
        <w:rPr>
          <w:rFonts w:ascii="Arial" w:hAnsi="Arial" w:cs="Arial"/>
          <w:lang w:val="es-419"/>
        </w:rPr>
        <w:t>.</w:t>
      </w:r>
      <w:r w:rsidRPr="00DD37EC">
        <w:rPr>
          <w:rFonts w:ascii="Arial" w:hAnsi="Arial" w:cs="Arial"/>
          <w:lang w:val="es-419"/>
        </w:rPr>
        <w:t xml:space="preserve"> </w:t>
      </w:r>
      <w:r w:rsidR="009D6483">
        <w:rPr>
          <w:rFonts w:ascii="Arial" w:hAnsi="Arial" w:cs="Arial"/>
          <w:lang w:val="es-419"/>
        </w:rPr>
        <w:t>De igual forma que en VIH</w:t>
      </w:r>
      <w:r w:rsidR="006855D7">
        <w:rPr>
          <w:rFonts w:ascii="Arial" w:hAnsi="Arial" w:cs="Arial"/>
          <w:lang w:val="es-419"/>
        </w:rPr>
        <w:t>, se ha identificado que</w:t>
      </w:r>
      <w:r w:rsidRPr="00DD37EC">
        <w:rPr>
          <w:rFonts w:ascii="Arial" w:hAnsi="Arial" w:cs="Arial"/>
          <w:lang w:val="es-419"/>
        </w:rPr>
        <w:t xml:space="preserve"> </w:t>
      </w:r>
      <w:r w:rsidR="006855D7">
        <w:rPr>
          <w:rFonts w:ascii="Arial" w:hAnsi="Arial" w:cs="Arial"/>
          <w:lang w:val="es-419"/>
        </w:rPr>
        <w:t>la contratación en la SESAL se ha realizado</w:t>
      </w:r>
      <w:r w:rsidRPr="00DD37EC">
        <w:rPr>
          <w:rFonts w:ascii="Arial" w:hAnsi="Arial" w:cs="Arial"/>
          <w:lang w:val="es-419"/>
        </w:rPr>
        <w:t xml:space="preserve"> a través de contratos temporales que no garantizan la sostenibilidad </w:t>
      </w:r>
      <w:r w:rsidR="006855D7">
        <w:rPr>
          <w:rFonts w:ascii="Arial" w:hAnsi="Arial" w:cs="Arial"/>
          <w:lang w:val="es-419"/>
        </w:rPr>
        <w:t>de posiciones claves en el tiempo</w:t>
      </w:r>
      <w:r w:rsidRPr="00DD37EC">
        <w:rPr>
          <w:rFonts w:ascii="Arial" w:hAnsi="Arial" w:cs="Arial"/>
          <w:lang w:val="es-419"/>
        </w:rPr>
        <w:t xml:space="preserve">. Actualmente el Fondo Mundial está financiando </w:t>
      </w:r>
      <w:r w:rsidR="00016020">
        <w:rPr>
          <w:rFonts w:ascii="Arial" w:hAnsi="Arial" w:cs="Arial"/>
          <w:lang w:val="es-419"/>
        </w:rPr>
        <w:t>ocho</w:t>
      </w:r>
      <w:r w:rsidR="001F4769">
        <w:rPr>
          <w:rFonts w:ascii="Arial" w:hAnsi="Arial" w:cs="Arial"/>
          <w:lang w:val="es-419"/>
        </w:rPr>
        <w:t xml:space="preserve"> posiciones para TB: un coordinador administrativo, un especialista de M</w:t>
      </w:r>
      <w:r w:rsidR="001F4769" w:rsidRPr="001F4769">
        <w:rPr>
          <w:rFonts w:ascii="Arial" w:hAnsi="Arial" w:cs="Arial"/>
          <w:lang w:val="es-MX"/>
        </w:rPr>
        <w:t>&amp;</w:t>
      </w:r>
      <w:r w:rsidR="001F4769">
        <w:rPr>
          <w:rFonts w:ascii="Arial" w:hAnsi="Arial" w:cs="Arial"/>
          <w:lang w:val="es-MX"/>
        </w:rPr>
        <w:t xml:space="preserve">E, </w:t>
      </w:r>
      <w:r w:rsidR="001F4769">
        <w:rPr>
          <w:rFonts w:ascii="Arial" w:hAnsi="Arial" w:cs="Arial"/>
          <w:lang w:val="es-419"/>
        </w:rPr>
        <w:t>un oficial de M&amp;E, un oficial y un auxiliar contable, un oficial de adquisiciones y dos</w:t>
      </w:r>
      <w:r w:rsidRPr="00DD37EC">
        <w:rPr>
          <w:rFonts w:ascii="Arial" w:hAnsi="Arial" w:cs="Arial"/>
          <w:lang w:val="es-419"/>
        </w:rPr>
        <w:t xml:space="preserve"> </w:t>
      </w:r>
      <w:r w:rsidR="001F4769">
        <w:rPr>
          <w:rFonts w:ascii="Arial" w:hAnsi="Arial" w:cs="Arial"/>
          <w:lang w:val="es-419"/>
        </w:rPr>
        <w:t>microbi</w:t>
      </w:r>
      <w:r w:rsidR="001F4769">
        <w:rPr>
          <w:rFonts w:ascii="Arial" w:hAnsi="Arial" w:cs="Arial"/>
          <w:lang w:val="es-MX"/>
        </w:rPr>
        <w:t>ólogos</w:t>
      </w:r>
      <w:r w:rsidRPr="00DD37EC">
        <w:rPr>
          <w:rFonts w:ascii="Arial" w:hAnsi="Arial" w:cs="Arial"/>
          <w:lang w:val="es-419"/>
        </w:rPr>
        <w:t xml:space="preserve"> que laboran en la red de laboratorios</w:t>
      </w:r>
      <w:r w:rsidR="001F4769">
        <w:rPr>
          <w:rFonts w:ascii="Arial" w:hAnsi="Arial" w:cs="Arial"/>
          <w:lang w:val="es-419"/>
        </w:rPr>
        <w:t>. En total este personal tiene un costo anual de</w:t>
      </w:r>
      <w:r w:rsidR="00E110D4" w:rsidRPr="00DD37EC">
        <w:rPr>
          <w:rFonts w:ascii="Arial" w:hAnsi="Arial" w:cs="Arial"/>
          <w:lang w:val="es-419"/>
        </w:rPr>
        <w:t xml:space="preserve"> por un monto de </w:t>
      </w:r>
      <w:r w:rsidR="001F4769">
        <w:rPr>
          <w:rFonts w:ascii="Arial" w:hAnsi="Arial" w:cs="Arial"/>
          <w:lang w:val="es-419"/>
        </w:rPr>
        <w:t>US</w:t>
      </w:r>
      <w:r w:rsidR="00E110D4" w:rsidRPr="00DD37EC">
        <w:rPr>
          <w:rFonts w:ascii="Arial" w:hAnsi="Arial" w:cs="Arial"/>
          <w:lang w:val="es-419"/>
        </w:rPr>
        <w:t>$</w:t>
      </w:r>
      <w:r w:rsidR="001F4769">
        <w:rPr>
          <w:rFonts w:ascii="Arial" w:hAnsi="Arial" w:cs="Arial"/>
          <w:lang w:val="es-419"/>
        </w:rPr>
        <w:t xml:space="preserve"> </w:t>
      </w:r>
      <w:r w:rsidR="00FC1D2D">
        <w:rPr>
          <w:rFonts w:ascii="Arial" w:hAnsi="Arial" w:cs="Arial"/>
          <w:lang w:val="es-419"/>
        </w:rPr>
        <w:t>1</w:t>
      </w:r>
      <w:r w:rsidR="00D9453E">
        <w:rPr>
          <w:rFonts w:ascii="Arial" w:hAnsi="Arial" w:cs="Arial"/>
          <w:lang w:val="es-419"/>
        </w:rPr>
        <w:t>15</w:t>
      </w:r>
      <w:r w:rsidR="001F4769">
        <w:rPr>
          <w:rFonts w:ascii="Arial" w:hAnsi="Arial" w:cs="Arial"/>
          <w:lang w:val="es-419"/>
        </w:rPr>
        <w:t xml:space="preserve"> mil</w:t>
      </w:r>
      <w:r w:rsidR="004327B6">
        <w:rPr>
          <w:rFonts w:ascii="Arial" w:hAnsi="Arial" w:cs="Arial"/>
          <w:lang w:val="es-419"/>
        </w:rPr>
        <w:t xml:space="preserve"> (L$ 3 millones)</w:t>
      </w:r>
      <w:r w:rsidR="00E110D4" w:rsidRPr="00DD37EC">
        <w:rPr>
          <w:rFonts w:ascii="Arial" w:hAnsi="Arial" w:cs="Arial"/>
          <w:lang w:val="es-419"/>
        </w:rPr>
        <w:t xml:space="preserve"> anual</w:t>
      </w:r>
      <w:r w:rsidR="001F4769">
        <w:rPr>
          <w:rFonts w:ascii="Arial" w:hAnsi="Arial" w:cs="Arial"/>
          <w:lang w:val="es-419"/>
        </w:rPr>
        <w:t>es</w:t>
      </w:r>
      <w:r w:rsidRPr="00DD37EC">
        <w:rPr>
          <w:rFonts w:ascii="Arial" w:hAnsi="Arial" w:cs="Arial"/>
          <w:lang w:val="es-419"/>
        </w:rPr>
        <w:t>.</w:t>
      </w:r>
      <w:r w:rsidR="001F4769">
        <w:rPr>
          <w:rFonts w:ascii="Arial" w:hAnsi="Arial" w:cs="Arial"/>
          <w:lang w:val="es-419"/>
        </w:rPr>
        <w:t xml:space="preserve"> Es necesario hacer un análisis sobre la alineación de estos salarios con aquellos de la SESAL y trabajar en un plan de transición gradual con incentivos.</w:t>
      </w:r>
    </w:p>
    <w:p w14:paraId="1BD14ED5" w14:textId="78EB47C3" w:rsidR="00FA6488" w:rsidRPr="00DD37EC" w:rsidRDefault="002344AA" w:rsidP="006761A5">
      <w:pPr>
        <w:spacing w:after="240" w:line="240" w:lineRule="auto"/>
        <w:jc w:val="both"/>
        <w:rPr>
          <w:rFonts w:ascii="Arial" w:hAnsi="Arial" w:cs="Arial"/>
          <w:lang w:val="es-419"/>
        </w:rPr>
      </w:pPr>
      <w:r w:rsidRPr="00DD37EC">
        <w:rPr>
          <w:rFonts w:ascii="Arial" w:hAnsi="Arial" w:cs="Arial"/>
          <w:lang w:val="es-419"/>
        </w:rPr>
        <w:t xml:space="preserve">Por otro lado, </w:t>
      </w:r>
      <w:r w:rsidR="00E110D4" w:rsidRPr="00DD37EC">
        <w:rPr>
          <w:rFonts w:ascii="Arial" w:hAnsi="Arial" w:cs="Arial"/>
          <w:lang w:val="es-419"/>
        </w:rPr>
        <w:t xml:space="preserve">en entrevistas realizadas se mencionó </w:t>
      </w:r>
      <w:r w:rsidRPr="00DD37EC">
        <w:rPr>
          <w:rFonts w:ascii="Arial" w:hAnsi="Arial" w:cs="Arial"/>
          <w:lang w:val="es-419"/>
        </w:rPr>
        <w:t xml:space="preserve">que para continuar fortaleciendo las capacidades del recurso humano responsable de la respuesta nacional a la TB están en proceso de elaboración y </w:t>
      </w:r>
      <w:r w:rsidRPr="00DD37EC">
        <w:rPr>
          <w:rFonts w:ascii="Arial" w:hAnsi="Arial" w:cs="Arial"/>
          <w:lang w:val="es-419"/>
        </w:rPr>
        <w:lastRenderedPageBreak/>
        <w:t>de aprobación</w:t>
      </w:r>
      <w:r w:rsidR="00E110D4" w:rsidRPr="00DD37EC">
        <w:rPr>
          <w:rFonts w:ascii="Arial" w:hAnsi="Arial" w:cs="Arial"/>
          <w:lang w:val="es-419"/>
        </w:rPr>
        <w:t xml:space="preserve"> las</w:t>
      </w:r>
      <w:r w:rsidRPr="00DD37EC">
        <w:rPr>
          <w:rFonts w:ascii="Arial" w:hAnsi="Arial" w:cs="Arial"/>
          <w:lang w:val="es-419"/>
        </w:rPr>
        <w:t xml:space="preserve"> siguientes normas enfocadas a la promoción, prevención, tratamiento y control de la TB:</w:t>
      </w:r>
    </w:p>
    <w:p w14:paraId="7F1440FB" w14:textId="2AEE871F" w:rsidR="002344AA" w:rsidRPr="00DD37EC" w:rsidRDefault="002344AA" w:rsidP="0068285B">
      <w:pPr>
        <w:pStyle w:val="ListParagraph"/>
        <w:numPr>
          <w:ilvl w:val="0"/>
          <w:numId w:val="10"/>
        </w:numPr>
        <w:spacing w:after="0" w:line="240" w:lineRule="auto"/>
        <w:contextualSpacing w:val="0"/>
        <w:jc w:val="both"/>
        <w:rPr>
          <w:rFonts w:ascii="Arial" w:hAnsi="Arial" w:cs="Arial"/>
          <w:lang w:val="es-419"/>
        </w:rPr>
      </w:pPr>
      <w:r w:rsidRPr="00DD37EC">
        <w:rPr>
          <w:rFonts w:ascii="Arial" w:hAnsi="Arial" w:cs="Arial"/>
          <w:lang w:val="es-419"/>
        </w:rPr>
        <w:t>Guía de Capacitación de la Coinfección TB-VIH</w:t>
      </w:r>
    </w:p>
    <w:p w14:paraId="470DE7CD" w14:textId="3C81A499" w:rsidR="002344AA" w:rsidRPr="00DD37EC" w:rsidRDefault="002344AA" w:rsidP="0068285B">
      <w:pPr>
        <w:pStyle w:val="ListParagraph"/>
        <w:numPr>
          <w:ilvl w:val="0"/>
          <w:numId w:val="10"/>
        </w:numPr>
        <w:spacing w:after="0" w:line="240" w:lineRule="auto"/>
        <w:contextualSpacing w:val="0"/>
        <w:jc w:val="both"/>
        <w:rPr>
          <w:rFonts w:ascii="Arial" w:hAnsi="Arial" w:cs="Arial"/>
          <w:lang w:val="es-419"/>
        </w:rPr>
      </w:pPr>
      <w:r w:rsidRPr="00DD37EC">
        <w:rPr>
          <w:rFonts w:ascii="Arial" w:hAnsi="Arial" w:cs="Arial"/>
          <w:lang w:val="es-419"/>
        </w:rPr>
        <w:t>Norma Nacional de TB</w:t>
      </w:r>
    </w:p>
    <w:p w14:paraId="7B827ECF" w14:textId="2433F178" w:rsidR="002344AA" w:rsidRPr="00DD37EC" w:rsidRDefault="002344AA" w:rsidP="0068285B">
      <w:pPr>
        <w:pStyle w:val="ListParagraph"/>
        <w:numPr>
          <w:ilvl w:val="0"/>
          <w:numId w:val="10"/>
        </w:numPr>
        <w:spacing w:after="0" w:line="240" w:lineRule="auto"/>
        <w:contextualSpacing w:val="0"/>
        <w:jc w:val="both"/>
        <w:rPr>
          <w:rFonts w:ascii="Arial" w:hAnsi="Arial" w:cs="Arial"/>
          <w:lang w:val="es-419"/>
        </w:rPr>
      </w:pPr>
      <w:r w:rsidRPr="00DD37EC">
        <w:rPr>
          <w:rFonts w:ascii="Arial" w:hAnsi="Arial" w:cs="Arial"/>
          <w:lang w:val="es-419"/>
        </w:rPr>
        <w:t>Guía para el Manejo de la TB por el Personal Comunitario</w:t>
      </w:r>
    </w:p>
    <w:p w14:paraId="5847B526" w14:textId="6972F973" w:rsidR="002344AA" w:rsidRPr="00DD37EC" w:rsidRDefault="002344AA" w:rsidP="0068285B">
      <w:pPr>
        <w:pStyle w:val="ListParagraph"/>
        <w:numPr>
          <w:ilvl w:val="0"/>
          <w:numId w:val="10"/>
        </w:numPr>
        <w:spacing w:after="0" w:line="240" w:lineRule="auto"/>
        <w:contextualSpacing w:val="0"/>
        <w:jc w:val="both"/>
        <w:rPr>
          <w:rFonts w:ascii="Arial" w:hAnsi="Arial" w:cs="Arial"/>
          <w:lang w:val="es-419"/>
        </w:rPr>
      </w:pPr>
      <w:r w:rsidRPr="00DD37EC">
        <w:rPr>
          <w:rFonts w:ascii="Arial" w:hAnsi="Arial" w:cs="Arial"/>
          <w:lang w:val="es-419"/>
        </w:rPr>
        <w:t>Protocolo de Atención de la TB-MDR para el Adulto y Pediátrico</w:t>
      </w:r>
    </w:p>
    <w:p w14:paraId="51FD46A6" w14:textId="4CB34E39" w:rsidR="002344AA" w:rsidRPr="00DD37EC" w:rsidRDefault="002344AA" w:rsidP="0068285B">
      <w:pPr>
        <w:pStyle w:val="ListParagraph"/>
        <w:numPr>
          <w:ilvl w:val="0"/>
          <w:numId w:val="10"/>
        </w:numPr>
        <w:spacing w:after="0" w:line="240" w:lineRule="auto"/>
        <w:contextualSpacing w:val="0"/>
        <w:jc w:val="both"/>
        <w:rPr>
          <w:rFonts w:ascii="Arial" w:hAnsi="Arial" w:cs="Arial"/>
          <w:lang w:val="es-419"/>
        </w:rPr>
      </w:pPr>
      <w:r w:rsidRPr="00DD37EC">
        <w:rPr>
          <w:rFonts w:ascii="Arial" w:hAnsi="Arial" w:cs="Arial"/>
          <w:lang w:val="es-419"/>
        </w:rPr>
        <w:t>Guía de Mejora Continua de la Calidad en la Atención de TB</w:t>
      </w:r>
    </w:p>
    <w:p w14:paraId="7C8C31F5" w14:textId="4A49AAE4" w:rsidR="002344AA" w:rsidRPr="00DD37EC" w:rsidRDefault="002344AA" w:rsidP="0068285B">
      <w:pPr>
        <w:pStyle w:val="ListParagraph"/>
        <w:numPr>
          <w:ilvl w:val="0"/>
          <w:numId w:val="10"/>
        </w:numPr>
        <w:spacing w:after="0" w:line="240" w:lineRule="auto"/>
        <w:contextualSpacing w:val="0"/>
        <w:jc w:val="both"/>
        <w:rPr>
          <w:rFonts w:ascii="Arial" w:hAnsi="Arial" w:cs="Arial"/>
          <w:lang w:val="es-419"/>
        </w:rPr>
      </w:pPr>
      <w:r w:rsidRPr="00DD37EC">
        <w:rPr>
          <w:rFonts w:ascii="Arial" w:hAnsi="Arial" w:cs="Arial"/>
          <w:lang w:val="es-419"/>
        </w:rPr>
        <w:t>Guía de Control de Infecciones y Currículo de Capacitación</w:t>
      </w:r>
    </w:p>
    <w:p w14:paraId="2965742C" w14:textId="0902F17E" w:rsidR="002344AA" w:rsidRPr="00DD37EC" w:rsidRDefault="002344AA" w:rsidP="0068285B">
      <w:pPr>
        <w:pStyle w:val="ListParagraph"/>
        <w:numPr>
          <w:ilvl w:val="0"/>
          <w:numId w:val="10"/>
        </w:numPr>
        <w:spacing w:after="0" w:line="240" w:lineRule="auto"/>
        <w:contextualSpacing w:val="0"/>
        <w:jc w:val="both"/>
        <w:rPr>
          <w:rFonts w:ascii="Arial" w:hAnsi="Arial" w:cs="Arial"/>
          <w:lang w:val="es-419"/>
        </w:rPr>
      </w:pPr>
      <w:r w:rsidRPr="00DD37EC">
        <w:rPr>
          <w:rFonts w:ascii="Arial" w:hAnsi="Arial" w:cs="Arial"/>
          <w:lang w:val="es-419"/>
        </w:rPr>
        <w:t xml:space="preserve">Plan de Abogacía, Comunicación y Movilización Social para la </w:t>
      </w:r>
      <w:r w:rsidR="003C145A">
        <w:rPr>
          <w:rFonts w:ascii="Arial" w:hAnsi="Arial" w:cs="Arial"/>
          <w:lang w:val="es-419"/>
        </w:rPr>
        <w:t>RN</w:t>
      </w:r>
      <w:r w:rsidRPr="00DD37EC">
        <w:rPr>
          <w:rFonts w:ascii="Arial" w:hAnsi="Arial" w:cs="Arial"/>
          <w:lang w:val="es-419"/>
        </w:rPr>
        <w:t xml:space="preserve"> en TB</w:t>
      </w:r>
    </w:p>
    <w:p w14:paraId="342692AD" w14:textId="0966138F" w:rsidR="002344AA" w:rsidRPr="00DD37EC" w:rsidRDefault="002344AA" w:rsidP="0068285B">
      <w:pPr>
        <w:pStyle w:val="ListParagraph"/>
        <w:numPr>
          <w:ilvl w:val="0"/>
          <w:numId w:val="10"/>
        </w:numPr>
        <w:spacing w:after="0" w:line="240" w:lineRule="auto"/>
        <w:contextualSpacing w:val="0"/>
        <w:jc w:val="both"/>
        <w:rPr>
          <w:rFonts w:ascii="Arial" w:hAnsi="Arial" w:cs="Arial"/>
          <w:lang w:val="es-419"/>
        </w:rPr>
      </w:pPr>
      <w:r w:rsidRPr="00DD37EC">
        <w:rPr>
          <w:rFonts w:ascii="Arial" w:hAnsi="Arial" w:cs="Arial"/>
          <w:lang w:val="es-419"/>
        </w:rPr>
        <w:t>Política de Ética y Derechos Humanos</w:t>
      </w:r>
    </w:p>
    <w:p w14:paraId="46D5D6C1" w14:textId="77EF1EBA" w:rsidR="002344AA" w:rsidRPr="00DD37EC" w:rsidRDefault="002344AA" w:rsidP="0068285B">
      <w:pPr>
        <w:pStyle w:val="ListParagraph"/>
        <w:numPr>
          <w:ilvl w:val="0"/>
          <w:numId w:val="10"/>
        </w:numPr>
        <w:spacing w:after="0" w:line="240" w:lineRule="auto"/>
        <w:contextualSpacing w:val="0"/>
        <w:jc w:val="both"/>
        <w:rPr>
          <w:rFonts w:ascii="Arial" w:hAnsi="Arial" w:cs="Arial"/>
          <w:lang w:val="es-419"/>
        </w:rPr>
      </w:pPr>
      <w:r w:rsidRPr="00DD37EC">
        <w:rPr>
          <w:rFonts w:ascii="Arial" w:hAnsi="Arial" w:cs="Arial"/>
          <w:lang w:val="es-419"/>
        </w:rPr>
        <w:t>Plan Comunitario de IEC en TB y violencia</w:t>
      </w:r>
    </w:p>
    <w:p w14:paraId="7A7DB86B" w14:textId="5FDD6382" w:rsidR="002344AA" w:rsidRPr="00DD37EC" w:rsidRDefault="002344AA" w:rsidP="0068285B">
      <w:pPr>
        <w:pStyle w:val="ListParagraph"/>
        <w:numPr>
          <w:ilvl w:val="0"/>
          <w:numId w:val="10"/>
        </w:numPr>
        <w:spacing w:after="0" w:line="240" w:lineRule="auto"/>
        <w:contextualSpacing w:val="0"/>
        <w:jc w:val="both"/>
        <w:rPr>
          <w:rFonts w:ascii="Arial" w:hAnsi="Arial" w:cs="Arial"/>
          <w:lang w:val="es-419"/>
        </w:rPr>
      </w:pPr>
      <w:r w:rsidRPr="00DD37EC">
        <w:rPr>
          <w:rFonts w:ascii="Arial" w:hAnsi="Arial" w:cs="Arial"/>
          <w:lang w:val="es-419"/>
        </w:rPr>
        <w:t>Investigación sobre Estigma y Discriminación en Personas con TB en el Marco de los Derechos Humanos</w:t>
      </w:r>
    </w:p>
    <w:p w14:paraId="53807E19" w14:textId="6E609895" w:rsidR="00E6452B" w:rsidRPr="00F04940" w:rsidRDefault="002344AA" w:rsidP="0068285B">
      <w:pPr>
        <w:pStyle w:val="ListParagraph"/>
        <w:numPr>
          <w:ilvl w:val="0"/>
          <w:numId w:val="10"/>
        </w:numPr>
        <w:spacing w:after="240" w:line="240" w:lineRule="auto"/>
        <w:contextualSpacing w:val="0"/>
        <w:jc w:val="both"/>
        <w:rPr>
          <w:rFonts w:ascii="Arial" w:hAnsi="Arial" w:cs="Arial"/>
          <w:lang w:val="es-419"/>
        </w:rPr>
      </w:pPr>
      <w:r w:rsidRPr="00DD37EC">
        <w:rPr>
          <w:rFonts w:ascii="Arial" w:hAnsi="Arial" w:cs="Arial"/>
          <w:lang w:val="es-419"/>
        </w:rPr>
        <w:t>Estudio de Gasto en Salud en TB</w:t>
      </w:r>
    </w:p>
    <w:p w14:paraId="2F8A17E2" w14:textId="011984A6" w:rsidR="00D34A7D" w:rsidRPr="00FC1D2D" w:rsidRDefault="002C62F0" w:rsidP="00FC1D2D">
      <w:pPr>
        <w:pStyle w:val="Heading3"/>
        <w:spacing w:before="0" w:after="240" w:line="240" w:lineRule="auto"/>
        <w:rPr>
          <w:rFonts w:ascii="Arial" w:hAnsi="Arial" w:cs="Arial"/>
          <w:sz w:val="22"/>
          <w:szCs w:val="22"/>
          <w:lang w:val="es-MX"/>
        </w:rPr>
      </w:pPr>
      <w:bookmarkStart w:id="87" w:name="_Toc8905243"/>
      <w:r>
        <w:rPr>
          <w:rFonts w:ascii="Arial" w:hAnsi="Arial" w:cs="Arial"/>
          <w:sz w:val="22"/>
          <w:szCs w:val="22"/>
          <w:lang w:val="es-419"/>
        </w:rPr>
        <w:t>5.7.3</w:t>
      </w:r>
      <w:r w:rsidR="00F96945" w:rsidRPr="00DD37EC">
        <w:rPr>
          <w:rFonts w:ascii="Arial" w:hAnsi="Arial" w:cs="Arial"/>
          <w:sz w:val="22"/>
          <w:szCs w:val="22"/>
          <w:lang w:val="es-419"/>
        </w:rPr>
        <w:t xml:space="preserve"> Sistemas de informaci</w:t>
      </w:r>
      <w:r w:rsidR="00F96945" w:rsidRPr="00DD37EC">
        <w:rPr>
          <w:rFonts w:ascii="Arial" w:hAnsi="Arial" w:cs="Arial"/>
          <w:sz w:val="22"/>
          <w:szCs w:val="22"/>
          <w:lang w:val="es-MX"/>
        </w:rPr>
        <w:t>ón</w:t>
      </w:r>
      <w:bookmarkEnd w:id="87"/>
    </w:p>
    <w:p w14:paraId="3CEB0DB0" w14:textId="4D112A00" w:rsidR="009521B3" w:rsidRPr="009521B3" w:rsidRDefault="009521B3" w:rsidP="009521B3">
      <w:pPr>
        <w:spacing w:after="240" w:line="240" w:lineRule="auto"/>
        <w:jc w:val="both"/>
        <w:rPr>
          <w:rFonts w:ascii="Arial" w:hAnsi="Arial" w:cs="Arial"/>
          <w:lang w:val="es-419"/>
        </w:rPr>
      </w:pPr>
      <w:r w:rsidRPr="009521B3">
        <w:rPr>
          <w:rFonts w:ascii="Arial" w:hAnsi="Arial" w:cs="Arial"/>
          <w:lang w:val="es-419"/>
        </w:rPr>
        <w:t>El país todavía no cuenta con un sistema de información en tiempo real y en línea que permita el análisis de la información desagregada para la toma de decisiones oportuna</w:t>
      </w:r>
      <w:r w:rsidR="00AF7A71">
        <w:rPr>
          <w:rFonts w:ascii="Arial" w:hAnsi="Arial" w:cs="Arial"/>
          <w:lang w:val="es-419"/>
        </w:rPr>
        <w:t xml:space="preserve"> -</w:t>
      </w:r>
      <w:r w:rsidRPr="009521B3">
        <w:rPr>
          <w:rFonts w:ascii="Arial" w:hAnsi="Arial" w:cs="Arial"/>
          <w:lang w:val="es-419"/>
        </w:rPr>
        <w:t xml:space="preserve"> que permita recoger las variables necesarias, con conexión a los sistemas de información de las redes de laboratorio y con otros sistemas como el de mortalidad.</w:t>
      </w:r>
      <w:r w:rsidR="00FC00BD">
        <w:rPr>
          <w:rFonts w:ascii="Arial" w:hAnsi="Arial" w:cs="Arial"/>
          <w:lang w:val="es-419"/>
        </w:rPr>
        <w:t xml:space="preserve"> </w:t>
      </w:r>
      <w:r w:rsidR="00FC00BD" w:rsidRPr="009521B3">
        <w:rPr>
          <w:rFonts w:ascii="Arial" w:hAnsi="Arial" w:cs="Arial"/>
          <w:lang w:val="es-419"/>
        </w:rPr>
        <w:t>A</w:t>
      </w:r>
      <w:r w:rsidR="00FC00BD">
        <w:rPr>
          <w:rFonts w:ascii="Arial" w:hAnsi="Arial" w:cs="Arial"/>
          <w:lang w:val="es-419"/>
        </w:rPr>
        <w:t>ctualmente,</w:t>
      </w:r>
      <w:r w:rsidR="00FC00BD" w:rsidRPr="009521B3">
        <w:rPr>
          <w:rFonts w:ascii="Arial" w:hAnsi="Arial" w:cs="Arial"/>
          <w:lang w:val="es-419"/>
        </w:rPr>
        <w:t xml:space="preserve"> </w:t>
      </w:r>
      <w:r w:rsidR="00FC00BD">
        <w:rPr>
          <w:rFonts w:ascii="Arial" w:hAnsi="Arial" w:cs="Arial"/>
          <w:lang w:val="es-419"/>
        </w:rPr>
        <w:t>existe un</w:t>
      </w:r>
      <w:r w:rsidR="00FC00BD" w:rsidRPr="009521B3">
        <w:rPr>
          <w:rFonts w:ascii="Arial" w:hAnsi="Arial" w:cs="Arial"/>
          <w:lang w:val="es-419"/>
        </w:rPr>
        <w:t xml:space="preserve"> sistema quasi-manual que no se mantiene constantemente</w:t>
      </w:r>
      <w:r w:rsidR="00B2371E">
        <w:rPr>
          <w:rFonts w:ascii="Arial" w:hAnsi="Arial" w:cs="Arial"/>
          <w:lang w:val="es-419"/>
        </w:rPr>
        <w:t>.</w:t>
      </w:r>
      <w:r w:rsidRPr="009521B3">
        <w:rPr>
          <w:rFonts w:ascii="Arial" w:hAnsi="Arial" w:cs="Arial"/>
          <w:lang w:val="es-419"/>
        </w:rPr>
        <w:t xml:space="preserve"> Se requiere fortalecer la Unidad de Gestión de la Información (UGI) para que asuma la gestión y conducción del subsistema de información de TB de los proveedores públicos y no públi</w:t>
      </w:r>
      <w:r w:rsidR="009B69A9">
        <w:rPr>
          <w:rFonts w:ascii="Arial" w:hAnsi="Arial" w:cs="Arial"/>
          <w:lang w:val="es-419"/>
        </w:rPr>
        <w:t>c</w:t>
      </w:r>
      <w:r w:rsidRPr="009521B3">
        <w:rPr>
          <w:rFonts w:ascii="Arial" w:hAnsi="Arial" w:cs="Arial"/>
          <w:lang w:val="es-419"/>
        </w:rPr>
        <w:t>os.</w:t>
      </w:r>
    </w:p>
    <w:p w14:paraId="56015944" w14:textId="63A2CE7B" w:rsidR="001D450D" w:rsidRPr="009521B3" w:rsidRDefault="00CE48F5" w:rsidP="009521B3">
      <w:pPr>
        <w:spacing w:after="240" w:line="240" w:lineRule="auto"/>
        <w:jc w:val="both"/>
        <w:rPr>
          <w:rFonts w:ascii="Arial" w:hAnsi="Arial" w:cs="Arial"/>
          <w:lang w:val="es-419"/>
        </w:rPr>
      </w:pPr>
      <w:r>
        <w:rPr>
          <w:rFonts w:ascii="Arial" w:hAnsi="Arial" w:cs="Arial"/>
          <w:lang w:val="es-419"/>
        </w:rPr>
        <w:t>Como se mencionó en el capítulo 4, el SIIS, que también responde a las necesidades de TB, se encuentra en elaboración e implementación por parte de la UGI</w:t>
      </w:r>
      <w:r w:rsidR="009521B3" w:rsidRPr="009521B3">
        <w:rPr>
          <w:rFonts w:ascii="Arial" w:hAnsi="Arial" w:cs="Arial"/>
          <w:lang w:val="es-419"/>
        </w:rPr>
        <w:t xml:space="preserve">. El sistema ya está funcionando para malaria, y hay una ruta crítica para completar el sistema para la TB </w:t>
      </w:r>
      <w:r>
        <w:rPr>
          <w:rFonts w:ascii="Arial" w:hAnsi="Arial" w:cs="Arial"/>
          <w:lang w:val="es-419"/>
        </w:rPr>
        <w:t>a</w:t>
      </w:r>
      <w:r w:rsidR="009521B3" w:rsidRPr="009521B3">
        <w:rPr>
          <w:rFonts w:ascii="Arial" w:hAnsi="Arial" w:cs="Arial"/>
          <w:lang w:val="es-419"/>
        </w:rPr>
        <w:t xml:space="preserve"> marzo</w:t>
      </w:r>
      <w:r w:rsidR="00B07BE2">
        <w:rPr>
          <w:rFonts w:ascii="Arial" w:hAnsi="Arial" w:cs="Arial"/>
          <w:lang w:val="es-419"/>
        </w:rPr>
        <w:t xml:space="preserve"> de</w:t>
      </w:r>
      <w:r w:rsidR="009521B3" w:rsidRPr="009521B3">
        <w:rPr>
          <w:rFonts w:ascii="Arial" w:hAnsi="Arial" w:cs="Arial"/>
          <w:lang w:val="es-419"/>
        </w:rPr>
        <w:t xml:space="preserve"> 2019.</w:t>
      </w:r>
      <w:r w:rsidR="009521B3" w:rsidRPr="009521B3">
        <w:rPr>
          <w:rStyle w:val="FootnoteReference"/>
          <w:rFonts w:ascii="Arial" w:hAnsi="Arial" w:cs="Arial"/>
          <w:lang w:val="es-419"/>
        </w:rPr>
        <w:footnoteReference w:id="90"/>
      </w:r>
      <w:r w:rsidR="00A251AC">
        <w:rPr>
          <w:rFonts w:ascii="Arial" w:hAnsi="Arial" w:cs="Arial"/>
          <w:lang w:val="es-419"/>
        </w:rPr>
        <w:t xml:space="preserve"> </w:t>
      </w:r>
      <w:r w:rsidR="00107981">
        <w:rPr>
          <w:rFonts w:ascii="Arial" w:hAnsi="Arial" w:cs="Arial"/>
          <w:lang w:val="es-419"/>
        </w:rPr>
        <w:t>Este módulo facilitará</w:t>
      </w:r>
      <w:r w:rsidR="001D450D">
        <w:rPr>
          <w:rFonts w:ascii="Arial" w:hAnsi="Arial" w:cs="Arial"/>
          <w:lang w:val="es-419"/>
        </w:rPr>
        <w:t xml:space="preserve"> el análisis epidemiológico</w:t>
      </w:r>
      <w:r w:rsidR="00107981">
        <w:rPr>
          <w:rFonts w:ascii="Arial" w:hAnsi="Arial" w:cs="Arial"/>
          <w:lang w:val="es-419"/>
        </w:rPr>
        <w:t>,</w:t>
      </w:r>
      <w:r w:rsidR="001D450D">
        <w:rPr>
          <w:rFonts w:ascii="Arial" w:hAnsi="Arial" w:cs="Arial"/>
          <w:lang w:val="es-419"/>
        </w:rPr>
        <w:t xml:space="preserve"> así como la visualización de resultados de cultivo y PDS en tiempo real, ayudando a cerrar las brechas</w:t>
      </w:r>
      <w:r w:rsidR="00EF6A4F">
        <w:rPr>
          <w:rFonts w:ascii="Arial" w:hAnsi="Arial" w:cs="Arial"/>
          <w:lang w:val="es-419"/>
        </w:rPr>
        <w:t xml:space="preserve"> en tiempo</w:t>
      </w:r>
      <w:r w:rsidR="00107981">
        <w:rPr>
          <w:rFonts w:ascii="Arial" w:hAnsi="Arial" w:cs="Arial"/>
          <w:lang w:val="es-419"/>
        </w:rPr>
        <w:t xml:space="preserve"> entre diagnóstico y tratamiento.</w:t>
      </w:r>
    </w:p>
    <w:p w14:paraId="7D73AA22" w14:textId="5F8A1762" w:rsidR="00AF53FB" w:rsidRDefault="009521B3" w:rsidP="009521B3">
      <w:pPr>
        <w:spacing w:after="240" w:line="240" w:lineRule="auto"/>
        <w:jc w:val="both"/>
        <w:rPr>
          <w:rFonts w:ascii="Arial" w:hAnsi="Arial" w:cs="Arial"/>
          <w:lang w:val="es-419"/>
        </w:rPr>
      </w:pPr>
      <w:r w:rsidRPr="009521B3">
        <w:rPr>
          <w:rFonts w:ascii="Arial" w:hAnsi="Arial" w:cs="Arial"/>
          <w:lang w:val="es-419"/>
        </w:rPr>
        <w:t xml:space="preserve">El fortalecimiento del monitoreo y evaluación para TB deber </w:t>
      </w:r>
      <w:r w:rsidR="00484A83">
        <w:rPr>
          <w:rFonts w:ascii="Arial" w:hAnsi="Arial" w:cs="Arial"/>
          <w:lang w:val="es-419"/>
        </w:rPr>
        <w:t xml:space="preserve">asegurar </w:t>
      </w:r>
      <w:r w:rsidRPr="009521B3">
        <w:rPr>
          <w:rFonts w:ascii="Arial" w:hAnsi="Arial" w:cs="Arial"/>
          <w:lang w:val="es-419"/>
        </w:rPr>
        <w:t>la notificación de los casos a través de la implementación y análisis de la ficha de notificación a nivel de las 20 regiones del país</w:t>
      </w:r>
      <w:r w:rsidR="001A5EC7">
        <w:rPr>
          <w:rFonts w:ascii="Arial" w:hAnsi="Arial" w:cs="Arial"/>
          <w:lang w:val="es-419"/>
        </w:rPr>
        <w:t xml:space="preserve"> y el </w:t>
      </w:r>
      <w:r w:rsidRPr="009521B3">
        <w:rPr>
          <w:rFonts w:ascii="Arial" w:hAnsi="Arial" w:cs="Arial"/>
          <w:lang w:val="es-419"/>
        </w:rPr>
        <w:t>monitore</w:t>
      </w:r>
      <w:r w:rsidR="001A5EC7">
        <w:rPr>
          <w:rFonts w:ascii="Arial" w:hAnsi="Arial" w:cs="Arial"/>
          <w:lang w:val="es-419"/>
        </w:rPr>
        <w:t>o de</w:t>
      </w:r>
      <w:r w:rsidRPr="009521B3">
        <w:rPr>
          <w:rFonts w:ascii="Arial" w:hAnsi="Arial" w:cs="Arial"/>
          <w:lang w:val="es-419"/>
        </w:rPr>
        <w:t xml:space="preserve"> indicadores y actividades incluidas en el P</w:t>
      </w:r>
      <w:r w:rsidR="00947C42">
        <w:rPr>
          <w:rFonts w:ascii="Arial" w:hAnsi="Arial" w:cs="Arial"/>
          <w:lang w:val="es-419"/>
        </w:rPr>
        <w:t>ENTB</w:t>
      </w:r>
      <w:r w:rsidRPr="009521B3">
        <w:rPr>
          <w:rFonts w:ascii="Arial" w:hAnsi="Arial" w:cs="Arial"/>
          <w:lang w:val="es-419"/>
        </w:rPr>
        <w:t xml:space="preserve"> para la mejora continua de la </w:t>
      </w:r>
      <w:r w:rsidR="001A5EC7">
        <w:rPr>
          <w:rFonts w:ascii="Arial" w:hAnsi="Arial" w:cs="Arial"/>
          <w:lang w:val="es-419"/>
        </w:rPr>
        <w:t>calidad</w:t>
      </w:r>
      <w:r w:rsidR="007A675F">
        <w:rPr>
          <w:rFonts w:ascii="Arial" w:hAnsi="Arial" w:cs="Arial"/>
          <w:lang w:val="es-419"/>
        </w:rPr>
        <w:t xml:space="preserve">. </w:t>
      </w:r>
      <w:r w:rsidR="00AF53FB">
        <w:rPr>
          <w:rFonts w:ascii="Arial" w:hAnsi="Arial" w:cs="Arial"/>
          <w:lang w:val="es-419"/>
        </w:rPr>
        <w:t>También es necesario fortalecer la información de poblaciones vulnerables como diabéticos y migrantes, en donde existe subnotificación.</w:t>
      </w:r>
      <w:r w:rsidR="00AF53FB">
        <w:rPr>
          <w:rStyle w:val="FootnoteReference"/>
          <w:rFonts w:ascii="Arial" w:hAnsi="Arial" w:cs="Arial"/>
          <w:lang w:val="es-419"/>
        </w:rPr>
        <w:footnoteReference w:id="91"/>
      </w:r>
    </w:p>
    <w:p w14:paraId="34369D6E" w14:textId="5E10DCB1" w:rsidR="00622C9E" w:rsidRPr="009521B3" w:rsidRDefault="00AF53FB" w:rsidP="009521B3">
      <w:pPr>
        <w:spacing w:after="240" w:line="240" w:lineRule="auto"/>
        <w:jc w:val="both"/>
        <w:rPr>
          <w:rFonts w:ascii="Arial" w:hAnsi="Arial" w:cs="Arial"/>
          <w:lang w:val="es-419"/>
        </w:rPr>
      </w:pPr>
      <w:r>
        <w:rPr>
          <w:rFonts w:ascii="Arial" w:hAnsi="Arial" w:cs="Arial"/>
          <w:lang w:val="es-419"/>
        </w:rPr>
        <w:t>Se</w:t>
      </w:r>
      <w:r w:rsidR="007A675F">
        <w:rPr>
          <w:rFonts w:ascii="Arial" w:hAnsi="Arial" w:cs="Arial"/>
          <w:lang w:val="es-419"/>
        </w:rPr>
        <w:t xml:space="preserve"> sugiere</w:t>
      </w:r>
      <w:r>
        <w:rPr>
          <w:rFonts w:ascii="Arial" w:hAnsi="Arial" w:cs="Arial"/>
          <w:lang w:val="es-419"/>
        </w:rPr>
        <w:t xml:space="preserve"> de igual manera</w:t>
      </w:r>
      <w:r w:rsidR="009521B3" w:rsidRPr="009521B3">
        <w:rPr>
          <w:rFonts w:ascii="Arial" w:hAnsi="Arial" w:cs="Arial"/>
          <w:lang w:val="es-419"/>
        </w:rPr>
        <w:t xml:space="preserve"> involucrar </w:t>
      </w:r>
      <w:r w:rsidR="003D7E58">
        <w:rPr>
          <w:rFonts w:ascii="Arial" w:hAnsi="Arial" w:cs="Arial"/>
          <w:lang w:val="es-419"/>
        </w:rPr>
        <w:t xml:space="preserve">a </w:t>
      </w:r>
      <w:r w:rsidR="009521B3" w:rsidRPr="009521B3">
        <w:rPr>
          <w:rFonts w:ascii="Arial" w:hAnsi="Arial" w:cs="Arial"/>
          <w:lang w:val="es-419"/>
        </w:rPr>
        <w:t>otr</w:t>
      </w:r>
      <w:r w:rsidR="003D7E58">
        <w:rPr>
          <w:rFonts w:ascii="Arial" w:hAnsi="Arial" w:cs="Arial"/>
          <w:lang w:val="es-419"/>
        </w:rPr>
        <w:t>o</w:t>
      </w:r>
      <w:r w:rsidR="009521B3" w:rsidRPr="009521B3">
        <w:rPr>
          <w:rFonts w:ascii="Arial" w:hAnsi="Arial" w:cs="Arial"/>
          <w:lang w:val="es-419"/>
        </w:rPr>
        <w:t xml:space="preserve">s sectores para el monitoreo de indicadores de detección y diagnóstico como el Instituto Nacional Penitenciario, </w:t>
      </w:r>
      <w:r w:rsidR="003D7E58">
        <w:rPr>
          <w:rFonts w:ascii="Arial" w:hAnsi="Arial" w:cs="Arial"/>
          <w:lang w:val="es-419"/>
        </w:rPr>
        <w:t xml:space="preserve">el </w:t>
      </w:r>
      <w:r w:rsidR="009521B3" w:rsidRPr="009521B3">
        <w:rPr>
          <w:rFonts w:ascii="Arial" w:hAnsi="Arial" w:cs="Arial"/>
          <w:lang w:val="es-419"/>
        </w:rPr>
        <w:t>IHSS</w:t>
      </w:r>
      <w:r w:rsidR="007A675F">
        <w:rPr>
          <w:rFonts w:ascii="Arial" w:hAnsi="Arial" w:cs="Arial"/>
          <w:lang w:val="es-419"/>
        </w:rPr>
        <w:t xml:space="preserve">, el sector privado </w:t>
      </w:r>
      <w:r w:rsidR="009521B3" w:rsidRPr="009521B3">
        <w:rPr>
          <w:rFonts w:ascii="Arial" w:hAnsi="Arial" w:cs="Arial"/>
          <w:lang w:val="es-419"/>
        </w:rPr>
        <w:t xml:space="preserve">y </w:t>
      </w:r>
      <w:r w:rsidR="003D7E58">
        <w:rPr>
          <w:rFonts w:ascii="Arial" w:hAnsi="Arial" w:cs="Arial"/>
          <w:lang w:val="es-419"/>
        </w:rPr>
        <w:t>los</w:t>
      </w:r>
      <w:r w:rsidR="009521B3" w:rsidRPr="009521B3">
        <w:rPr>
          <w:rFonts w:ascii="Arial" w:hAnsi="Arial" w:cs="Arial"/>
          <w:lang w:val="es-419"/>
        </w:rPr>
        <w:t xml:space="preserve"> equipos de salud familiar.</w:t>
      </w:r>
      <w:r w:rsidR="007A675F">
        <w:rPr>
          <w:rFonts w:ascii="Arial" w:hAnsi="Arial" w:cs="Arial"/>
          <w:lang w:val="es-419"/>
        </w:rPr>
        <w:t xml:space="preserve"> Para ello será necesario incorporar a los pacientes que se detectan en el sector privado y en el IHSS a las bases de datos de la SESAL para tener un buen mapeo de casos a nivel nacional.</w:t>
      </w:r>
    </w:p>
    <w:p w14:paraId="3BE918D2" w14:textId="77777777" w:rsidR="00E1009A" w:rsidRPr="00A9109D" w:rsidRDefault="00E1009A" w:rsidP="00E1009A">
      <w:pPr>
        <w:pStyle w:val="Heading2"/>
        <w:numPr>
          <w:ilvl w:val="1"/>
          <w:numId w:val="15"/>
        </w:numPr>
        <w:spacing w:before="0" w:after="240" w:line="240" w:lineRule="auto"/>
        <w:rPr>
          <w:rFonts w:ascii="Arial" w:hAnsi="Arial" w:cs="Arial"/>
          <w:sz w:val="22"/>
          <w:szCs w:val="22"/>
          <w:lang w:val="es-419"/>
        </w:rPr>
      </w:pPr>
      <w:bookmarkStart w:id="88" w:name="_Toc8905244"/>
      <w:r w:rsidRPr="00DD37EC">
        <w:rPr>
          <w:rFonts w:ascii="Arial" w:hAnsi="Arial" w:cs="Arial"/>
          <w:sz w:val="22"/>
          <w:szCs w:val="22"/>
          <w:lang w:val="es-419"/>
        </w:rPr>
        <w:lastRenderedPageBreak/>
        <w:t>Resumen de riesgos, su impacto</w:t>
      </w:r>
      <w:r>
        <w:rPr>
          <w:rFonts w:ascii="Arial" w:hAnsi="Arial" w:cs="Arial"/>
          <w:sz w:val="22"/>
          <w:szCs w:val="22"/>
          <w:lang w:val="es-419"/>
        </w:rPr>
        <w:t xml:space="preserve"> </w:t>
      </w:r>
      <w:r w:rsidRPr="00DD37EC">
        <w:rPr>
          <w:rFonts w:ascii="Arial" w:hAnsi="Arial" w:cs="Arial"/>
          <w:sz w:val="22"/>
          <w:szCs w:val="22"/>
          <w:lang w:val="es-419"/>
        </w:rPr>
        <w:t>y soluciones potenciales</w:t>
      </w:r>
      <w:bookmarkEnd w:id="88"/>
    </w:p>
    <w:tbl>
      <w:tblPr>
        <w:tblStyle w:val="TableGrid"/>
        <w:tblW w:w="9985" w:type="dxa"/>
        <w:tblLayout w:type="fixed"/>
        <w:tblLook w:val="04A0" w:firstRow="1" w:lastRow="0" w:firstColumn="1" w:lastColumn="0" w:noHBand="0" w:noVBand="1"/>
      </w:tblPr>
      <w:tblGrid>
        <w:gridCol w:w="1536"/>
        <w:gridCol w:w="8449"/>
      </w:tblGrid>
      <w:tr w:rsidR="00FE2CB5" w:rsidRPr="00392E34" w14:paraId="179853F9" w14:textId="77777777" w:rsidTr="00DF682C">
        <w:trPr>
          <w:trHeight w:val="2546"/>
        </w:trPr>
        <w:tc>
          <w:tcPr>
            <w:tcW w:w="1536" w:type="dxa"/>
            <w:shd w:val="clear" w:color="auto" w:fill="E7E6E6" w:themeFill="background2"/>
          </w:tcPr>
          <w:p w14:paraId="79F4F261" w14:textId="77777777" w:rsidR="00FE2CB5" w:rsidRPr="00DD37EC" w:rsidRDefault="00FE2CB5" w:rsidP="00DF682C">
            <w:pPr>
              <w:spacing w:after="240"/>
              <w:rPr>
                <w:rFonts w:ascii="Arial" w:hAnsi="Arial" w:cs="Arial"/>
                <w:b/>
                <w:lang w:val="es-MX"/>
              </w:rPr>
            </w:pPr>
            <w:r w:rsidRPr="00DD37EC">
              <w:rPr>
                <w:rFonts w:ascii="Arial" w:hAnsi="Arial" w:cs="Arial"/>
                <w:b/>
                <w:lang w:val="es-MX"/>
              </w:rPr>
              <w:t xml:space="preserve">RIESGO </w:t>
            </w:r>
            <w:r>
              <w:rPr>
                <w:rFonts w:ascii="Arial" w:hAnsi="Arial" w:cs="Arial"/>
                <w:b/>
                <w:lang w:val="es-MX"/>
              </w:rPr>
              <w:t>1a</w:t>
            </w:r>
          </w:p>
        </w:tc>
        <w:tc>
          <w:tcPr>
            <w:tcW w:w="8449" w:type="dxa"/>
            <w:shd w:val="clear" w:color="auto" w:fill="E7E6E6" w:themeFill="background2"/>
          </w:tcPr>
          <w:p w14:paraId="45037564" w14:textId="77777777" w:rsidR="00FE2CB5" w:rsidRPr="00D91690" w:rsidRDefault="00FE2CB5" w:rsidP="00DF682C">
            <w:pPr>
              <w:tabs>
                <w:tab w:val="left" w:pos="337"/>
                <w:tab w:val="left" w:pos="1486"/>
              </w:tabs>
              <w:spacing w:after="240"/>
              <w:rPr>
                <w:rFonts w:ascii="Arial" w:hAnsi="Arial" w:cs="Arial"/>
                <w:b/>
                <w:lang w:val="es-MX"/>
              </w:rPr>
            </w:pPr>
            <w:r w:rsidRPr="00D91690">
              <w:rPr>
                <w:rFonts w:ascii="Arial" w:hAnsi="Arial" w:cs="Arial"/>
                <w:b/>
                <w:lang w:val="es-MX"/>
              </w:rPr>
              <w:t>La resistencia a medicamentos representa un riesgo financiero y epidemiológico para las respuestas de VIH y TB.</w:t>
            </w:r>
          </w:p>
          <w:p w14:paraId="30BB4470" w14:textId="77777777" w:rsidR="00FE2CB5" w:rsidRPr="00D91690" w:rsidRDefault="00FE2CB5" w:rsidP="00DF682C">
            <w:pPr>
              <w:tabs>
                <w:tab w:val="left" w:pos="337"/>
                <w:tab w:val="left" w:pos="1486"/>
              </w:tabs>
              <w:spacing w:after="240"/>
              <w:rPr>
                <w:rFonts w:ascii="Arial" w:hAnsi="Arial" w:cs="Arial"/>
                <w:b/>
                <w:lang w:val="es-MX"/>
              </w:rPr>
            </w:pPr>
            <w:r w:rsidRPr="00D91690">
              <w:rPr>
                <w:rFonts w:ascii="Arial" w:hAnsi="Arial" w:cs="Arial"/>
                <w:b/>
                <w:lang w:val="es-MX"/>
              </w:rPr>
              <w:t>a)</w:t>
            </w:r>
            <w:r w:rsidRPr="00D91690">
              <w:rPr>
                <w:rFonts w:ascii="Arial" w:hAnsi="Arial" w:cs="Arial"/>
                <w:b/>
                <w:lang w:val="es-MX"/>
              </w:rPr>
              <w:tab/>
              <w:t>La resistencia a los antirretrovirales (ARV) promueve la dispensación de nuevos medicamentos y migración a productos de alto costo (2da y 3era línea)</w:t>
            </w:r>
          </w:p>
          <w:p w14:paraId="1B3D3EA1" w14:textId="77777777" w:rsidR="00FE2CB5" w:rsidRPr="00DD37EC" w:rsidRDefault="00FE2CB5" w:rsidP="00DF682C">
            <w:pPr>
              <w:tabs>
                <w:tab w:val="left" w:pos="337"/>
                <w:tab w:val="left" w:pos="1486"/>
              </w:tabs>
              <w:spacing w:after="240"/>
              <w:rPr>
                <w:rFonts w:ascii="Arial" w:hAnsi="Arial" w:cs="Arial"/>
                <w:b/>
                <w:lang w:val="es-MX"/>
              </w:rPr>
            </w:pPr>
            <w:r w:rsidRPr="00D91690">
              <w:rPr>
                <w:rFonts w:ascii="Arial" w:hAnsi="Arial" w:cs="Arial"/>
                <w:b/>
                <w:lang w:val="es-MX"/>
              </w:rPr>
              <w:t>b)</w:t>
            </w:r>
            <w:r w:rsidRPr="00D91690">
              <w:rPr>
                <w:rFonts w:ascii="Arial" w:hAnsi="Arial" w:cs="Arial"/>
                <w:b/>
                <w:lang w:val="es-MX"/>
              </w:rPr>
              <w:tab/>
              <w:t>La Tuberculosis Multidrogorresistente (TB-MDR) refleja un débil apego al tratamiento de TB sensible y es un riesgo para la sostenibilidad de la atención de TB</w:t>
            </w:r>
          </w:p>
        </w:tc>
      </w:tr>
      <w:tr w:rsidR="00FE2CB5" w:rsidRPr="00392E34" w14:paraId="5742ABB0" w14:textId="77777777" w:rsidTr="00DF682C">
        <w:trPr>
          <w:trHeight w:val="802"/>
        </w:trPr>
        <w:tc>
          <w:tcPr>
            <w:tcW w:w="1536" w:type="dxa"/>
          </w:tcPr>
          <w:p w14:paraId="25FF4AE4" w14:textId="77777777" w:rsidR="00FE2CB5" w:rsidRPr="00DD37EC" w:rsidRDefault="00FE2CB5" w:rsidP="00DF682C">
            <w:pPr>
              <w:spacing w:after="240"/>
              <w:rPr>
                <w:rFonts w:ascii="Arial" w:hAnsi="Arial" w:cs="Arial"/>
                <w:b/>
                <w:lang w:val="es-MX"/>
              </w:rPr>
            </w:pPr>
            <w:r>
              <w:rPr>
                <w:rFonts w:ascii="Arial" w:hAnsi="Arial" w:cs="Arial"/>
                <w:b/>
                <w:lang w:val="es-MX"/>
              </w:rPr>
              <w:t>Descripción (TB)</w:t>
            </w:r>
          </w:p>
        </w:tc>
        <w:tc>
          <w:tcPr>
            <w:tcW w:w="8449" w:type="dxa"/>
          </w:tcPr>
          <w:p w14:paraId="4DE8D3C9" w14:textId="77777777" w:rsidR="00FE2CB5" w:rsidRPr="00CC3198" w:rsidRDefault="00FE2CB5" w:rsidP="00DF682C">
            <w:pPr>
              <w:tabs>
                <w:tab w:val="left" w:pos="337"/>
                <w:tab w:val="left" w:pos="1486"/>
              </w:tabs>
              <w:spacing w:after="240"/>
              <w:rPr>
                <w:rFonts w:ascii="Arial" w:eastAsia="Times New Roman" w:hAnsi="Arial" w:cs="Arial"/>
                <w:color w:val="000000"/>
                <w:lang w:val="es-ES_tradnl"/>
              </w:rPr>
            </w:pPr>
            <w:r w:rsidRPr="008369A5">
              <w:rPr>
                <w:rFonts w:ascii="Arial" w:eastAsia="Times New Roman" w:hAnsi="Arial" w:cs="Arial"/>
                <w:color w:val="000000"/>
                <w:lang w:val="es-MX"/>
              </w:rPr>
              <w:t>La TB-MDR produce mayor mortalidad que los casos de TB sensible al tratamiento antituberculoso.</w:t>
            </w:r>
            <w:r>
              <w:rPr>
                <w:rFonts w:ascii="Arial" w:eastAsia="Times New Roman" w:hAnsi="Arial" w:cs="Arial"/>
                <w:color w:val="000000"/>
                <w:lang w:val="es-MX"/>
              </w:rPr>
              <w:t xml:space="preserve"> </w:t>
            </w:r>
            <w:r w:rsidRPr="00CC3198">
              <w:rPr>
                <w:rFonts w:ascii="Arial" w:eastAsia="Times New Roman" w:hAnsi="Arial" w:cs="Arial"/>
                <w:color w:val="000000"/>
                <w:lang w:val="es-MX"/>
              </w:rPr>
              <w:t>Asimismo, el mayor costo del tratamiento de TB-MDR (US$1,850 por paciente vs US$26 de la primera línea), representa un riesgo financiero para la sostenibilidad del programa. Se estiman un total de 103 pacientes con TB-MDR, por lo que los 85 pacientes no tratados representan una necesidad de recursos de al menos US$ 157 mil.</w:t>
            </w:r>
            <w:r>
              <w:rPr>
                <w:rStyle w:val="FootnoteReference"/>
                <w:rFonts w:ascii="Arial" w:eastAsia="Times New Roman" w:hAnsi="Arial" w:cs="Arial"/>
                <w:color w:val="000000"/>
                <w:lang w:val="es-MX"/>
              </w:rPr>
              <w:footnoteReference w:id="92"/>
            </w:r>
          </w:p>
          <w:p w14:paraId="7811A061" w14:textId="77777777" w:rsidR="00FE2CB5" w:rsidRPr="006F5EBF" w:rsidRDefault="00FE2CB5" w:rsidP="00DF682C">
            <w:pPr>
              <w:spacing w:after="240"/>
              <w:rPr>
                <w:rFonts w:ascii="Arial" w:hAnsi="Arial" w:cs="Arial"/>
                <w:bCs/>
                <w:lang w:val="es-ES"/>
              </w:rPr>
            </w:pPr>
            <w:r w:rsidRPr="008369A5">
              <w:rPr>
                <w:rFonts w:ascii="Arial" w:eastAsia="Times New Roman" w:hAnsi="Arial" w:cs="Arial"/>
                <w:color w:val="000000"/>
                <w:lang w:val="es-MX"/>
              </w:rPr>
              <w:t xml:space="preserve">Las principales causas del incremento de casos de TB-MDR detectadas por el país </w:t>
            </w:r>
            <w:r>
              <w:rPr>
                <w:rFonts w:ascii="Arial" w:eastAsia="Times New Roman" w:hAnsi="Arial" w:cs="Arial"/>
                <w:color w:val="000000"/>
                <w:lang w:val="es-MX"/>
              </w:rPr>
              <w:t>son: (1) la f</w:t>
            </w:r>
            <w:r w:rsidRPr="008369A5">
              <w:rPr>
                <w:rFonts w:ascii="Arial" w:eastAsia="Times New Roman" w:hAnsi="Arial" w:cs="Arial"/>
                <w:color w:val="000000"/>
                <w:lang w:val="es-MX"/>
              </w:rPr>
              <w:t>alta de personal para la detección y seguimiento de pacientes por falta de recursos financieros</w:t>
            </w:r>
            <w:r>
              <w:rPr>
                <w:rFonts w:ascii="Arial" w:eastAsia="Times New Roman" w:hAnsi="Arial" w:cs="Arial"/>
                <w:color w:val="000000"/>
                <w:lang w:val="es-MX"/>
              </w:rPr>
              <w:t xml:space="preserve"> y (2) la dificultad de acceso a los casos por la in</w:t>
            </w:r>
            <w:r w:rsidRPr="008369A5">
              <w:rPr>
                <w:rFonts w:ascii="Arial" w:eastAsia="Times New Roman" w:hAnsi="Arial" w:cs="Arial"/>
                <w:color w:val="000000"/>
                <w:lang w:val="es-MX"/>
              </w:rPr>
              <w:t xml:space="preserve">seguridad </w:t>
            </w:r>
            <w:r>
              <w:rPr>
                <w:rFonts w:ascii="Arial" w:eastAsia="Times New Roman" w:hAnsi="Arial" w:cs="Arial"/>
                <w:color w:val="000000"/>
                <w:lang w:val="es-MX"/>
              </w:rPr>
              <w:t xml:space="preserve">que enfrenta el </w:t>
            </w:r>
            <w:r w:rsidRPr="008369A5">
              <w:rPr>
                <w:rFonts w:ascii="Arial" w:eastAsia="Times New Roman" w:hAnsi="Arial" w:cs="Arial"/>
                <w:color w:val="000000"/>
                <w:lang w:val="es-MX"/>
              </w:rPr>
              <w:t xml:space="preserve">personal de salud </w:t>
            </w:r>
            <w:r>
              <w:rPr>
                <w:rFonts w:ascii="Arial" w:eastAsia="Times New Roman" w:hAnsi="Arial" w:cs="Arial"/>
                <w:color w:val="000000"/>
                <w:lang w:val="es-MX"/>
              </w:rPr>
              <w:t>asociada a la</w:t>
            </w:r>
            <w:r w:rsidRPr="008369A5">
              <w:rPr>
                <w:rFonts w:ascii="Arial" w:eastAsia="Times New Roman" w:hAnsi="Arial" w:cs="Arial"/>
                <w:color w:val="000000"/>
                <w:lang w:val="es-MX"/>
              </w:rPr>
              <w:t xml:space="preserve"> violencia</w:t>
            </w:r>
            <w:r>
              <w:rPr>
                <w:rFonts w:ascii="Arial" w:eastAsia="Times New Roman" w:hAnsi="Arial" w:cs="Arial"/>
                <w:color w:val="000000"/>
                <w:lang w:val="es-MX"/>
              </w:rPr>
              <w:t xml:space="preserve"> social.</w:t>
            </w:r>
          </w:p>
        </w:tc>
      </w:tr>
      <w:tr w:rsidR="00FE2CB5" w:rsidRPr="00392E34" w14:paraId="78EC7D2D" w14:textId="77777777" w:rsidTr="00DF682C">
        <w:trPr>
          <w:trHeight w:val="1565"/>
        </w:trPr>
        <w:tc>
          <w:tcPr>
            <w:tcW w:w="1536" w:type="dxa"/>
          </w:tcPr>
          <w:p w14:paraId="33C161EB" w14:textId="77777777" w:rsidR="00FE2CB5" w:rsidRPr="00DD37EC" w:rsidRDefault="00FE2CB5" w:rsidP="00DF682C">
            <w:pPr>
              <w:spacing w:after="240"/>
              <w:rPr>
                <w:rFonts w:ascii="Arial" w:hAnsi="Arial" w:cs="Arial"/>
                <w:b/>
                <w:lang w:val="es-MX"/>
              </w:rPr>
            </w:pPr>
            <w:r>
              <w:rPr>
                <w:rFonts w:ascii="Arial" w:hAnsi="Arial" w:cs="Arial"/>
                <w:b/>
                <w:lang w:val="es-MX"/>
              </w:rPr>
              <w:t>Soluciones potenciales (TB)</w:t>
            </w:r>
          </w:p>
        </w:tc>
        <w:tc>
          <w:tcPr>
            <w:tcW w:w="8449" w:type="dxa"/>
          </w:tcPr>
          <w:p w14:paraId="1CD64C31" w14:textId="77777777" w:rsidR="00FE2CB5" w:rsidRDefault="00FE2CB5" w:rsidP="00DF682C">
            <w:pPr>
              <w:pStyle w:val="ListParagraph"/>
              <w:numPr>
                <w:ilvl w:val="0"/>
                <w:numId w:val="27"/>
              </w:numPr>
              <w:spacing w:after="240"/>
              <w:rPr>
                <w:rFonts w:ascii="Arial" w:hAnsi="Arial" w:cs="Arial"/>
                <w:lang w:val="es-MX"/>
              </w:rPr>
            </w:pPr>
            <w:r w:rsidRPr="004F1566">
              <w:rPr>
                <w:rFonts w:ascii="Arial" w:hAnsi="Arial" w:cs="Arial"/>
                <w:lang w:val="es-MX"/>
              </w:rPr>
              <w:t>Realizar investigación de contactos y convivientes de TB a nivel comunitario</w:t>
            </w:r>
            <w:r>
              <w:rPr>
                <w:rFonts w:ascii="Arial" w:hAnsi="Arial" w:cs="Arial"/>
                <w:lang w:val="es-MX"/>
              </w:rPr>
              <w:t>.</w:t>
            </w:r>
          </w:p>
          <w:p w14:paraId="6435A2C7" w14:textId="77777777" w:rsidR="00FE2CB5" w:rsidRDefault="00FE2CB5" w:rsidP="00DF682C">
            <w:pPr>
              <w:pStyle w:val="ListParagraph"/>
              <w:numPr>
                <w:ilvl w:val="0"/>
                <w:numId w:val="27"/>
              </w:numPr>
              <w:spacing w:after="240"/>
              <w:rPr>
                <w:rFonts w:ascii="Arial" w:hAnsi="Arial" w:cs="Arial"/>
                <w:lang w:val="es-MX"/>
              </w:rPr>
            </w:pPr>
            <w:r w:rsidRPr="004F1566">
              <w:rPr>
                <w:rFonts w:ascii="Arial" w:hAnsi="Arial" w:cs="Arial"/>
                <w:lang w:val="es-MX"/>
              </w:rPr>
              <w:t>Evaluar la factibilidad de ajuste normativo y presupuestal para la implementación de las nuevas guías de la OMS para el tratamiento de la TB-MDR</w:t>
            </w:r>
            <w:r>
              <w:rPr>
                <w:rFonts w:ascii="Arial" w:hAnsi="Arial" w:cs="Arial"/>
                <w:lang w:val="es-MX"/>
              </w:rPr>
              <w:t>.</w:t>
            </w:r>
          </w:p>
          <w:p w14:paraId="78B2A839" w14:textId="77777777" w:rsidR="00FE2CB5" w:rsidRPr="00553F03" w:rsidRDefault="00FE2CB5" w:rsidP="00DF682C">
            <w:pPr>
              <w:pStyle w:val="ListParagraph"/>
              <w:numPr>
                <w:ilvl w:val="0"/>
                <w:numId w:val="27"/>
              </w:numPr>
              <w:spacing w:after="240"/>
              <w:rPr>
                <w:rFonts w:ascii="Arial" w:hAnsi="Arial" w:cs="Arial"/>
                <w:lang w:val="es-MX"/>
              </w:rPr>
            </w:pPr>
            <w:r w:rsidRPr="00553F03">
              <w:rPr>
                <w:rFonts w:ascii="Arial" w:hAnsi="Arial" w:cs="Arial"/>
                <w:lang w:val="es-MX"/>
              </w:rPr>
              <w:t>Mejorar la coordinación intersectorial y el cumplimiento efectivo de las acciones conjuntas entre el programa e instituciones públicas en la lucha contra la TB.</w:t>
            </w:r>
          </w:p>
        </w:tc>
      </w:tr>
    </w:tbl>
    <w:p w14:paraId="238B2BE6" w14:textId="77777777" w:rsidR="00FE2CB5" w:rsidRDefault="00FE2CB5" w:rsidP="00FE2CB5">
      <w:pPr>
        <w:spacing w:after="240" w:line="240" w:lineRule="auto"/>
        <w:rPr>
          <w:rFonts w:ascii="Arial" w:hAnsi="Arial" w:cs="Arial"/>
          <w:highlight w:val="yellow"/>
          <w:lang w:val="es-419"/>
        </w:rPr>
      </w:pPr>
    </w:p>
    <w:tbl>
      <w:tblPr>
        <w:tblStyle w:val="TableGrid"/>
        <w:tblW w:w="9985" w:type="dxa"/>
        <w:tblLayout w:type="fixed"/>
        <w:tblLook w:val="04A0" w:firstRow="1" w:lastRow="0" w:firstColumn="1" w:lastColumn="0" w:noHBand="0" w:noVBand="1"/>
      </w:tblPr>
      <w:tblGrid>
        <w:gridCol w:w="1536"/>
        <w:gridCol w:w="8449"/>
      </w:tblGrid>
      <w:tr w:rsidR="00FE2CB5" w:rsidRPr="00392E34" w14:paraId="2192BF02" w14:textId="77777777" w:rsidTr="00DF682C">
        <w:trPr>
          <w:trHeight w:val="512"/>
        </w:trPr>
        <w:tc>
          <w:tcPr>
            <w:tcW w:w="1536" w:type="dxa"/>
            <w:shd w:val="clear" w:color="auto" w:fill="D9D9D9" w:themeFill="background1" w:themeFillShade="D9"/>
          </w:tcPr>
          <w:p w14:paraId="2D1FD678" w14:textId="77777777" w:rsidR="00FE2CB5" w:rsidRPr="00DD37EC" w:rsidRDefault="00FE2CB5" w:rsidP="00DF682C">
            <w:pPr>
              <w:spacing w:after="240"/>
              <w:rPr>
                <w:rFonts w:ascii="Arial" w:hAnsi="Arial" w:cs="Arial"/>
                <w:b/>
                <w:lang w:val="es-MX"/>
              </w:rPr>
            </w:pPr>
            <w:r w:rsidRPr="00DD37EC">
              <w:rPr>
                <w:rFonts w:ascii="Arial" w:hAnsi="Arial" w:cs="Arial"/>
                <w:b/>
                <w:lang w:val="es-MX"/>
              </w:rPr>
              <w:t xml:space="preserve">RIESGO </w:t>
            </w:r>
            <w:r>
              <w:rPr>
                <w:rFonts w:ascii="Arial" w:hAnsi="Arial" w:cs="Arial"/>
                <w:b/>
                <w:lang w:val="es-MX"/>
              </w:rPr>
              <w:t>2</w:t>
            </w:r>
          </w:p>
        </w:tc>
        <w:tc>
          <w:tcPr>
            <w:tcW w:w="8449" w:type="dxa"/>
            <w:shd w:val="clear" w:color="auto" w:fill="D9D9D9" w:themeFill="background1" w:themeFillShade="D9"/>
          </w:tcPr>
          <w:p w14:paraId="3973911C" w14:textId="77777777" w:rsidR="00FE2CB5" w:rsidRPr="00DD37EC" w:rsidRDefault="00FE2CB5" w:rsidP="00DF682C">
            <w:pPr>
              <w:tabs>
                <w:tab w:val="left" w:pos="337"/>
                <w:tab w:val="left" w:pos="1486"/>
              </w:tabs>
              <w:spacing w:after="240"/>
              <w:rPr>
                <w:rFonts w:ascii="Arial" w:hAnsi="Arial" w:cs="Arial"/>
                <w:b/>
                <w:lang w:val="es-MX"/>
              </w:rPr>
            </w:pPr>
            <w:r w:rsidRPr="00E22E9D">
              <w:rPr>
                <w:rFonts w:ascii="Arial" w:hAnsi="Arial" w:cs="Arial"/>
                <w:b/>
                <w:lang w:val="es-MX"/>
              </w:rPr>
              <w:t>Recursos humanos capacitados en VIH y TB cuentan con contratación irregular (al menos 10 puestos clave todavía son financiados por los cooperantes) y carecen de certificación en protocolos de atención y de incentivos para su desarrollo profesional</w:t>
            </w:r>
          </w:p>
        </w:tc>
      </w:tr>
      <w:tr w:rsidR="00FE2CB5" w:rsidRPr="00392E34" w14:paraId="228495E6" w14:textId="77777777" w:rsidTr="00DF682C">
        <w:trPr>
          <w:trHeight w:val="802"/>
        </w:trPr>
        <w:tc>
          <w:tcPr>
            <w:tcW w:w="1536" w:type="dxa"/>
          </w:tcPr>
          <w:p w14:paraId="15B66F6B" w14:textId="77777777" w:rsidR="00FE2CB5" w:rsidRPr="00DD37EC" w:rsidRDefault="00FE2CB5" w:rsidP="00DF682C">
            <w:pPr>
              <w:spacing w:after="240"/>
              <w:rPr>
                <w:rFonts w:ascii="Arial" w:hAnsi="Arial" w:cs="Arial"/>
                <w:b/>
                <w:lang w:val="es-MX"/>
              </w:rPr>
            </w:pPr>
            <w:r w:rsidRPr="005C09D5">
              <w:rPr>
                <w:rFonts w:ascii="Arial" w:hAnsi="Arial" w:cs="Arial"/>
                <w:b/>
                <w:lang w:val="es-MX"/>
              </w:rPr>
              <w:t>Descripción</w:t>
            </w:r>
            <w:r>
              <w:rPr>
                <w:rFonts w:ascii="Arial" w:hAnsi="Arial" w:cs="Arial"/>
                <w:b/>
                <w:lang w:val="es-MX"/>
              </w:rPr>
              <w:t xml:space="preserve"> e Impacto</w:t>
            </w:r>
          </w:p>
        </w:tc>
        <w:tc>
          <w:tcPr>
            <w:tcW w:w="8449" w:type="dxa"/>
          </w:tcPr>
          <w:p w14:paraId="12DD1E7C" w14:textId="77777777" w:rsidR="00FE2CB5" w:rsidRPr="00975A78" w:rsidRDefault="00FE2CB5" w:rsidP="00DF682C">
            <w:pPr>
              <w:spacing w:after="120"/>
              <w:rPr>
                <w:rFonts w:ascii="Arial" w:hAnsi="Arial" w:cs="Arial"/>
                <w:lang w:val="es-ES"/>
              </w:rPr>
            </w:pPr>
            <w:r w:rsidRPr="00975A78">
              <w:rPr>
                <w:rFonts w:ascii="Arial" w:hAnsi="Arial" w:cs="Arial"/>
                <w:lang w:val="es-ES"/>
              </w:rPr>
              <w:t xml:space="preserve">Los recursos humanos pagados por cooperantes deberían ser absorbidos con recursos públicos por la Secretaría de Salud de Honduras (SESAL), ya que están capacitados en la temática de VIH y TB. </w:t>
            </w:r>
          </w:p>
          <w:p w14:paraId="47E740E1" w14:textId="77777777" w:rsidR="00FE2CB5" w:rsidRPr="00975A78" w:rsidRDefault="00FE2CB5" w:rsidP="00DF682C">
            <w:pPr>
              <w:spacing w:after="120"/>
              <w:rPr>
                <w:rFonts w:ascii="Arial" w:hAnsi="Arial" w:cs="Arial"/>
                <w:lang w:val="es-ES"/>
              </w:rPr>
            </w:pPr>
            <w:r w:rsidRPr="00975A78">
              <w:rPr>
                <w:rFonts w:ascii="Arial" w:hAnsi="Arial" w:cs="Arial"/>
                <w:lang w:val="es-ES"/>
              </w:rPr>
              <w:t>Por otra parte, los Recursos Humanos sin capacitación, incluyendo aquellos de nuevo ingreso, ponen en riesgo el acceso efectivo y la calidad de la atención.</w:t>
            </w:r>
          </w:p>
          <w:p w14:paraId="0DB0DCAC" w14:textId="77777777" w:rsidR="00FE2CB5" w:rsidRPr="00975A78" w:rsidRDefault="00FE2CB5" w:rsidP="00DF682C">
            <w:pPr>
              <w:spacing w:after="120"/>
              <w:rPr>
                <w:rFonts w:ascii="Arial" w:hAnsi="Arial" w:cs="Arial"/>
                <w:lang w:val="es-ES"/>
              </w:rPr>
            </w:pPr>
            <w:r w:rsidRPr="00975A78">
              <w:rPr>
                <w:rFonts w:ascii="Arial" w:hAnsi="Arial" w:cs="Arial"/>
                <w:lang w:val="es-ES"/>
              </w:rPr>
              <w:t xml:space="preserve">Ambas problemáticas constituyen una amenaza a la implementación sostenible de las acciones de prevención, movilización comunitaria, realización de pruebas, </w:t>
            </w:r>
            <w:r w:rsidRPr="00975A78">
              <w:rPr>
                <w:rFonts w:ascii="Arial" w:hAnsi="Arial" w:cs="Arial"/>
                <w:lang w:val="es-ES"/>
              </w:rPr>
              <w:lastRenderedPageBreak/>
              <w:t>referencia a los servicios de atención para su vinculación a los servicios y monitoreo y evaluación.</w:t>
            </w:r>
          </w:p>
          <w:p w14:paraId="550E594C" w14:textId="77777777" w:rsidR="00FE2CB5" w:rsidRPr="00DD37EC" w:rsidRDefault="00FE2CB5" w:rsidP="00DF682C">
            <w:pPr>
              <w:spacing w:after="120"/>
              <w:rPr>
                <w:rFonts w:ascii="Arial" w:hAnsi="Arial" w:cs="Arial"/>
                <w:lang w:val="es-MX"/>
              </w:rPr>
            </w:pPr>
            <w:r w:rsidRPr="00975A78">
              <w:rPr>
                <w:rFonts w:ascii="Arial" w:hAnsi="Arial" w:cs="Arial"/>
                <w:lang w:val="es-ES"/>
              </w:rPr>
              <w:t>Asimismo, se expresó preocupación por la baja efectividad de la vigilancia en el cumplimiento del marco normativo de VIH y TB. Así como la falta de capacitación continua del personal de salud, con énfasis en el trato y comunicación con el paciente, en un entorno de respeto a los Derechos Humanos.</w:t>
            </w:r>
          </w:p>
        </w:tc>
      </w:tr>
      <w:tr w:rsidR="00FE2CB5" w:rsidRPr="00392E34" w14:paraId="3952C061" w14:textId="77777777" w:rsidTr="00FE2CB5">
        <w:trPr>
          <w:trHeight w:val="3932"/>
        </w:trPr>
        <w:tc>
          <w:tcPr>
            <w:tcW w:w="1536" w:type="dxa"/>
          </w:tcPr>
          <w:p w14:paraId="53775180" w14:textId="77777777" w:rsidR="00FE2CB5" w:rsidRPr="00DD37EC" w:rsidRDefault="00FE2CB5" w:rsidP="00DF682C">
            <w:pPr>
              <w:spacing w:after="240"/>
              <w:rPr>
                <w:rFonts w:ascii="Arial" w:hAnsi="Arial" w:cs="Arial"/>
                <w:b/>
                <w:lang w:val="es-MX"/>
              </w:rPr>
            </w:pPr>
            <w:r w:rsidRPr="00DD37EC">
              <w:rPr>
                <w:rFonts w:ascii="Arial" w:hAnsi="Arial" w:cs="Arial"/>
                <w:b/>
                <w:lang w:val="es-MX"/>
              </w:rPr>
              <w:lastRenderedPageBreak/>
              <w:t>Soluciones Potenciales</w:t>
            </w:r>
          </w:p>
        </w:tc>
        <w:tc>
          <w:tcPr>
            <w:tcW w:w="8449" w:type="dxa"/>
          </w:tcPr>
          <w:p w14:paraId="237E7724" w14:textId="77777777" w:rsidR="00FE2CB5" w:rsidRPr="001E528E" w:rsidRDefault="00FE2CB5" w:rsidP="00DF682C">
            <w:pPr>
              <w:pStyle w:val="ListParagraph"/>
              <w:numPr>
                <w:ilvl w:val="0"/>
                <w:numId w:val="28"/>
              </w:numPr>
              <w:spacing w:after="240"/>
              <w:rPr>
                <w:rFonts w:ascii="Arial" w:hAnsi="Arial" w:cs="Arial"/>
                <w:lang w:val="es-ES"/>
              </w:rPr>
            </w:pPr>
            <w:r w:rsidRPr="001E528E">
              <w:rPr>
                <w:rFonts w:ascii="Arial" w:hAnsi="Arial" w:cs="Arial"/>
                <w:lang w:val="es-ES"/>
              </w:rPr>
              <w:t>Dar seguimiento a los convenios firmados ante la SESAL y los proyectos de cooperación para la regularización permanente de la contratación del personal que ya fue absorbido por la SESAL.</w:t>
            </w:r>
          </w:p>
          <w:p w14:paraId="45AD592C" w14:textId="77777777" w:rsidR="00FE2CB5" w:rsidRDefault="00FE2CB5" w:rsidP="00DF682C">
            <w:pPr>
              <w:pStyle w:val="ListParagraph"/>
              <w:numPr>
                <w:ilvl w:val="0"/>
                <w:numId w:val="28"/>
              </w:numPr>
              <w:spacing w:after="240"/>
              <w:rPr>
                <w:rFonts w:ascii="Arial" w:hAnsi="Arial" w:cs="Arial"/>
                <w:lang w:val="es-ES"/>
              </w:rPr>
            </w:pPr>
            <w:r w:rsidRPr="00AC7DEC">
              <w:rPr>
                <w:rFonts w:ascii="Arial" w:hAnsi="Arial" w:cs="Arial"/>
                <w:lang w:val="es-ES"/>
              </w:rPr>
              <w:t>Gestionar recursos financieros para el aumento de la contratación de personal capacitado en TB y una mayor logística para su movilización</w:t>
            </w:r>
            <w:r>
              <w:rPr>
                <w:rFonts w:ascii="Arial" w:hAnsi="Arial" w:cs="Arial"/>
                <w:lang w:val="es-ES"/>
              </w:rPr>
              <w:t>.</w:t>
            </w:r>
          </w:p>
          <w:p w14:paraId="2642D68F" w14:textId="77777777" w:rsidR="00FE2CB5" w:rsidRDefault="00FE2CB5" w:rsidP="00DF682C">
            <w:pPr>
              <w:pStyle w:val="ListParagraph"/>
              <w:numPr>
                <w:ilvl w:val="0"/>
                <w:numId w:val="28"/>
              </w:numPr>
              <w:spacing w:after="240"/>
              <w:rPr>
                <w:rFonts w:ascii="Arial" w:hAnsi="Arial" w:cs="Arial"/>
                <w:lang w:val="es-ES"/>
              </w:rPr>
            </w:pPr>
            <w:r w:rsidRPr="00AC7DEC">
              <w:rPr>
                <w:rFonts w:ascii="Arial" w:hAnsi="Arial" w:cs="Arial"/>
                <w:lang w:val="es-ES"/>
              </w:rPr>
              <w:t>Adoptar las recomendaciones de la OMS sobre servicios diferenciados de atención de VIH</w:t>
            </w:r>
            <w:r>
              <w:rPr>
                <w:rFonts w:ascii="Arial" w:hAnsi="Arial" w:cs="Arial"/>
                <w:lang w:val="es-ES"/>
              </w:rPr>
              <w:t xml:space="preserve"> de acuerdo a las necesidades y capacidades instaladas del país.</w:t>
            </w:r>
          </w:p>
          <w:p w14:paraId="6D2E032A" w14:textId="77777777" w:rsidR="00FE2CB5" w:rsidRDefault="00FE2CB5" w:rsidP="00DF682C">
            <w:pPr>
              <w:pStyle w:val="ListParagraph"/>
              <w:numPr>
                <w:ilvl w:val="0"/>
                <w:numId w:val="28"/>
              </w:numPr>
              <w:spacing w:after="240"/>
              <w:rPr>
                <w:rFonts w:ascii="Arial" w:hAnsi="Arial" w:cs="Arial"/>
                <w:lang w:val="es-ES"/>
              </w:rPr>
            </w:pPr>
            <w:r w:rsidRPr="00AC7DEC">
              <w:rPr>
                <w:rFonts w:ascii="Arial" w:hAnsi="Arial" w:cs="Arial"/>
                <w:lang w:val="es-ES"/>
              </w:rPr>
              <w:t>Capacitar y certificar al pe</w:t>
            </w:r>
            <w:r>
              <w:rPr>
                <w:rFonts w:ascii="Arial" w:hAnsi="Arial" w:cs="Arial"/>
                <w:lang w:val="es-ES"/>
              </w:rPr>
              <w:t>r</w:t>
            </w:r>
            <w:r w:rsidRPr="00AC7DEC">
              <w:rPr>
                <w:rFonts w:ascii="Arial" w:hAnsi="Arial" w:cs="Arial"/>
                <w:lang w:val="es-ES"/>
              </w:rPr>
              <w:t>sonal de salud y sociedad civil en protocolos de</w:t>
            </w:r>
            <w:r>
              <w:rPr>
                <w:rFonts w:ascii="Arial" w:hAnsi="Arial" w:cs="Arial"/>
                <w:lang w:val="es-ES"/>
              </w:rPr>
              <w:t>l componente de</w:t>
            </w:r>
            <w:r w:rsidRPr="00AC7DEC">
              <w:rPr>
                <w:rFonts w:ascii="Arial" w:hAnsi="Arial" w:cs="Arial"/>
                <w:lang w:val="es-ES"/>
              </w:rPr>
              <w:t xml:space="preserve"> VIH, TB sensible y TB-MDR y comunicación con el paciente con un enfoque de derechos humanos, específicamente contra la estigma y discriminación.</w:t>
            </w:r>
          </w:p>
          <w:p w14:paraId="193C4C95" w14:textId="77777777" w:rsidR="00FE2CB5" w:rsidRPr="00AC7DEC" w:rsidRDefault="00FE2CB5" w:rsidP="00DF682C">
            <w:pPr>
              <w:pStyle w:val="ListParagraph"/>
              <w:numPr>
                <w:ilvl w:val="0"/>
                <w:numId w:val="28"/>
              </w:numPr>
              <w:spacing w:after="240"/>
              <w:rPr>
                <w:rFonts w:ascii="Arial" w:hAnsi="Arial" w:cs="Arial"/>
                <w:lang w:val="es-ES"/>
              </w:rPr>
            </w:pPr>
            <w:r w:rsidRPr="00AC7DEC">
              <w:rPr>
                <w:rFonts w:ascii="Arial" w:hAnsi="Arial" w:cs="Arial"/>
                <w:lang w:val="es-ES"/>
              </w:rPr>
              <w:t>Proveer oportunidades de promoción a los RRHH para que desarrollen una carrera institucional que disminuya las renuncias y la rotación de personal (proyecto piloto)</w:t>
            </w:r>
            <w:r>
              <w:rPr>
                <w:rFonts w:ascii="Arial" w:hAnsi="Arial" w:cs="Arial"/>
                <w:lang w:val="es-ES"/>
              </w:rPr>
              <w:t>.</w:t>
            </w:r>
          </w:p>
        </w:tc>
      </w:tr>
    </w:tbl>
    <w:p w14:paraId="36AB1152" w14:textId="77777777" w:rsidR="00FE2CB5" w:rsidRPr="00DD37EC" w:rsidRDefault="00FE2CB5" w:rsidP="00FE2CB5">
      <w:pPr>
        <w:spacing w:after="240" w:line="240" w:lineRule="auto"/>
        <w:rPr>
          <w:rFonts w:ascii="Arial" w:hAnsi="Arial" w:cs="Arial"/>
          <w:highlight w:val="yellow"/>
          <w:lang w:val="es-419"/>
        </w:rPr>
      </w:pPr>
    </w:p>
    <w:tbl>
      <w:tblPr>
        <w:tblStyle w:val="TableGrid"/>
        <w:tblW w:w="9985" w:type="dxa"/>
        <w:tblLayout w:type="fixed"/>
        <w:tblLook w:val="04A0" w:firstRow="1" w:lastRow="0" w:firstColumn="1" w:lastColumn="0" w:noHBand="0" w:noVBand="1"/>
      </w:tblPr>
      <w:tblGrid>
        <w:gridCol w:w="1536"/>
        <w:gridCol w:w="8449"/>
      </w:tblGrid>
      <w:tr w:rsidR="00FE2CB5" w:rsidRPr="00392E34" w14:paraId="66C24AEF" w14:textId="77777777" w:rsidTr="00DF682C">
        <w:trPr>
          <w:trHeight w:val="512"/>
        </w:trPr>
        <w:tc>
          <w:tcPr>
            <w:tcW w:w="1536" w:type="dxa"/>
            <w:shd w:val="clear" w:color="auto" w:fill="E7E6E6" w:themeFill="background2"/>
          </w:tcPr>
          <w:p w14:paraId="5BC44696" w14:textId="77777777" w:rsidR="00FE2CB5" w:rsidRPr="00DD37EC" w:rsidRDefault="00FE2CB5" w:rsidP="00DF682C">
            <w:pPr>
              <w:spacing w:after="240"/>
              <w:rPr>
                <w:rFonts w:ascii="Arial" w:hAnsi="Arial" w:cs="Arial"/>
                <w:b/>
                <w:lang w:val="es-MX"/>
              </w:rPr>
            </w:pPr>
            <w:r w:rsidRPr="00DD37EC">
              <w:rPr>
                <w:rFonts w:ascii="Arial" w:hAnsi="Arial" w:cs="Arial"/>
                <w:b/>
                <w:lang w:val="es-MX"/>
              </w:rPr>
              <w:t xml:space="preserve">RIESGO </w:t>
            </w:r>
            <w:r>
              <w:rPr>
                <w:rFonts w:ascii="Arial" w:hAnsi="Arial" w:cs="Arial"/>
                <w:b/>
                <w:lang w:val="es-MX"/>
              </w:rPr>
              <w:t>3</w:t>
            </w:r>
          </w:p>
        </w:tc>
        <w:tc>
          <w:tcPr>
            <w:tcW w:w="8449" w:type="dxa"/>
            <w:shd w:val="clear" w:color="auto" w:fill="E7E6E6" w:themeFill="background2"/>
          </w:tcPr>
          <w:p w14:paraId="13D4D37E" w14:textId="77777777" w:rsidR="00FE2CB5" w:rsidRPr="009723E0" w:rsidRDefault="00FE2CB5" w:rsidP="00DF682C">
            <w:pPr>
              <w:tabs>
                <w:tab w:val="left" w:pos="337"/>
                <w:tab w:val="left" w:pos="1486"/>
              </w:tabs>
              <w:spacing w:after="240"/>
              <w:rPr>
                <w:rFonts w:ascii="Arial" w:hAnsi="Arial" w:cs="Arial"/>
                <w:b/>
                <w:lang w:val="es-MX"/>
              </w:rPr>
            </w:pPr>
            <w:r w:rsidRPr="00297DAB">
              <w:rPr>
                <w:rFonts w:ascii="Arial" w:hAnsi="Arial" w:cs="Arial"/>
                <w:b/>
                <w:bCs/>
                <w:iCs/>
                <w:lang w:val="es-MX"/>
              </w:rPr>
              <w:t>Adquisición de medicamentos e insumos esenciales con recursos externos; limitado acceso a las pruebas diagnóstico y sostenibilidad de adquisición de insumos de diagnóstico para VIH y TB</w:t>
            </w:r>
          </w:p>
        </w:tc>
      </w:tr>
      <w:tr w:rsidR="00FE2CB5" w:rsidRPr="00392E34" w14:paraId="664A2345" w14:textId="77777777" w:rsidTr="00DF682C">
        <w:trPr>
          <w:trHeight w:val="802"/>
        </w:trPr>
        <w:tc>
          <w:tcPr>
            <w:tcW w:w="1536" w:type="dxa"/>
          </w:tcPr>
          <w:p w14:paraId="46C19B93" w14:textId="77777777" w:rsidR="00FE2CB5" w:rsidRPr="00DD37EC" w:rsidRDefault="00FE2CB5" w:rsidP="00DF682C">
            <w:pPr>
              <w:spacing w:after="240"/>
              <w:rPr>
                <w:rFonts w:ascii="Arial" w:hAnsi="Arial" w:cs="Arial"/>
                <w:b/>
                <w:lang w:val="es-MX"/>
              </w:rPr>
            </w:pPr>
            <w:r>
              <w:rPr>
                <w:rFonts w:ascii="Arial" w:hAnsi="Arial" w:cs="Arial"/>
                <w:b/>
                <w:lang w:val="es-MX"/>
              </w:rPr>
              <w:t>Descripción e impacto</w:t>
            </w:r>
          </w:p>
        </w:tc>
        <w:tc>
          <w:tcPr>
            <w:tcW w:w="8449" w:type="dxa"/>
          </w:tcPr>
          <w:p w14:paraId="0C7A2DB3" w14:textId="77777777" w:rsidR="00FE2CB5" w:rsidRPr="009723E0" w:rsidRDefault="00FE2CB5" w:rsidP="00DF682C">
            <w:pPr>
              <w:spacing w:after="120"/>
              <w:rPr>
                <w:rFonts w:ascii="Arial" w:hAnsi="Arial" w:cs="Arial"/>
                <w:lang w:val="es-MX"/>
              </w:rPr>
            </w:pPr>
            <w:r w:rsidRPr="00B9764A">
              <w:rPr>
                <w:rFonts w:ascii="Arial" w:hAnsi="Arial" w:cs="Arial"/>
                <w:lang w:val="es-MX"/>
              </w:rPr>
              <w:t xml:space="preserve">Actualmente los cooperantes cubren la compra emergente de algunos medicamentos e insumos para reducir el impacto de desabastecimientos. </w:t>
            </w:r>
            <w:r w:rsidRPr="009723E0">
              <w:rPr>
                <w:rFonts w:ascii="Arial" w:hAnsi="Arial" w:cs="Arial"/>
                <w:lang w:val="es-MX"/>
              </w:rPr>
              <w:t xml:space="preserve">Sin financiamiento público para el abastecimiento continuo de los ARV y otros </w:t>
            </w:r>
            <w:r w:rsidRPr="00B9764A">
              <w:rPr>
                <w:rFonts w:ascii="Arial" w:hAnsi="Arial" w:cs="Arial"/>
                <w:lang w:val="es-MX"/>
              </w:rPr>
              <w:t xml:space="preserve">productos (incluyendo Carga Viral, CD4, pruebas de diagnóstico, PCR, genotipo, reactivos de Gene-Xpert y medicamentos para infecciones oportunistas) </w:t>
            </w:r>
            <w:r w:rsidRPr="009723E0">
              <w:rPr>
                <w:rFonts w:ascii="Arial" w:hAnsi="Arial" w:cs="Arial"/>
                <w:lang w:val="es-MX"/>
              </w:rPr>
              <w:t>las PVIH en especial población clave, no tendrían acceso a la terapia; por ende, no se obtendría el control de la epidemia en el país ni se cumplirían las metas del 90-90-90 al 2020.</w:t>
            </w:r>
          </w:p>
          <w:p w14:paraId="4637D098" w14:textId="77777777" w:rsidR="00FE2CB5" w:rsidRPr="00DD37EC" w:rsidRDefault="00FE2CB5" w:rsidP="00DF682C">
            <w:pPr>
              <w:spacing w:after="240"/>
              <w:rPr>
                <w:rFonts w:ascii="Arial" w:eastAsia="Times New Roman" w:hAnsi="Arial" w:cs="Arial"/>
                <w:color w:val="000000"/>
                <w:lang w:val="es-MX"/>
              </w:rPr>
            </w:pPr>
            <w:r w:rsidRPr="009723E0">
              <w:rPr>
                <w:rFonts w:ascii="Arial" w:hAnsi="Arial" w:cs="Arial"/>
                <w:lang w:val="es-MX"/>
              </w:rPr>
              <w:t>Esto refuerza la urgencia de reducir la demora para establecer el diagnóstico, ya que cuanto más alto sea el déficit de cobertura de la prueba y nuevas modalidades de diagnóstico con un enfoque epidemiológico (grupos claves), mayor será la magnitud de la epidemia.</w:t>
            </w:r>
          </w:p>
        </w:tc>
      </w:tr>
      <w:tr w:rsidR="00FE2CB5" w:rsidRPr="00392E34" w14:paraId="4A68990C" w14:textId="77777777" w:rsidTr="00DF682C">
        <w:trPr>
          <w:trHeight w:val="1925"/>
        </w:trPr>
        <w:tc>
          <w:tcPr>
            <w:tcW w:w="1536" w:type="dxa"/>
          </w:tcPr>
          <w:p w14:paraId="4537F5EB" w14:textId="77777777" w:rsidR="00FE2CB5" w:rsidRPr="00DD37EC" w:rsidRDefault="00FE2CB5" w:rsidP="00DF682C">
            <w:pPr>
              <w:spacing w:after="240"/>
              <w:rPr>
                <w:rFonts w:ascii="Arial" w:hAnsi="Arial" w:cs="Arial"/>
                <w:b/>
                <w:lang w:val="es-MX"/>
              </w:rPr>
            </w:pPr>
            <w:r w:rsidRPr="00DD37EC">
              <w:rPr>
                <w:rFonts w:ascii="Arial" w:hAnsi="Arial" w:cs="Arial"/>
                <w:b/>
                <w:lang w:val="es-MX"/>
              </w:rPr>
              <w:t>Soluciones Potenciales</w:t>
            </w:r>
          </w:p>
        </w:tc>
        <w:tc>
          <w:tcPr>
            <w:tcW w:w="8449" w:type="dxa"/>
          </w:tcPr>
          <w:p w14:paraId="0EE208C6" w14:textId="77777777" w:rsidR="00FE2CB5" w:rsidRPr="00EF3FD7" w:rsidRDefault="00FE2CB5" w:rsidP="00DF682C">
            <w:pPr>
              <w:pStyle w:val="ListParagraph"/>
              <w:numPr>
                <w:ilvl w:val="0"/>
                <w:numId w:val="29"/>
              </w:numPr>
              <w:spacing w:after="240"/>
              <w:rPr>
                <w:rFonts w:ascii="Arial" w:hAnsi="Arial" w:cs="Arial"/>
                <w:bCs/>
                <w:lang w:val="es-ES"/>
              </w:rPr>
            </w:pPr>
            <w:r w:rsidRPr="00EF3FD7">
              <w:rPr>
                <w:rFonts w:ascii="Arial" w:hAnsi="Arial" w:cs="Arial"/>
                <w:lang w:val="es-MX"/>
              </w:rPr>
              <w:t>Consolidar plan de transición de compras de ARV e insumos para VIH y TB (incluyendo Carga Viral, CD4, pruebas de diagnóstico, PCR, genotipo, reactivos de Gene-Xpert, y reactivos para infecciones oportunistas) y la adquisición centralizada de pruebas de diagnóstico con fondos públicos.</w:t>
            </w:r>
          </w:p>
          <w:p w14:paraId="10774396" w14:textId="77777777" w:rsidR="00FE2CB5" w:rsidRPr="00EF3FD7" w:rsidRDefault="00FE2CB5" w:rsidP="00DF682C">
            <w:pPr>
              <w:pStyle w:val="ListParagraph"/>
              <w:numPr>
                <w:ilvl w:val="0"/>
                <w:numId w:val="29"/>
              </w:numPr>
              <w:spacing w:after="240"/>
              <w:rPr>
                <w:rFonts w:ascii="Arial" w:hAnsi="Arial" w:cs="Arial"/>
                <w:bCs/>
                <w:lang w:val="es-ES"/>
              </w:rPr>
            </w:pPr>
            <w:r w:rsidRPr="00EF3FD7">
              <w:rPr>
                <w:rFonts w:ascii="Arial" w:hAnsi="Arial" w:cs="Arial"/>
                <w:lang w:val="es-MX"/>
              </w:rPr>
              <w:t>Gestionar nuevos mecanismos de compra nacionales e internacionales para obtener precios de referencia de medicamentos de ARV (incluyendo los de mayor impacto financiero – 3ª línea).</w:t>
            </w:r>
          </w:p>
        </w:tc>
      </w:tr>
    </w:tbl>
    <w:p w14:paraId="1702F614" w14:textId="17FDE72D" w:rsidR="00D30D18" w:rsidRPr="00614D8D" w:rsidRDefault="00D30D18" w:rsidP="00614D8D">
      <w:pPr>
        <w:rPr>
          <w:rFonts w:ascii="Arial" w:eastAsiaTheme="majorEastAsia" w:hAnsi="Arial" w:cs="Arial"/>
          <w:color w:val="2F5496" w:themeColor="accent1" w:themeShade="BF"/>
          <w:lang w:val="es-MX"/>
        </w:rPr>
      </w:pPr>
    </w:p>
    <w:p w14:paraId="02174526" w14:textId="1A475101" w:rsidR="003A324D" w:rsidRPr="00DD37EC" w:rsidRDefault="00A73991" w:rsidP="003A324D">
      <w:pPr>
        <w:pStyle w:val="Heading1"/>
        <w:spacing w:before="0" w:after="240" w:line="240" w:lineRule="auto"/>
        <w:rPr>
          <w:rFonts w:ascii="Arial" w:hAnsi="Arial" w:cs="Arial"/>
          <w:sz w:val="22"/>
          <w:szCs w:val="22"/>
          <w:lang w:val="es-419"/>
        </w:rPr>
      </w:pPr>
      <w:bookmarkStart w:id="89" w:name="_Toc8905245"/>
      <w:r>
        <w:rPr>
          <w:rFonts w:ascii="Arial" w:hAnsi="Arial" w:cs="Arial"/>
          <w:sz w:val="22"/>
          <w:szCs w:val="22"/>
          <w:lang w:val="es-419"/>
        </w:rPr>
        <w:t>6</w:t>
      </w:r>
      <w:r w:rsidR="003A324D" w:rsidRPr="00DD37EC">
        <w:rPr>
          <w:rFonts w:ascii="Arial" w:hAnsi="Arial" w:cs="Arial"/>
          <w:sz w:val="22"/>
          <w:szCs w:val="22"/>
          <w:lang w:val="es-419"/>
        </w:rPr>
        <w:t>. Financiamiento de salud, sostenibilidad, y transición</w:t>
      </w:r>
      <w:bookmarkEnd w:id="89"/>
      <w:r w:rsidR="003A324D" w:rsidRPr="00DD37EC">
        <w:rPr>
          <w:rFonts w:ascii="Arial" w:hAnsi="Arial" w:cs="Arial"/>
          <w:sz w:val="22"/>
          <w:szCs w:val="22"/>
          <w:lang w:val="es-419"/>
        </w:rPr>
        <w:t xml:space="preserve"> </w:t>
      </w:r>
    </w:p>
    <w:p w14:paraId="51C47322" w14:textId="3AD7A6B5" w:rsidR="003A324D" w:rsidRPr="00CB6E05" w:rsidRDefault="003A324D" w:rsidP="0068285B">
      <w:pPr>
        <w:pStyle w:val="Heading2"/>
        <w:numPr>
          <w:ilvl w:val="1"/>
          <w:numId w:val="19"/>
        </w:numPr>
        <w:spacing w:before="0" w:after="240" w:line="240" w:lineRule="auto"/>
        <w:rPr>
          <w:rFonts w:ascii="Arial" w:hAnsi="Arial" w:cs="Arial"/>
          <w:sz w:val="22"/>
          <w:szCs w:val="22"/>
          <w:lang w:val="es-419"/>
        </w:rPr>
      </w:pPr>
      <w:bookmarkStart w:id="90" w:name="_Toc8905246"/>
      <w:r w:rsidRPr="00DD37EC">
        <w:rPr>
          <w:rFonts w:ascii="Arial" w:hAnsi="Arial" w:cs="Arial"/>
          <w:sz w:val="22"/>
          <w:szCs w:val="22"/>
          <w:lang w:val="es-419"/>
        </w:rPr>
        <w:t>Entorno macroeconómico, fiscal y político</w:t>
      </w:r>
      <w:bookmarkEnd w:id="90"/>
    </w:p>
    <w:p w14:paraId="7881BF42" w14:textId="5F38FF96" w:rsidR="003A324D" w:rsidRPr="00DD37EC" w:rsidRDefault="003A324D" w:rsidP="003A324D">
      <w:pPr>
        <w:spacing w:after="240" w:line="240" w:lineRule="auto"/>
        <w:jc w:val="both"/>
        <w:rPr>
          <w:rFonts w:ascii="Arial" w:hAnsi="Arial" w:cs="Arial"/>
          <w:lang w:val="es-419"/>
        </w:rPr>
      </w:pPr>
      <w:r w:rsidRPr="00DD37EC">
        <w:rPr>
          <w:rFonts w:ascii="Arial" w:hAnsi="Arial" w:cs="Arial"/>
          <w:lang w:val="es-419"/>
        </w:rPr>
        <w:t>Honduras es un país de ingreso medio bajo con un PIB per cápita de US$2,222 (L$54,172).  La economía hondureña se ha logrado recuperar de la crisis global de 2008-2009, con un crecimiento económico promedio de 3.7% entre 2012 y 2017 y un crecimiento esperado de 3.</w:t>
      </w:r>
      <w:r w:rsidR="00A974A2">
        <w:rPr>
          <w:rFonts w:ascii="Arial" w:hAnsi="Arial" w:cs="Arial"/>
          <w:lang w:val="es-419"/>
        </w:rPr>
        <w:t>7</w:t>
      </w:r>
      <w:r w:rsidRPr="00DD37EC">
        <w:rPr>
          <w:rFonts w:ascii="Arial" w:hAnsi="Arial" w:cs="Arial"/>
          <w:lang w:val="es-419"/>
        </w:rPr>
        <w:t>% para 2018</w:t>
      </w:r>
      <w:r w:rsidR="00A974A2">
        <w:rPr>
          <w:rFonts w:ascii="Arial" w:hAnsi="Arial" w:cs="Arial"/>
          <w:lang w:val="es-419"/>
        </w:rPr>
        <w:t xml:space="preserve"> y 2019</w:t>
      </w:r>
      <w:r w:rsidRPr="00DD37EC">
        <w:rPr>
          <w:rFonts w:ascii="Arial" w:hAnsi="Arial" w:cs="Arial"/>
          <w:lang w:val="es-419"/>
        </w:rPr>
        <w:t>.</w:t>
      </w:r>
      <w:r w:rsidRPr="00DD37EC">
        <w:rPr>
          <w:rStyle w:val="FootnoteReference"/>
          <w:rFonts w:ascii="Arial" w:hAnsi="Arial" w:cs="Arial"/>
          <w:lang w:val="es-419"/>
        </w:rPr>
        <w:footnoteReference w:id="93"/>
      </w:r>
      <w:r w:rsidRPr="00DD37EC">
        <w:rPr>
          <w:rFonts w:ascii="Arial" w:hAnsi="Arial" w:cs="Arial"/>
          <w:lang w:val="es-419"/>
        </w:rPr>
        <w:t xml:space="preserve"> </w:t>
      </w:r>
      <w:r w:rsidR="009C5D74">
        <w:rPr>
          <w:rFonts w:ascii="Arial" w:hAnsi="Arial" w:cs="Arial"/>
          <w:lang w:val="es-419"/>
        </w:rPr>
        <w:t>La inflación y las expectativas de inflación están a la alza desde 2017, pero se mantienen dentro del rango objetivo.</w:t>
      </w:r>
      <w:r w:rsidR="008A7E49">
        <w:rPr>
          <w:rFonts w:ascii="Arial" w:hAnsi="Arial" w:cs="Arial"/>
          <w:lang w:val="es-419"/>
        </w:rPr>
        <w:t xml:space="preserve"> Este comportamiento refleja la recuperación de la demanda interna y el incremento en el precio de los hidrocarburos, entre otros factores.</w:t>
      </w:r>
    </w:p>
    <w:p w14:paraId="24934B01" w14:textId="4B26B9AA" w:rsidR="003A324D" w:rsidRPr="00DD37EC" w:rsidRDefault="003A324D" w:rsidP="003A324D">
      <w:pPr>
        <w:spacing w:after="240" w:line="240" w:lineRule="auto"/>
        <w:jc w:val="both"/>
        <w:rPr>
          <w:rFonts w:ascii="Arial" w:hAnsi="Arial" w:cs="Arial"/>
          <w:lang w:val="es-419"/>
        </w:rPr>
      </w:pPr>
      <w:r w:rsidRPr="00DD37EC">
        <w:rPr>
          <w:rFonts w:ascii="Arial" w:hAnsi="Arial" w:cs="Arial"/>
          <w:lang w:val="es-419"/>
        </w:rPr>
        <w:t xml:space="preserve">Los indicadores de Banco Mundial sobre Gobernanza y Cumplimiento de la ley colocan a Honduras por abajo de la mediana, entre todos los países del mundo (ver </w:t>
      </w:r>
      <w:r w:rsidR="003935F4">
        <w:rPr>
          <w:rFonts w:ascii="Arial" w:hAnsi="Arial" w:cs="Arial"/>
          <w:lang w:val="es-419"/>
        </w:rPr>
        <w:t>t</w:t>
      </w:r>
      <w:r w:rsidRPr="00DD37EC">
        <w:rPr>
          <w:rFonts w:ascii="Arial" w:hAnsi="Arial" w:cs="Arial"/>
          <w:lang w:val="es-419"/>
        </w:rPr>
        <w:t xml:space="preserve">abla </w:t>
      </w:r>
      <w:r w:rsidR="00B15D78">
        <w:rPr>
          <w:rFonts w:ascii="Arial" w:hAnsi="Arial" w:cs="Arial"/>
          <w:lang w:val="es-419"/>
        </w:rPr>
        <w:t>8</w:t>
      </w:r>
      <w:r w:rsidRPr="00DD37EC">
        <w:rPr>
          <w:rFonts w:ascii="Arial" w:hAnsi="Arial" w:cs="Arial"/>
          <w:lang w:val="es-419"/>
        </w:rPr>
        <w:t>). A pesar de que los niveles de crimen han disminuido considerablemente desde 2012, el país enfrenta elevados niveles de corrupción que debilitan la infraestructura institucional.</w:t>
      </w:r>
      <w:r w:rsidRPr="00DD37EC">
        <w:rPr>
          <w:rStyle w:val="FootnoteReference"/>
          <w:rFonts w:ascii="Arial" w:hAnsi="Arial" w:cs="Arial"/>
          <w:lang w:val="es-419"/>
        </w:rPr>
        <w:footnoteReference w:id="94"/>
      </w:r>
    </w:p>
    <w:p w14:paraId="41B11AF0" w14:textId="39A3BAF5" w:rsidR="003A324D" w:rsidRPr="00194E0E" w:rsidRDefault="00194E0E" w:rsidP="00194E0E">
      <w:pPr>
        <w:pStyle w:val="Caption"/>
        <w:rPr>
          <w:rStyle w:val="IntenseReference"/>
          <w:rFonts w:ascii="Arial" w:hAnsi="Arial" w:cs="Arial"/>
          <w:color w:val="auto"/>
          <w:sz w:val="22"/>
          <w:szCs w:val="22"/>
          <w:lang w:val="es-MX"/>
        </w:rPr>
      </w:pPr>
      <w:bookmarkStart w:id="91" w:name="_Toc8904510"/>
      <w:r w:rsidRPr="00194E0E">
        <w:rPr>
          <w:rFonts w:ascii="Arial" w:hAnsi="Arial" w:cs="Arial"/>
          <w:color w:val="auto"/>
          <w:sz w:val="22"/>
          <w:szCs w:val="22"/>
        </w:rPr>
        <w:t xml:space="preserve">Tabla </w:t>
      </w:r>
      <w:r w:rsidRPr="00194E0E">
        <w:rPr>
          <w:rFonts w:ascii="Arial" w:hAnsi="Arial" w:cs="Arial"/>
          <w:color w:val="auto"/>
          <w:sz w:val="22"/>
          <w:szCs w:val="22"/>
        </w:rPr>
        <w:fldChar w:fldCharType="begin"/>
      </w:r>
      <w:r w:rsidRPr="00194E0E">
        <w:rPr>
          <w:rFonts w:ascii="Arial" w:hAnsi="Arial" w:cs="Arial"/>
          <w:color w:val="auto"/>
          <w:sz w:val="22"/>
          <w:szCs w:val="22"/>
        </w:rPr>
        <w:instrText xml:space="preserve"> SEQ Tabla \* ARABIC </w:instrText>
      </w:r>
      <w:r w:rsidRPr="00194E0E">
        <w:rPr>
          <w:rFonts w:ascii="Arial" w:hAnsi="Arial" w:cs="Arial"/>
          <w:color w:val="auto"/>
          <w:sz w:val="22"/>
          <w:szCs w:val="22"/>
        </w:rPr>
        <w:fldChar w:fldCharType="separate"/>
      </w:r>
      <w:r w:rsidR="00D447AE">
        <w:rPr>
          <w:rFonts w:ascii="Arial" w:hAnsi="Arial" w:cs="Arial"/>
          <w:noProof/>
          <w:color w:val="auto"/>
          <w:sz w:val="22"/>
          <w:szCs w:val="22"/>
        </w:rPr>
        <w:t>8</w:t>
      </w:r>
      <w:r w:rsidRPr="00194E0E">
        <w:rPr>
          <w:rFonts w:ascii="Arial" w:hAnsi="Arial" w:cs="Arial"/>
          <w:color w:val="auto"/>
          <w:sz w:val="22"/>
          <w:szCs w:val="22"/>
        </w:rPr>
        <w:fldChar w:fldCharType="end"/>
      </w:r>
      <w:r w:rsidRPr="00194E0E">
        <w:rPr>
          <w:rFonts w:ascii="Arial" w:hAnsi="Arial" w:cs="Arial"/>
          <w:color w:val="auto"/>
          <w:sz w:val="22"/>
          <w:szCs w:val="22"/>
        </w:rPr>
        <w:t>. Indicadores de gobernanza, 2017 – percentil</w:t>
      </w:r>
      <w:bookmarkEnd w:id="91"/>
    </w:p>
    <w:tbl>
      <w:tblPr>
        <w:tblStyle w:val="TableGrid"/>
        <w:tblW w:w="0" w:type="auto"/>
        <w:tblInd w:w="-5" w:type="dxa"/>
        <w:tblLayout w:type="fixed"/>
        <w:tblLook w:val="04A0" w:firstRow="1" w:lastRow="0" w:firstColumn="1" w:lastColumn="0" w:noHBand="0" w:noVBand="1"/>
      </w:tblPr>
      <w:tblGrid>
        <w:gridCol w:w="4286"/>
        <w:gridCol w:w="952"/>
      </w:tblGrid>
      <w:tr w:rsidR="003A324D" w:rsidRPr="00DD37EC" w14:paraId="6398757A" w14:textId="77777777" w:rsidTr="00D01BD5">
        <w:trPr>
          <w:trHeight w:hRule="exact" w:val="288"/>
        </w:trPr>
        <w:tc>
          <w:tcPr>
            <w:tcW w:w="4286" w:type="dxa"/>
          </w:tcPr>
          <w:p w14:paraId="42633E28" w14:textId="77777777" w:rsidR="003A324D" w:rsidRPr="00DD37EC" w:rsidRDefault="003A324D" w:rsidP="00D01BD5">
            <w:pPr>
              <w:spacing w:after="240"/>
              <w:jc w:val="both"/>
              <w:rPr>
                <w:rFonts w:ascii="Arial" w:hAnsi="Arial" w:cs="Arial"/>
                <w:lang w:val="es-ES_tradnl"/>
              </w:rPr>
            </w:pPr>
            <w:r w:rsidRPr="00DD37EC">
              <w:rPr>
                <w:rFonts w:ascii="Arial" w:hAnsi="Arial" w:cs="Arial"/>
                <w:lang w:val="es-ES_tradnl"/>
              </w:rPr>
              <w:t>Calidad regulatoria</w:t>
            </w:r>
          </w:p>
        </w:tc>
        <w:tc>
          <w:tcPr>
            <w:tcW w:w="952" w:type="dxa"/>
          </w:tcPr>
          <w:p w14:paraId="74545D9E" w14:textId="77777777" w:rsidR="003A324D" w:rsidRPr="00DD37EC" w:rsidRDefault="003A324D" w:rsidP="00D01BD5">
            <w:pPr>
              <w:spacing w:after="240"/>
              <w:jc w:val="center"/>
              <w:rPr>
                <w:rFonts w:ascii="Arial" w:hAnsi="Arial" w:cs="Arial"/>
                <w:lang w:val="es-ES_tradnl"/>
              </w:rPr>
            </w:pPr>
            <w:r w:rsidRPr="00DD37EC">
              <w:rPr>
                <w:rFonts w:ascii="Arial" w:hAnsi="Arial" w:cs="Arial"/>
                <w:lang w:val="es-ES_tradnl"/>
              </w:rPr>
              <w:t>35</w:t>
            </w:r>
          </w:p>
        </w:tc>
      </w:tr>
      <w:tr w:rsidR="003A324D" w:rsidRPr="00DD37EC" w14:paraId="2C4529B8" w14:textId="77777777" w:rsidTr="00D01BD5">
        <w:trPr>
          <w:trHeight w:hRule="exact" w:val="288"/>
        </w:trPr>
        <w:tc>
          <w:tcPr>
            <w:tcW w:w="4286" w:type="dxa"/>
          </w:tcPr>
          <w:p w14:paraId="6ADFA58E" w14:textId="77777777" w:rsidR="003A324D" w:rsidRPr="00DD37EC" w:rsidRDefault="003A324D" w:rsidP="00D01BD5">
            <w:pPr>
              <w:spacing w:after="240"/>
              <w:jc w:val="both"/>
              <w:rPr>
                <w:rFonts w:ascii="Arial" w:hAnsi="Arial" w:cs="Arial"/>
                <w:lang w:val="es-ES_tradnl"/>
              </w:rPr>
            </w:pPr>
            <w:r w:rsidRPr="00DD37EC">
              <w:rPr>
                <w:rFonts w:ascii="Arial" w:hAnsi="Arial" w:cs="Arial"/>
                <w:lang w:val="es-ES_tradnl"/>
              </w:rPr>
              <w:t>Cumplimiento de la ley</w:t>
            </w:r>
          </w:p>
        </w:tc>
        <w:tc>
          <w:tcPr>
            <w:tcW w:w="952" w:type="dxa"/>
          </w:tcPr>
          <w:p w14:paraId="20DF296E" w14:textId="77777777" w:rsidR="003A324D" w:rsidRPr="00DD37EC" w:rsidRDefault="003A324D" w:rsidP="00D01BD5">
            <w:pPr>
              <w:spacing w:after="240"/>
              <w:jc w:val="center"/>
              <w:rPr>
                <w:rFonts w:ascii="Arial" w:hAnsi="Arial" w:cs="Arial"/>
                <w:lang w:val="es-ES_tradnl"/>
              </w:rPr>
            </w:pPr>
            <w:r w:rsidRPr="00DD37EC">
              <w:rPr>
                <w:rFonts w:ascii="Arial" w:hAnsi="Arial" w:cs="Arial"/>
                <w:lang w:val="es-ES_tradnl"/>
              </w:rPr>
              <w:t>14</w:t>
            </w:r>
          </w:p>
        </w:tc>
      </w:tr>
      <w:tr w:rsidR="003A324D" w:rsidRPr="00DD37EC" w14:paraId="6C771B72" w14:textId="77777777" w:rsidTr="00D01BD5">
        <w:trPr>
          <w:trHeight w:hRule="exact" w:val="288"/>
        </w:trPr>
        <w:tc>
          <w:tcPr>
            <w:tcW w:w="4286" w:type="dxa"/>
          </w:tcPr>
          <w:p w14:paraId="745E39A1" w14:textId="77777777" w:rsidR="003A324D" w:rsidRPr="00DD37EC" w:rsidRDefault="003A324D" w:rsidP="00D01BD5">
            <w:pPr>
              <w:spacing w:after="240"/>
              <w:jc w:val="both"/>
              <w:rPr>
                <w:rFonts w:ascii="Arial" w:hAnsi="Arial" w:cs="Arial"/>
                <w:lang w:val="es-ES_tradnl"/>
              </w:rPr>
            </w:pPr>
            <w:r w:rsidRPr="00DD37EC">
              <w:rPr>
                <w:rFonts w:ascii="Arial" w:hAnsi="Arial" w:cs="Arial"/>
                <w:lang w:val="es-ES_tradnl"/>
              </w:rPr>
              <w:t>Participación y rendición de cuentas</w:t>
            </w:r>
          </w:p>
        </w:tc>
        <w:tc>
          <w:tcPr>
            <w:tcW w:w="952" w:type="dxa"/>
          </w:tcPr>
          <w:p w14:paraId="5DD5C1C2" w14:textId="77777777" w:rsidR="003A324D" w:rsidRPr="00DD37EC" w:rsidRDefault="003A324D" w:rsidP="00D01BD5">
            <w:pPr>
              <w:spacing w:after="240"/>
              <w:jc w:val="center"/>
              <w:rPr>
                <w:rFonts w:ascii="Arial" w:hAnsi="Arial" w:cs="Arial"/>
                <w:lang w:val="es-ES_tradnl"/>
              </w:rPr>
            </w:pPr>
            <w:r w:rsidRPr="00DD37EC">
              <w:rPr>
                <w:rFonts w:ascii="Arial" w:hAnsi="Arial" w:cs="Arial"/>
                <w:lang w:val="es-ES_tradnl"/>
              </w:rPr>
              <w:t>32</w:t>
            </w:r>
          </w:p>
        </w:tc>
      </w:tr>
      <w:tr w:rsidR="003A324D" w:rsidRPr="00DD37EC" w14:paraId="0BAE8341" w14:textId="77777777" w:rsidTr="00D01BD5">
        <w:trPr>
          <w:trHeight w:hRule="exact" w:val="288"/>
        </w:trPr>
        <w:tc>
          <w:tcPr>
            <w:tcW w:w="4286" w:type="dxa"/>
          </w:tcPr>
          <w:p w14:paraId="3064DACD" w14:textId="77777777" w:rsidR="003A324D" w:rsidRPr="00DD37EC" w:rsidRDefault="003A324D" w:rsidP="00D01BD5">
            <w:pPr>
              <w:spacing w:after="240"/>
              <w:jc w:val="both"/>
              <w:rPr>
                <w:rFonts w:ascii="Arial" w:hAnsi="Arial" w:cs="Arial"/>
                <w:lang w:val="es-ES_tradnl"/>
              </w:rPr>
            </w:pPr>
            <w:r w:rsidRPr="00DD37EC">
              <w:rPr>
                <w:rFonts w:ascii="Arial" w:hAnsi="Arial" w:cs="Arial"/>
                <w:lang w:val="es-ES_tradnl"/>
              </w:rPr>
              <w:t>Efectividad del gobierno</w:t>
            </w:r>
          </w:p>
        </w:tc>
        <w:tc>
          <w:tcPr>
            <w:tcW w:w="952" w:type="dxa"/>
          </w:tcPr>
          <w:p w14:paraId="282AC404" w14:textId="77777777" w:rsidR="003A324D" w:rsidRPr="00DD37EC" w:rsidRDefault="003A324D" w:rsidP="00D01BD5">
            <w:pPr>
              <w:spacing w:after="240"/>
              <w:jc w:val="center"/>
              <w:rPr>
                <w:rFonts w:ascii="Arial" w:hAnsi="Arial" w:cs="Arial"/>
                <w:lang w:val="es-ES_tradnl"/>
              </w:rPr>
            </w:pPr>
            <w:r w:rsidRPr="00DD37EC">
              <w:rPr>
                <w:rFonts w:ascii="Arial" w:hAnsi="Arial" w:cs="Arial"/>
                <w:lang w:val="es-ES_tradnl"/>
              </w:rPr>
              <w:t>33</w:t>
            </w:r>
          </w:p>
        </w:tc>
      </w:tr>
    </w:tbl>
    <w:p w14:paraId="40EE1820" w14:textId="77777777" w:rsidR="003A324D" w:rsidRPr="00BC744F" w:rsidRDefault="003A324D" w:rsidP="003A324D">
      <w:pPr>
        <w:spacing w:after="240" w:line="240" w:lineRule="auto"/>
        <w:jc w:val="both"/>
        <w:rPr>
          <w:rFonts w:ascii="Arial" w:hAnsi="Arial" w:cs="Arial"/>
          <w:i/>
          <w:sz w:val="20"/>
          <w:lang w:val="es-ES_tradnl"/>
        </w:rPr>
      </w:pPr>
      <w:r w:rsidRPr="00BC744F">
        <w:rPr>
          <w:rFonts w:ascii="Arial" w:hAnsi="Arial" w:cs="Arial"/>
          <w:i/>
          <w:sz w:val="20"/>
          <w:lang w:val="es-ES_tradnl"/>
        </w:rPr>
        <w:t>Fuente: Worldwide Governance Indicators, Banco Mundial</w:t>
      </w:r>
    </w:p>
    <w:p w14:paraId="0920505B" w14:textId="77777777" w:rsidR="003A324D" w:rsidRPr="00DD37EC" w:rsidRDefault="003A324D" w:rsidP="003A324D">
      <w:pPr>
        <w:spacing w:after="240" w:line="240" w:lineRule="auto"/>
        <w:jc w:val="both"/>
        <w:rPr>
          <w:rFonts w:ascii="Arial" w:hAnsi="Arial" w:cs="Arial"/>
          <w:lang w:val="es-419"/>
        </w:rPr>
      </w:pPr>
      <w:r w:rsidRPr="00DD37EC">
        <w:rPr>
          <w:rFonts w:ascii="Arial" w:hAnsi="Arial" w:cs="Arial"/>
          <w:lang w:val="es-419"/>
        </w:rPr>
        <w:t>En el marco macroeconómico, el país ha realizado importantes esfuerzos para estabilizar la economía y para recuperar la confianza de los inversionistas. La recaudación fiscal es estable y fluctúa alrededor del 18% del PIB</w:t>
      </w:r>
      <w:r>
        <w:rPr>
          <w:rFonts w:ascii="Arial" w:hAnsi="Arial" w:cs="Arial"/>
          <w:lang w:val="es-419"/>
        </w:rPr>
        <w:t>, la segunda tasa más alta de Centroamérica después de Costa Rica</w:t>
      </w:r>
      <w:r w:rsidRPr="00DD37EC">
        <w:rPr>
          <w:rFonts w:ascii="Arial" w:hAnsi="Arial" w:cs="Arial"/>
          <w:lang w:val="es-419"/>
        </w:rPr>
        <w:t>.</w:t>
      </w:r>
      <w:r>
        <w:rPr>
          <w:rStyle w:val="FootnoteReference"/>
          <w:rFonts w:ascii="Arial" w:hAnsi="Arial" w:cs="Arial"/>
          <w:lang w:val="es-419"/>
        </w:rPr>
        <w:footnoteReference w:id="95"/>
      </w:r>
      <w:r w:rsidRPr="00DD37EC">
        <w:rPr>
          <w:rFonts w:ascii="Arial" w:hAnsi="Arial" w:cs="Arial"/>
          <w:lang w:val="es-419"/>
        </w:rPr>
        <w:t xml:space="preserve"> Honduras ha modernizado su política fiscal, mediante la creación de una ley de responsabilidad presupuestaria y ha mantenido el déficit por debajo del techo que marca esta ley (0.75% del PIB en 2017). Las principales recomendaciones en política fiscal incluyen el contener los gastos fiscales (exenciones, deducciones, etc.), mejorar la calidad del gasto público y controlar el crecimiento de la nómina pública.</w:t>
      </w:r>
      <w:r w:rsidRPr="00DD37EC">
        <w:rPr>
          <w:rStyle w:val="FootnoteReference"/>
          <w:rFonts w:ascii="Arial" w:hAnsi="Arial" w:cs="Arial"/>
          <w:lang w:val="es-419"/>
        </w:rPr>
        <w:footnoteReference w:id="96"/>
      </w:r>
      <w:r w:rsidRPr="00DD37EC">
        <w:rPr>
          <w:rFonts w:ascii="Arial" w:hAnsi="Arial" w:cs="Arial"/>
          <w:lang w:val="es-419"/>
        </w:rPr>
        <w:t xml:space="preserve"> Actualmente, está en proceso una reforma para el servicio civil, que está programada para aprobación a mediados de 2019. Es posible que este proceso haya creado presiones en las diversas instancias del sector público.</w:t>
      </w:r>
    </w:p>
    <w:p w14:paraId="37B76689" w14:textId="6687A376" w:rsidR="003A324D" w:rsidRPr="005E273C" w:rsidRDefault="003A324D" w:rsidP="0068285B">
      <w:pPr>
        <w:pStyle w:val="Heading2"/>
        <w:numPr>
          <w:ilvl w:val="1"/>
          <w:numId w:val="19"/>
        </w:numPr>
        <w:spacing w:before="0" w:after="240" w:line="240" w:lineRule="auto"/>
        <w:rPr>
          <w:rFonts w:ascii="Arial" w:hAnsi="Arial" w:cs="Arial"/>
          <w:sz w:val="22"/>
          <w:szCs w:val="22"/>
          <w:lang w:val="es-419"/>
        </w:rPr>
      </w:pPr>
      <w:bookmarkStart w:id="92" w:name="_Toc8905247"/>
      <w:r>
        <w:rPr>
          <w:rFonts w:ascii="Arial" w:hAnsi="Arial" w:cs="Arial"/>
          <w:sz w:val="22"/>
          <w:szCs w:val="22"/>
          <w:lang w:val="es-419"/>
        </w:rPr>
        <w:t>Financiamiento del sector salud</w:t>
      </w:r>
      <w:bookmarkEnd w:id="92"/>
    </w:p>
    <w:p w14:paraId="11E56772" w14:textId="7C96CB8B" w:rsidR="003A324D" w:rsidRDefault="003A324D" w:rsidP="003A324D">
      <w:pPr>
        <w:spacing w:after="240" w:line="240" w:lineRule="auto"/>
        <w:jc w:val="both"/>
        <w:rPr>
          <w:rFonts w:ascii="Arial" w:hAnsi="Arial" w:cs="Arial"/>
          <w:lang w:val="es-419"/>
        </w:rPr>
      </w:pPr>
      <w:r w:rsidRPr="001227C5">
        <w:rPr>
          <w:rFonts w:ascii="Arial" w:hAnsi="Arial" w:cs="Arial"/>
          <w:lang w:val="es-MX"/>
        </w:rPr>
        <w:t>A 2017, el gasto total del gobierno hondureño representó 27.04% del PIB</w:t>
      </w:r>
      <w:r>
        <w:rPr>
          <w:rFonts w:ascii="Arial" w:hAnsi="Arial" w:cs="Arial"/>
          <w:lang w:val="es-MX"/>
        </w:rPr>
        <w:t>, ubicándose por encima del promedio de Centroamérica (24%)</w:t>
      </w:r>
      <w:r w:rsidRPr="001227C5">
        <w:rPr>
          <w:rStyle w:val="FootnoteReference"/>
          <w:rFonts w:ascii="Arial" w:hAnsi="Arial" w:cs="Arial"/>
          <w:lang w:val="es-MX"/>
        </w:rPr>
        <w:footnoteReference w:id="97"/>
      </w:r>
      <w:r w:rsidRPr="001227C5">
        <w:rPr>
          <w:rFonts w:ascii="Arial" w:hAnsi="Arial" w:cs="Arial"/>
          <w:lang w:val="es-MX"/>
        </w:rPr>
        <w:t xml:space="preserve">. </w:t>
      </w:r>
      <w:r w:rsidRPr="001227C5">
        <w:rPr>
          <w:rFonts w:ascii="Arial" w:hAnsi="Arial" w:cs="Arial"/>
          <w:lang w:val="es-419"/>
        </w:rPr>
        <w:t>El gasto</w:t>
      </w:r>
      <w:r w:rsidRPr="00DD37EC">
        <w:rPr>
          <w:rFonts w:ascii="Arial" w:hAnsi="Arial" w:cs="Arial"/>
          <w:lang w:val="es-419"/>
        </w:rPr>
        <w:t xml:space="preserve"> social en Honduras principalmente comprende beneficios </w:t>
      </w:r>
      <w:r w:rsidRPr="00DD37EC">
        <w:rPr>
          <w:rFonts w:ascii="Arial" w:hAnsi="Arial" w:cs="Arial"/>
          <w:lang w:val="es-419"/>
        </w:rPr>
        <w:lastRenderedPageBreak/>
        <w:t>sociales a través del programa de transferencias condicionadas (bono Vida Mejor) y otras transferencias en especie. Este gasto se ha incrementado de 0.5% del PIB en 2009 a cerca de 2% del PIB en 2017.</w:t>
      </w:r>
      <w:r w:rsidRPr="00DD37EC">
        <w:rPr>
          <w:rStyle w:val="FootnoteReference"/>
          <w:rFonts w:ascii="Arial" w:hAnsi="Arial" w:cs="Arial"/>
          <w:lang w:val="es-419"/>
        </w:rPr>
        <w:footnoteReference w:id="98"/>
      </w:r>
      <w:r w:rsidRPr="00DD37EC">
        <w:rPr>
          <w:rFonts w:ascii="Arial" w:hAnsi="Arial" w:cs="Arial"/>
          <w:lang w:val="es-419"/>
        </w:rPr>
        <w:t xml:space="preserve"> </w:t>
      </w:r>
    </w:p>
    <w:p w14:paraId="28BE3371" w14:textId="57B1203E" w:rsidR="003A324D" w:rsidRDefault="003A324D" w:rsidP="003A324D">
      <w:pPr>
        <w:spacing w:after="240" w:line="240" w:lineRule="auto"/>
        <w:jc w:val="both"/>
        <w:rPr>
          <w:rFonts w:ascii="Arial" w:hAnsi="Arial" w:cs="Arial"/>
          <w:lang w:val="es-MX"/>
        </w:rPr>
      </w:pPr>
      <w:r w:rsidRPr="00DD37EC">
        <w:rPr>
          <w:rFonts w:ascii="Arial" w:hAnsi="Arial" w:cs="Arial"/>
          <w:lang w:val="es-419"/>
        </w:rPr>
        <w:t>Los recursos del sistema de salud provienen de las mismas fuentes que componen el sector salud – la Secretaría de Salud, el Instituto Hondureño de Seguridad Social y los proveedores del sector privado, con o sin fines de lucro.</w:t>
      </w:r>
      <w:r>
        <w:rPr>
          <w:rFonts w:ascii="Arial" w:hAnsi="Arial" w:cs="Arial"/>
          <w:lang w:val="es-419"/>
        </w:rPr>
        <w:t xml:space="preserve"> El </w:t>
      </w:r>
      <w:r w:rsidRPr="00DD37EC">
        <w:rPr>
          <w:rFonts w:ascii="Arial" w:hAnsi="Arial" w:cs="Arial"/>
          <w:lang w:val="es-419"/>
        </w:rPr>
        <w:t xml:space="preserve">gasto en salud como porcentaje del PIB, alcanzó un máximo de 8.5% en 2009, y desde entonces ha fluctuado hasta alcanzar el 7.6% estimado en 2015. </w:t>
      </w:r>
      <w:r w:rsidRPr="00DD37EC">
        <w:rPr>
          <w:rFonts w:ascii="Arial" w:hAnsi="Arial" w:cs="Arial"/>
          <w:lang w:val="es-MX"/>
        </w:rPr>
        <w:t>Como muestra la siguiente gráfica, Honduras invierte más en salud</w:t>
      </w:r>
      <w:r w:rsidR="007D02B1">
        <w:rPr>
          <w:rFonts w:ascii="Arial" w:hAnsi="Arial" w:cs="Arial"/>
          <w:lang w:val="es-MX"/>
        </w:rPr>
        <w:t xml:space="preserve"> </w:t>
      </w:r>
      <w:r w:rsidR="00D50C4D">
        <w:rPr>
          <w:rFonts w:ascii="Arial" w:hAnsi="Arial" w:cs="Arial"/>
          <w:lang w:val="es-MX"/>
        </w:rPr>
        <w:t>que otros países y</w:t>
      </w:r>
      <w:r w:rsidRPr="00DD37EC">
        <w:rPr>
          <w:rFonts w:ascii="Arial" w:hAnsi="Arial" w:cs="Arial"/>
          <w:lang w:val="es-MX"/>
        </w:rPr>
        <w:t xml:space="preserve"> de forma similar al promedio de gasto de los países de la Organización para la Cooperación y el Desarrollo Económicos (</w:t>
      </w:r>
      <w:r w:rsidRPr="00194E0E">
        <w:rPr>
          <w:rFonts w:ascii="Arial" w:hAnsi="Arial" w:cs="Arial"/>
          <w:lang w:val="es-MX"/>
        </w:rPr>
        <w:t>OCDE)</w:t>
      </w:r>
      <w:r w:rsidR="007D02B1" w:rsidRPr="00194E0E">
        <w:rPr>
          <w:rFonts w:ascii="Arial" w:hAnsi="Arial" w:cs="Arial"/>
          <w:lang w:val="es-MX"/>
        </w:rPr>
        <w:t xml:space="preserve"> </w:t>
      </w:r>
      <w:r w:rsidR="004E096A" w:rsidRPr="00194E0E">
        <w:rPr>
          <w:rFonts w:ascii="Arial" w:hAnsi="Arial" w:cs="Arial"/>
          <w:lang w:val="es-MX"/>
        </w:rPr>
        <w:t>(V</w:t>
      </w:r>
      <w:r w:rsidR="007D02B1" w:rsidRPr="00194E0E">
        <w:rPr>
          <w:rFonts w:ascii="Arial" w:hAnsi="Arial" w:cs="Arial"/>
          <w:lang w:val="es-MX"/>
        </w:rPr>
        <w:t xml:space="preserve">er </w:t>
      </w:r>
      <w:r w:rsidR="004E096A" w:rsidRPr="00194E0E">
        <w:rPr>
          <w:rFonts w:ascii="Arial" w:hAnsi="Arial" w:cs="Arial"/>
          <w:lang w:val="es-MX"/>
        </w:rPr>
        <w:t xml:space="preserve">figura </w:t>
      </w:r>
      <w:r w:rsidR="00194E0E" w:rsidRPr="00194E0E">
        <w:rPr>
          <w:rFonts w:ascii="Arial" w:hAnsi="Arial" w:cs="Arial"/>
          <w:lang w:val="es-MX"/>
        </w:rPr>
        <w:t>10</w:t>
      </w:r>
      <w:r w:rsidR="004E096A" w:rsidRPr="00194E0E">
        <w:rPr>
          <w:rFonts w:ascii="Arial" w:hAnsi="Arial" w:cs="Arial"/>
          <w:lang w:val="es-MX"/>
        </w:rPr>
        <w:t>)</w:t>
      </w:r>
      <w:r w:rsidR="007D02B1" w:rsidRPr="00194E0E">
        <w:rPr>
          <w:rFonts w:ascii="Arial" w:hAnsi="Arial" w:cs="Arial"/>
          <w:lang w:val="es-MX"/>
        </w:rPr>
        <w:t>.</w:t>
      </w:r>
    </w:p>
    <w:p w14:paraId="0B79266D" w14:textId="537CBD5C" w:rsidR="00194E0E" w:rsidRPr="00194E0E" w:rsidRDefault="00194E0E" w:rsidP="00194E0E">
      <w:pPr>
        <w:pStyle w:val="Caption"/>
        <w:rPr>
          <w:rFonts w:ascii="Arial" w:hAnsi="Arial" w:cs="Arial"/>
          <w:color w:val="auto"/>
          <w:sz w:val="22"/>
          <w:szCs w:val="22"/>
          <w:lang w:val="es-MX"/>
        </w:rPr>
      </w:pPr>
      <w:bookmarkStart w:id="93" w:name="_Toc8904107"/>
      <w:r w:rsidRPr="00194E0E">
        <w:rPr>
          <w:rFonts w:ascii="Arial" w:hAnsi="Arial" w:cs="Arial"/>
          <w:color w:val="auto"/>
          <w:sz w:val="22"/>
          <w:szCs w:val="22"/>
        </w:rPr>
        <w:t xml:space="preserve">Figura </w:t>
      </w:r>
      <w:r w:rsidRPr="00194E0E">
        <w:rPr>
          <w:rFonts w:ascii="Arial" w:hAnsi="Arial" w:cs="Arial"/>
          <w:color w:val="auto"/>
          <w:sz w:val="22"/>
          <w:szCs w:val="22"/>
        </w:rPr>
        <w:fldChar w:fldCharType="begin"/>
      </w:r>
      <w:r w:rsidRPr="00194E0E">
        <w:rPr>
          <w:rFonts w:ascii="Arial" w:hAnsi="Arial" w:cs="Arial"/>
          <w:color w:val="auto"/>
          <w:sz w:val="22"/>
          <w:szCs w:val="22"/>
        </w:rPr>
        <w:instrText xml:space="preserve"> SEQ Figura \* ARABIC </w:instrText>
      </w:r>
      <w:r w:rsidRPr="00194E0E">
        <w:rPr>
          <w:rFonts w:ascii="Arial" w:hAnsi="Arial" w:cs="Arial"/>
          <w:color w:val="auto"/>
          <w:sz w:val="22"/>
          <w:szCs w:val="22"/>
        </w:rPr>
        <w:fldChar w:fldCharType="separate"/>
      </w:r>
      <w:r w:rsidR="00004563">
        <w:rPr>
          <w:rFonts w:ascii="Arial" w:hAnsi="Arial" w:cs="Arial"/>
          <w:noProof/>
          <w:color w:val="auto"/>
          <w:sz w:val="22"/>
          <w:szCs w:val="22"/>
        </w:rPr>
        <w:t>10</w:t>
      </w:r>
      <w:r w:rsidRPr="00194E0E">
        <w:rPr>
          <w:rFonts w:ascii="Arial" w:hAnsi="Arial" w:cs="Arial"/>
          <w:color w:val="auto"/>
          <w:sz w:val="22"/>
          <w:szCs w:val="22"/>
        </w:rPr>
        <w:fldChar w:fldCharType="end"/>
      </w:r>
      <w:r w:rsidRPr="00194E0E">
        <w:rPr>
          <w:rFonts w:ascii="Arial" w:hAnsi="Arial" w:cs="Arial"/>
          <w:color w:val="auto"/>
          <w:sz w:val="22"/>
          <w:szCs w:val="22"/>
        </w:rPr>
        <w:t>. Gasto público en salud como porcentaje del gasto público total</w:t>
      </w:r>
      <w:bookmarkEnd w:id="93"/>
    </w:p>
    <w:p w14:paraId="54F0238B" w14:textId="77777777" w:rsidR="003A324D" w:rsidRDefault="003A324D" w:rsidP="003A324D">
      <w:pPr>
        <w:spacing w:after="240" w:line="240" w:lineRule="auto"/>
        <w:jc w:val="both"/>
        <w:rPr>
          <w:rFonts w:ascii="Arial" w:hAnsi="Arial" w:cs="Arial"/>
          <w:lang w:val="es-419"/>
        </w:rPr>
      </w:pPr>
      <w:r w:rsidRPr="00DD37EC">
        <w:rPr>
          <w:rFonts w:ascii="Arial" w:hAnsi="Arial" w:cs="Arial"/>
          <w:noProof/>
        </w:rPr>
        <mc:AlternateContent>
          <mc:Choice Requires="wps">
            <w:drawing>
              <wp:anchor distT="0" distB="0" distL="114300" distR="114300" simplePos="0" relativeHeight="251691008" behindDoc="0" locked="0" layoutInCell="1" allowOverlap="1" wp14:anchorId="5BB103D2" wp14:editId="30EC6A7A">
                <wp:simplePos x="0" y="0"/>
                <wp:positionH relativeFrom="column">
                  <wp:posOffset>3618346</wp:posOffset>
                </wp:positionH>
                <wp:positionV relativeFrom="paragraph">
                  <wp:posOffset>513831</wp:posOffset>
                </wp:positionV>
                <wp:extent cx="287867" cy="1837266"/>
                <wp:effectExtent l="19050" t="19050" r="17145" b="10795"/>
                <wp:wrapNone/>
                <wp:docPr id="25" name="Rectangle 25"/>
                <wp:cNvGraphicFramePr/>
                <a:graphic xmlns:a="http://schemas.openxmlformats.org/drawingml/2006/main">
                  <a:graphicData uri="http://schemas.microsoft.com/office/word/2010/wordprocessingShape">
                    <wps:wsp>
                      <wps:cNvSpPr/>
                      <wps:spPr>
                        <a:xfrm>
                          <a:off x="0" y="0"/>
                          <a:ext cx="287867" cy="1837266"/>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C5A572B" id="Rectangle 25" o:spid="_x0000_s1026" style="position:absolute;margin-left:284.9pt;margin-top:40.45pt;width:22.65pt;height:144.65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" filled="f" strokecolor="red" strokeweight="2.25pt"/>
            </w:pict>
          </mc:Fallback>
        </mc:AlternateContent>
      </w:r>
      <w:r>
        <w:rPr>
          <w:rFonts w:ascii="Arial" w:hAnsi="Arial" w:cs="Arial"/>
          <w:noProof/>
          <w:lang w:val="es-419"/>
        </w:rPr>
        <w:drawing>
          <wp:inline distT="0" distB="0" distL="0" distR="0" wp14:anchorId="78BDA654" wp14:editId="1EA2E6D1">
            <wp:extent cx="5791200" cy="2562860"/>
            <wp:effectExtent l="0" t="0" r="0" b="889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91200" cy="2562860"/>
                    </a:xfrm>
                    <a:prstGeom prst="rect">
                      <a:avLst/>
                    </a:prstGeom>
                    <a:noFill/>
                    <a:ln>
                      <a:noFill/>
                    </a:ln>
                  </pic:spPr>
                </pic:pic>
              </a:graphicData>
            </a:graphic>
          </wp:inline>
        </w:drawing>
      </w:r>
    </w:p>
    <w:p w14:paraId="38A3406D" w14:textId="08C2C5FE" w:rsidR="00194E0E" w:rsidRDefault="003A324D" w:rsidP="00194E0E">
      <w:pPr>
        <w:spacing w:after="240" w:line="240" w:lineRule="auto"/>
        <w:jc w:val="both"/>
        <w:rPr>
          <w:rFonts w:ascii="Arial" w:hAnsi="Arial" w:cs="Arial"/>
          <w:i/>
          <w:sz w:val="20"/>
        </w:rPr>
      </w:pPr>
      <w:r w:rsidRPr="00167C47">
        <w:rPr>
          <w:rFonts w:ascii="Arial" w:hAnsi="Arial" w:cs="Arial"/>
          <w:i/>
          <w:sz w:val="20"/>
        </w:rPr>
        <w:t>Fuente: International Monetary Fund, World Economic Outlook Database (Junio 2016).</w:t>
      </w:r>
      <w:bookmarkStart w:id="94" w:name="_Hlk535495316"/>
    </w:p>
    <w:p w14:paraId="11385BA1" w14:textId="245AA829" w:rsidR="003A324D" w:rsidRPr="00194E0E" w:rsidRDefault="00194E0E" w:rsidP="00194E0E">
      <w:pPr>
        <w:pStyle w:val="Caption"/>
        <w:rPr>
          <w:rStyle w:val="IntenseReference"/>
          <w:rFonts w:ascii="Arial" w:hAnsi="Arial" w:cs="Arial"/>
          <w:i/>
          <w:smallCaps w:val="0"/>
          <w:color w:val="auto"/>
          <w:spacing w:val="0"/>
          <w:sz w:val="22"/>
          <w:szCs w:val="22"/>
          <w:lang w:val="es-MX"/>
        </w:rPr>
      </w:pPr>
      <w:bookmarkStart w:id="95" w:name="_Toc8904511"/>
      <w:r w:rsidRPr="00194E0E">
        <w:rPr>
          <w:rFonts w:ascii="Arial" w:hAnsi="Arial" w:cs="Arial"/>
          <w:color w:val="auto"/>
          <w:sz w:val="22"/>
          <w:szCs w:val="22"/>
        </w:rPr>
        <w:t xml:space="preserve">Tabla </w:t>
      </w:r>
      <w:r w:rsidRPr="00194E0E">
        <w:rPr>
          <w:rFonts w:ascii="Arial" w:hAnsi="Arial" w:cs="Arial"/>
          <w:color w:val="auto"/>
          <w:sz w:val="22"/>
          <w:szCs w:val="22"/>
        </w:rPr>
        <w:fldChar w:fldCharType="begin"/>
      </w:r>
      <w:r w:rsidRPr="00194E0E">
        <w:rPr>
          <w:rFonts w:ascii="Arial" w:hAnsi="Arial" w:cs="Arial"/>
          <w:color w:val="auto"/>
          <w:sz w:val="22"/>
          <w:szCs w:val="22"/>
        </w:rPr>
        <w:instrText xml:space="preserve"> SEQ Tabla \* ARABIC </w:instrText>
      </w:r>
      <w:r w:rsidRPr="00194E0E">
        <w:rPr>
          <w:rFonts w:ascii="Arial" w:hAnsi="Arial" w:cs="Arial"/>
          <w:color w:val="auto"/>
          <w:sz w:val="22"/>
          <w:szCs w:val="22"/>
        </w:rPr>
        <w:fldChar w:fldCharType="separate"/>
      </w:r>
      <w:r w:rsidR="00D447AE">
        <w:rPr>
          <w:rFonts w:ascii="Arial" w:hAnsi="Arial" w:cs="Arial"/>
          <w:noProof/>
          <w:color w:val="auto"/>
          <w:sz w:val="22"/>
          <w:szCs w:val="22"/>
        </w:rPr>
        <w:t>9</w:t>
      </w:r>
      <w:r w:rsidRPr="00194E0E">
        <w:rPr>
          <w:rFonts w:ascii="Arial" w:hAnsi="Arial" w:cs="Arial"/>
          <w:color w:val="auto"/>
          <w:sz w:val="22"/>
          <w:szCs w:val="22"/>
        </w:rPr>
        <w:fldChar w:fldCharType="end"/>
      </w:r>
      <w:r w:rsidRPr="00194E0E">
        <w:rPr>
          <w:rFonts w:ascii="Arial" w:hAnsi="Arial" w:cs="Arial"/>
          <w:color w:val="auto"/>
          <w:sz w:val="22"/>
          <w:szCs w:val="22"/>
        </w:rPr>
        <w:t>. Indicadores en financiamiento de la salud</w:t>
      </w:r>
      <w:bookmarkEnd w:id="95"/>
    </w:p>
    <w:tbl>
      <w:tblPr>
        <w:tblStyle w:val="TableGrid"/>
        <w:tblW w:w="9895" w:type="dxa"/>
        <w:tblLook w:val="04A0" w:firstRow="1" w:lastRow="0" w:firstColumn="1" w:lastColumn="0" w:noHBand="0" w:noVBand="1"/>
      </w:tblPr>
      <w:tblGrid>
        <w:gridCol w:w="6835"/>
        <w:gridCol w:w="873"/>
        <w:gridCol w:w="840"/>
        <w:gridCol w:w="1347"/>
      </w:tblGrid>
      <w:tr w:rsidR="003A324D" w:rsidRPr="00DD37EC" w14:paraId="1477FFE5" w14:textId="77777777" w:rsidTr="001A7AC9">
        <w:trPr>
          <w:trHeight w:hRule="exact" w:val="523"/>
        </w:trPr>
        <w:tc>
          <w:tcPr>
            <w:tcW w:w="6835" w:type="dxa"/>
            <w:shd w:val="clear" w:color="auto" w:fill="1F3864" w:themeFill="accent1" w:themeFillShade="80"/>
          </w:tcPr>
          <w:bookmarkEnd w:id="94"/>
          <w:p w14:paraId="3A1FDDA5" w14:textId="77777777" w:rsidR="003A324D" w:rsidRPr="00DD37EC" w:rsidRDefault="003A324D" w:rsidP="00D01BD5">
            <w:pPr>
              <w:spacing w:after="240"/>
              <w:rPr>
                <w:rFonts w:ascii="Arial" w:hAnsi="Arial" w:cs="Arial"/>
                <w:b/>
                <w:lang w:val="es-419"/>
              </w:rPr>
            </w:pPr>
            <w:r w:rsidRPr="00DD37EC">
              <w:rPr>
                <w:rFonts w:ascii="Arial" w:hAnsi="Arial" w:cs="Arial"/>
                <w:b/>
                <w:lang w:val="es-419"/>
              </w:rPr>
              <w:t>Indicador</w:t>
            </w:r>
          </w:p>
        </w:tc>
        <w:tc>
          <w:tcPr>
            <w:tcW w:w="873" w:type="dxa"/>
            <w:shd w:val="clear" w:color="auto" w:fill="1F3864" w:themeFill="accent1" w:themeFillShade="80"/>
          </w:tcPr>
          <w:p w14:paraId="7386D895" w14:textId="77777777" w:rsidR="003A324D" w:rsidRPr="00DD37EC" w:rsidRDefault="003A324D" w:rsidP="00D01BD5">
            <w:pPr>
              <w:spacing w:after="240"/>
              <w:rPr>
                <w:rFonts w:ascii="Arial" w:hAnsi="Arial" w:cs="Arial"/>
                <w:b/>
                <w:lang w:val="es-419"/>
              </w:rPr>
            </w:pPr>
            <w:r w:rsidRPr="00DD37EC">
              <w:rPr>
                <w:rFonts w:ascii="Arial" w:hAnsi="Arial" w:cs="Arial"/>
                <w:b/>
                <w:lang w:val="es-419"/>
              </w:rPr>
              <w:t>2011</w:t>
            </w:r>
          </w:p>
        </w:tc>
        <w:tc>
          <w:tcPr>
            <w:tcW w:w="840" w:type="dxa"/>
            <w:shd w:val="clear" w:color="auto" w:fill="1F3864" w:themeFill="accent1" w:themeFillShade="80"/>
          </w:tcPr>
          <w:p w14:paraId="172FBD93" w14:textId="77777777" w:rsidR="003A324D" w:rsidRPr="00DD37EC" w:rsidRDefault="003A324D" w:rsidP="00D01BD5">
            <w:pPr>
              <w:spacing w:after="240"/>
              <w:rPr>
                <w:rFonts w:ascii="Arial" w:hAnsi="Arial" w:cs="Arial"/>
                <w:b/>
                <w:lang w:val="es-419"/>
              </w:rPr>
            </w:pPr>
            <w:r w:rsidRPr="00DD37EC">
              <w:rPr>
                <w:rFonts w:ascii="Arial" w:hAnsi="Arial" w:cs="Arial"/>
                <w:b/>
                <w:lang w:val="es-419"/>
              </w:rPr>
              <w:t>2016</w:t>
            </w:r>
          </w:p>
        </w:tc>
        <w:tc>
          <w:tcPr>
            <w:tcW w:w="1347" w:type="dxa"/>
            <w:shd w:val="clear" w:color="auto" w:fill="1F3864" w:themeFill="accent1" w:themeFillShade="80"/>
          </w:tcPr>
          <w:p w14:paraId="1D88642E" w14:textId="77777777" w:rsidR="003A324D" w:rsidRPr="00DD37EC" w:rsidRDefault="003A324D" w:rsidP="00D01BD5">
            <w:pPr>
              <w:spacing w:after="240"/>
              <w:rPr>
                <w:rFonts w:ascii="Arial" w:hAnsi="Arial" w:cs="Arial"/>
                <w:b/>
                <w:lang w:val="es-419"/>
              </w:rPr>
            </w:pPr>
            <w:r w:rsidRPr="00DD37EC">
              <w:rPr>
                <w:rFonts w:ascii="Arial" w:hAnsi="Arial" w:cs="Arial"/>
                <w:b/>
                <w:lang w:val="es-419"/>
              </w:rPr>
              <w:t>Variación 2011-2016</w:t>
            </w:r>
          </w:p>
        </w:tc>
      </w:tr>
      <w:tr w:rsidR="003A324D" w:rsidRPr="00DD37EC" w14:paraId="7B8399D5" w14:textId="77777777" w:rsidTr="001A7AC9">
        <w:trPr>
          <w:trHeight w:val="224"/>
        </w:trPr>
        <w:tc>
          <w:tcPr>
            <w:tcW w:w="6835" w:type="dxa"/>
          </w:tcPr>
          <w:p w14:paraId="5AA0BD18" w14:textId="77777777" w:rsidR="003A324D" w:rsidRPr="00DD37EC" w:rsidRDefault="003A324D" w:rsidP="00D01BD5">
            <w:pPr>
              <w:spacing w:after="240"/>
              <w:rPr>
                <w:rFonts w:ascii="Arial" w:hAnsi="Arial" w:cs="Arial"/>
                <w:lang w:val="es-419"/>
              </w:rPr>
            </w:pPr>
            <w:r w:rsidRPr="00DD37EC">
              <w:rPr>
                <w:rFonts w:ascii="Arial" w:hAnsi="Arial" w:cs="Arial"/>
                <w:lang w:val="es-419"/>
              </w:rPr>
              <w:t>Gasto total en salud per cápita PPP</w:t>
            </w:r>
            <w:r>
              <w:rPr>
                <w:rFonts w:ascii="Arial" w:hAnsi="Arial" w:cs="Arial"/>
                <w:lang w:val="es-419"/>
              </w:rPr>
              <w:t>s (US$)*</w:t>
            </w:r>
          </w:p>
        </w:tc>
        <w:tc>
          <w:tcPr>
            <w:tcW w:w="873" w:type="dxa"/>
          </w:tcPr>
          <w:p w14:paraId="638337CE" w14:textId="77777777" w:rsidR="003A324D" w:rsidRPr="00DD37EC" w:rsidRDefault="003A324D" w:rsidP="00D01BD5">
            <w:pPr>
              <w:spacing w:after="240"/>
              <w:jc w:val="center"/>
              <w:rPr>
                <w:rFonts w:ascii="Arial" w:hAnsi="Arial" w:cs="Arial"/>
                <w:lang w:val="es-419"/>
              </w:rPr>
            </w:pPr>
            <w:r>
              <w:rPr>
                <w:rFonts w:ascii="Arial" w:hAnsi="Arial" w:cs="Arial"/>
                <w:lang w:val="es-419"/>
              </w:rPr>
              <w:t>309</w:t>
            </w:r>
          </w:p>
        </w:tc>
        <w:tc>
          <w:tcPr>
            <w:tcW w:w="840" w:type="dxa"/>
          </w:tcPr>
          <w:p w14:paraId="3C00BDDE" w14:textId="77777777" w:rsidR="003A324D" w:rsidRPr="00DD37EC" w:rsidRDefault="003A324D" w:rsidP="00D01BD5">
            <w:pPr>
              <w:spacing w:after="240"/>
              <w:jc w:val="center"/>
              <w:rPr>
                <w:rFonts w:ascii="Arial" w:hAnsi="Arial" w:cs="Arial"/>
                <w:lang w:val="es-419"/>
              </w:rPr>
            </w:pPr>
            <w:r>
              <w:rPr>
                <w:rFonts w:ascii="Arial" w:hAnsi="Arial" w:cs="Arial"/>
                <w:lang w:val="es-419"/>
              </w:rPr>
              <w:t>353*</w:t>
            </w:r>
          </w:p>
        </w:tc>
        <w:tc>
          <w:tcPr>
            <w:tcW w:w="1347" w:type="dxa"/>
          </w:tcPr>
          <w:p w14:paraId="0380B3EF" w14:textId="77777777" w:rsidR="003A324D" w:rsidRPr="00DD37EC" w:rsidRDefault="003A324D" w:rsidP="00D01BD5">
            <w:pPr>
              <w:spacing w:after="240"/>
              <w:jc w:val="center"/>
              <w:rPr>
                <w:rFonts w:ascii="Arial" w:hAnsi="Arial" w:cs="Arial"/>
                <w:lang w:val="es-419"/>
              </w:rPr>
            </w:pPr>
            <w:r>
              <w:rPr>
                <w:rFonts w:ascii="Arial" w:hAnsi="Arial" w:cs="Arial"/>
                <w:lang w:val="es-419"/>
              </w:rPr>
              <w:t>14%</w:t>
            </w:r>
          </w:p>
        </w:tc>
      </w:tr>
      <w:tr w:rsidR="003A324D" w:rsidRPr="00DD37EC" w14:paraId="6CBA8361" w14:textId="77777777" w:rsidTr="001A7AC9">
        <w:trPr>
          <w:trHeight w:val="80"/>
        </w:trPr>
        <w:tc>
          <w:tcPr>
            <w:tcW w:w="6835" w:type="dxa"/>
          </w:tcPr>
          <w:p w14:paraId="02B1818F" w14:textId="77777777" w:rsidR="003A324D" w:rsidRPr="00DD37EC" w:rsidRDefault="003A324D" w:rsidP="00D01BD5">
            <w:pPr>
              <w:spacing w:after="240"/>
              <w:rPr>
                <w:rFonts w:ascii="Arial" w:hAnsi="Arial" w:cs="Arial"/>
                <w:lang w:val="es-419"/>
              </w:rPr>
            </w:pPr>
            <w:r w:rsidRPr="00DD37EC">
              <w:rPr>
                <w:rFonts w:ascii="Arial" w:hAnsi="Arial" w:cs="Arial"/>
                <w:lang w:val="es-419"/>
              </w:rPr>
              <w:t>Gasto en salud como % del PIB</w:t>
            </w:r>
            <w:r>
              <w:rPr>
                <w:rFonts w:ascii="Arial" w:hAnsi="Arial" w:cs="Arial"/>
                <w:lang w:val="es-419"/>
              </w:rPr>
              <w:t>*</w:t>
            </w:r>
          </w:p>
        </w:tc>
        <w:tc>
          <w:tcPr>
            <w:tcW w:w="873" w:type="dxa"/>
          </w:tcPr>
          <w:p w14:paraId="6EC4041E" w14:textId="77777777" w:rsidR="003A324D" w:rsidRPr="00DD37EC" w:rsidRDefault="003A324D" w:rsidP="00D01BD5">
            <w:pPr>
              <w:spacing w:after="240"/>
              <w:jc w:val="center"/>
              <w:rPr>
                <w:rFonts w:ascii="Arial" w:hAnsi="Arial" w:cs="Arial"/>
                <w:lang w:val="es-419"/>
              </w:rPr>
            </w:pPr>
            <w:r>
              <w:rPr>
                <w:rFonts w:ascii="Arial" w:hAnsi="Arial" w:cs="Arial"/>
                <w:lang w:val="es-419"/>
              </w:rPr>
              <w:t>7.6%</w:t>
            </w:r>
          </w:p>
        </w:tc>
        <w:tc>
          <w:tcPr>
            <w:tcW w:w="840" w:type="dxa"/>
          </w:tcPr>
          <w:p w14:paraId="70DEE371" w14:textId="77777777" w:rsidR="003A324D" w:rsidRPr="00DD37EC" w:rsidRDefault="003A324D" w:rsidP="00D01BD5">
            <w:pPr>
              <w:spacing w:after="240"/>
              <w:jc w:val="center"/>
              <w:rPr>
                <w:rFonts w:ascii="Arial" w:hAnsi="Arial" w:cs="Arial"/>
                <w:lang w:val="es-419"/>
              </w:rPr>
            </w:pPr>
            <w:r w:rsidRPr="00DD37EC">
              <w:rPr>
                <w:rFonts w:ascii="Arial" w:hAnsi="Arial" w:cs="Arial"/>
                <w:lang w:val="es-419"/>
              </w:rPr>
              <w:t>7.6%</w:t>
            </w:r>
            <w:r>
              <w:rPr>
                <w:rFonts w:ascii="Arial" w:hAnsi="Arial" w:cs="Arial"/>
                <w:lang w:val="es-419"/>
              </w:rPr>
              <w:t>*</w:t>
            </w:r>
          </w:p>
        </w:tc>
        <w:tc>
          <w:tcPr>
            <w:tcW w:w="1347" w:type="dxa"/>
          </w:tcPr>
          <w:p w14:paraId="31C8503A" w14:textId="77777777" w:rsidR="003A324D" w:rsidRPr="00DD37EC" w:rsidRDefault="003A324D" w:rsidP="00D01BD5">
            <w:pPr>
              <w:spacing w:after="240"/>
              <w:jc w:val="center"/>
              <w:rPr>
                <w:rFonts w:ascii="Arial" w:hAnsi="Arial" w:cs="Arial"/>
                <w:lang w:val="es-419"/>
              </w:rPr>
            </w:pPr>
            <w:r>
              <w:rPr>
                <w:rFonts w:ascii="Arial" w:hAnsi="Arial" w:cs="Arial"/>
                <w:lang w:val="es-419"/>
              </w:rPr>
              <w:t>0 pp</w:t>
            </w:r>
          </w:p>
        </w:tc>
      </w:tr>
      <w:tr w:rsidR="003A324D" w:rsidRPr="00DD37EC" w14:paraId="1782C881" w14:textId="77777777" w:rsidTr="001A7AC9">
        <w:tc>
          <w:tcPr>
            <w:tcW w:w="6835" w:type="dxa"/>
          </w:tcPr>
          <w:p w14:paraId="4A4F16ED" w14:textId="77777777" w:rsidR="003A324D" w:rsidRPr="00DD37EC" w:rsidRDefault="003A324D" w:rsidP="00D01BD5">
            <w:pPr>
              <w:spacing w:after="240"/>
              <w:rPr>
                <w:rFonts w:ascii="Arial" w:hAnsi="Arial" w:cs="Arial"/>
                <w:lang w:val="es-419"/>
              </w:rPr>
            </w:pPr>
            <w:r w:rsidRPr="00DD37EC">
              <w:rPr>
                <w:rFonts w:ascii="Arial" w:hAnsi="Arial" w:cs="Arial"/>
                <w:lang w:val="es-419"/>
              </w:rPr>
              <w:t>Gasto público como % del gasto total</w:t>
            </w:r>
            <w:r>
              <w:rPr>
                <w:rFonts w:ascii="Arial" w:hAnsi="Arial" w:cs="Arial"/>
                <w:lang w:val="es-419"/>
              </w:rPr>
              <w:t xml:space="preserve"> en salud</w:t>
            </w:r>
          </w:p>
        </w:tc>
        <w:tc>
          <w:tcPr>
            <w:tcW w:w="873" w:type="dxa"/>
          </w:tcPr>
          <w:p w14:paraId="572F5125" w14:textId="77777777" w:rsidR="003A324D" w:rsidRPr="00DD37EC" w:rsidRDefault="003A324D" w:rsidP="00D01BD5">
            <w:pPr>
              <w:spacing w:after="240"/>
              <w:jc w:val="center"/>
              <w:rPr>
                <w:rFonts w:ascii="Arial" w:hAnsi="Arial" w:cs="Arial"/>
                <w:lang w:val="es-419"/>
              </w:rPr>
            </w:pPr>
            <w:r>
              <w:rPr>
                <w:rFonts w:ascii="Arial" w:hAnsi="Arial" w:cs="Arial"/>
                <w:lang w:val="es-419"/>
              </w:rPr>
              <w:t>45%</w:t>
            </w:r>
          </w:p>
        </w:tc>
        <w:tc>
          <w:tcPr>
            <w:tcW w:w="840" w:type="dxa"/>
          </w:tcPr>
          <w:p w14:paraId="4D48EA7B" w14:textId="77777777" w:rsidR="003A324D" w:rsidRPr="00DD37EC" w:rsidRDefault="003A324D" w:rsidP="00D01BD5">
            <w:pPr>
              <w:spacing w:after="240"/>
              <w:jc w:val="center"/>
              <w:rPr>
                <w:rFonts w:ascii="Arial" w:hAnsi="Arial" w:cs="Arial"/>
                <w:lang w:val="es-419"/>
              </w:rPr>
            </w:pPr>
            <w:r w:rsidRPr="00DD37EC">
              <w:rPr>
                <w:rFonts w:ascii="Arial" w:hAnsi="Arial" w:cs="Arial"/>
                <w:lang w:val="es-419"/>
              </w:rPr>
              <w:t>46.0%</w:t>
            </w:r>
          </w:p>
        </w:tc>
        <w:tc>
          <w:tcPr>
            <w:tcW w:w="1347" w:type="dxa"/>
          </w:tcPr>
          <w:p w14:paraId="35D06A17" w14:textId="403F17BB" w:rsidR="003A324D" w:rsidRPr="00DD37EC" w:rsidRDefault="003A324D" w:rsidP="001A7AC9">
            <w:pPr>
              <w:spacing w:after="240"/>
              <w:jc w:val="center"/>
              <w:rPr>
                <w:rFonts w:ascii="Arial" w:hAnsi="Arial" w:cs="Arial"/>
                <w:lang w:val="es-419"/>
              </w:rPr>
            </w:pPr>
            <w:r>
              <w:rPr>
                <w:rFonts w:ascii="Arial" w:hAnsi="Arial" w:cs="Arial"/>
                <w:lang w:val="es-419"/>
              </w:rPr>
              <w:t>1 pp</w:t>
            </w:r>
          </w:p>
        </w:tc>
      </w:tr>
      <w:tr w:rsidR="003A324D" w:rsidRPr="00DD37EC" w14:paraId="00A54BBC" w14:textId="77777777" w:rsidTr="001A7AC9">
        <w:tc>
          <w:tcPr>
            <w:tcW w:w="6835" w:type="dxa"/>
          </w:tcPr>
          <w:p w14:paraId="0F52BB22" w14:textId="77777777" w:rsidR="003A324D" w:rsidRPr="00DD37EC" w:rsidRDefault="003A324D" w:rsidP="00D01BD5">
            <w:pPr>
              <w:spacing w:after="240"/>
              <w:rPr>
                <w:rFonts w:ascii="Arial" w:hAnsi="Arial" w:cs="Arial"/>
                <w:lang w:val="es-419"/>
              </w:rPr>
            </w:pPr>
            <w:r w:rsidRPr="00DD37EC">
              <w:rPr>
                <w:rFonts w:ascii="Arial" w:hAnsi="Arial" w:cs="Arial"/>
                <w:lang w:val="es-419"/>
              </w:rPr>
              <w:t>Gasto privado como % del gasto total</w:t>
            </w:r>
            <w:r>
              <w:rPr>
                <w:rFonts w:ascii="Arial" w:hAnsi="Arial" w:cs="Arial"/>
                <w:lang w:val="es-419"/>
              </w:rPr>
              <w:t xml:space="preserve"> en salud</w:t>
            </w:r>
          </w:p>
        </w:tc>
        <w:tc>
          <w:tcPr>
            <w:tcW w:w="873" w:type="dxa"/>
          </w:tcPr>
          <w:p w14:paraId="73E1B8A7" w14:textId="77777777" w:rsidR="003A324D" w:rsidRPr="00DD37EC" w:rsidRDefault="003A324D" w:rsidP="00D01BD5">
            <w:pPr>
              <w:spacing w:after="240"/>
              <w:jc w:val="center"/>
              <w:rPr>
                <w:rFonts w:ascii="Arial" w:hAnsi="Arial" w:cs="Arial"/>
                <w:lang w:val="es-419"/>
              </w:rPr>
            </w:pPr>
            <w:r>
              <w:rPr>
                <w:rFonts w:ascii="Arial" w:hAnsi="Arial" w:cs="Arial"/>
                <w:lang w:val="es-419"/>
              </w:rPr>
              <w:t>1.0%</w:t>
            </w:r>
          </w:p>
        </w:tc>
        <w:tc>
          <w:tcPr>
            <w:tcW w:w="840" w:type="dxa"/>
          </w:tcPr>
          <w:p w14:paraId="3575CC70" w14:textId="77777777" w:rsidR="003A324D" w:rsidRPr="00DD37EC" w:rsidRDefault="003A324D" w:rsidP="00D01BD5">
            <w:pPr>
              <w:spacing w:after="240"/>
              <w:jc w:val="center"/>
              <w:rPr>
                <w:rFonts w:ascii="Arial" w:hAnsi="Arial" w:cs="Arial"/>
                <w:lang w:val="es-419"/>
              </w:rPr>
            </w:pPr>
            <w:r w:rsidRPr="00DD37EC">
              <w:rPr>
                <w:rFonts w:ascii="Arial" w:hAnsi="Arial" w:cs="Arial"/>
                <w:lang w:val="es-419"/>
              </w:rPr>
              <w:t>1.0%</w:t>
            </w:r>
          </w:p>
        </w:tc>
        <w:tc>
          <w:tcPr>
            <w:tcW w:w="1347" w:type="dxa"/>
          </w:tcPr>
          <w:p w14:paraId="0330C294" w14:textId="77777777" w:rsidR="003A324D" w:rsidRPr="00DD37EC" w:rsidRDefault="003A324D" w:rsidP="00D01BD5">
            <w:pPr>
              <w:spacing w:after="240"/>
              <w:jc w:val="center"/>
              <w:rPr>
                <w:rFonts w:ascii="Arial" w:hAnsi="Arial" w:cs="Arial"/>
                <w:lang w:val="es-419"/>
              </w:rPr>
            </w:pPr>
            <w:r>
              <w:rPr>
                <w:rFonts w:ascii="Arial" w:hAnsi="Arial" w:cs="Arial"/>
                <w:lang w:val="es-419"/>
              </w:rPr>
              <w:t>0 pp</w:t>
            </w:r>
          </w:p>
        </w:tc>
      </w:tr>
      <w:tr w:rsidR="003A324D" w:rsidRPr="00DD37EC" w14:paraId="2C73C7E2" w14:textId="77777777" w:rsidTr="001A7AC9">
        <w:tc>
          <w:tcPr>
            <w:tcW w:w="6835" w:type="dxa"/>
          </w:tcPr>
          <w:p w14:paraId="605725F7" w14:textId="77777777" w:rsidR="003A324D" w:rsidRPr="00DD37EC" w:rsidRDefault="003A324D" w:rsidP="00D01BD5">
            <w:pPr>
              <w:spacing w:after="240"/>
              <w:rPr>
                <w:rFonts w:ascii="Arial" w:hAnsi="Arial" w:cs="Arial"/>
                <w:lang w:val="es-419"/>
              </w:rPr>
            </w:pPr>
            <w:r w:rsidRPr="00DD37EC">
              <w:rPr>
                <w:rFonts w:ascii="Arial" w:hAnsi="Arial" w:cs="Arial"/>
                <w:lang w:val="es-419"/>
              </w:rPr>
              <w:lastRenderedPageBreak/>
              <w:t>Gasto de bolsillo como % del gasto total</w:t>
            </w:r>
            <w:r>
              <w:rPr>
                <w:rFonts w:ascii="Arial" w:hAnsi="Arial" w:cs="Arial"/>
                <w:lang w:val="es-419"/>
              </w:rPr>
              <w:t xml:space="preserve"> en salud</w:t>
            </w:r>
          </w:p>
        </w:tc>
        <w:tc>
          <w:tcPr>
            <w:tcW w:w="873" w:type="dxa"/>
          </w:tcPr>
          <w:p w14:paraId="0A586E30" w14:textId="77777777" w:rsidR="003A324D" w:rsidRPr="00DD37EC" w:rsidRDefault="003A324D" w:rsidP="00D01BD5">
            <w:pPr>
              <w:spacing w:after="240"/>
              <w:jc w:val="center"/>
              <w:rPr>
                <w:rFonts w:ascii="Arial" w:hAnsi="Arial" w:cs="Arial"/>
                <w:lang w:val="es-419"/>
              </w:rPr>
            </w:pPr>
            <w:r>
              <w:rPr>
                <w:rFonts w:ascii="Arial" w:hAnsi="Arial" w:cs="Arial"/>
                <w:lang w:val="es-419"/>
              </w:rPr>
              <w:t>46%</w:t>
            </w:r>
          </w:p>
        </w:tc>
        <w:tc>
          <w:tcPr>
            <w:tcW w:w="840" w:type="dxa"/>
          </w:tcPr>
          <w:p w14:paraId="7D87D8A9" w14:textId="77777777" w:rsidR="003A324D" w:rsidRPr="00DD37EC" w:rsidRDefault="003A324D" w:rsidP="00D01BD5">
            <w:pPr>
              <w:spacing w:after="240"/>
              <w:jc w:val="center"/>
              <w:rPr>
                <w:rFonts w:ascii="Arial" w:hAnsi="Arial" w:cs="Arial"/>
                <w:lang w:val="es-419"/>
              </w:rPr>
            </w:pPr>
            <w:r w:rsidRPr="00DD37EC">
              <w:rPr>
                <w:rFonts w:ascii="Arial" w:hAnsi="Arial" w:cs="Arial"/>
                <w:lang w:val="es-419"/>
              </w:rPr>
              <w:t>45.0%</w:t>
            </w:r>
          </w:p>
        </w:tc>
        <w:tc>
          <w:tcPr>
            <w:tcW w:w="1347" w:type="dxa"/>
          </w:tcPr>
          <w:p w14:paraId="5F8FD88F" w14:textId="77777777" w:rsidR="003A324D" w:rsidRPr="00DD37EC" w:rsidRDefault="003A324D" w:rsidP="00D01BD5">
            <w:pPr>
              <w:spacing w:after="240"/>
              <w:jc w:val="center"/>
              <w:rPr>
                <w:rFonts w:ascii="Arial" w:hAnsi="Arial" w:cs="Arial"/>
                <w:lang w:val="es-419"/>
              </w:rPr>
            </w:pPr>
            <w:r>
              <w:rPr>
                <w:rFonts w:ascii="Arial" w:hAnsi="Arial" w:cs="Arial"/>
                <w:lang w:val="es-419"/>
              </w:rPr>
              <w:t>-1 pp</w:t>
            </w:r>
          </w:p>
        </w:tc>
      </w:tr>
      <w:tr w:rsidR="003A324D" w:rsidRPr="00DD37EC" w14:paraId="24137ECD" w14:textId="77777777" w:rsidTr="001A7AC9">
        <w:tc>
          <w:tcPr>
            <w:tcW w:w="6835" w:type="dxa"/>
          </w:tcPr>
          <w:p w14:paraId="70C7EC16" w14:textId="77777777" w:rsidR="003A324D" w:rsidRPr="00DD37EC" w:rsidRDefault="003A324D" w:rsidP="00D01BD5">
            <w:pPr>
              <w:spacing w:after="240"/>
              <w:rPr>
                <w:rFonts w:ascii="Arial" w:hAnsi="Arial" w:cs="Arial"/>
                <w:lang w:val="es-419"/>
              </w:rPr>
            </w:pPr>
            <w:r w:rsidRPr="00DD37EC">
              <w:rPr>
                <w:rFonts w:ascii="Arial" w:hAnsi="Arial" w:cs="Arial"/>
                <w:lang w:val="es-419"/>
              </w:rPr>
              <w:t>Gasto externo como % del gasto total</w:t>
            </w:r>
            <w:r>
              <w:rPr>
                <w:rFonts w:ascii="Arial" w:hAnsi="Arial" w:cs="Arial"/>
                <w:lang w:val="es-419"/>
              </w:rPr>
              <w:t xml:space="preserve"> en salud</w:t>
            </w:r>
          </w:p>
        </w:tc>
        <w:tc>
          <w:tcPr>
            <w:tcW w:w="873" w:type="dxa"/>
          </w:tcPr>
          <w:p w14:paraId="40B8F0AB" w14:textId="77777777" w:rsidR="003A324D" w:rsidRPr="00DD37EC" w:rsidRDefault="003A324D" w:rsidP="00D01BD5">
            <w:pPr>
              <w:spacing w:after="240"/>
              <w:jc w:val="center"/>
              <w:rPr>
                <w:rFonts w:ascii="Arial" w:hAnsi="Arial" w:cs="Arial"/>
                <w:lang w:val="es-419"/>
              </w:rPr>
            </w:pPr>
            <w:r>
              <w:rPr>
                <w:rFonts w:ascii="Arial" w:hAnsi="Arial" w:cs="Arial"/>
                <w:lang w:val="es-419"/>
              </w:rPr>
              <w:t>4.0%</w:t>
            </w:r>
          </w:p>
        </w:tc>
        <w:tc>
          <w:tcPr>
            <w:tcW w:w="840" w:type="dxa"/>
          </w:tcPr>
          <w:p w14:paraId="11F5A086" w14:textId="77777777" w:rsidR="003A324D" w:rsidRPr="00DD37EC" w:rsidRDefault="003A324D" w:rsidP="00D01BD5">
            <w:pPr>
              <w:spacing w:after="240"/>
              <w:jc w:val="center"/>
              <w:rPr>
                <w:rFonts w:ascii="Arial" w:hAnsi="Arial" w:cs="Arial"/>
                <w:lang w:val="es-419"/>
              </w:rPr>
            </w:pPr>
            <w:r w:rsidRPr="00DD37EC">
              <w:rPr>
                <w:rFonts w:ascii="Arial" w:hAnsi="Arial" w:cs="Arial"/>
                <w:lang w:val="es-419"/>
              </w:rPr>
              <w:t>3.0%</w:t>
            </w:r>
          </w:p>
        </w:tc>
        <w:tc>
          <w:tcPr>
            <w:tcW w:w="1347" w:type="dxa"/>
          </w:tcPr>
          <w:p w14:paraId="171BE456" w14:textId="77777777" w:rsidR="003A324D" w:rsidRPr="00DD37EC" w:rsidRDefault="003A324D" w:rsidP="00D01BD5">
            <w:pPr>
              <w:spacing w:after="240"/>
              <w:jc w:val="center"/>
              <w:rPr>
                <w:rFonts w:ascii="Arial" w:hAnsi="Arial" w:cs="Arial"/>
                <w:lang w:val="es-419"/>
              </w:rPr>
            </w:pPr>
            <w:r>
              <w:rPr>
                <w:rFonts w:ascii="Arial" w:hAnsi="Arial" w:cs="Arial"/>
                <w:lang w:val="es-419"/>
              </w:rPr>
              <w:t>-1 pp</w:t>
            </w:r>
          </w:p>
        </w:tc>
      </w:tr>
      <w:tr w:rsidR="003A324D" w:rsidRPr="00DD37EC" w14:paraId="11D2EC47" w14:textId="77777777" w:rsidTr="001A7AC9">
        <w:tc>
          <w:tcPr>
            <w:tcW w:w="6835" w:type="dxa"/>
          </w:tcPr>
          <w:p w14:paraId="1AF443DC" w14:textId="77777777" w:rsidR="003A324D" w:rsidRPr="00DD37EC" w:rsidRDefault="003A324D" w:rsidP="00D01BD5">
            <w:pPr>
              <w:spacing w:after="240"/>
              <w:rPr>
                <w:rFonts w:ascii="Arial" w:hAnsi="Arial" w:cs="Arial"/>
                <w:lang w:val="es-419"/>
              </w:rPr>
            </w:pPr>
            <w:r w:rsidRPr="00DD37EC">
              <w:rPr>
                <w:rFonts w:ascii="Arial" w:hAnsi="Arial" w:cs="Arial"/>
                <w:lang w:val="es-419"/>
              </w:rPr>
              <w:t>Gasto en seguro voluntario como % del gasto total</w:t>
            </w:r>
            <w:r>
              <w:rPr>
                <w:rFonts w:ascii="Arial" w:hAnsi="Arial" w:cs="Arial"/>
                <w:lang w:val="es-419"/>
              </w:rPr>
              <w:t xml:space="preserve"> en salud</w:t>
            </w:r>
          </w:p>
        </w:tc>
        <w:tc>
          <w:tcPr>
            <w:tcW w:w="873" w:type="dxa"/>
          </w:tcPr>
          <w:p w14:paraId="27DC0A0B" w14:textId="77777777" w:rsidR="003A324D" w:rsidRPr="00DD37EC" w:rsidRDefault="003A324D" w:rsidP="00D01BD5">
            <w:pPr>
              <w:spacing w:after="240"/>
              <w:jc w:val="center"/>
              <w:rPr>
                <w:rFonts w:ascii="Arial" w:hAnsi="Arial" w:cs="Arial"/>
                <w:lang w:val="es-419"/>
              </w:rPr>
            </w:pPr>
            <w:r>
              <w:rPr>
                <w:rFonts w:ascii="Arial" w:hAnsi="Arial" w:cs="Arial"/>
                <w:lang w:val="es-419"/>
              </w:rPr>
              <w:t>4.0%</w:t>
            </w:r>
          </w:p>
        </w:tc>
        <w:tc>
          <w:tcPr>
            <w:tcW w:w="840" w:type="dxa"/>
          </w:tcPr>
          <w:p w14:paraId="3F7A0789" w14:textId="77777777" w:rsidR="003A324D" w:rsidRPr="00DD37EC" w:rsidRDefault="003A324D" w:rsidP="00D01BD5">
            <w:pPr>
              <w:spacing w:after="240"/>
              <w:jc w:val="center"/>
              <w:rPr>
                <w:rFonts w:ascii="Arial" w:hAnsi="Arial" w:cs="Arial"/>
                <w:lang w:val="es-419"/>
              </w:rPr>
            </w:pPr>
            <w:r w:rsidRPr="00DD37EC">
              <w:rPr>
                <w:rFonts w:ascii="Arial" w:hAnsi="Arial" w:cs="Arial"/>
                <w:lang w:val="es-419"/>
              </w:rPr>
              <w:t>5.0%</w:t>
            </w:r>
          </w:p>
        </w:tc>
        <w:tc>
          <w:tcPr>
            <w:tcW w:w="1347" w:type="dxa"/>
          </w:tcPr>
          <w:p w14:paraId="477FEDCF" w14:textId="77777777" w:rsidR="003A324D" w:rsidRPr="00DD37EC" w:rsidRDefault="003A324D" w:rsidP="00D01BD5">
            <w:pPr>
              <w:spacing w:after="240"/>
              <w:jc w:val="center"/>
              <w:rPr>
                <w:rFonts w:ascii="Arial" w:hAnsi="Arial" w:cs="Arial"/>
                <w:lang w:val="es-419"/>
              </w:rPr>
            </w:pPr>
            <w:r>
              <w:rPr>
                <w:rFonts w:ascii="Arial" w:hAnsi="Arial" w:cs="Arial"/>
                <w:lang w:val="es-419"/>
              </w:rPr>
              <w:t>1 pp</w:t>
            </w:r>
          </w:p>
        </w:tc>
      </w:tr>
      <w:tr w:rsidR="003A324D" w:rsidRPr="00DD37EC" w14:paraId="05E7E5F5" w14:textId="77777777" w:rsidTr="001A7AC9">
        <w:tc>
          <w:tcPr>
            <w:tcW w:w="6835" w:type="dxa"/>
          </w:tcPr>
          <w:p w14:paraId="63BF1D9B" w14:textId="77777777" w:rsidR="003A324D" w:rsidRPr="00DD37EC" w:rsidRDefault="003A324D" w:rsidP="00D01BD5">
            <w:pPr>
              <w:spacing w:after="240"/>
              <w:rPr>
                <w:rFonts w:ascii="Arial" w:hAnsi="Arial" w:cs="Arial"/>
                <w:lang w:val="es-MX"/>
              </w:rPr>
            </w:pPr>
            <w:r w:rsidRPr="00DD37EC">
              <w:rPr>
                <w:rFonts w:ascii="Arial" w:hAnsi="Arial" w:cs="Arial"/>
                <w:lang w:val="es-419"/>
              </w:rPr>
              <w:t>Gasto de seguridad social como % del gasto público total</w:t>
            </w:r>
            <w:r>
              <w:rPr>
                <w:rFonts w:ascii="Arial" w:hAnsi="Arial" w:cs="Arial"/>
                <w:lang w:val="es-419"/>
              </w:rPr>
              <w:t xml:space="preserve"> en salud</w:t>
            </w:r>
          </w:p>
        </w:tc>
        <w:tc>
          <w:tcPr>
            <w:tcW w:w="873" w:type="dxa"/>
          </w:tcPr>
          <w:p w14:paraId="35DFBDE4" w14:textId="77777777" w:rsidR="003A324D" w:rsidRPr="00DD37EC" w:rsidRDefault="003A324D" w:rsidP="00D01BD5">
            <w:pPr>
              <w:spacing w:after="240"/>
              <w:jc w:val="center"/>
              <w:rPr>
                <w:rFonts w:ascii="Arial" w:hAnsi="Arial" w:cs="Arial"/>
                <w:lang w:val="es-MX"/>
              </w:rPr>
            </w:pPr>
            <w:r>
              <w:rPr>
                <w:rFonts w:ascii="Arial" w:hAnsi="Arial" w:cs="Arial"/>
                <w:lang w:val="es-MX"/>
              </w:rPr>
              <w:t>11%</w:t>
            </w:r>
          </w:p>
        </w:tc>
        <w:tc>
          <w:tcPr>
            <w:tcW w:w="840" w:type="dxa"/>
          </w:tcPr>
          <w:p w14:paraId="6384B3F6" w14:textId="77777777" w:rsidR="003A324D" w:rsidRPr="00DD37EC" w:rsidRDefault="003A324D" w:rsidP="00D01BD5">
            <w:pPr>
              <w:spacing w:after="240"/>
              <w:jc w:val="center"/>
              <w:rPr>
                <w:rFonts w:ascii="Arial" w:hAnsi="Arial" w:cs="Arial"/>
                <w:lang w:val="es-MX"/>
              </w:rPr>
            </w:pPr>
            <w:r w:rsidRPr="00DD37EC">
              <w:rPr>
                <w:rFonts w:ascii="Arial" w:hAnsi="Arial" w:cs="Arial"/>
                <w:lang w:val="es-MX"/>
              </w:rPr>
              <w:t>12%</w:t>
            </w:r>
          </w:p>
        </w:tc>
        <w:tc>
          <w:tcPr>
            <w:tcW w:w="1347" w:type="dxa"/>
          </w:tcPr>
          <w:p w14:paraId="74F8BFED" w14:textId="77777777" w:rsidR="003A324D" w:rsidRPr="00DD37EC" w:rsidRDefault="003A324D" w:rsidP="00D01BD5">
            <w:pPr>
              <w:spacing w:after="240"/>
              <w:jc w:val="center"/>
              <w:rPr>
                <w:rFonts w:ascii="Arial" w:hAnsi="Arial" w:cs="Arial"/>
                <w:lang w:val="es-MX"/>
              </w:rPr>
            </w:pPr>
            <w:r>
              <w:rPr>
                <w:rFonts w:ascii="Arial" w:hAnsi="Arial" w:cs="Arial"/>
                <w:lang w:val="es-MX"/>
              </w:rPr>
              <w:t>1 pp</w:t>
            </w:r>
          </w:p>
        </w:tc>
      </w:tr>
    </w:tbl>
    <w:p w14:paraId="2C6D890C" w14:textId="77777777" w:rsidR="003A324D" w:rsidRPr="00893C0C" w:rsidRDefault="003A324D" w:rsidP="003A324D">
      <w:pPr>
        <w:spacing w:after="0" w:line="240" w:lineRule="auto"/>
        <w:rPr>
          <w:rFonts w:ascii="Arial" w:hAnsi="Arial" w:cs="Arial"/>
          <w:sz w:val="20"/>
          <w:lang w:val="es-MX"/>
        </w:rPr>
      </w:pPr>
      <w:r w:rsidRPr="00893C0C">
        <w:rPr>
          <w:rFonts w:ascii="Arial" w:hAnsi="Arial" w:cs="Arial"/>
          <w:sz w:val="20"/>
          <w:lang w:val="es-MX"/>
        </w:rPr>
        <w:t>*2015. Pp, variación en puntos porcentuales</w:t>
      </w:r>
    </w:p>
    <w:p w14:paraId="012F6F2C" w14:textId="79F7E3FA" w:rsidR="003A324D" w:rsidRPr="00167C47" w:rsidRDefault="003A324D" w:rsidP="003A324D">
      <w:pPr>
        <w:spacing w:after="0" w:line="240" w:lineRule="auto"/>
        <w:rPr>
          <w:rFonts w:ascii="Arial" w:hAnsi="Arial" w:cs="Arial"/>
          <w:i/>
          <w:sz w:val="20"/>
        </w:rPr>
      </w:pPr>
      <w:r w:rsidRPr="00167C47">
        <w:rPr>
          <w:rFonts w:ascii="Arial" w:hAnsi="Arial" w:cs="Arial"/>
          <w:i/>
          <w:sz w:val="20"/>
        </w:rPr>
        <w:t>Fuente: OMS, Global Health Expenditure Dataset</w:t>
      </w:r>
    </w:p>
    <w:p w14:paraId="35F1DCB7" w14:textId="77777777" w:rsidR="00A27FB0" w:rsidRPr="001D71A0" w:rsidRDefault="00A27FB0" w:rsidP="003A324D">
      <w:pPr>
        <w:spacing w:after="0" w:line="240" w:lineRule="auto"/>
        <w:rPr>
          <w:rFonts w:ascii="Arial" w:hAnsi="Arial" w:cs="Arial"/>
          <w:sz w:val="20"/>
        </w:rPr>
      </w:pPr>
    </w:p>
    <w:p w14:paraId="13C8AE59" w14:textId="77777777" w:rsidR="003A324D" w:rsidRPr="00506665" w:rsidRDefault="003A324D" w:rsidP="0068285B">
      <w:pPr>
        <w:pStyle w:val="Heading2"/>
        <w:numPr>
          <w:ilvl w:val="1"/>
          <w:numId w:val="19"/>
        </w:numPr>
        <w:spacing w:before="0" w:after="240" w:line="240" w:lineRule="auto"/>
        <w:rPr>
          <w:rFonts w:ascii="Arial" w:hAnsi="Arial" w:cs="Arial"/>
          <w:sz w:val="22"/>
          <w:szCs w:val="22"/>
          <w:lang w:val="es-419"/>
        </w:rPr>
      </w:pPr>
      <w:bookmarkStart w:id="96" w:name="_Toc8905248"/>
      <w:r w:rsidRPr="00DD37EC">
        <w:rPr>
          <w:rFonts w:ascii="Arial" w:hAnsi="Arial" w:cs="Arial"/>
          <w:sz w:val="22"/>
          <w:szCs w:val="22"/>
          <w:lang w:val="es-419"/>
        </w:rPr>
        <w:t>Gasto en VIH</w:t>
      </w:r>
      <w:bookmarkEnd w:id="96"/>
    </w:p>
    <w:p w14:paraId="14D54B20" w14:textId="1AB4F87F" w:rsidR="003A324D" w:rsidRDefault="003A324D" w:rsidP="003A324D">
      <w:pPr>
        <w:spacing w:after="240" w:line="240" w:lineRule="auto"/>
        <w:rPr>
          <w:rFonts w:ascii="Arial" w:hAnsi="Arial" w:cs="Arial"/>
          <w:lang w:val="es-ES_tradnl"/>
        </w:rPr>
      </w:pPr>
      <w:r w:rsidRPr="00DD37EC">
        <w:rPr>
          <w:rFonts w:ascii="Arial" w:hAnsi="Arial" w:cs="Arial"/>
          <w:lang w:val="es-ES_tradnl"/>
        </w:rPr>
        <w:t>El gasto en VIH/SIDA absorbe alrededor del 5% del gasto total en salud.</w:t>
      </w:r>
      <w:r w:rsidR="00223E16">
        <w:rPr>
          <w:rStyle w:val="FootnoteReference"/>
          <w:rFonts w:ascii="Arial" w:hAnsi="Arial" w:cs="Arial"/>
          <w:lang w:val="es-ES_tradnl"/>
        </w:rPr>
        <w:footnoteReference w:id="99"/>
      </w:r>
    </w:p>
    <w:p w14:paraId="55AFD1D8" w14:textId="47718FE4" w:rsidR="003A324D" w:rsidRPr="00194E0E" w:rsidRDefault="00194E0E" w:rsidP="00194E0E">
      <w:pPr>
        <w:pStyle w:val="Caption"/>
        <w:rPr>
          <w:rStyle w:val="IntenseReference"/>
          <w:rFonts w:ascii="Arial" w:hAnsi="Arial" w:cs="Arial"/>
          <w:b/>
          <w:bCs/>
          <w:smallCaps w:val="0"/>
          <w:color w:val="auto"/>
          <w:spacing w:val="0"/>
          <w:sz w:val="22"/>
          <w:szCs w:val="22"/>
          <w:lang w:val="es-419"/>
        </w:rPr>
      </w:pPr>
      <w:bookmarkStart w:id="97" w:name="_Toc8904512"/>
      <w:r w:rsidRPr="00194E0E">
        <w:rPr>
          <w:rFonts w:ascii="Arial" w:hAnsi="Arial" w:cs="Arial"/>
          <w:color w:val="auto"/>
          <w:sz w:val="22"/>
          <w:szCs w:val="22"/>
        </w:rPr>
        <w:t xml:space="preserve">Tabla </w:t>
      </w:r>
      <w:r w:rsidRPr="00194E0E">
        <w:rPr>
          <w:rFonts w:ascii="Arial" w:hAnsi="Arial" w:cs="Arial"/>
          <w:color w:val="auto"/>
          <w:sz w:val="22"/>
          <w:szCs w:val="22"/>
        </w:rPr>
        <w:fldChar w:fldCharType="begin"/>
      </w:r>
      <w:r w:rsidRPr="00194E0E">
        <w:rPr>
          <w:rFonts w:ascii="Arial" w:hAnsi="Arial" w:cs="Arial"/>
          <w:color w:val="auto"/>
          <w:sz w:val="22"/>
          <w:szCs w:val="22"/>
        </w:rPr>
        <w:instrText xml:space="preserve"> SEQ Tabla \* ARABIC </w:instrText>
      </w:r>
      <w:r w:rsidRPr="00194E0E">
        <w:rPr>
          <w:rFonts w:ascii="Arial" w:hAnsi="Arial" w:cs="Arial"/>
          <w:color w:val="auto"/>
          <w:sz w:val="22"/>
          <w:szCs w:val="22"/>
        </w:rPr>
        <w:fldChar w:fldCharType="separate"/>
      </w:r>
      <w:r w:rsidR="00D447AE">
        <w:rPr>
          <w:rFonts w:ascii="Arial" w:hAnsi="Arial" w:cs="Arial"/>
          <w:noProof/>
          <w:color w:val="auto"/>
          <w:sz w:val="22"/>
          <w:szCs w:val="22"/>
        </w:rPr>
        <w:t>10</w:t>
      </w:r>
      <w:r w:rsidRPr="00194E0E">
        <w:rPr>
          <w:rFonts w:ascii="Arial" w:hAnsi="Arial" w:cs="Arial"/>
          <w:color w:val="auto"/>
          <w:sz w:val="22"/>
          <w:szCs w:val="22"/>
        </w:rPr>
        <w:fldChar w:fldCharType="end"/>
      </w:r>
      <w:r w:rsidRPr="00194E0E">
        <w:rPr>
          <w:rFonts w:ascii="Arial" w:hAnsi="Arial" w:cs="Arial"/>
          <w:color w:val="auto"/>
          <w:sz w:val="22"/>
          <w:szCs w:val="22"/>
        </w:rPr>
        <w:t>. Gasto en VIH/S</w:t>
      </w:r>
      <w:r>
        <w:rPr>
          <w:rFonts w:ascii="Arial" w:hAnsi="Arial" w:cs="Arial"/>
          <w:color w:val="auto"/>
          <w:sz w:val="22"/>
          <w:szCs w:val="22"/>
        </w:rPr>
        <w:t>ida</w:t>
      </w:r>
      <w:r w:rsidRPr="00194E0E">
        <w:rPr>
          <w:rFonts w:ascii="Arial" w:hAnsi="Arial" w:cs="Arial"/>
          <w:color w:val="auto"/>
          <w:sz w:val="22"/>
          <w:szCs w:val="22"/>
        </w:rPr>
        <w:t xml:space="preserve"> como porcentaje del gasto en salud</w:t>
      </w:r>
      <w:bookmarkEnd w:id="97"/>
    </w:p>
    <w:tbl>
      <w:tblPr>
        <w:tblStyle w:val="LightList-Accent1"/>
        <w:tblW w:w="8540" w:type="dxa"/>
        <w:tblInd w:w="-10" w:type="dxa"/>
        <w:tblLayout w:type="fixed"/>
        <w:tblLook w:val="04A0" w:firstRow="1" w:lastRow="0" w:firstColumn="1" w:lastColumn="0" w:noHBand="0" w:noVBand="1"/>
      </w:tblPr>
      <w:tblGrid>
        <w:gridCol w:w="1331"/>
        <w:gridCol w:w="2632"/>
        <w:gridCol w:w="2632"/>
        <w:gridCol w:w="1945"/>
      </w:tblGrid>
      <w:tr w:rsidR="003A324D" w:rsidRPr="00DD37EC" w14:paraId="53F1C0D2" w14:textId="77777777" w:rsidTr="00D01BD5">
        <w:trPr>
          <w:cnfStyle w:val="100000000000" w:firstRow="1" w:lastRow="0" w:firstColumn="0" w:lastColumn="0" w:oddVBand="0" w:evenVBand="0" w:oddHBand="0" w:evenHBand="0" w:firstRowFirstColumn="0" w:firstRowLastColumn="0" w:lastRowFirstColumn="0" w:lastRowLastColumn="0"/>
          <w:trHeight w:hRule="exact" w:val="794"/>
        </w:trPr>
        <w:tc>
          <w:tcPr>
            <w:cnfStyle w:val="001000000000" w:firstRow="0" w:lastRow="0" w:firstColumn="1" w:lastColumn="0" w:oddVBand="0" w:evenVBand="0" w:oddHBand="0" w:evenHBand="0" w:firstRowFirstColumn="0" w:firstRowLastColumn="0" w:lastRowFirstColumn="0" w:lastRowLastColumn="0"/>
            <w:tcW w:w="1331" w:type="dxa"/>
            <w:shd w:val="clear" w:color="auto" w:fill="1F3864" w:themeFill="accent1" w:themeFillShade="80"/>
            <w:noWrap/>
            <w:hideMark/>
          </w:tcPr>
          <w:p w14:paraId="55122B0A" w14:textId="77777777" w:rsidR="003A324D" w:rsidRPr="00DD37EC" w:rsidRDefault="003A324D" w:rsidP="00D01BD5">
            <w:pPr>
              <w:spacing w:after="240"/>
              <w:jc w:val="center"/>
              <w:rPr>
                <w:rFonts w:ascii="Arial" w:eastAsia="Times New Roman" w:hAnsi="Arial" w:cs="Arial"/>
                <w:sz w:val="22"/>
                <w:szCs w:val="22"/>
              </w:rPr>
            </w:pPr>
            <w:r w:rsidRPr="00DD37EC">
              <w:rPr>
                <w:rFonts w:ascii="Arial" w:eastAsia="Times New Roman" w:hAnsi="Arial" w:cs="Arial"/>
                <w:sz w:val="22"/>
                <w:szCs w:val="22"/>
              </w:rPr>
              <w:t>Año</w:t>
            </w:r>
          </w:p>
        </w:tc>
        <w:tc>
          <w:tcPr>
            <w:tcW w:w="2632" w:type="dxa"/>
            <w:shd w:val="clear" w:color="auto" w:fill="1F3864" w:themeFill="accent1" w:themeFillShade="80"/>
          </w:tcPr>
          <w:p w14:paraId="3509FF71" w14:textId="77777777" w:rsidR="003A324D" w:rsidRPr="00E738E3" w:rsidRDefault="003A324D" w:rsidP="00D01BD5">
            <w:pPr>
              <w:spacing w:after="24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22"/>
                <w:szCs w:val="22"/>
              </w:rPr>
            </w:pPr>
            <w:r w:rsidRPr="00DD37EC">
              <w:rPr>
                <w:rFonts w:ascii="Arial" w:eastAsia="Times New Roman" w:hAnsi="Arial" w:cs="Arial"/>
                <w:sz w:val="22"/>
                <w:szCs w:val="22"/>
              </w:rPr>
              <w:t>Gasto en VIH</w:t>
            </w:r>
            <w:r>
              <w:rPr>
                <w:rFonts w:ascii="Arial" w:eastAsia="Times New Roman" w:hAnsi="Arial" w:cs="Arial"/>
                <w:b w:val="0"/>
                <w:bCs w:val="0"/>
                <w:sz w:val="22"/>
                <w:szCs w:val="22"/>
              </w:rPr>
              <w:t xml:space="preserve">   </w:t>
            </w:r>
            <w:r w:rsidRPr="00DD37EC">
              <w:rPr>
                <w:rFonts w:ascii="Arial" w:eastAsia="Times New Roman" w:hAnsi="Arial" w:cs="Arial"/>
                <w:sz w:val="22"/>
                <w:szCs w:val="22"/>
              </w:rPr>
              <w:t>(millones US$)</w:t>
            </w:r>
          </w:p>
        </w:tc>
        <w:tc>
          <w:tcPr>
            <w:tcW w:w="2632" w:type="dxa"/>
            <w:shd w:val="clear" w:color="auto" w:fill="1F3864" w:themeFill="accent1" w:themeFillShade="80"/>
            <w:hideMark/>
          </w:tcPr>
          <w:p w14:paraId="5B995F9A" w14:textId="77777777" w:rsidR="003A324D" w:rsidRPr="00DD37EC" w:rsidRDefault="003A324D" w:rsidP="00D01BD5">
            <w:pPr>
              <w:spacing w:after="24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2"/>
                <w:szCs w:val="22"/>
              </w:rPr>
            </w:pPr>
            <w:r w:rsidRPr="00DD37EC">
              <w:rPr>
                <w:rFonts w:ascii="Arial" w:eastAsia="Times New Roman" w:hAnsi="Arial" w:cs="Arial"/>
                <w:sz w:val="22"/>
                <w:szCs w:val="22"/>
              </w:rPr>
              <w:t>Gasto en VIH/SIDA como porcentaje del gasto en salud</w:t>
            </w:r>
          </w:p>
        </w:tc>
        <w:tc>
          <w:tcPr>
            <w:tcW w:w="1945" w:type="dxa"/>
            <w:shd w:val="clear" w:color="auto" w:fill="1F3864" w:themeFill="accent1" w:themeFillShade="80"/>
          </w:tcPr>
          <w:p w14:paraId="25F570B6" w14:textId="77777777" w:rsidR="003A324D" w:rsidRPr="00DD37EC" w:rsidRDefault="003A324D" w:rsidP="00D01BD5">
            <w:pPr>
              <w:spacing w:after="24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2"/>
                <w:szCs w:val="22"/>
              </w:rPr>
            </w:pPr>
            <w:r w:rsidRPr="00DD37EC">
              <w:rPr>
                <w:rFonts w:ascii="Arial" w:eastAsia="Times New Roman" w:hAnsi="Arial" w:cs="Arial"/>
                <w:sz w:val="22"/>
                <w:szCs w:val="22"/>
              </w:rPr>
              <w:t>Variación anual (porcentaje)</w:t>
            </w:r>
          </w:p>
        </w:tc>
      </w:tr>
      <w:tr w:rsidR="003A324D" w:rsidRPr="00DD37EC" w14:paraId="040D059D" w14:textId="77777777" w:rsidTr="00D01BD5">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1331" w:type="dxa"/>
            <w:noWrap/>
            <w:hideMark/>
          </w:tcPr>
          <w:p w14:paraId="7C7F15CC" w14:textId="77777777" w:rsidR="003A324D" w:rsidRPr="00DD37EC" w:rsidRDefault="003A324D" w:rsidP="00D01BD5">
            <w:pPr>
              <w:spacing w:after="240"/>
              <w:jc w:val="center"/>
              <w:rPr>
                <w:rFonts w:ascii="Arial" w:eastAsia="Times New Roman" w:hAnsi="Arial" w:cs="Arial"/>
                <w:b w:val="0"/>
                <w:bCs w:val="0"/>
                <w:color w:val="000000"/>
                <w:sz w:val="22"/>
                <w:szCs w:val="22"/>
              </w:rPr>
            </w:pPr>
            <w:r w:rsidRPr="00DD37EC">
              <w:rPr>
                <w:rFonts w:ascii="Arial" w:eastAsia="Times New Roman" w:hAnsi="Arial" w:cs="Arial"/>
                <w:color w:val="000000"/>
                <w:sz w:val="22"/>
                <w:szCs w:val="22"/>
              </w:rPr>
              <w:t>2010</w:t>
            </w:r>
          </w:p>
        </w:tc>
        <w:tc>
          <w:tcPr>
            <w:tcW w:w="2632" w:type="dxa"/>
          </w:tcPr>
          <w:p w14:paraId="32742753" w14:textId="77777777" w:rsidR="003A324D" w:rsidRPr="00DD37EC" w:rsidRDefault="003A324D" w:rsidP="00D01BD5">
            <w:pPr>
              <w:spacing w:after="24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szCs w:val="22"/>
              </w:rPr>
            </w:pPr>
            <w:r>
              <w:rPr>
                <w:rFonts w:ascii="Arial" w:eastAsia="Times New Roman" w:hAnsi="Arial" w:cs="Arial"/>
                <w:color w:val="000000"/>
                <w:sz w:val="22"/>
                <w:szCs w:val="22"/>
              </w:rPr>
              <w:t>36.2</w:t>
            </w:r>
          </w:p>
        </w:tc>
        <w:tc>
          <w:tcPr>
            <w:tcW w:w="2632" w:type="dxa"/>
            <w:noWrap/>
          </w:tcPr>
          <w:p w14:paraId="2D156A81" w14:textId="77777777" w:rsidR="003A324D" w:rsidRPr="00DD37EC" w:rsidRDefault="003A324D" w:rsidP="00D01BD5">
            <w:pPr>
              <w:spacing w:after="24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szCs w:val="22"/>
              </w:rPr>
            </w:pPr>
            <w:r w:rsidRPr="00DD37EC">
              <w:rPr>
                <w:rFonts w:ascii="Arial" w:eastAsia="Times New Roman" w:hAnsi="Arial" w:cs="Arial"/>
                <w:color w:val="000000"/>
                <w:sz w:val="22"/>
                <w:szCs w:val="22"/>
              </w:rPr>
              <w:t>6.1%</w:t>
            </w:r>
          </w:p>
        </w:tc>
        <w:tc>
          <w:tcPr>
            <w:tcW w:w="1945" w:type="dxa"/>
          </w:tcPr>
          <w:p w14:paraId="29A3980D" w14:textId="77777777" w:rsidR="003A324D" w:rsidRPr="00DD37EC" w:rsidRDefault="003A324D" w:rsidP="00D01BD5">
            <w:pPr>
              <w:spacing w:after="24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szCs w:val="22"/>
              </w:rPr>
            </w:pPr>
          </w:p>
        </w:tc>
      </w:tr>
      <w:tr w:rsidR="003A324D" w:rsidRPr="00DD37EC" w14:paraId="4FAD0F4E" w14:textId="77777777" w:rsidTr="00D01BD5">
        <w:trPr>
          <w:trHeight w:hRule="exact" w:val="288"/>
        </w:trPr>
        <w:tc>
          <w:tcPr>
            <w:cnfStyle w:val="001000000000" w:firstRow="0" w:lastRow="0" w:firstColumn="1" w:lastColumn="0" w:oddVBand="0" w:evenVBand="0" w:oddHBand="0" w:evenHBand="0" w:firstRowFirstColumn="0" w:firstRowLastColumn="0" w:lastRowFirstColumn="0" w:lastRowLastColumn="0"/>
            <w:tcW w:w="1331" w:type="dxa"/>
            <w:noWrap/>
            <w:hideMark/>
          </w:tcPr>
          <w:p w14:paraId="029D182E" w14:textId="77777777" w:rsidR="003A324D" w:rsidRPr="00DD37EC" w:rsidRDefault="003A324D" w:rsidP="00D01BD5">
            <w:pPr>
              <w:spacing w:after="240"/>
              <w:jc w:val="center"/>
              <w:rPr>
                <w:rFonts w:ascii="Arial" w:eastAsia="Times New Roman" w:hAnsi="Arial" w:cs="Arial"/>
                <w:color w:val="000000"/>
                <w:sz w:val="22"/>
                <w:szCs w:val="22"/>
              </w:rPr>
            </w:pPr>
            <w:r w:rsidRPr="00DD37EC">
              <w:rPr>
                <w:rFonts w:ascii="Arial" w:eastAsia="Times New Roman" w:hAnsi="Arial" w:cs="Arial"/>
                <w:color w:val="000000"/>
                <w:sz w:val="22"/>
                <w:szCs w:val="22"/>
              </w:rPr>
              <w:t>2012</w:t>
            </w:r>
          </w:p>
        </w:tc>
        <w:tc>
          <w:tcPr>
            <w:tcW w:w="2632" w:type="dxa"/>
          </w:tcPr>
          <w:p w14:paraId="5FB53C67" w14:textId="77777777" w:rsidR="003A324D" w:rsidRPr="00DD37EC" w:rsidRDefault="003A324D" w:rsidP="00D01BD5">
            <w:pPr>
              <w:spacing w:after="24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rPr>
            </w:pPr>
            <w:r>
              <w:rPr>
                <w:rFonts w:ascii="Arial" w:eastAsia="Times New Roman" w:hAnsi="Arial" w:cs="Arial"/>
                <w:color w:val="000000"/>
                <w:sz w:val="22"/>
                <w:szCs w:val="22"/>
              </w:rPr>
              <w:t>38.3</w:t>
            </w:r>
          </w:p>
        </w:tc>
        <w:tc>
          <w:tcPr>
            <w:tcW w:w="2632" w:type="dxa"/>
            <w:noWrap/>
          </w:tcPr>
          <w:p w14:paraId="46DB3541" w14:textId="77777777" w:rsidR="003A324D" w:rsidRPr="00DD37EC" w:rsidRDefault="003A324D" w:rsidP="00D01BD5">
            <w:pPr>
              <w:spacing w:after="24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rPr>
            </w:pPr>
            <w:r w:rsidRPr="00DD37EC">
              <w:rPr>
                <w:rFonts w:ascii="Arial" w:eastAsia="Times New Roman" w:hAnsi="Arial" w:cs="Arial"/>
                <w:color w:val="000000"/>
                <w:sz w:val="22"/>
                <w:szCs w:val="22"/>
              </w:rPr>
              <w:t>6.1%</w:t>
            </w:r>
          </w:p>
        </w:tc>
        <w:tc>
          <w:tcPr>
            <w:tcW w:w="1945" w:type="dxa"/>
          </w:tcPr>
          <w:p w14:paraId="6296D66D" w14:textId="77777777" w:rsidR="003A324D" w:rsidRPr="00DD37EC" w:rsidRDefault="003A324D" w:rsidP="00D01BD5">
            <w:pPr>
              <w:spacing w:after="24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rPr>
            </w:pPr>
            <w:r w:rsidRPr="00DD37EC">
              <w:rPr>
                <w:rFonts w:ascii="Arial" w:eastAsia="Times New Roman" w:hAnsi="Arial" w:cs="Arial"/>
                <w:color w:val="000000"/>
                <w:sz w:val="22"/>
                <w:szCs w:val="22"/>
              </w:rPr>
              <w:t>0%</w:t>
            </w:r>
          </w:p>
        </w:tc>
      </w:tr>
      <w:tr w:rsidR="003A324D" w:rsidRPr="00DD37EC" w14:paraId="45802767" w14:textId="77777777" w:rsidTr="00D01BD5">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1331" w:type="dxa"/>
            <w:noWrap/>
            <w:hideMark/>
          </w:tcPr>
          <w:p w14:paraId="3D30F8E8" w14:textId="77777777" w:rsidR="003A324D" w:rsidRPr="00DD37EC" w:rsidRDefault="003A324D" w:rsidP="00D01BD5">
            <w:pPr>
              <w:spacing w:after="240"/>
              <w:jc w:val="center"/>
              <w:rPr>
                <w:rFonts w:ascii="Arial" w:eastAsia="Times New Roman" w:hAnsi="Arial" w:cs="Arial"/>
                <w:color w:val="000000"/>
                <w:sz w:val="22"/>
                <w:szCs w:val="22"/>
              </w:rPr>
            </w:pPr>
            <w:r w:rsidRPr="00DD37EC">
              <w:rPr>
                <w:rFonts w:ascii="Arial" w:eastAsia="Times New Roman" w:hAnsi="Arial" w:cs="Arial"/>
                <w:color w:val="000000"/>
                <w:sz w:val="22"/>
                <w:szCs w:val="22"/>
              </w:rPr>
              <w:t>2013</w:t>
            </w:r>
          </w:p>
        </w:tc>
        <w:tc>
          <w:tcPr>
            <w:tcW w:w="2632" w:type="dxa"/>
          </w:tcPr>
          <w:p w14:paraId="1AC9A065" w14:textId="77777777" w:rsidR="003A324D" w:rsidRPr="00DD37EC" w:rsidRDefault="003A324D" w:rsidP="00D01BD5">
            <w:pPr>
              <w:spacing w:after="24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szCs w:val="22"/>
              </w:rPr>
            </w:pPr>
            <w:r>
              <w:rPr>
                <w:rFonts w:ascii="Arial" w:eastAsia="Times New Roman" w:hAnsi="Arial" w:cs="Arial"/>
                <w:color w:val="000000"/>
                <w:sz w:val="22"/>
                <w:szCs w:val="22"/>
              </w:rPr>
              <w:t>36.1</w:t>
            </w:r>
          </w:p>
        </w:tc>
        <w:tc>
          <w:tcPr>
            <w:tcW w:w="2632" w:type="dxa"/>
            <w:noWrap/>
          </w:tcPr>
          <w:p w14:paraId="441AFA70" w14:textId="77777777" w:rsidR="003A324D" w:rsidRPr="00DD37EC" w:rsidRDefault="003A324D" w:rsidP="00D01BD5">
            <w:pPr>
              <w:spacing w:after="24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szCs w:val="22"/>
              </w:rPr>
            </w:pPr>
            <w:r w:rsidRPr="00DD37EC">
              <w:rPr>
                <w:rFonts w:ascii="Arial" w:eastAsia="Times New Roman" w:hAnsi="Arial" w:cs="Arial"/>
                <w:color w:val="000000"/>
                <w:sz w:val="22"/>
                <w:szCs w:val="22"/>
              </w:rPr>
              <w:t>6.0%</w:t>
            </w:r>
          </w:p>
        </w:tc>
        <w:tc>
          <w:tcPr>
            <w:tcW w:w="1945" w:type="dxa"/>
          </w:tcPr>
          <w:p w14:paraId="5A0679EC" w14:textId="77777777" w:rsidR="003A324D" w:rsidRPr="00DD37EC" w:rsidRDefault="003A324D" w:rsidP="00D01BD5">
            <w:pPr>
              <w:spacing w:after="24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szCs w:val="22"/>
              </w:rPr>
            </w:pPr>
            <w:r w:rsidRPr="00DD37EC">
              <w:rPr>
                <w:rFonts w:ascii="Arial" w:eastAsia="Times New Roman" w:hAnsi="Arial" w:cs="Arial"/>
                <w:color w:val="000000"/>
                <w:sz w:val="22"/>
                <w:szCs w:val="22"/>
              </w:rPr>
              <w:t>-2%</w:t>
            </w:r>
          </w:p>
        </w:tc>
      </w:tr>
      <w:tr w:rsidR="003A324D" w:rsidRPr="00DD37EC" w14:paraId="711E046B" w14:textId="77777777" w:rsidTr="00D01BD5">
        <w:trPr>
          <w:trHeight w:hRule="exact" w:val="288"/>
        </w:trPr>
        <w:tc>
          <w:tcPr>
            <w:cnfStyle w:val="001000000000" w:firstRow="0" w:lastRow="0" w:firstColumn="1" w:lastColumn="0" w:oddVBand="0" w:evenVBand="0" w:oddHBand="0" w:evenHBand="0" w:firstRowFirstColumn="0" w:firstRowLastColumn="0" w:lastRowFirstColumn="0" w:lastRowLastColumn="0"/>
            <w:tcW w:w="1331" w:type="dxa"/>
            <w:noWrap/>
            <w:hideMark/>
          </w:tcPr>
          <w:p w14:paraId="60747DFF" w14:textId="77777777" w:rsidR="003A324D" w:rsidRPr="00DD37EC" w:rsidRDefault="003A324D" w:rsidP="00D01BD5">
            <w:pPr>
              <w:spacing w:after="240"/>
              <w:jc w:val="center"/>
              <w:rPr>
                <w:rFonts w:ascii="Arial" w:eastAsia="Times New Roman" w:hAnsi="Arial" w:cs="Arial"/>
                <w:color w:val="000000"/>
                <w:sz w:val="22"/>
                <w:szCs w:val="22"/>
              </w:rPr>
            </w:pPr>
            <w:r w:rsidRPr="00DD37EC">
              <w:rPr>
                <w:rFonts w:ascii="Arial" w:eastAsia="Times New Roman" w:hAnsi="Arial" w:cs="Arial"/>
                <w:color w:val="000000"/>
                <w:sz w:val="22"/>
                <w:szCs w:val="22"/>
              </w:rPr>
              <w:t>2014</w:t>
            </w:r>
          </w:p>
        </w:tc>
        <w:tc>
          <w:tcPr>
            <w:tcW w:w="2632" w:type="dxa"/>
          </w:tcPr>
          <w:p w14:paraId="701288D5" w14:textId="77777777" w:rsidR="003A324D" w:rsidRPr="00DD37EC" w:rsidRDefault="003A324D" w:rsidP="00D01BD5">
            <w:pPr>
              <w:spacing w:after="24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rPr>
            </w:pPr>
            <w:r>
              <w:rPr>
                <w:rFonts w:ascii="Arial" w:eastAsia="Times New Roman" w:hAnsi="Arial" w:cs="Arial"/>
                <w:color w:val="000000"/>
                <w:sz w:val="22"/>
                <w:szCs w:val="22"/>
              </w:rPr>
              <w:t>29.2</w:t>
            </w:r>
          </w:p>
        </w:tc>
        <w:tc>
          <w:tcPr>
            <w:tcW w:w="2632" w:type="dxa"/>
            <w:noWrap/>
          </w:tcPr>
          <w:p w14:paraId="1218547C" w14:textId="77777777" w:rsidR="003A324D" w:rsidRPr="00DD37EC" w:rsidRDefault="003A324D" w:rsidP="00D01BD5">
            <w:pPr>
              <w:spacing w:after="24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rPr>
            </w:pPr>
            <w:r w:rsidRPr="00DD37EC">
              <w:rPr>
                <w:rFonts w:ascii="Arial" w:eastAsia="Times New Roman" w:hAnsi="Arial" w:cs="Arial"/>
                <w:color w:val="000000"/>
                <w:sz w:val="22"/>
                <w:szCs w:val="22"/>
              </w:rPr>
              <w:t>4.6%</w:t>
            </w:r>
          </w:p>
        </w:tc>
        <w:tc>
          <w:tcPr>
            <w:tcW w:w="1945" w:type="dxa"/>
          </w:tcPr>
          <w:p w14:paraId="4A6DCB53" w14:textId="77777777" w:rsidR="003A324D" w:rsidRPr="00DD37EC" w:rsidRDefault="003A324D" w:rsidP="00D01BD5">
            <w:pPr>
              <w:spacing w:after="24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rPr>
            </w:pPr>
            <w:r w:rsidRPr="00DD37EC">
              <w:rPr>
                <w:rFonts w:ascii="Arial" w:eastAsia="Times New Roman" w:hAnsi="Arial" w:cs="Arial"/>
                <w:color w:val="000000"/>
                <w:sz w:val="22"/>
                <w:szCs w:val="22"/>
              </w:rPr>
              <w:t>-23%</w:t>
            </w:r>
          </w:p>
        </w:tc>
      </w:tr>
      <w:tr w:rsidR="003A324D" w:rsidRPr="00DD37EC" w14:paraId="02572F11" w14:textId="77777777" w:rsidTr="00D01BD5">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1331" w:type="dxa"/>
            <w:noWrap/>
          </w:tcPr>
          <w:p w14:paraId="279C71D6" w14:textId="77777777" w:rsidR="003A324D" w:rsidRPr="00DD37EC" w:rsidRDefault="003A324D" w:rsidP="00D01BD5">
            <w:pPr>
              <w:spacing w:after="240"/>
              <w:jc w:val="center"/>
              <w:rPr>
                <w:rFonts w:ascii="Arial" w:eastAsia="Times New Roman" w:hAnsi="Arial" w:cs="Arial"/>
                <w:b w:val="0"/>
                <w:bCs w:val="0"/>
                <w:color w:val="000000"/>
                <w:sz w:val="22"/>
                <w:szCs w:val="22"/>
              </w:rPr>
            </w:pPr>
            <w:r w:rsidRPr="00DD37EC">
              <w:rPr>
                <w:rFonts w:ascii="Arial" w:eastAsia="Times New Roman" w:hAnsi="Arial" w:cs="Arial"/>
                <w:color w:val="000000"/>
                <w:sz w:val="22"/>
                <w:szCs w:val="22"/>
              </w:rPr>
              <w:t>2016</w:t>
            </w:r>
          </w:p>
        </w:tc>
        <w:tc>
          <w:tcPr>
            <w:tcW w:w="2632" w:type="dxa"/>
          </w:tcPr>
          <w:p w14:paraId="37C7E70C" w14:textId="77777777" w:rsidR="003A324D" w:rsidRPr="00DD37EC" w:rsidRDefault="003A324D" w:rsidP="00D01BD5">
            <w:pPr>
              <w:spacing w:after="24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szCs w:val="22"/>
              </w:rPr>
            </w:pPr>
            <w:r>
              <w:rPr>
                <w:rFonts w:ascii="Arial" w:eastAsia="Times New Roman" w:hAnsi="Arial" w:cs="Arial"/>
                <w:color w:val="000000"/>
                <w:sz w:val="22"/>
                <w:szCs w:val="22"/>
              </w:rPr>
              <w:t>32.4</w:t>
            </w:r>
          </w:p>
        </w:tc>
        <w:tc>
          <w:tcPr>
            <w:tcW w:w="2632" w:type="dxa"/>
            <w:noWrap/>
          </w:tcPr>
          <w:p w14:paraId="0AF79C11" w14:textId="77777777" w:rsidR="003A324D" w:rsidRPr="00DD37EC" w:rsidRDefault="003A324D" w:rsidP="00D01BD5">
            <w:pPr>
              <w:spacing w:after="24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szCs w:val="22"/>
              </w:rPr>
            </w:pPr>
            <w:r w:rsidRPr="00DD37EC">
              <w:rPr>
                <w:rFonts w:ascii="Arial" w:eastAsia="Times New Roman" w:hAnsi="Arial" w:cs="Arial"/>
                <w:color w:val="000000"/>
                <w:sz w:val="22"/>
                <w:szCs w:val="22"/>
              </w:rPr>
              <w:t>3.9%</w:t>
            </w:r>
            <w:r>
              <w:rPr>
                <w:rFonts w:ascii="Arial" w:eastAsia="Times New Roman" w:hAnsi="Arial" w:cs="Arial"/>
                <w:color w:val="000000"/>
                <w:sz w:val="22"/>
                <w:szCs w:val="22"/>
              </w:rPr>
              <w:t>*</w:t>
            </w:r>
          </w:p>
        </w:tc>
        <w:tc>
          <w:tcPr>
            <w:tcW w:w="1945" w:type="dxa"/>
          </w:tcPr>
          <w:p w14:paraId="582AF072" w14:textId="77777777" w:rsidR="003A324D" w:rsidRPr="00DD37EC" w:rsidRDefault="003A324D" w:rsidP="00D01BD5">
            <w:pPr>
              <w:spacing w:after="24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szCs w:val="22"/>
              </w:rPr>
            </w:pPr>
            <w:r w:rsidRPr="00DD37EC">
              <w:rPr>
                <w:rFonts w:ascii="Arial" w:eastAsia="Times New Roman" w:hAnsi="Arial" w:cs="Arial"/>
                <w:color w:val="000000"/>
                <w:sz w:val="22"/>
                <w:szCs w:val="22"/>
              </w:rPr>
              <w:t>-17%</w:t>
            </w:r>
          </w:p>
        </w:tc>
      </w:tr>
      <w:tr w:rsidR="003A324D" w:rsidRPr="00DD37EC" w14:paraId="2CE581B1" w14:textId="77777777" w:rsidTr="00D01BD5">
        <w:trPr>
          <w:trHeight w:hRule="exact" w:val="288"/>
        </w:trPr>
        <w:tc>
          <w:tcPr>
            <w:cnfStyle w:val="001000000000" w:firstRow="0" w:lastRow="0" w:firstColumn="1" w:lastColumn="0" w:oddVBand="0" w:evenVBand="0" w:oddHBand="0" w:evenHBand="0" w:firstRowFirstColumn="0" w:firstRowLastColumn="0" w:lastRowFirstColumn="0" w:lastRowLastColumn="0"/>
            <w:tcW w:w="1331" w:type="dxa"/>
            <w:shd w:val="clear" w:color="auto" w:fill="F2F2F2" w:themeFill="background1" w:themeFillShade="F2"/>
            <w:noWrap/>
            <w:hideMark/>
          </w:tcPr>
          <w:p w14:paraId="65B556FF" w14:textId="77777777" w:rsidR="003A324D" w:rsidRPr="00DD37EC" w:rsidRDefault="003A324D" w:rsidP="00D01BD5">
            <w:pPr>
              <w:spacing w:after="240"/>
              <w:jc w:val="center"/>
              <w:rPr>
                <w:rFonts w:ascii="Arial" w:eastAsia="Times New Roman" w:hAnsi="Arial" w:cs="Arial"/>
                <w:b w:val="0"/>
                <w:bCs w:val="0"/>
                <w:color w:val="000000"/>
                <w:sz w:val="22"/>
                <w:szCs w:val="22"/>
              </w:rPr>
            </w:pPr>
            <w:r w:rsidRPr="00DD37EC">
              <w:rPr>
                <w:rFonts w:ascii="Arial" w:eastAsia="Times New Roman" w:hAnsi="Arial" w:cs="Arial"/>
                <w:color w:val="000000"/>
                <w:sz w:val="22"/>
                <w:szCs w:val="22"/>
              </w:rPr>
              <w:t>Promedio</w:t>
            </w:r>
          </w:p>
        </w:tc>
        <w:tc>
          <w:tcPr>
            <w:tcW w:w="2632" w:type="dxa"/>
            <w:shd w:val="clear" w:color="auto" w:fill="F2F2F2" w:themeFill="background1" w:themeFillShade="F2"/>
          </w:tcPr>
          <w:p w14:paraId="78D75AD7" w14:textId="77777777" w:rsidR="003A324D" w:rsidRPr="00DD37EC" w:rsidRDefault="003A324D" w:rsidP="00D01BD5">
            <w:pPr>
              <w:spacing w:after="24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2"/>
                <w:szCs w:val="22"/>
              </w:rPr>
            </w:pPr>
            <w:r>
              <w:rPr>
                <w:rFonts w:ascii="Arial" w:eastAsia="Times New Roman" w:hAnsi="Arial" w:cs="Arial"/>
                <w:b/>
                <w:color w:val="000000"/>
                <w:sz w:val="22"/>
                <w:szCs w:val="22"/>
              </w:rPr>
              <w:t>34.4</w:t>
            </w:r>
          </w:p>
        </w:tc>
        <w:tc>
          <w:tcPr>
            <w:tcW w:w="2632" w:type="dxa"/>
            <w:shd w:val="clear" w:color="auto" w:fill="F2F2F2" w:themeFill="background1" w:themeFillShade="F2"/>
            <w:noWrap/>
          </w:tcPr>
          <w:p w14:paraId="78C4D1A7" w14:textId="77777777" w:rsidR="003A324D" w:rsidRPr="00DD37EC" w:rsidRDefault="003A324D" w:rsidP="00D01BD5">
            <w:pPr>
              <w:spacing w:after="24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2"/>
                <w:szCs w:val="22"/>
              </w:rPr>
            </w:pPr>
            <w:r w:rsidRPr="00DD37EC">
              <w:rPr>
                <w:rFonts w:ascii="Arial" w:eastAsia="Times New Roman" w:hAnsi="Arial" w:cs="Arial"/>
                <w:b/>
                <w:color w:val="000000"/>
                <w:sz w:val="22"/>
                <w:szCs w:val="22"/>
              </w:rPr>
              <w:t>5.4%</w:t>
            </w:r>
          </w:p>
        </w:tc>
        <w:tc>
          <w:tcPr>
            <w:tcW w:w="1945" w:type="dxa"/>
            <w:shd w:val="clear" w:color="auto" w:fill="F2F2F2" w:themeFill="background1" w:themeFillShade="F2"/>
          </w:tcPr>
          <w:p w14:paraId="31ABF512" w14:textId="77777777" w:rsidR="003A324D" w:rsidRPr="00DD37EC" w:rsidRDefault="003A324D" w:rsidP="00D01BD5">
            <w:pPr>
              <w:spacing w:after="24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2"/>
                <w:szCs w:val="22"/>
              </w:rPr>
            </w:pPr>
            <w:r w:rsidRPr="00DD37EC">
              <w:rPr>
                <w:rFonts w:ascii="Arial" w:eastAsia="Times New Roman" w:hAnsi="Arial" w:cs="Arial"/>
                <w:b/>
                <w:color w:val="000000"/>
                <w:sz w:val="22"/>
                <w:szCs w:val="22"/>
              </w:rPr>
              <w:t>-10.4%</w:t>
            </w:r>
          </w:p>
        </w:tc>
      </w:tr>
    </w:tbl>
    <w:p w14:paraId="7BAD2815" w14:textId="77777777" w:rsidR="003A324D" w:rsidRPr="00E60B32" w:rsidRDefault="003A324D" w:rsidP="003A324D">
      <w:pPr>
        <w:spacing w:after="0" w:line="240" w:lineRule="auto"/>
        <w:rPr>
          <w:rFonts w:ascii="Arial" w:hAnsi="Arial" w:cs="Arial"/>
          <w:sz w:val="18"/>
          <w:szCs w:val="18"/>
          <w:lang w:val="es-419"/>
        </w:rPr>
      </w:pPr>
      <w:r>
        <w:rPr>
          <w:rFonts w:ascii="Arial" w:hAnsi="Arial" w:cs="Arial"/>
          <w:sz w:val="18"/>
          <w:szCs w:val="18"/>
          <w:lang w:val="es-419"/>
        </w:rPr>
        <w:t>*El gasto en VIH reportado en MEGAS fue de 5.49%, sin embargo se conservó 3.9% por consistencia con el método de estimación para los años anteriores.</w:t>
      </w:r>
    </w:p>
    <w:p w14:paraId="3CE7A417" w14:textId="77777777" w:rsidR="003A324D" w:rsidRPr="00167C47" w:rsidRDefault="003A324D" w:rsidP="003A324D">
      <w:pPr>
        <w:spacing w:after="0" w:line="240" w:lineRule="auto"/>
        <w:rPr>
          <w:rFonts w:ascii="Arial" w:hAnsi="Arial" w:cs="Arial"/>
          <w:i/>
          <w:sz w:val="18"/>
          <w:szCs w:val="18"/>
          <w:lang w:val="es-419"/>
        </w:rPr>
      </w:pPr>
      <w:r w:rsidRPr="00167C47">
        <w:rPr>
          <w:rFonts w:ascii="Arial" w:hAnsi="Arial" w:cs="Arial"/>
          <w:i/>
          <w:sz w:val="18"/>
          <w:szCs w:val="18"/>
          <w:lang w:val="es-419"/>
        </w:rPr>
        <w:t>Fuente: Cálculos propios con información de la OMS (Global Health Expenditure Data Base) y MEGAS 2016.</w:t>
      </w:r>
    </w:p>
    <w:p w14:paraId="1D8EE6F1" w14:textId="77777777" w:rsidR="003A324D" w:rsidRPr="00D12825" w:rsidRDefault="003A324D" w:rsidP="003A324D">
      <w:pPr>
        <w:spacing w:after="0" w:line="240" w:lineRule="auto"/>
        <w:rPr>
          <w:rFonts w:ascii="Arial" w:hAnsi="Arial" w:cs="Arial"/>
          <w:sz w:val="18"/>
          <w:szCs w:val="18"/>
          <w:lang w:val="es-419"/>
        </w:rPr>
      </w:pPr>
    </w:p>
    <w:p w14:paraId="58D6D57C" w14:textId="672F6562" w:rsidR="00194E0E" w:rsidRDefault="003A324D" w:rsidP="00194E0E">
      <w:pPr>
        <w:spacing w:after="240" w:line="240" w:lineRule="auto"/>
        <w:jc w:val="both"/>
        <w:rPr>
          <w:rFonts w:ascii="Arial" w:hAnsi="Arial" w:cs="Arial"/>
          <w:lang w:val="es-419"/>
        </w:rPr>
      </w:pPr>
      <w:r w:rsidRPr="00DD37EC">
        <w:rPr>
          <w:rFonts w:ascii="Arial" w:hAnsi="Arial" w:cs="Arial"/>
          <w:lang w:val="es-419"/>
        </w:rPr>
        <w:t>De acuerdo al Estudio MEGAS, el gasto total en salud en 2016 fue de US$589 millones (L$13,557 millones) y el gasto en VIH US$32 millones (L$7</w:t>
      </w:r>
      <w:r>
        <w:rPr>
          <w:rFonts w:ascii="Arial" w:hAnsi="Arial" w:cs="Arial"/>
          <w:lang w:val="es-419"/>
        </w:rPr>
        <w:t>44</w:t>
      </w:r>
      <w:r w:rsidRPr="00DD37EC">
        <w:rPr>
          <w:rFonts w:ascii="Arial" w:hAnsi="Arial" w:cs="Arial"/>
          <w:lang w:val="es-419"/>
        </w:rPr>
        <w:t xml:space="preserve"> millones) representando el </w:t>
      </w:r>
      <w:r>
        <w:rPr>
          <w:rFonts w:ascii="Arial" w:hAnsi="Arial" w:cs="Arial"/>
          <w:lang w:val="es-419"/>
        </w:rPr>
        <w:t>3.9</w:t>
      </w:r>
      <w:r w:rsidRPr="00DD37EC">
        <w:rPr>
          <w:rFonts w:ascii="Arial" w:hAnsi="Arial" w:cs="Arial"/>
          <w:lang w:val="es-419"/>
        </w:rPr>
        <w:t xml:space="preserve">% del gasto en salud. Debido a la descentralización del sistema de salud, de los recursos públicos el 96% es manejado por los gobiernos </w:t>
      </w:r>
      <w:r w:rsidRPr="00992FB0">
        <w:rPr>
          <w:rFonts w:ascii="Arial" w:hAnsi="Arial" w:cs="Arial"/>
          <w:lang w:val="es-419"/>
        </w:rPr>
        <w:t>territoriales y el 4% por la seguridad social. Si se consideran las necesidades establecidas en el PENSIDA I</w:t>
      </w:r>
      <w:r>
        <w:rPr>
          <w:rFonts w:ascii="Arial" w:hAnsi="Arial" w:cs="Arial"/>
          <w:lang w:val="es-419"/>
        </w:rPr>
        <w:t>V, en 2016</w:t>
      </w:r>
      <w:r w:rsidRPr="00992FB0">
        <w:rPr>
          <w:rFonts w:ascii="Arial" w:hAnsi="Arial" w:cs="Arial"/>
          <w:lang w:val="es-419"/>
        </w:rPr>
        <w:t xml:space="preserve"> exist</w:t>
      </w:r>
      <w:r>
        <w:rPr>
          <w:rFonts w:ascii="Arial" w:hAnsi="Arial" w:cs="Arial"/>
          <w:lang w:val="es-419"/>
        </w:rPr>
        <w:t>ió</w:t>
      </w:r>
      <w:r w:rsidRPr="00DD37EC">
        <w:rPr>
          <w:rFonts w:ascii="Arial" w:hAnsi="Arial" w:cs="Arial"/>
          <w:lang w:val="es-419"/>
        </w:rPr>
        <w:t xml:space="preserve"> un déficit aproximado </w:t>
      </w:r>
      <w:r w:rsidRPr="009D3607">
        <w:rPr>
          <w:rFonts w:ascii="Arial" w:hAnsi="Arial" w:cs="Arial"/>
          <w:lang w:val="es-419"/>
        </w:rPr>
        <w:t>de US</w:t>
      </w:r>
      <w:r w:rsidR="00293F3F">
        <w:rPr>
          <w:rFonts w:ascii="Arial" w:hAnsi="Arial" w:cs="Arial"/>
          <w:lang w:val="es-419"/>
        </w:rPr>
        <w:t>$</w:t>
      </w:r>
      <w:r w:rsidRPr="009D3607">
        <w:rPr>
          <w:rFonts w:ascii="Arial" w:hAnsi="Arial" w:cs="Arial"/>
          <w:lang w:val="es-419"/>
        </w:rPr>
        <w:t xml:space="preserve"> 3 millones (L$ 69 millones) de acuerdo al gasto reportado en el Estudio MEGAS 2016. </w:t>
      </w:r>
      <w:r w:rsidR="00E2769A">
        <w:rPr>
          <w:rFonts w:ascii="Arial" w:hAnsi="Arial" w:cs="Arial"/>
          <w:lang w:val="es-419"/>
        </w:rPr>
        <w:t xml:space="preserve"> Destaca principalmente el subfinanciamiento de información estratégica.</w:t>
      </w:r>
      <w:bookmarkStart w:id="98" w:name="_Hlk535495479"/>
    </w:p>
    <w:p w14:paraId="43D6DECC" w14:textId="723DA2B1" w:rsidR="009C65F0" w:rsidRDefault="009C65F0">
      <w:pPr>
        <w:rPr>
          <w:rFonts w:ascii="Arial" w:hAnsi="Arial" w:cs="Arial"/>
          <w:lang w:val="es-419"/>
        </w:rPr>
      </w:pPr>
      <w:r>
        <w:rPr>
          <w:rFonts w:ascii="Arial" w:hAnsi="Arial" w:cs="Arial"/>
          <w:lang w:val="es-419"/>
        </w:rPr>
        <w:br w:type="page"/>
      </w:r>
    </w:p>
    <w:p w14:paraId="41975723" w14:textId="77777777" w:rsidR="00194E0E" w:rsidRDefault="00194E0E" w:rsidP="00194E0E">
      <w:pPr>
        <w:spacing w:after="240" w:line="240" w:lineRule="auto"/>
        <w:jc w:val="both"/>
        <w:rPr>
          <w:rFonts w:ascii="Arial" w:hAnsi="Arial" w:cs="Arial"/>
          <w:lang w:val="es-419"/>
        </w:rPr>
      </w:pPr>
    </w:p>
    <w:p w14:paraId="4DDFFE82" w14:textId="586CCA4F" w:rsidR="00194E0E" w:rsidRPr="00194E0E" w:rsidRDefault="00194E0E" w:rsidP="00194E0E">
      <w:pPr>
        <w:pStyle w:val="Caption"/>
        <w:rPr>
          <w:rStyle w:val="IntenseReference"/>
          <w:rFonts w:ascii="Arial" w:hAnsi="Arial" w:cs="Arial"/>
          <w:smallCaps w:val="0"/>
          <w:color w:val="auto"/>
          <w:spacing w:val="0"/>
          <w:sz w:val="22"/>
          <w:szCs w:val="22"/>
          <w:lang w:val="es-419"/>
        </w:rPr>
      </w:pPr>
      <w:bookmarkStart w:id="99" w:name="_Toc8904513"/>
      <w:r w:rsidRPr="00194E0E">
        <w:rPr>
          <w:rFonts w:ascii="Arial" w:hAnsi="Arial" w:cs="Arial"/>
          <w:color w:val="auto"/>
          <w:sz w:val="22"/>
          <w:szCs w:val="22"/>
        </w:rPr>
        <w:t xml:space="preserve">Tabla </w:t>
      </w:r>
      <w:r w:rsidRPr="00194E0E">
        <w:rPr>
          <w:rFonts w:ascii="Arial" w:hAnsi="Arial" w:cs="Arial"/>
          <w:color w:val="auto"/>
          <w:sz w:val="22"/>
          <w:szCs w:val="22"/>
        </w:rPr>
        <w:fldChar w:fldCharType="begin"/>
      </w:r>
      <w:r w:rsidRPr="00194E0E">
        <w:rPr>
          <w:rFonts w:ascii="Arial" w:hAnsi="Arial" w:cs="Arial"/>
          <w:color w:val="auto"/>
          <w:sz w:val="22"/>
          <w:szCs w:val="22"/>
        </w:rPr>
        <w:instrText xml:space="preserve"> SEQ Tabla \* ARABIC </w:instrText>
      </w:r>
      <w:r w:rsidRPr="00194E0E">
        <w:rPr>
          <w:rFonts w:ascii="Arial" w:hAnsi="Arial" w:cs="Arial"/>
          <w:color w:val="auto"/>
          <w:sz w:val="22"/>
          <w:szCs w:val="22"/>
        </w:rPr>
        <w:fldChar w:fldCharType="separate"/>
      </w:r>
      <w:r w:rsidR="00D447AE">
        <w:rPr>
          <w:rFonts w:ascii="Arial" w:hAnsi="Arial" w:cs="Arial"/>
          <w:noProof/>
          <w:color w:val="auto"/>
          <w:sz w:val="22"/>
          <w:szCs w:val="22"/>
        </w:rPr>
        <w:t>11</w:t>
      </w:r>
      <w:r w:rsidRPr="00194E0E">
        <w:rPr>
          <w:rFonts w:ascii="Arial" w:hAnsi="Arial" w:cs="Arial"/>
          <w:color w:val="auto"/>
          <w:sz w:val="22"/>
          <w:szCs w:val="22"/>
        </w:rPr>
        <w:fldChar w:fldCharType="end"/>
      </w:r>
      <w:r w:rsidRPr="00194E0E">
        <w:rPr>
          <w:rFonts w:ascii="Arial" w:hAnsi="Arial" w:cs="Arial"/>
          <w:color w:val="auto"/>
          <w:sz w:val="22"/>
          <w:szCs w:val="22"/>
        </w:rPr>
        <w:t>. Brecha en gasto en VIH/sida 2016</w:t>
      </w:r>
      <w:bookmarkEnd w:id="99"/>
    </w:p>
    <w:bookmarkEnd w:id="98"/>
    <w:p w14:paraId="61F92CBA" w14:textId="04ED1628" w:rsidR="003A324D" w:rsidRDefault="00556578" w:rsidP="003A324D">
      <w:pPr>
        <w:spacing w:after="240" w:line="240" w:lineRule="auto"/>
        <w:jc w:val="both"/>
        <w:rPr>
          <w:rFonts w:ascii="Arial" w:hAnsi="Arial" w:cs="Arial"/>
          <w:lang w:val="es-419"/>
        </w:rPr>
      </w:pPr>
      <w:r w:rsidRPr="00556578">
        <w:rPr>
          <w:noProof/>
        </w:rPr>
        <w:drawing>
          <wp:inline distT="0" distB="0" distL="0" distR="0" wp14:anchorId="5597AE5B" wp14:editId="30B3ABB4">
            <wp:extent cx="5943600" cy="1893570"/>
            <wp:effectExtent l="0" t="0" r="0" b="0"/>
            <wp:docPr id="715" name="Picture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1893570"/>
                    </a:xfrm>
                    <a:prstGeom prst="rect">
                      <a:avLst/>
                    </a:prstGeom>
                    <a:noFill/>
                    <a:ln>
                      <a:noFill/>
                    </a:ln>
                  </pic:spPr>
                </pic:pic>
              </a:graphicData>
            </a:graphic>
          </wp:inline>
        </w:drawing>
      </w:r>
    </w:p>
    <w:p w14:paraId="3C351B08" w14:textId="5434EC3C" w:rsidR="003A324D" w:rsidRDefault="003A324D" w:rsidP="003A324D">
      <w:pPr>
        <w:spacing w:after="240" w:line="240" w:lineRule="auto"/>
        <w:jc w:val="both"/>
        <w:rPr>
          <w:rFonts w:ascii="Arial" w:hAnsi="Arial" w:cs="Arial"/>
          <w:lang w:val="es-419"/>
        </w:rPr>
      </w:pPr>
      <w:r w:rsidRPr="00DD37EC">
        <w:rPr>
          <w:rFonts w:ascii="Arial" w:hAnsi="Arial" w:cs="Arial"/>
          <w:lang w:val="es-419"/>
        </w:rPr>
        <w:t xml:space="preserve">En 2016, dentro de las fuentes internacionales, el FM y el Gobierno de Estados Unidos de América a través del Programa Presidencial de Emergencia de Asistencia para el SIDA (PEPFAR) fueron los principales contribuyentes a la respuesta nacional contra el VIH con L$78 y L$79 millones respectivamente (aproximadamente US$3 millones equivalente al 10% del gasto total en VIH por agencia). </w:t>
      </w:r>
      <w:r w:rsidR="006E7677">
        <w:rPr>
          <w:rFonts w:ascii="Arial" w:hAnsi="Arial" w:cs="Arial"/>
          <w:lang w:val="es-419"/>
        </w:rPr>
        <w:t xml:space="preserve">A nivel global 72% del gasto en VIH proviene de fuentes domésticas (US$ 23 millones) y 28% de fuentes externas (US$ 9 millones). Dentro de las fuentes domésticas, el 64% corresponde al gasto público (US$ 15 millones) y </w:t>
      </w:r>
      <w:r w:rsidR="007B55D1">
        <w:rPr>
          <w:rFonts w:ascii="Arial" w:hAnsi="Arial" w:cs="Arial"/>
          <w:lang w:val="es-419"/>
        </w:rPr>
        <w:t xml:space="preserve">36% a gasto privado (US$ 8 </w:t>
      </w:r>
      <w:r w:rsidR="005D670D">
        <w:rPr>
          <w:rFonts w:ascii="Arial" w:hAnsi="Arial" w:cs="Arial"/>
          <w:lang w:val="es-419"/>
        </w:rPr>
        <w:t>millones</w:t>
      </w:r>
      <w:r w:rsidR="007B55D1">
        <w:rPr>
          <w:rFonts w:ascii="Arial" w:hAnsi="Arial" w:cs="Arial"/>
          <w:lang w:val="es-419"/>
        </w:rPr>
        <w:t>).</w:t>
      </w:r>
      <w:bookmarkStart w:id="100" w:name="_Hlk535495513"/>
    </w:p>
    <w:p w14:paraId="0D579A28" w14:textId="6BEEB8F1" w:rsidR="00194E0E" w:rsidRPr="00194E0E" w:rsidRDefault="00194E0E" w:rsidP="00194E0E">
      <w:pPr>
        <w:pStyle w:val="Caption"/>
        <w:rPr>
          <w:rStyle w:val="IntenseReference"/>
          <w:rFonts w:ascii="Arial" w:hAnsi="Arial" w:cs="Arial"/>
          <w:b/>
          <w:bCs/>
          <w:smallCaps w:val="0"/>
          <w:color w:val="auto"/>
          <w:spacing w:val="0"/>
          <w:sz w:val="22"/>
          <w:szCs w:val="22"/>
          <w:lang w:val="es-419"/>
        </w:rPr>
      </w:pPr>
      <w:bookmarkStart w:id="101" w:name="_Toc8904108"/>
      <w:r w:rsidRPr="00194E0E">
        <w:rPr>
          <w:rFonts w:ascii="Arial" w:hAnsi="Arial" w:cs="Arial"/>
          <w:color w:val="auto"/>
          <w:sz w:val="22"/>
          <w:szCs w:val="22"/>
        </w:rPr>
        <w:t xml:space="preserve">Figura </w:t>
      </w:r>
      <w:r w:rsidRPr="00194E0E">
        <w:rPr>
          <w:rFonts w:ascii="Arial" w:hAnsi="Arial" w:cs="Arial"/>
          <w:color w:val="auto"/>
          <w:sz w:val="22"/>
          <w:szCs w:val="22"/>
        </w:rPr>
        <w:fldChar w:fldCharType="begin"/>
      </w:r>
      <w:r w:rsidRPr="00194E0E">
        <w:rPr>
          <w:rFonts w:ascii="Arial" w:hAnsi="Arial" w:cs="Arial"/>
          <w:color w:val="auto"/>
          <w:sz w:val="22"/>
          <w:szCs w:val="22"/>
        </w:rPr>
        <w:instrText xml:space="preserve"> SEQ Figura \* ARABIC </w:instrText>
      </w:r>
      <w:r w:rsidRPr="00194E0E">
        <w:rPr>
          <w:rFonts w:ascii="Arial" w:hAnsi="Arial" w:cs="Arial"/>
          <w:color w:val="auto"/>
          <w:sz w:val="22"/>
          <w:szCs w:val="22"/>
        </w:rPr>
        <w:fldChar w:fldCharType="separate"/>
      </w:r>
      <w:r w:rsidR="00004563">
        <w:rPr>
          <w:rFonts w:ascii="Arial" w:hAnsi="Arial" w:cs="Arial"/>
          <w:noProof/>
          <w:color w:val="auto"/>
          <w:sz w:val="22"/>
          <w:szCs w:val="22"/>
        </w:rPr>
        <w:t>11</w:t>
      </w:r>
      <w:r w:rsidRPr="00194E0E">
        <w:rPr>
          <w:rFonts w:ascii="Arial" w:hAnsi="Arial" w:cs="Arial"/>
          <w:color w:val="auto"/>
          <w:sz w:val="22"/>
          <w:szCs w:val="22"/>
        </w:rPr>
        <w:fldChar w:fldCharType="end"/>
      </w:r>
      <w:r w:rsidRPr="00194E0E">
        <w:rPr>
          <w:rFonts w:ascii="Arial" w:hAnsi="Arial" w:cs="Arial"/>
          <w:color w:val="auto"/>
          <w:sz w:val="22"/>
          <w:szCs w:val="22"/>
        </w:rPr>
        <w:t>. Evolución del gasto en VIH en Honduras por fuente de financiamiento, 2006-2016 (millones US$)</w:t>
      </w:r>
      <w:bookmarkEnd w:id="101"/>
    </w:p>
    <w:bookmarkEnd w:id="100"/>
    <w:p w14:paraId="221ABDAD" w14:textId="2883C28D" w:rsidR="003A324D" w:rsidRPr="00DD37EC" w:rsidRDefault="006068F2" w:rsidP="003A324D">
      <w:pPr>
        <w:spacing w:after="240" w:line="240" w:lineRule="auto"/>
        <w:rPr>
          <w:rFonts w:ascii="Arial" w:hAnsi="Arial" w:cs="Arial"/>
          <w:lang w:val="es-419"/>
        </w:rPr>
      </w:pPr>
      <w:r w:rsidRPr="00DD37EC">
        <w:rPr>
          <w:rFonts w:ascii="Arial" w:hAnsi="Arial" w:cs="Arial"/>
          <w:noProof/>
          <w:lang w:val="es-419"/>
        </w:rPr>
        <mc:AlternateContent>
          <mc:Choice Requires="wps">
            <w:drawing>
              <wp:anchor distT="45720" distB="45720" distL="114300" distR="114300" simplePos="0" relativeHeight="251689984" behindDoc="0" locked="0" layoutInCell="1" allowOverlap="1" wp14:anchorId="7903DBF7" wp14:editId="3D349EA8">
                <wp:simplePos x="0" y="0"/>
                <wp:positionH relativeFrom="column">
                  <wp:posOffset>3639820</wp:posOffset>
                </wp:positionH>
                <wp:positionV relativeFrom="paragraph">
                  <wp:posOffset>1038225</wp:posOffset>
                </wp:positionV>
                <wp:extent cx="1662430" cy="571500"/>
                <wp:effectExtent l="0" t="0" r="0" b="0"/>
                <wp:wrapSquare wrapText="bothSides"/>
                <wp:docPr id="7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2430" cy="571500"/>
                        </a:xfrm>
                        <a:prstGeom prst="rect">
                          <a:avLst/>
                        </a:prstGeom>
                        <a:solidFill>
                          <a:srgbClr val="FFFFFF"/>
                        </a:solidFill>
                        <a:ln w="9525">
                          <a:noFill/>
                          <a:miter lim="800000"/>
                          <a:headEnd/>
                          <a:tailEnd/>
                        </a:ln>
                      </wps:spPr>
                      <wps:txbx>
                        <w:txbxContent>
                          <w:p w14:paraId="69231631" w14:textId="0BF86CB0" w:rsidR="00F74A36" w:rsidRPr="00C2239B" w:rsidRDefault="00F74A36" w:rsidP="003A324D">
                            <w:pPr>
                              <w:rPr>
                                <w:rFonts w:ascii="Arial" w:hAnsi="Arial" w:cs="Arial"/>
                                <w:sz w:val="18"/>
                                <w:lang w:val="es-MX"/>
                              </w:rPr>
                            </w:pPr>
                            <w:r w:rsidRPr="00C2239B">
                              <w:rPr>
                                <w:rFonts w:ascii="Arial" w:hAnsi="Arial" w:cs="Arial"/>
                                <w:sz w:val="18"/>
                                <w:lang w:val="es-MX"/>
                              </w:rPr>
                              <w:t>72% fuentes domésticas</w:t>
                            </w:r>
                            <w:r w:rsidR="006068F2">
                              <w:rPr>
                                <w:rFonts w:ascii="Arial" w:hAnsi="Arial" w:cs="Arial"/>
                                <w:sz w:val="18"/>
                                <w:lang w:val="es-MX"/>
                              </w:rPr>
                              <w:t xml:space="preserve"> (públicas y privadas)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03DBF7" id="_x0000_s1030" type="#_x0000_t202" style="position:absolute;margin-left:286.6pt;margin-top:81.75pt;width:130.9pt;height:45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" stroked="f">
                <v:textbox>
                  <w:txbxContent>
                    <w:p w14:paraId="69231631" w14:textId="0BF86CB0" w:rsidR="00F74A36" w:rsidRPr="00C2239B" w:rsidRDefault="00F74A36" w:rsidP="003A324D">
                      <w:pPr>
                        <w:rPr>
                          <w:rFonts w:ascii="Arial" w:hAnsi="Arial" w:cs="Arial"/>
                          <w:sz w:val="18"/>
                          <w:lang w:val="es-MX"/>
                        </w:rPr>
                      </w:pPr>
                      <w:r w:rsidRPr="00C2239B">
                        <w:rPr>
                          <w:rFonts w:ascii="Arial" w:hAnsi="Arial" w:cs="Arial"/>
                          <w:sz w:val="18"/>
                          <w:lang w:val="es-MX"/>
                        </w:rPr>
                        <w:t>72% fuentes domésticas</w:t>
                      </w:r>
                      <w:r w:rsidR="006068F2">
                        <w:rPr>
                          <w:rFonts w:ascii="Arial" w:hAnsi="Arial" w:cs="Arial"/>
                          <w:sz w:val="18"/>
                          <w:lang w:val="es-MX"/>
                        </w:rPr>
                        <w:t xml:space="preserve"> (públicas y privadas)</w:t>
                      </w:r>
                    </w:p>
                  </w:txbxContent>
                </v:textbox>
                <w10:wrap type="square"/>
              </v:shape>
            </w:pict>
          </mc:Fallback>
        </mc:AlternateContent>
      </w:r>
      <w:r w:rsidR="003A324D" w:rsidRPr="00DD37EC">
        <w:rPr>
          <w:rFonts w:ascii="Arial" w:hAnsi="Arial" w:cs="Arial"/>
          <w:noProof/>
          <w:lang w:val="es-419"/>
        </w:rPr>
        <mc:AlternateContent>
          <mc:Choice Requires="wps">
            <w:drawing>
              <wp:anchor distT="45720" distB="45720" distL="114300" distR="114300" simplePos="0" relativeHeight="251688960" behindDoc="0" locked="0" layoutInCell="1" allowOverlap="1" wp14:anchorId="2052A2C4" wp14:editId="65D19E90">
                <wp:simplePos x="0" y="0"/>
                <wp:positionH relativeFrom="column">
                  <wp:posOffset>3670935</wp:posOffset>
                </wp:positionH>
                <wp:positionV relativeFrom="paragraph">
                  <wp:posOffset>521335</wp:posOffset>
                </wp:positionV>
                <wp:extent cx="1343660" cy="255905"/>
                <wp:effectExtent l="0" t="0" r="889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660" cy="255905"/>
                        </a:xfrm>
                        <a:prstGeom prst="rect">
                          <a:avLst/>
                        </a:prstGeom>
                        <a:solidFill>
                          <a:srgbClr val="FFFFFF"/>
                        </a:solidFill>
                        <a:ln w="9525">
                          <a:noFill/>
                          <a:miter lim="800000"/>
                          <a:headEnd/>
                          <a:tailEnd/>
                        </a:ln>
                      </wps:spPr>
                      <wps:txbx>
                        <w:txbxContent>
                          <w:p w14:paraId="0B5C25CE" w14:textId="77777777" w:rsidR="00F74A36" w:rsidRPr="00C2239B" w:rsidRDefault="00F74A36" w:rsidP="003A324D">
                            <w:pPr>
                              <w:rPr>
                                <w:rFonts w:ascii="Arial" w:hAnsi="Arial" w:cs="Arial"/>
                                <w:sz w:val="18"/>
                                <w:szCs w:val="18"/>
                                <w:lang w:val="es-MX"/>
                              </w:rPr>
                            </w:pPr>
                            <w:r w:rsidRPr="00C2239B">
                              <w:rPr>
                                <w:rFonts w:ascii="Arial" w:hAnsi="Arial" w:cs="Arial"/>
                                <w:sz w:val="18"/>
                                <w:szCs w:val="18"/>
                                <w:lang w:val="es-MX"/>
                              </w:rPr>
                              <w:t>28% fuente</w:t>
                            </w:r>
                            <w:r>
                              <w:rPr>
                                <w:rFonts w:ascii="Arial" w:hAnsi="Arial" w:cs="Arial"/>
                                <w:sz w:val="18"/>
                                <w:szCs w:val="18"/>
                                <w:lang w:val="es-MX"/>
                              </w:rPr>
                              <w:t>s</w:t>
                            </w:r>
                            <w:r w:rsidRPr="00C2239B">
                              <w:rPr>
                                <w:rFonts w:ascii="Arial" w:hAnsi="Arial" w:cs="Arial"/>
                                <w:sz w:val="18"/>
                                <w:szCs w:val="18"/>
                                <w:lang w:val="es-MX"/>
                              </w:rPr>
                              <w:t xml:space="preserve"> externa</w:t>
                            </w:r>
                            <w:r>
                              <w:rPr>
                                <w:rFonts w:ascii="Arial" w:hAnsi="Arial" w:cs="Arial"/>
                                <w:sz w:val="18"/>
                                <w:szCs w:val="18"/>
                                <w:lang w:val="es-MX"/>
                              </w:rPr>
                              <w: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52A2C4" id="_x0000_s1031" type="#_x0000_t202" style="position:absolute;margin-left:289.05pt;margin-top:41.05pt;width:105.8pt;height:20.15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" stroked="f">
                <v:textbox>
                  <w:txbxContent>
                    <w:p w14:paraId="0B5C25CE" w14:textId="77777777" w:rsidR="00F74A36" w:rsidRPr="00C2239B" w:rsidRDefault="00F74A36" w:rsidP="003A324D">
                      <w:pPr>
                        <w:rPr>
                          <w:rFonts w:ascii="Arial" w:hAnsi="Arial" w:cs="Arial"/>
                          <w:sz w:val="18"/>
                          <w:szCs w:val="18"/>
                          <w:lang w:val="es-MX"/>
                        </w:rPr>
                      </w:pPr>
                      <w:r w:rsidRPr="00C2239B">
                        <w:rPr>
                          <w:rFonts w:ascii="Arial" w:hAnsi="Arial" w:cs="Arial"/>
                          <w:sz w:val="18"/>
                          <w:szCs w:val="18"/>
                          <w:lang w:val="es-MX"/>
                        </w:rPr>
                        <w:t>28% fuente</w:t>
                      </w:r>
                      <w:r>
                        <w:rPr>
                          <w:rFonts w:ascii="Arial" w:hAnsi="Arial" w:cs="Arial"/>
                          <w:sz w:val="18"/>
                          <w:szCs w:val="18"/>
                          <w:lang w:val="es-MX"/>
                        </w:rPr>
                        <w:t>s</w:t>
                      </w:r>
                      <w:r w:rsidRPr="00C2239B">
                        <w:rPr>
                          <w:rFonts w:ascii="Arial" w:hAnsi="Arial" w:cs="Arial"/>
                          <w:sz w:val="18"/>
                          <w:szCs w:val="18"/>
                          <w:lang w:val="es-MX"/>
                        </w:rPr>
                        <w:t xml:space="preserve"> externa</w:t>
                      </w:r>
                      <w:r>
                        <w:rPr>
                          <w:rFonts w:ascii="Arial" w:hAnsi="Arial" w:cs="Arial"/>
                          <w:sz w:val="18"/>
                          <w:szCs w:val="18"/>
                          <w:lang w:val="es-MX"/>
                        </w:rPr>
                        <w:t>s</w:t>
                      </w:r>
                    </w:p>
                  </w:txbxContent>
                </v:textbox>
                <w10:wrap type="square"/>
              </v:shape>
            </w:pict>
          </mc:Fallback>
        </mc:AlternateContent>
      </w:r>
      <w:r w:rsidR="003A324D" w:rsidRPr="00DD37EC">
        <w:rPr>
          <w:rFonts w:ascii="Arial" w:hAnsi="Arial" w:cs="Arial"/>
          <w:noProof/>
          <w:lang w:val="es-419"/>
        </w:rPr>
        <mc:AlternateContent>
          <mc:Choice Requires="wps">
            <w:drawing>
              <wp:anchor distT="0" distB="0" distL="114300" distR="114300" simplePos="0" relativeHeight="251687936" behindDoc="0" locked="0" layoutInCell="1" allowOverlap="1" wp14:anchorId="29F9B2C8" wp14:editId="6B4C62A5">
                <wp:simplePos x="0" y="0"/>
                <wp:positionH relativeFrom="column">
                  <wp:posOffset>3429000</wp:posOffset>
                </wp:positionH>
                <wp:positionV relativeFrom="paragraph">
                  <wp:posOffset>882015</wp:posOffset>
                </wp:positionV>
                <wp:extent cx="123940" cy="762000"/>
                <wp:effectExtent l="0" t="0" r="47625" b="19050"/>
                <wp:wrapNone/>
                <wp:docPr id="704" name="Right Brace 704"/>
                <wp:cNvGraphicFramePr/>
                <a:graphic xmlns:a="http://schemas.openxmlformats.org/drawingml/2006/main">
                  <a:graphicData uri="http://schemas.microsoft.com/office/word/2010/wordprocessingShape">
                    <wps:wsp>
                      <wps:cNvSpPr/>
                      <wps:spPr>
                        <a:xfrm>
                          <a:off x="0" y="0"/>
                          <a:ext cx="123940" cy="762000"/>
                        </a:xfrm>
                        <a:prstGeom prst="rightBrace">
                          <a:avLst>
                            <a:gd name="adj1" fmla="val 29315"/>
                            <a:gd name="adj2" fmla="val 42494"/>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AB9E1A"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704" o:spid="_x0000_s1026" type="#_x0000_t88" style="position:absolute;margin-left:270pt;margin-top:69.45pt;width:9.75pt;height:60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" adj="1030,9179" strokecolor="red" strokeweight="1pt">
                <v:stroke joinstyle="miter"/>
              </v:shape>
            </w:pict>
          </mc:Fallback>
        </mc:AlternateContent>
      </w:r>
      <w:r w:rsidR="003A324D" w:rsidRPr="00DD37EC">
        <w:rPr>
          <w:rFonts w:ascii="Arial" w:hAnsi="Arial" w:cs="Arial"/>
          <w:noProof/>
          <w:lang w:val="es-419"/>
        </w:rPr>
        <mc:AlternateContent>
          <mc:Choice Requires="wps">
            <w:drawing>
              <wp:anchor distT="0" distB="0" distL="114300" distR="114300" simplePos="0" relativeHeight="251686912" behindDoc="0" locked="0" layoutInCell="1" allowOverlap="1" wp14:anchorId="6C71326C" wp14:editId="4DA85B62">
                <wp:simplePos x="0" y="0"/>
                <wp:positionH relativeFrom="column">
                  <wp:posOffset>3414742</wp:posOffset>
                </wp:positionH>
                <wp:positionV relativeFrom="paragraph">
                  <wp:posOffset>549333</wp:posOffset>
                </wp:positionV>
                <wp:extent cx="138315" cy="276860"/>
                <wp:effectExtent l="0" t="0" r="33655" b="27940"/>
                <wp:wrapNone/>
                <wp:docPr id="31" name="Right Brace 31"/>
                <wp:cNvGraphicFramePr/>
                <a:graphic xmlns:a="http://schemas.openxmlformats.org/drawingml/2006/main">
                  <a:graphicData uri="http://schemas.microsoft.com/office/word/2010/wordprocessingShape">
                    <wps:wsp>
                      <wps:cNvSpPr/>
                      <wps:spPr>
                        <a:xfrm>
                          <a:off x="0" y="0"/>
                          <a:ext cx="138315" cy="276860"/>
                        </a:xfrm>
                        <a:prstGeom prst="rightBrace">
                          <a:avLst>
                            <a:gd name="adj1" fmla="val 29315"/>
                            <a:gd name="adj2" fmla="val 42494"/>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0CE6D26" id="Right Brace 31" o:spid="_x0000_s1026" type="#_x0000_t88" style="position:absolute;margin-left:268.9pt;margin-top:43.25pt;width:10.9pt;height:21.8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" adj="3163,9179" strokecolor="red" strokeweight="1pt">
                <v:stroke joinstyle="miter"/>
              </v:shape>
            </w:pict>
          </mc:Fallback>
        </mc:AlternateContent>
      </w:r>
      <w:r w:rsidR="003A324D" w:rsidRPr="00DD37EC">
        <w:rPr>
          <w:rFonts w:ascii="Arial" w:hAnsi="Arial" w:cs="Arial"/>
          <w:noProof/>
          <w:lang w:val="es-419"/>
        </w:rPr>
        <w:drawing>
          <wp:inline distT="0" distB="0" distL="0" distR="0" wp14:anchorId="4EC6AC12" wp14:editId="36C416D7">
            <wp:extent cx="3512127" cy="2106984"/>
            <wp:effectExtent l="0" t="0" r="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20993" cy="2112303"/>
                    </a:xfrm>
                    <a:prstGeom prst="rect">
                      <a:avLst/>
                    </a:prstGeom>
                    <a:noFill/>
                  </pic:spPr>
                </pic:pic>
              </a:graphicData>
            </a:graphic>
          </wp:inline>
        </w:drawing>
      </w:r>
    </w:p>
    <w:p w14:paraId="76EB5FE0" w14:textId="77777777" w:rsidR="003A324D" w:rsidRPr="00167C47" w:rsidRDefault="003A324D" w:rsidP="003A324D">
      <w:pPr>
        <w:spacing w:after="240" w:line="240" w:lineRule="auto"/>
        <w:rPr>
          <w:rFonts w:ascii="Arial" w:hAnsi="Arial" w:cs="Arial"/>
          <w:i/>
          <w:sz w:val="18"/>
          <w:lang w:val="es-419"/>
        </w:rPr>
      </w:pPr>
      <w:r w:rsidRPr="00167C47">
        <w:rPr>
          <w:rFonts w:ascii="Arial" w:hAnsi="Arial" w:cs="Arial"/>
          <w:i/>
          <w:sz w:val="18"/>
          <w:lang w:val="es-419"/>
        </w:rPr>
        <w:t>Fuente:  Estudio MEGAS 2016, ONUSIDA.</w:t>
      </w:r>
    </w:p>
    <w:p w14:paraId="5F7BC372" w14:textId="36F22BED" w:rsidR="00437BD5" w:rsidRDefault="003A324D" w:rsidP="003A324D">
      <w:pPr>
        <w:spacing w:after="240" w:line="240" w:lineRule="auto"/>
        <w:jc w:val="both"/>
        <w:rPr>
          <w:rFonts w:ascii="Arial" w:hAnsi="Arial" w:cs="Arial"/>
          <w:lang w:val="es-419"/>
        </w:rPr>
      </w:pPr>
      <w:r w:rsidRPr="00DD37EC">
        <w:rPr>
          <w:rFonts w:ascii="Arial" w:hAnsi="Arial" w:cs="Arial"/>
          <w:lang w:val="es-419"/>
        </w:rPr>
        <w:t>Si se analiza el gasto en VIH por categoría se observa que el mayor porcentaje se destina a prevención (60%</w:t>
      </w:r>
      <w:r w:rsidR="00AB4E76">
        <w:rPr>
          <w:rFonts w:ascii="Arial" w:hAnsi="Arial" w:cs="Arial"/>
          <w:lang w:val="es-419"/>
        </w:rPr>
        <w:t>; US$</w:t>
      </w:r>
      <w:r w:rsidR="00AB4E76" w:rsidRPr="00DD37EC">
        <w:rPr>
          <w:rFonts w:ascii="Arial" w:hAnsi="Arial" w:cs="Arial"/>
          <w:color w:val="000000" w:themeColor="text1"/>
          <w:lang w:val="es-DO"/>
        </w:rPr>
        <w:t>19 millones</w:t>
      </w:r>
      <w:r w:rsidRPr="00DD37EC">
        <w:rPr>
          <w:rFonts w:ascii="Arial" w:hAnsi="Arial" w:cs="Arial"/>
          <w:lang w:val="es-419"/>
        </w:rPr>
        <w:t>), seguido de atención y tratamiento (33%</w:t>
      </w:r>
      <w:r w:rsidR="00AB4E76">
        <w:rPr>
          <w:rFonts w:ascii="Arial" w:hAnsi="Arial" w:cs="Arial"/>
          <w:lang w:val="es-419"/>
        </w:rPr>
        <w:t>; US$10 millones</w:t>
      </w:r>
      <w:r w:rsidRPr="00DD37EC">
        <w:rPr>
          <w:rFonts w:ascii="Arial" w:hAnsi="Arial" w:cs="Arial"/>
          <w:lang w:val="es-419"/>
        </w:rPr>
        <w:t xml:space="preserve">) y </w:t>
      </w:r>
      <w:r w:rsidR="005A7650">
        <w:rPr>
          <w:rFonts w:ascii="Arial" w:hAnsi="Arial" w:cs="Arial"/>
          <w:lang w:val="es-419"/>
        </w:rPr>
        <w:t>gestión y administración</w:t>
      </w:r>
      <w:r w:rsidRPr="00DD37EC">
        <w:rPr>
          <w:rFonts w:ascii="Arial" w:hAnsi="Arial" w:cs="Arial"/>
          <w:lang w:val="es-419"/>
        </w:rPr>
        <w:t xml:space="preserve"> (4%</w:t>
      </w:r>
      <w:r w:rsidR="00437BD5">
        <w:rPr>
          <w:rFonts w:ascii="Arial" w:hAnsi="Arial" w:cs="Arial"/>
          <w:lang w:val="es-419"/>
        </w:rPr>
        <w:t>; US$1.3 millones</w:t>
      </w:r>
      <w:r w:rsidRPr="00DD37EC">
        <w:rPr>
          <w:rFonts w:ascii="Arial" w:hAnsi="Arial" w:cs="Arial"/>
          <w:lang w:val="es-419"/>
        </w:rPr>
        <w:t>).</w:t>
      </w:r>
      <w:r w:rsidR="00437BD5">
        <w:rPr>
          <w:rFonts w:ascii="Arial" w:hAnsi="Arial" w:cs="Arial"/>
          <w:lang w:val="es-419"/>
        </w:rPr>
        <w:t xml:space="preserve"> El gasto en los rubros de incentivos a recursos humanos, protección social-servicios sociales e investigación en VIH fue marginal.</w:t>
      </w:r>
      <w:r>
        <w:rPr>
          <w:rFonts w:ascii="Arial" w:hAnsi="Arial" w:cs="Arial"/>
          <w:lang w:val="es-419"/>
        </w:rPr>
        <w:t xml:space="preserve"> </w:t>
      </w:r>
    </w:p>
    <w:p w14:paraId="732735B7" w14:textId="77777777" w:rsidR="004E412F" w:rsidRDefault="004E412F" w:rsidP="00167C47">
      <w:pPr>
        <w:spacing w:after="240" w:line="240" w:lineRule="auto"/>
        <w:jc w:val="center"/>
        <w:rPr>
          <w:rStyle w:val="IntenseReference"/>
          <w:lang w:val="es-MX"/>
        </w:rPr>
      </w:pPr>
    </w:p>
    <w:p w14:paraId="7BF7B93F" w14:textId="31F44ACA" w:rsidR="001A7AC9" w:rsidRDefault="001A7AC9" w:rsidP="001A7AC9">
      <w:pPr>
        <w:tabs>
          <w:tab w:val="left" w:pos="5440"/>
        </w:tabs>
        <w:spacing w:after="240" w:line="240" w:lineRule="auto"/>
        <w:rPr>
          <w:rStyle w:val="IntenseReference"/>
          <w:lang w:val="es-MX"/>
        </w:rPr>
      </w:pPr>
      <w:r>
        <w:rPr>
          <w:rStyle w:val="IntenseReference"/>
          <w:lang w:val="es-MX"/>
        </w:rPr>
        <w:tab/>
      </w:r>
    </w:p>
    <w:p w14:paraId="32F22DB8" w14:textId="0C8EE467" w:rsidR="00194E0E" w:rsidRPr="00194E0E" w:rsidRDefault="00194E0E" w:rsidP="00194E0E">
      <w:pPr>
        <w:pStyle w:val="Caption"/>
        <w:rPr>
          <w:rStyle w:val="IntenseReference"/>
          <w:rFonts w:ascii="Arial" w:hAnsi="Arial" w:cs="Arial"/>
          <w:color w:val="auto"/>
          <w:sz w:val="22"/>
          <w:szCs w:val="22"/>
          <w:lang w:val="es-MX"/>
        </w:rPr>
      </w:pPr>
      <w:bookmarkStart w:id="102" w:name="_Toc8904109"/>
      <w:r w:rsidRPr="00194E0E">
        <w:rPr>
          <w:rFonts w:ascii="Arial" w:hAnsi="Arial" w:cs="Arial"/>
          <w:color w:val="auto"/>
          <w:sz w:val="22"/>
          <w:szCs w:val="22"/>
        </w:rPr>
        <w:lastRenderedPageBreak/>
        <w:t xml:space="preserve">Figura </w:t>
      </w:r>
      <w:r w:rsidRPr="00194E0E">
        <w:rPr>
          <w:rFonts w:ascii="Arial" w:hAnsi="Arial" w:cs="Arial"/>
          <w:color w:val="auto"/>
          <w:sz w:val="22"/>
          <w:szCs w:val="22"/>
        </w:rPr>
        <w:fldChar w:fldCharType="begin"/>
      </w:r>
      <w:r w:rsidRPr="00194E0E">
        <w:rPr>
          <w:rFonts w:ascii="Arial" w:hAnsi="Arial" w:cs="Arial"/>
          <w:color w:val="auto"/>
          <w:sz w:val="22"/>
          <w:szCs w:val="22"/>
        </w:rPr>
        <w:instrText xml:space="preserve"> SEQ Figura \* ARABIC </w:instrText>
      </w:r>
      <w:r w:rsidRPr="00194E0E">
        <w:rPr>
          <w:rFonts w:ascii="Arial" w:hAnsi="Arial" w:cs="Arial"/>
          <w:color w:val="auto"/>
          <w:sz w:val="22"/>
          <w:szCs w:val="22"/>
        </w:rPr>
        <w:fldChar w:fldCharType="separate"/>
      </w:r>
      <w:r w:rsidR="00004563">
        <w:rPr>
          <w:rFonts w:ascii="Arial" w:hAnsi="Arial" w:cs="Arial"/>
          <w:noProof/>
          <w:color w:val="auto"/>
          <w:sz w:val="22"/>
          <w:szCs w:val="22"/>
        </w:rPr>
        <w:t>12</w:t>
      </w:r>
      <w:r w:rsidRPr="00194E0E">
        <w:rPr>
          <w:rFonts w:ascii="Arial" w:hAnsi="Arial" w:cs="Arial"/>
          <w:color w:val="auto"/>
          <w:sz w:val="22"/>
          <w:szCs w:val="22"/>
        </w:rPr>
        <w:fldChar w:fldCharType="end"/>
      </w:r>
      <w:r w:rsidRPr="00194E0E">
        <w:rPr>
          <w:rFonts w:ascii="Arial" w:hAnsi="Arial" w:cs="Arial"/>
          <w:color w:val="auto"/>
          <w:sz w:val="22"/>
          <w:szCs w:val="22"/>
        </w:rPr>
        <w:t>. Gasto en VIH por categoría, 2016 (porcentaje del gasto total en VIH)</w:t>
      </w:r>
      <w:bookmarkEnd w:id="102"/>
    </w:p>
    <w:p w14:paraId="666AE734" w14:textId="7F86002F" w:rsidR="003A324D" w:rsidRDefault="003A324D" w:rsidP="004E412F">
      <w:pPr>
        <w:spacing w:after="240" w:line="240" w:lineRule="auto"/>
        <w:jc w:val="center"/>
        <w:rPr>
          <w:rFonts w:ascii="Arial" w:hAnsi="Arial" w:cs="Arial"/>
          <w:lang w:val="es-419"/>
        </w:rPr>
      </w:pPr>
      <w:r w:rsidRPr="00B76084">
        <w:rPr>
          <w:rFonts w:ascii="Arial" w:hAnsi="Arial" w:cs="Arial"/>
          <w:noProof/>
          <w:lang w:val="es-419"/>
        </w:rPr>
        <w:drawing>
          <wp:inline distT="0" distB="0" distL="0" distR="0" wp14:anchorId="1BAD09F4" wp14:editId="231BBF64">
            <wp:extent cx="3817620" cy="2290253"/>
            <wp:effectExtent l="0" t="0" r="0" b="0"/>
            <wp:docPr id="709" name="Picture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28762" cy="2296937"/>
                    </a:xfrm>
                    <a:prstGeom prst="rect">
                      <a:avLst/>
                    </a:prstGeom>
                    <a:noFill/>
                  </pic:spPr>
                </pic:pic>
              </a:graphicData>
            </a:graphic>
          </wp:inline>
        </w:drawing>
      </w:r>
    </w:p>
    <w:p w14:paraId="52C21863" w14:textId="58FE237D" w:rsidR="00533430" w:rsidRDefault="00533430" w:rsidP="00533430">
      <w:pPr>
        <w:spacing w:after="240" w:line="240" w:lineRule="auto"/>
        <w:rPr>
          <w:rFonts w:ascii="Arial" w:hAnsi="Arial" w:cs="Arial"/>
          <w:lang w:val="es-419"/>
        </w:rPr>
      </w:pPr>
      <w:r w:rsidRPr="00E021DE">
        <w:rPr>
          <w:rFonts w:ascii="Arial" w:hAnsi="Arial" w:cs="Arial"/>
          <w:sz w:val="18"/>
          <w:lang w:val="es-419"/>
        </w:rPr>
        <w:t>Fuente:</w:t>
      </w:r>
      <w:r w:rsidR="00160980" w:rsidRPr="00E021DE">
        <w:rPr>
          <w:rFonts w:ascii="Arial" w:hAnsi="Arial" w:cs="Arial"/>
          <w:i/>
          <w:sz w:val="14"/>
          <w:lang w:val="es-419"/>
        </w:rPr>
        <w:t xml:space="preserve"> </w:t>
      </w:r>
      <w:r w:rsidR="00160980" w:rsidRPr="00160980">
        <w:rPr>
          <w:rFonts w:ascii="Arial" w:hAnsi="Arial" w:cs="Arial"/>
          <w:i/>
          <w:sz w:val="18"/>
          <w:lang w:val="es-419"/>
        </w:rPr>
        <w:t>Estudio MEGAS 2016, ONUSIDA.</w:t>
      </w:r>
    </w:p>
    <w:p w14:paraId="17AD08DE" w14:textId="77777777" w:rsidR="004E412F" w:rsidRDefault="004E412F" w:rsidP="004E412F">
      <w:pPr>
        <w:spacing w:after="240" w:line="240" w:lineRule="auto"/>
        <w:jc w:val="both"/>
        <w:rPr>
          <w:rFonts w:ascii="Arial" w:hAnsi="Arial" w:cs="Arial"/>
          <w:lang w:val="es-419"/>
        </w:rPr>
      </w:pPr>
      <w:r>
        <w:rPr>
          <w:rFonts w:ascii="Arial" w:hAnsi="Arial" w:cs="Arial"/>
          <w:lang w:val="es-419"/>
        </w:rPr>
        <w:t xml:space="preserve">Los principales rubros dentro de prevención, aquellos que consumen más del 60% del presupuesto, son: suministro de preservativos masculinos (US$6.6 millones; 34%), prevención, diagnóstico y tratamiento de ITS (US$3.1 millones; 16%) y seguridad hematológica (US$2.6 millones; 13%). El gasto en “Asesoramiento y pruebas” fue de US$2.2 millones, representando el 11.4% del gasto total. Del gasto en prevención únicamente el 25% provino de fuente pública, mientras que del gasto en atención y tratamiento el 86% fue financiado por el gobierno. </w:t>
      </w:r>
    </w:p>
    <w:p w14:paraId="72FE0FB2" w14:textId="5D62BD5D" w:rsidR="004E412F" w:rsidRDefault="004E412F" w:rsidP="004E412F">
      <w:pPr>
        <w:spacing w:after="240" w:line="240" w:lineRule="auto"/>
        <w:jc w:val="both"/>
        <w:rPr>
          <w:rFonts w:ascii="Arial" w:hAnsi="Arial" w:cs="Arial"/>
          <w:lang w:val="es-DO"/>
        </w:rPr>
      </w:pPr>
      <w:r w:rsidRPr="00DD37EC">
        <w:rPr>
          <w:rFonts w:ascii="Arial" w:hAnsi="Arial" w:cs="Arial"/>
          <w:lang w:val="es-DO"/>
        </w:rPr>
        <w:t>El gobierno de Honduras, a través de la SESAL asume el 90% del gasto de medicamentos ARV e insumos del VIH, con un monto aproximado de US$2.3 millones anuales</w:t>
      </w:r>
      <w:r>
        <w:rPr>
          <w:rFonts w:ascii="Arial" w:hAnsi="Arial" w:cs="Arial"/>
          <w:lang w:val="es-DO"/>
        </w:rPr>
        <w:t xml:space="preserve"> </w:t>
      </w:r>
      <w:r>
        <w:rPr>
          <w:rFonts w:ascii="Arial" w:hAnsi="Arial" w:cs="Arial"/>
          <w:lang w:val="es-419"/>
        </w:rPr>
        <w:t>(20% del gasto en atención y tratamiento)</w:t>
      </w:r>
      <w:r w:rsidRPr="00DD37EC">
        <w:rPr>
          <w:rFonts w:ascii="Arial" w:hAnsi="Arial" w:cs="Arial"/>
          <w:lang w:val="es-DO"/>
        </w:rPr>
        <w:t>. Las fuentes internacionales proveen aproximadamente el 10% (US</w:t>
      </w:r>
      <w:r>
        <w:rPr>
          <w:rFonts w:ascii="Arial" w:hAnsi="Arial" w:cs="Arial"/>
          <w:lang w:val="es-DO"/>
        </w:rPr>
        <w:t>$</w:t>
      </w:r>
      <w:r w:rsidRPr="00DD37EC">
        <w:rPr>
          <w:rFonts w:ascii="Arial" w:hAnsi="Arial" w:cs="Arial"/>
          <w:lang w:val="es-DO"/>
        </w:rPr>
        <w:t xml:space="preserve"> 300 mil) del gasto anual de medicamentos e insumos</w:t>
      </w:r>
      <w:r w:rsidRPr="00DD37EC">
        <w:rPr>
          <w:rStyle w:val="FootnoteReference"/>
          <w:rFonts w:ascii="Arial" w:hAnsi="Arial" w:cs="Arial"/>
          <w:lang w:val="es-DO"/>
        </w:rPr>
        <w:footnoteReference w:id="100"/>
      </w:r>
      <w:r w:rsidRPr="00DD37EC">
        <w:rPr>
          <w:rFonts w:ascii="Arial" w:hAnsi="Arial" w:cs="Arial"/>
          <w:lang w:val="es-DO"/>
        </w:rPr>
        <w:t>.</w:t>
      </w:r>
    </w:p>
    <w:p w14:paraId="2BC79324" w14:textId="77777777" w:rsidR="004E412F" w:rsidRDefault="004E412F" w:rsidP="004E412F">
      <w:pPr>
        <w:spacing w:after="240" w:line="240" w:lineRule="auto"/>
        <w:jc w:val="both"/>
        <w:rPr>
          <w:rFonts w:ascii="Arial" w:hAnsi="Arial" w:cs="Arial"/>
          <w:lang w:val="es-MX"/>
        </w:rPr>
      </w:pPr>
      <w:r w:rsidRPr="000D6C16">
        <w:rPr>
          <w:rFonts w:ascii="Arial" w:hAnsi="Arial" w:cs="Arial"/>
          <w:lang w:val="es-MX"/>
        </w:rPr>
        <w:t>Finalmente, del financiamiento total de VIH, únicamente el 15.1% se destina a población clave.</w:t>
      </w:r>
      <w:r w:rsidRPr="000D6C16">
        <w:rPr>
          <w:rStyle w:val="FootnoteReference"/>
          <w:rFonts w:ascii="Arial" w:hAnsi="Arial" w:cs="Arial"/>
          <w:lang w:val="es-MX"/>
        </w:rPr>
        <w:footnoteReference w:id="101"/>
      </w:r>
      <w:r w:rsidRPr="000D6C16">
        <w:rPr>
          <w:rFonts w:ascii="Arial" w:hAnsi="Arial" w:cs="Arial"/>
          <w:lang w:val="es-MX"/>
        </w:rPr>
        <w:t xml:space="preserve"> Del cual el 88.9% es financiado a través de fuentes internacionales y únicamente 11.1% por fuentes públicas. Más relevante aún, las intervenciones dirigidas a profesionales masculinos del sexo travestis (TRANS) y aquellos no desglosados por sexo, es decir aquellos profesionales no femeninos, dependen 100% del financiamiento internacional. Esto aun cuando la prevalencia en población TRANS es casi dos veces más alta que aquella de MTS.</w:t>
      </w:r>
      <w:r>
        <w:rPr>
          <w:rFonts w:ascii="Arial" w:hAnsi="Arial" w:cs="Arial"/>
          <w:lang w:val="es-MX"/>
        </w:rPr>
        <w:t xml:space="preserve"> </w:t>
      </w:r>
    </w:p>
    <w:p w14:paraId="3E8FC411" w14:textId="03E5F5EA" w:rsidR="00B54B4D" w:rsidRDefault="004E412F" w:rsidP="00B54B4D">
      <w:pPr>
        <w:spacing w:after="240" w:line="240" w:lineRule="auto"/>
        <w:jc w:val="both"/>
        <w:rPr>
          <w:rFonts w:ascii="Arial" w:hAnsi="Arial" w:cs="Arial"/>
          <w:lang w:val="es-MX"/>
        </w:rPr>
      </w:pPr>
      <w:bookmarkStart w:id="103" w:name="_Hlk792985"/>
      <w:r>
        <w:rPr>
          <w:rFonts w:ascii="Arial" w:hAnsi="Arial" w:cs="Arial"/>
          <w:lang w:val="es-MX"/>
        </w:rPr>
        <w:t>De forma paralela se comporta el gasto en prevención entre población clave en Honduras. Se estima que únicamente el 10% es financiado por el país mientras que PEPFAR y el FM contribuyen con el 66% y 20% del total.</w:t>
      </w:r>
      <w:r>
        <w:rPr>
          <w:rStyle w:val="FootnoteReference"/>
          <w:rFonts w:ascii="Arial" w:hAnsi="Arial" w:cs="Arial"/>
          <w:lang w:val="es-MX"/>
        </w:rPr>
        <w:footnoteReference w:id="102"/>
      </w:r>
      <w:bookmarkStart w:id="105" w:name="_Hlk535495748"/>
      <w:bookmarkEnd w:id="103"/>
    </w:p>
    <w:p w14:paraId="2817C3E9" w14:textId="77777777" w:rsidR="006501B2" w:rsidRDefault="006501B2" w:rsidP="00B54B4D">
      <w:pPr>
        <w:spacing w:after="240" w:line="240" w:lineRule="auto"/>
        <w:jc w:val="both"/>
        <w:rPr>
          <w:rFonts w:ascii="Arial" w:hAnsi="Arial" w:cs="Arial"/>
          <w:lang w:val="es-MX"/>
        </w:rPr>
      </w:pPr>
    </w:p>
    <w:p w14:paraId="2E34AF20" w14:textId="0841E36F" w:rsidR="003A324D" w:rsidRPr="00416965" w:rsidRDefault="00416965" w:rsidP="00416965">
      <w:pPr>
        <w:pStyle w:val="Caption"/>
        <w:rPr>
          <w:rStyle w:val="IntenseReference"/>
          <w:rFonts w:ascii="Arial" w:hAnsi="Arial" w:cs="Arial"/>
          <w:smallCaps w:val="0"/>
          <w:color w:val="auto"/>
          <w:spacing w:val="0"/>
          <w:sz w:val="22"/>
          <w:szCs w:val="22"/>
          <w:lang w:val="es-MX"/>
        </w:rPr>
      </w:pPr>
      <w:bookmarkStart w:id="106" w:name="_Toc8904514"/>
      <w:r w:rsidRPr="00416965">
        <w:rPr>
          <w:rFonts w:ascii="Arial" w:hAnsi="Arial" w:cs="Arial"/>
          <w:color w:val="auto"/>
          <w:sz w:val="22"/>
          <w:szCs w:val="22"/>
        </w:rPr>
        <w:lastRenderedPageBreak/>
        <w:t xml:space="preserve">Tabla </w:t>
      </w:r>
      <w:r w:rsidRPr="00416965">
        <w:rPr>
          <w:rFonts w:ascii="Arial" w:hAnsi="Arial" w:cs="Arial"/>
          <w:color w:val="auto"/>
          <w:sz w:val="22"/>
          <w:szCs w:val="22"/>
        </w:rPr>
        <w:fldChar w:fldCharType="begin"/>
      </w:r>
      <w:r w:rsidRPr="00416965">
        <w:rPr>
          <w:rFonts w:ascii="Arial" w:hAnsi="Arial" w:cs="Arial"/>
          <w:color w:val="auto"/>
          <w:sz w:val="22"/>
          <w:szCs w:val="22"/>
        </w:rPr>
        <w:instrText xml:space="preserve"> SEQ Tabla \* ARABIC </w:instrText>
      </w:r>
      <w:r w:rsidRPr="00416965">
        <w:rPr>
          <w:rFonts w:ascii="Arial" w:hAnsi="Arial" w:cs="Arial"/>
          <w:color w:val="auto"/>
          <w:sz w:val="22"/>
          <w:szCs w:val="22"/>
        </w:rPr>
        <w:fldChar w:fldCharType="separate"/>
      </w:r>
      <w:r w:rsidR="00D447AE">
        <w:rPr>
          <w:rFonts w:ascii="Arial" w:hAnsi="Arial" w:cs="Arial"/>
          <w:noProof/>
          <w:color w:val="auto"/>
          <w:sz w:val="22"/>
          <w:szCs w:val="22"/>
        </w:rPr>
        <w:t>12</w:t>
      </w:r>
      <w:r w:rsidRPr="00416965">
        <w:rPr>
          <w:rFonts w:ascii="Arial" w:hAnsi="Arial" w:cs="Arial"/>
          <w:color w:val="auto"/>
          <w:sz w:val="22"/>
          <w:szCs w:val="22"/>
        </w:rPr>
        <w:fldChar w:fldCharType="end"/>
      </w:r>
      <w:r w:rsidRPr="00416965">
        <w:rPr>
          <w:rFonts w:ascii="Arial" w:hAnsi="Arial" w:cs="Arial"/>
          <w:color w:val="auto"/>
          <w:sz w:val="22"/>
          <w:szCs w:val="22"/>
        </w:rPr>
        <w:t>. Gasto en VIH por área programática y fuente de financiamiento</w:t>
      </w:r>
      <w:r w:rsidR="00590D2A">
        <w:rPr>
          <w:rFonts w:ascii="Arial" w:hAnsi="Arial" w:cs="Arial"/>
          <w:color w:val="auto"/>
          <w:sz w:val="22"/>
          <w:szCs w:val="22"/>
        </w:rPr>
        <w:t xml:space="preserve"> (US$)</w:t>
      </w:r>
      <w:bookmarkEnd w:id="106"/>
    </w:p>
    <w:bookmarkEnd w:id="105"/>
    <w:p w14:paraId="362F346B" w14:textId="52E2E095" w:rsidR="003A324D" w:rsidRDefault="003A324D" w:rsidP="003A324D">
      <w:pPr>
        <w:spacing w:after="240" w:line="240" w:lineRule="auto"/>
        <w:rPr>
          <w:rFonts w:ascii="Arial" w:hAnsi="Arial" w:cs="Arial"/>
        </w:rPr>
      </w:pPr>
      <w:r w:rsidRPr="000D6C16">
        <w:rPr>
          <w:noProof/>
        </w:rPr>
        <w:drawing>
          <wp:inline distT="0" distB="0" distL="0" distR="0" wp14:anchorId="7F08A4A0" wp14:editId="09A08B1C">
            <wp:extent cx="5943600" cy="3477260"/>
            <wp:effectExtent l="0" t="0" r="0" b="889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3477260"/>
                    </a:xfrm>
                    <a:prstGeom prst="rect">
                      <a:avLst/>
                    </a:prstGeom>
                    <a:noFill/>
                    <a:ln>
                      <a:noFill/>
                    </a:ln>
                  </pic:spPr>
                </pic:pic>
              </a:graphicData>
            </a:graphic>
          </wp:inline>
        </w:drawing>
      </w:r>
    </w:p>
    <w:p w14:paraId="64CE9FF3" w14:textId="3517879B" w:rsidR="00ED2AD1" w:rsidRPr="00ED2AD1" w:rsidRDefault="00ED2AD1" w:rsidP="003A324D">
      <w:pPr>
        <w:spacing w:after="240" w:line="240" w:lineRule="auto"/>
        <w:rPr>
          <w:rFonts w:ascii="Arial" w:hAnsi="Arial" w:cs="Arial"/>
          <w:i/>
          <w:sz w:val="18"/>
          <w:lang w:val="es-MX"/>
        </w:rPr>
      </w:pPr>
      <w:r w:rsidRPr="00ED2AD1">
        <w:rPr>
          <w:rFonts w:ascii="Arial" w:hAnsi="Arial" w:cs="Arial"/>
          <w:sz w:val="18"/>
          <w:lang w:val="es-MX"/>
        </w:rPr>
        <w:t>Fuente:</w:t>
      </w:r>
      <w:r w:rsidRPr="00ED2AD1">
        <w:rPr>
          <w:rFonts w:ascii="Arial" w:hAnsi="Arial" w:cs="Arial"/>
          <w:i/>
          <w:sz w:val="18"/>
          <w:lang w:val="es-MX"/>
        </w:rPr>
        <w:t xml:space="preserve"> Elaboración de los autores con información del Fondo Mundial y PEPFAR.</w:t>
      </w:r>
    </w:p>
    <w:p w14:paraId="6E866736" w14:textId="77777777" w:rsidR="003A324D" w:rsidRPr="00DD37EC" w:rsidRDefault="003A324D" w:rsidP="0068285B">
      <w:pPr>
        <w:pStyle w:val="Heading2"/>
        <w:numPr>
          <w:ilvl w:val="1"/>
          <w:numId w:val="19"/>
        </w:numPr>
        <w:spacing w:before="0" w:after="240" w:line="240" w:lineRule="auto"/>
        <w:rPr>
          <w:rFonts w:ascii="Arial" w:hAnsi="Arial" w:cs="Arial"/>
          <w:sz w:val="22"/>
          <w:szCs w:val="22"/>
          <w:lang w:val="es-419"/>
        </w:rPr>
      </w:pPr>
      <w:bookmarkStart w:id="107" w:name="_Toc8905249"/>
      <w:r w:rsidRPr="00DD37EC">
        <w:rPr>
          <w:rFonts w:ascii="Arial" w:hAnsi="Arial" w:cs="Arial"/>
          <w:sz w:val="22"/>
          <w:szCs w:val="22"/>
          <w:lang w:val="es-419"/>
        </w:rPr>
        <w:t>Gasto en TB</w:t>
      </w:r>
      <w:bookmarkEnd w:id="107"/>
    </w:p>
    <w:p w14:paraId="353262FA" w14:textId="3B28C124" w:rsidR="003A324D" w:rsidRDefault="003A324D" w:rsidP="003A324D">
      <w:pPr>
        <w:tabs>
          <w:tab w:val="left" w:pos="4615"/>
        </w:tabs>
        <w:spacing w:after="240" w:line="240" w:lineRule="auto"/>
        <w:jc w:val="both"/>
        <w:rPr>
          <w:rFonts w:ascii="Arial" w:hAnsi="Arial" w:cs="Arial"/>
          <w:lang w:val="es-419"/>
        </w:rPr>
      </w:pPr>
      <w:bookmarkStart w:id="108" w:name="_Hlk793063"/>
      <w:r>
        <w:rPr>
          <w:rFonts w:ascii="Arial" w:hAnsi="Arial" w:cs="Arial"/>
          <w:lang w:val="es-419"/>
        </w:rPr>
        <w:t>Para TB, el PENTB cuenta con un presupuesto estimado para el periodo 2016-2020 de US</w:t>
      </w:r>
      <w:r w:rsidR="002B7C7B">
        <w:rPr>
          <w:rFonts w:ascii="Arial" w:hAnsi="Arial" w:cs="Arial"/>
          <w:lang w:val="es-419"/>
        </w:rPr>
        <w:t>$</w:t>
      </w:r>
      <w:r>
        <w:rPr>
          <w:rFonts w:ascii="Arial" w:hAnsi="Arial" w:cs="Arial"/>
          <w:lang w:val="es-419"/>
        </w:rPr>
        <w:t xml:space="preserve"> 16 millones (L</w:t>
      </w:r>
      <w:r w:rsidR="002B7C7B">
        <w:rPr>
          <w:rFonts w:ascii="Arial" w:hAnsi="Arial" w:cs="Arial"/>
          <w:lang w:val="es-419"/>
        </w:rPr>
        <w:t>$</w:t>
      </w:r>
      <w:r>
        <w:rPr>
          <w:rFonts w:ascii="Arial" w:hAnsi="Arial" w:cs="Arial"/>
          <w:lang w:val="es-419"/>
        </w:rPr>
        <w:t>373 millones), o un promedio anual de US</w:t>
      </w:r>
      <w:r w:rsidR="002B7C7B">
        <w:rPr>
          <w:rFonts w:ascii="Arial" w:hAnsi="Arial" w:cs="Arial"/>
          <w:lang w:val="es-419"/>
        </w:rPr>
        <w:t>$</w:t>
      </w:r>
      <w:r>
        <w:rPr>
          <w:rFonts w:ascii="Arial" w:hAnsi="Arial" w:cs="Arial"/>
          <w:lang w:val="es-419"/>
        </w:rPr>
        <w:t>3 millones (L</w:t>
      </w:r>
      <w:r w:rsidR="002B7C7B">
        <w:rPr>
          <w:rFonts w:ascii="Arial" w:hAnsi="Arial" w:cs="Arial"/>
          <w:lang w:val="es-419"/>
        </w:rPr>
        <w:t>$</w:t>
      </w:r>
      <w:r>
        <w:rPr>
          <w:rFonts w:ascii="Arial" w:hAnsi="Arial" w:cs="Arial"/>
          <w:lang w:val="es-419"/>
        </w:rPr>
        <w:t xml:space="preserve">74 millones). Sin embargo, a diferencia de VIH, para TB no se cuenta con estudios periódicos del gasto como el MEGAS que permitan estimar el monto total de recursos ejercidos en la Respuesta </w:t>
      </w:r>
      <w:r w:rsidR="008A04B0">
        <w:rPr>
          <w:rFonts w:ascii="Arial" w:hAnsi="Arial" w:cs="Arial"/>
          <w:lang w:val="es-419"/>
        </w:rPr>
        <w:t xml:space="preserve">a </w:t>
      </w:r>
      <w:r>
        <w:rPr>
          <w:rFonts w:ascii="Arial" w:hAnsi="Arial" w:cs="Arial"/>
          <w:lang w:val="es-419"/>
        </w:rPr>
        <w:t>l</w:t>
      </w:r>
      <w:r w:rsidR="008A04B0">
        <w:rPr>
          <w:rFonts w:ascii="Arial" w:hAnsi="Arial" w:cs="Arial"/>
          <w:lang w:val="es-419"/>
        </w:rPr>
        <w:t>a</w:t>
      </w:r>
      <w:r>
        <w:rPr>
          <w:rFonts w:ascii="Arial" w:hAnsi="Arial" w:cs="Arial"/>
          <w:lang w:val="es-419"/>
        </w:rPr>
        <w:t xml:space="preserve"> TB.</w:t>
      </w:r>
    </w:p>
    <w:bookmarkEnd w:id="108"/>
    <w:p w14:paraId="10ABAC8F" w14:textId="25864DD5" w:rsidR="00416965" w:rsidRDefault="003A324D" w:rsidP="00416965">
      <w:pPr>
        <w:tabs>
          <w:tab w:val="left" w:pos="4615"/>
        </w:tabs>
        <w:spacing w:after="240" w:line="240" w:lineRule="auto"/>
        <w:jc w:val="both"/>
        <w:rPr>
          <w:rFonts w:ascii="Arial" w:hAnsi="Arial" w:cs="Arial"/>
          <w:lang w:val="es-419"/>
        </w:rPr>
      </w:pPr>
      <w:r>
        <w:rPr>
          <w:rFonts w:ascii="Arial" w:hAnsi="Arial" w:cs="Arial"/>
          <w:lang w:val="es-419"/>
        </w:rPr>
        <w:t xml:space="preserve">De acuerdo a las necesidades estimadas en el PENTB, cerca del 50% del presupuesto se debería concentrar en actividades de gestión y políticas para TB sensible (23%), desarrollo de </w:t>
      </w:r>
      <w:r w:rsidR="002B7C7B">
        <w:rPr>
          <w:rFonts w:ascii="Arial" w:hAnsi="Arial" w:cs="Arial"/>
          <w:lang w:val="es-419"/>
        </w:rPr>
        <w:t>r</w:t>
      </w:r>
      <w:r>
        <w:rPr>
          <w:rFonts w:ascii="Arial" w:hAnsi="Arial" w:cs="Arial"/>
          <w:lang w:val="es-419"/>
        </w:rPr>
        <w:t xml:space="preserve">ecurso </w:t>
      </w:r>
      <w:r w:rsidR="002B7C7B">
        <w:rPr>
          <w:rFonts w:ascii="Arial" w:hAnsi="Arial" w:cs="Arial"/>
          <w:lang w:val="es-419"/>
        </w:rPr>
        <w:t>h</w:t>
      </w:r>
      <w:r>
        <w:rPr>
          <w:rFonts w:ascii="Arial" w:hAnsi="Arial" w:cs="Arial"/>
          <w:lang w:val="es-419"/>
        </w:rPr>
        <w:t>umano (16%) y abogacía y comunicación (10%). Se estima que los medicamento</w:t>
      </w:r>
      <w:r w:rsidR="008A04B0">
        <w:rPr>
          <w:rFonts w:ascii="Arial" w:hAnsi="Arial" w:cs="Arial"/>
          <w:lang w:val="es-419"/>
        </w:rPr>
        <w:t>s</w:t>
      </w:r>
      <w:r>
        <w:rPr>
          <w:rFonts w:ascii="Arial" w:hAnsi="Arial" w:cs="Arial"/>
          <w:lang w:val="es-419"/>
        </w:rPr>
        <w:t xml:space="preserve"> solo consumen cerca del 1% del tratamiento, mientras que únicamente el 4% del presupuesto se destina a los costos relacionados con la atención de la TB resistente a medicamentos.</w:t>
      </w:r>
      <w:bookmarkStart w:id="109" w:name="_Hlk535496083"/>
    </w:p>
    <w:p w14:paraId="10087825" w14:textId="48BEF451" w:rsidR="00416965" w:rsidRDefault="00416965" w:rsidP="00416965">
      <w:pPr>
        <w:rPr>
          <w:rFonts w:ascii="Arial" w:hAnsi="Arial" w:cs="Arial"/>
          <w:lang w:val="es-419"/>
        </w:rPr>
      </w:pPr>
      <w:r>
        <w:rPr>
          <w:rFonts w:ascii="Arial" w:hAnsi="Arial" w:cs="Arial"/>
          <w:lang w:val="es-419"/>
        </w:rPr>
        <w:br w:type="page"/>
      </w:r>
    </w:p>
    <w:p w14:paraId="06E041F8" w14:textId="27D41293" w:rsidR="003A324D" w:rsidRPr="00416965" w:rsidRDefault="00416965" w:rsidP="00416965">
      <w:pPr>
        <w:pStyle w:val="Caption"/>
        <w:rPr>
          <w:rStyle w:val="IntenseReference"/>
          <w:rFonts w:ascii="Arial" w:hAnsi="Arial" w:cs="Arial"/>
          <w:i/>
          <w:color w:val="auto"/>
          <w:sz w:val="22"/>
          <w:lang w:val="es-MX"/>
        </w:rPr>
      </w:pPr>
      <w:bookmarkStart w:id="110" w:name="_Toc8904515"/>
      <w:r w:rsidRPr="00416965">
        <w:rPr>
          <w:rFonts w:ascii="Arial" w:hAnsi="Arial" w:cs="Arial"/>
          <w:color w:val="auto"/>
          <w:sz w:val="22"/>
        </w:rPr>
        <w:lastRenderedPageBreak/>
        <w:t xml:space="preserve">Tabla </w:t>
      </w:r>
      <w:r w:rsidRPr="00416965">
        <w:rPr>
          <w:rFonts w:ascii="Arial" w:hAnsi="Arial" w:cs="Arial"/>
          <w:color w:val="auto"/>
          <w:sz w:val="22"/>
        </w:rPr>
        <w:fldChar w:fldCharType="begin"/>
      </w:r>
      <w:r w:rsidRPr="00416965">
        <w:rPr>
          <w:rFonts w:ascii="Arial" w:hAnsi="Arial" w:cs="Arial"/>
          <w:color w:val="auto"/>
          <w:sz w:val="22"/>
        </w:rPr>
        <w:instrText xml:space="preserve"> SEQ Tabla \* ARABIC </w:instrText>
      </w:r>
      <w:r w:rsidRPr="00416965">
        <w:rPr>
          <w:rFonts w:ascii="Arial" w:hAnsi="Arial" w:cs="Arial"/>
          <w:color w:val="auto"/>
          <w:sz w:val="22"/>
        </w:rPr>
        <w:fldChar w:fldCharType="separate"/>
      </w:r>
      <w:r w:rsidR="00D447AE">
        <w:rPr>
          <w:rFonts w:ascii="Arial" w:hAnsi="Arial" w:cs="Arial"/>
          <w:noProof/>
          <w:color w:val="auto"/>
          <w:sz w:val="22"/>
        </w:rPr>
        <w:t>13</w:t>
      </w:r>
      <w:r w:rsidRPr="00416965">
        <w:rPr>
          <w:rFonts w:ascii="Arial" w:hAnsi="Arial" w:cs="Arial"/>
          <w:color w:val="auto"/>
          <w:sz w:val="22"/>
        </w:rPr>
        <w:fldChar w:fldCharType="end"/>
      </w:r>
      <w:r w:rsidRPr="00416965">
        <w:rPr>
          <w:rFonts w:ascii="Arial" w:hAnsi="Arial" w:cs="Arial"/>
          <w:color w:val="auto"/>
          <w:sz w:val="22"/>
        </w:rPr>
        <w:t>. Gasto en TB como porcentaje del gasto en salud</w:t>
      </w:r>
      <w:r w:rsidR="00590D2A">
        <w:rPr>
          <w:rFonts w:ascii="Arial" w:hAnsi="Arial" w:cs="Arial"/>
          <w:color w:val="auto"/>
          <w:sz w:val="22"/>
        </w:rPr>
        <w:t xml:space="preserve"> (US$, L$)</w:t>
      </w:r>
      <w:bookmarkEnd w:id="110"/>
    </w:p>
    <w:bookmarkEnd w:id="109"/>
    <w:p w14:paraId="644F874E" w14:textId="77777777" w:rsidR="003A324D" w:rsidRDefault="003A324D" w:rsidP="003A324D">
      <w:pPr>
        <w:rPr>
          <w:lang w:val="es-419"/>
        </w:rPr>
      </w:pPr>
      <w:r w:rsidRPr="00010017">
        <w:rPr>
          <w:noProof/>
        </w:rPr>
        <w:drawing>
          <wp:inline distT="0" distB="0" distL="0" distR="0" wp14:anchorId="6F0563BF" wp14:editId="3CD08787">
            <wp:extent cx="4667183" cy="2569729"/>
            <wp:effectExtent l="0" t="0" r="635" b="254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78724" cy="2576083"/>
                    </a:xfrm>
                    <a:prstGeom prst="rect">
                      <a:avLst/>
                    </a:prstGeom>
                    <a:noFill/>
                    <a:ln>
                      <a:noFill/>
                    </a:ln>
                  </pic:spPr>
                </pic:pic>
              </a:graphicData>
            </a:graphic>
          </wp:inline>
        </w:drawing>
      </w:r>
    </w:p>
    <w:p w14:paraId="4D69E4EB" w14:textId="671FC708" w:rsidR="003A324D" w:rsidRPr="00167C47" w:rsidRDefault="003A324D" w:rsidP="003A324D">
      <w:pPr>
        <w:rPr>
          <w:rFonts w:ascii="Arial" w:hAnsi="Arial" w:cs="Arial"/>
          <w:i/>
          <w:sz w:val="18"/>
          <w:lang w:val="es-419"/>
        </w:rPr>
      </w:pPr>
      <w:r w:rsidRPr="00ED2AD1">
        <w:rPr>
          <w:rFonts w:ascii="Arial" w:hAnsi="Arial" w:cs="Arial"/>
          <w:sz w:val="18"/>
          <w:lang w:val="es-419"/>
        </w:rPr>
        <w:t>Fuente</w:t>
      </w:r>
      <w:r w:rsidRPr="00167C47">
        <w:rPr>
          <w:rFonts w:ascii="Arial" w:hAnsi="Arial" w:cs="Arial"/>
          <w:i/>
          <w:sz w:val="18"/>
          <w:lang w:val="es-419"/>
        </w:rPr>
        <w:t>: PENTB 2016-2020.Tipo de cambio al 31/12/16: US$ 1 = L$ 22.5986</w:t>
      </w:r>
    </w:p>
    <w:p w14:paraId="319722A0" w14:textId="248A62E3" w:rsidR="003A324D" w:rsidRDefault="003A324D" w:rsidP="00A61704">
      <w:pPr>
        <w:jc w:val="both"/>
        <w:rPr>
          <w:rFonts w:ascii="Arial" w:hAnsi="Arial" w:cs="Arial"/>
          <w:lang w:val="es-MX"/>
        </w:rPr>
      </w:pPr>
      <w:bookmarkStart w:id="111" w:name="_Hlk793287"/>
      <w:r w:rsidRPr="009C68E2">
        <w:rPr>
          <w:rFonts w:ascii="Arial" w:hAnsi="Arial" w:cs="Arial"/>
          <w:lang w:val="es-MX"/>
        </w:rPr>
        <w:t>Si se analizan las necesidades por fuente de financiamiento, se observa que las áreas con mayor dependencia de financiamiento externo (mayor al 50%) son asistencia técnica (82%), costos de programa asociados a TB resistente (81%), supervisión monitoreo y evaluación (78%), actividades de colaboración TB-VIH (76%), abogacía y comunicación (74%), vigilancia rutinaria (72%) e infraestructura, equipo y suministros de laboratorio (59%).</w:t>
      </w:r>
      <w:bookmarkEnd w:id="111"/>
    </w:p>
    <w:p w14:paraId="6C006605" w14:textId="6656B990" w:rsidR="00277A8C" w:rsidRDefault="00277A8C" w:rsidP="00A61704">
      <w:pPr>
        <w:jc w:val="both"/>
        <w:rPr>
          <w:rFonts w:ascii="Arial" w:hAnsi="Arial" w:cs="Arial"/>
          <w:lang w:val="es-MX"/>
        </w:rPr>
      </w:pPr>
    </w:p>
    <w:p w14:paraId="2819AAF2" w14:textId="6F2C6B8C" w:rsidR="00277A8C" w:rsidRPr="00277A8C" w:rsidRDefault="00277A8C" w:rsidP="00277A8C">
      <w:pPr>
        <w:pStyle w:val="Caption"/>
        <w:rPr>
          <w:rFonts w:ascii="Arial" w:hAnsi="Arial" w:cs="Arial"/>
          <w:color w:val="auto"/>
          <w:sz w:val="22"/>
          <w:szCs w:val="22"/>
          <w:lang w:val="es-MX"/>
        </w:rPr>
      </w:pPr>
      <w:bookmarkStart w:id="112" w:name="_Toc8904110"/>
      <w:r w:rsidRPr="00277A8C">
        <w:rPr>
          <w:rFonts w:ascii="Arial" w:hAnsi="Arial" w:cs="Arial"/>
          <w:color w:val="auto"/>
          <w:sz w:val="22"/>
          <w:szCs w:val="22"/>
        </w:rPr>
        <w:t xml:space="preserve">Figura </w:t>
      </w:r>
      <w:r w:rsidRPr="00277A8C">
        <w:rPr>
          <w:rFonts w:ascii="Arial" w:hAnsi="Arial" w:cs="Arial"/>
          <w:color w:val="auto"/>
          <w:sz w:val="22"/>
          <w:szCs w:val="22"/>
        </w:rPr>
        <w:fldChar w:fldCharType="begin"/>
      </w:r>
      <w:r w:rsidRPr="00277A8C">
        <w:rPr>
          <w:rFonts w:ascii="Arial" w:hAnsi="Arial" w:cs="Arial"/>
          <w:color w:val="auto"/>
          <w:sz w:val="22"/>
          <w:szCs w:val="22"/>
        </w:rPr>
        <w:instrText xml:space="preserve"> SEQ Figura \* ARABIC </w:instrText>
      </w:r>
      <w:r w:rsidRPr="00277A8C">
        <w:rPr>
          <w:rFonts w:ascii="Arial" w:hAnsi="Arial" w:cs="Arial"/>
          <w:color w:val="auto"/>
          <w:sz w:val="22"/>
          <w:szCs w:val="22"/>
        </w:rPr>
        <w:fldChar w:fldCharType="separate"/>
      </w:r>
      <w:r w:rsidR="00004563">
        <w:rPr>
          <w:rFonts w:ascii="Arial" w:hAnsi="Arial" w:cs="Arial"/>
          <w:noProof/>
          <w:color w:val="auto"/>
          <w:sz w:val="22"/>
          <w:szCs w:val="22"/>
        </w:rPr>
        <w:t>13</w:t>
      </w:r>
      <w:r w:rsidRPr="00277A8C">
        <w:rPr>
          <w:rFonts w:ascii="Arial" w:hAnsi="Arial" w:cs="Arial"/>
          <w:color w:val="auto"/>
          <w:sz w:val="22"/>
          <w:szCs w:val="22"/>
        </w:rPr>
        <w:fldChar w:fldCharType="end"/>
      </w:r>
      <w:r w:rsidRPr="00277A8C">
        <w:rPr>
          <w:rFonts w:ascii="Arial" w:hAnsi="Arial" w:cs="Arial"/>
          <w:color w:val="auto"/>
          <w:sz w:val="22"/>
          <w:szCs w:val="22"/>
        </w:rPr>
        <w:t>. Financiamiento previsto para TB (2016-2020) por fuente de financiamiento</w:t>
      </w:r>
      <w:bookmarkEnd w:id="112"/>
    </w:p>
    <w:p w14:paraId="4CD11AA2" w14:textId="77777777" w:rsidR="003A324D" w:rsidRPr="00A61704" w:rsidRDefault="003A324D" w:rsidP="003A324D">
      <w:pPr>
        <w:spacing w:after="240" w:line="240" w:lineRule="auto"/>
        <w:rPr>
          <w:rFonts w:ascii="Arial" w:hAnsi="Arial" w:cs="Arial"/>
          <w:lang w:val="es-MX"/>
        </w:rPr>
      </w:pPr>
      <w:r w:rsidRPr="00DD37EC">
        <w:rPr>
          <w:rFonts w:ascii="Arial" w:hAnsi="Arial" w:cs="Arial"/>
          <w:noProof/>
        </w:rPr>
        <w:drawing>
          <wp:inline distT="0" distB="0" distL="0" distR="0" wp14:anchorId="26EC2AAC" wp14:editId="5BA84447">
            <wp:extent cx="5444837" cy="2988425"/>
            <wp:effectExtent l="0" t="0" r="3810" b="2540"/>
            <wp:docPr id="14" name="Chart 14">
              <a:extLst xmlns:a="http://schemas.openxmlformats.org/drawingml/2006/main">
                <a:ext uri="{FF2B5EF4-FFF2-40B4-BE49-F238E27FC236}">
                  <a16:creationId xmlns:a16="http://schemas.microsoft.com/office/drawing/2014/main" id="{7C54C20B-AD29-4045-89C7-7E316FCBEC1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6C4C3C4" w14:textId="6E7A4048" w:rsidR="00167C47" w:rsidRDefault="003A324D" w:rsidP="00F539ED">
      <w:pPr>
        <w:pStyle w:val="FootnoteText"/>
        <w:rPr>
          <w:rFonts w:ascii="Arial" w:hAnsi="Arial" w:cs="Arial"/>
          <w:i/>
          <w:sz w:val="18"/>
          <w:szCs w:val="18"/>
          <w:lang w:val="es-DO"/>
        </w:rPr>
      </w:pPr>
      <w:r w:rsidRPr="00ED2AD1">
        <w:rPr>
          <w:rFonts w:ascii="Arial" w:hAnsi="Arial" w:cs="Arial"/>
          <w:sz w:val="18"/>
          <w:szCs w:val="18"/>
          <w:lang w:val="es-MX"/>
        </w:rPr>
        <w:t>Fuente:</w:t>
      </w:r>
      <w:r w:rsidRPr="00167C47">
        <w:rPr>
          <w:rFonts w:ascii="Arial" w:hAnsi="Arial" w:cs="Arial"/>
          <w:i/>
          <w:sz w:val="18"/>
          <w:szCs w:val="18"/>
          <w:lang w:val="es-MX"/>
        </w:rPr>
        <w:t xml:space="preserve"> </w:t>
      </w:r>
      <w:r w:rsidR="00F539ED" w:rsidRPr="00167C47">
        <w:rPr>
          <w:rFonts w:ascii="Arial" w:hAnsi="Arial" w:cs="Arial"/>
          <w:i/>
          <w:sz w:val="18"/>
          <w:szCs w:val="18"/>
          <w:lang w:val="es-DO"/>
        </w:rPr>
        <w:t>Secretaria de Salud de Honduras. (2016). Plan Estratégico de Respuesta Nacional para la Prevención y Control de la Tuberculosis (PENTB) en Honduras 2016-2020.</w:t>
      </w:r>
    </w:p>
    <w:p w14:paraId="6300F4C7" w14:textId="77777777" w:rsidR="00E06CAD" w:rsidRPr="00167C47" w:rsidRDefault="00E06CAD" w:rsidP="00F539ED">
      <w:pPr>
        <w:pStyle w:val="FootnoteText"/>
        <w:rPr>
          <w:rFonts w:ascii="Arial" w:hAnsi="Arial" w:cs="Arial"/>
          <w:i/>
          <w:sz w:val="18"/>
          <w:szCs w:val="18"/>
          <w:lang w:val="es-DO"/>
        </w:rPr>
      </w:pPr>
    </w:p>
    <w:p w14:paraId="0F30F415" w14:textId="39057AD3" w:rsidR="003A324D" w:rsidRDefault="003A324D" w:rsidP="003A324D">
      <w:pPr>
        <w:spacing w:after="240" w:line="240" w:lineRule="auto"/>
        <w:rPr>
          <w:rFonts w:ascii="Arial" w:hAnsi="Arial" w:cs="Arial"/>
          <w:lang w:val="es-MX"/>
        </w:rPr>
      </w:pPr>
      <w:bookmarkStart w:id="113" w:name="_Hlk793166"/>
      <w:r>
        <w:rPr>
          <w:rFonts w:ascii="Arial" w:hAnsi="Arial" w:cs="Arial"/>
          <w:lang w:val="es-MX"/>
        </w:rPr>
        <w:t>De acuerdo a estimación de la OMS y el Fondo Mundial, para 2017 se estima</w:t>
      </w:r>
      <w:r w:rsidR="009A361E">
        <w:rPr>
          <w:rFonts w:ascii="Arial" w:hAnsi="Arial" w:cs="Arial"/>
          <w:lang w:val="es-MX"/>
        </w:rPr>
        <w:t>ron</w:t>
      </w:r>
      <w:r>
        <w:rPr>
          <w:rFonts w:ascii="Arial" w:hAnsi="Arial" w:cs="Arial"/>
          <w:lang w:val="es-MX"/>
        </w:rPr>
        <w:t xml:space="preserve"> necesidades por US$11 millones para TB. De ello se espera</w:t>
      </w:r>
      <w:r w:rsidR="009A361E">
        <w:rPr>
          <w:rFonts w:ascii="Arial" w:hAnsi="Arial" w:cs="Arial"/>
          <w:lang w:val="es-MX"/>
        </w:rPr>
        <w:t>ba</w:t>
      </w:r>
      <w:r>
        <w:rPr>
          <w:rFonts w:ascii="Arial" w:hAnsi="Arial" w:cs="Arial"/>
          <w:lang w:val="es-MX"/>
        </w:rPr>
        <w:t xml:space="preserve"> que US</w:t>
      </w:r>
      <w:r w:rsidR="002B7C7B">
        <w:rPr>
          <w:rFonts w:ascii="Arial" w:hAnsi="Arial" w:cs="Arial"/>
          <w:lang w:val="es-MX"/>
        </w:rPr>
        <w:t>$</w:t>
      </w:r>
      <w:r>
        <w:rPr>
          <w:rFonts w:ascii="Arial" w:hAnsi="Arial" w:cs="Arial"/>
          <w:lang w:val="es-MX"/>
        </w:rPr>
        <w:t xml:space="preserve">1.9 millones </w:t>
      </w:r>
      <w:r w:rsidR="009A361E">
        <w:rPr>
          <w:rFonts w:ascii="Arial" w:hAnsi="Arial" w:cs="Arial"/>
          <w:lang w:val="es-MX"/>
        </w:rPr>
        <w:t>fueran</w:t>
      </w:r>
      <w:r>
        <w:rPr>
          <w:rFonts w:ascii="Arial" w:hAnsi="Arial" w:cs="Arial"/>
          <w:lang w:val="es-MX"/>
        </w:rPr>
        <w:t xml:space="preserve"> cubiertos por el gobierno y US$3.4 millones por fuentes externas (US$2 millones correspondientes al FM), quedando una brecha de 5.7 millones sin financiamiento.</w:t>
      </w:r>
      <w:r>
        <w:rPr>
          <w:rStyle w:val="FootnoteReference"/>
          <w:rFonts w:ascii="Arial" w:hAnsi="Arial" w:cs="Arial"/>
          <w:lang w:val="es-MX"/>
        </w:rPr>
        <w:footnoteReference w:id="103"/>
      </w:r>
    </w:p>
    <w:p w14:paraId="64107E27" w14:textId="77777777" w:rsidR="003A324D" w:rsidRPr="00DD37EC" w:rsidRDefault="003A324D" w:rsidP="0068285B">
      <w:pPr>
        <w:pStyle w:val="Heading2"/>
        <w:numPr>
          <w:ilvl w:val="1"/>
          <w:numId w:val="19"/>
        </w:numPr>
        <w:spacing w:before="0" w:after="240" w:line="240" w:lineRule="auto"/>
        <w:rPr>
          <w:rFonts w:ascii="Arial" w:hAnsi="Arial" w:cs="Arial"/>
          <w:sz w:val="22"/>
          <w:szCs w:val="22"/>
          <w:lang w:val="es-419"/>
        </w:rPr>
      </w:pPr>
      <w:bookmarkStart w:id="114" w:name="_Toc8905250"/>
      <w:bookmarkEnd w:id="113"/>
      <w:r>
        <w:rPr>
          <w:rFonts w:ascii="Arial" w:hAnsi="Arial" w:cs="Arial"/>
          <w:sz w:val="22"/>
          <w:szCs w:val="22"/>
          <w:lang w:val="es-419"/>
        </w:rPr>
        <w:t>Administración pública y financiera</w:t>
      </w:r>
      <w:bookmarkEnd w:id="114"/>
    </w:p>
    <w:p w14:paraId="67C484AB" w14:textId="6F56AB3B" w:rsidR="003A324D" w:rsidRPr="009D55E8" w:rsidRDefault="003A324D" w:rsidP="003A324D">
      <w:pPr>
        <w:spacing w:after="240" w:line="240" w:lineRule="auto"/>
        <w:jc w:val="both"/>
        <w:rPr>
          <w:rFonts w:ascii="Arial" w:hAnsi="Arial" w:cs="Arial"/>
          <w:lang w:val="es-MX"/>
        </w:rPr>
      </w:pPr>
      <w:r w:rsidRPr="00016F8C">
        <w:rPr>
          <w:rFonts w:ascii="Arial" w:hAnsi="Arial" w:cs="Arial"/>
          <w:lang w:val="es-MX"/>
        </w:rPr>
        <w:t>El proceso de presupuestació</w:t>
      </w:r>
      <w:r>
        <w:rPr>
          <w:rFonts w:ascii="Arial" w:hAnsi="Arial" w:cs="Arial"/>
          <w:lang w:val="es-MX"/>
        </w:rPr>
        <w:t>n para VIH y TB no es muy transparente. De acuerdo a las entrevistas, anteriormente los programas realizaban su presupuesto anual y lo compartían con la Dirección de Presupuesto de la SESAL donde se desagregan los gastos dentro de categorías más amplias de gasto utilizadas por la Secretaría. También</w:t>
      </w:r>
      <w:r w:rsidR="00B604ED">
        <w:rPr>
          <w:rFonts w:ascii="Arial" w:hAnsi="Arial" w:cs="Arial"/>
          <w:lang w:val="es-MX"/>
        </w:rPr>
        <w:t xml:space="preserve"> se validó</w:t>
      </w:r>
      <w:r>
        <w:rPr>
          <w:rFonts w:ascii="Arial" w:hAnsi="Arial" w:cs="Arial"/>
          <w:lang w:val="es-MX"/>
        </w:rPr>
        <w:t xml:space="preserve"> </w:t>
      </w:r>
      <w:r w:rsidR="00B604ED">
        <w:rPr>
          <w:rFonts w:ascii="Arial" w:hAnsi="Arial" w:cs="Arial"/>
          <w:lang w:val="es-MX"/>
        </w:rPr>
        <w:t>que las actividades incluidas y costeadas en el</w:t>
      </w:r>
      <w:r>
        <w:rPr>
          <w:rFonts w:ascii="Arial" w:hAnsi="Arial" w:cs="Arial"/>
          <w:lang w:val="es-MX"/>
        </w:rPr>
        <w:t xml:space="preserve"> PENSIDA y PENTB</w:t>
      </w:r>
      <w:r w:rsidR="00B604ED">
        <w:rPr>
          <w:rFonts w:ascii="Arial" w:hAnsi="Arial" w:cs="Arial"/>
          <w:lang w:val="es-MX"/>
        </w:rPr>
        <w:t>, no se utilizan para la planificación presupuestaria.</w:t>
      </w:r>
    </w:p>
    <w:p w14:paraId="7922808A" w14:textId="66071614" w:rsidR="003A324D" w:rsidRDefault="003A324D" w:rsidP="003A324D">
      <w:pPr>
        <w:spacing w:after="240" w:line="240" w:lineRule="auto"/>
        <w:jc w:val="both"/>
        <w:rPr>
          <w:rFonts w:ascii="Arial" w:hAnsi="Arial" w:cs="Arial"/>
          <w:lang w:val="es-419"/>
        </w:rPr>
      </w:pPr>
      <w:r>
        <w:rPr>
          <w:rFonts w:ascii="Arial" w:hAnsi="Arial" w:cs="Arial"/>
          <w:lang w:val="es-MX"/>
        </w:rPr>
        <w:t xml:space="preserve">A la fecha no existen líneas presupuestarias para VIH o TB, por lo que no es posible </w:t>
      </w:r>
      <w:r w:rsidRPr="00660AFE">
        <w:rPr>
          <w:rFonts w:ascii="Arial" w:hAnsi="Arial" w:cs="Arial"/>
          <w:lang w:val="es-419"/>
        </w:rPr>
        <w:t xml:space="preserve">visualizar </w:t>
      </w:r>
      <w:r>
        <w:rPr>
          <w:rFonts w:ascii="Arial" w:hAnsi="Arial" w:cs="Arial"/>
          <w:lang w:val="es-419"/>
        </w:rPr>
        <w:t>su</w:t>
      </w:r>
      <w:r w:rsidRPr="00660AFE">
        <w:rPr>
          <w:rFonts w:ascii="Arial" w:hAnsi="Arial" w:cs="Arial"/>
          <w:lang w:val="es-419"/>
        </w:rPr>
        <w:t xml:space="preserve"> presupuesto</w:t>
      </w:r>
      <w:r>
        <w:rPr>
          <w:rFonts w:ascii="Arial" w:hAnsi="Arial" w:cs="Arial"/>
          <w:lang w:val="es-419"/>
        </w:rPr>
        <w:t xml:space="preserve"> </w:t>
      </w:r>
      <w:r w:rsidRPr="00660AFE">
        <w:rPr>
          <w:rFonts w:ascii="Arial" w:hAnsi="Arial" w:cs="Arial"/>
          <w:lang w:val="es-419"/>
        </w:rPr>
        <w:t>dentro de los reportes de la Secretaría de Finanzas.</w:t>
      </w:r>
      <w:r>
        <w:rPr>
          <w:rFonts w:ascii="Arial" w:hAnsi="Arial" w:cs="Arial"/>
          <w:lang w:val="es-419"/>
        </w:rPr>
        <w:t xml:space="preserve"> </w:t>
      </w:r>
      <w:r w:rsidRPr="00660AFE">
        <w:rPr>
          <w:rFonts w:ascii="Arial" w:hAnsi="Arial" w:cs="Arial"/>
          <w:lang w:val="es-419"/>
        </w:rPr>
        <w:t xml:space="preserve">Las únicas categorías de gasto visibles es </w:t>
      </w:r>
      <w:r w:rsidRPr="009308AC">
        <w:rPr>
          <w:rFonts w:ascii="Arial" w:hAnsi="Arial" w:cs="Arial"/>
          <w:lang w:val="es-419"/>
        </w:rPr>
        <w:t>la de antirretrovirales y pruebas rápidas</w:t>
      </w:r>
      <w:r>
        <w:rPr>
          <w:rFonts w:ascii="Arial" w:hAnsi="Arial" w:cs="Arial"/>
          <w:lang w:val="es-419"/>
        </w:rPr>
        <w:t xml:space="preserve">. </w:t>
      </w:r>
      <w:r w:rsidRPr="00660AFE">
        <w:rPr>
          <w:rFonts w:ascii="Arial" w:hAnsi="Arial" w:cs="Arial"/>
          <w:lang w:val="es-419"/>
        </w:rPr>
        <w:t>De igual forma, es imposible para la Dirección General de Crédito Público visualizar el gasto de los dos cooperantes mayoritarios en VIH en el presupuesto</w:t>
      </w:r>
      <w:r>
        <w:rPr>
          <w:rFonts w:ascii="Arial" w:hAnsi="Arial" w:cs="Arial"/>
          <w:lang w:val="es-419"/>
        </w:rPr>
        <w:t xml:space="preserve"> (como lo hace con otras agencias multilaterales como el Banco Mundial)</w:t>
      </w:r>
      <w:r w:rsidRPr="00660AFE">
        <w:rPr>
          <w:rFonts w:ascii="Arial" w:hAnsi="Arial" w:cs="Arial"/>
          <w:lang w:val="es-419"/>
        </w:rPr>
        <w:t xml:space="preserve">, </w:t>
      </w:r>
      <w:r w:rsidR="007F3943">
        <w:rPr>
          <w:rFonts w:ascii="Arial" w:hAnsi="Arial" w:cs="Arial"/>
          <w:lang w:val="es-419"/>
        </w:rPr>
        <w:t>esto</w:t>
      </w:r>
      <w:r w:rsidRPr="00660AFE">
        <w:rPr>
          <w:rFonts w:ascii="Arial" w:hAnsi="Arial" w:cs="Arial"/>
          <w:lang w:val="es-419"/>
        </w:rPr>
        <w:t xml:space="preserve"> dificulta la planificación ante la eventual transición por parte de la Secretaría de Finanzas. Se sugiere que al igual que los fondos de las agencias </w:t>
      </w:r>
      <w:r>
        <w:rPr>
          <w:rFonts w:ascii="Arial" w:hAnsi="Arial" w:cs="Arial"/>
          <w:lang w:val="es-419"/>
        </w:rPr>
        <w:t xml:space="preserve">bilaterales y </w:t>
      </w:r>
      <w:r w:rsidRPr="00660AFE">
        <w:rPr>
          <w:rFonts w:ascii="Arial" w:hAnsi="Arial" w:cs="Arial"/>
          <w:lang w:val="es-419"/>
        </w:rPr>
        <w:t>multilaterales</w:t>
      </w:r>
      <w:r>
        <w:rPr>
          <w:rFonts w:ascii="Arial" w:hAnsi="Arial" w:cs="Arial"/>
          <w:lang w:val="es-419"/>
        </w:rPr>
        <w:t xml:space="preserve"> que trabajan en VIH</w:t>
      </w:r>
      <w:r w:rsidR="00560DAF">
        <w:rPr>
          <w:rFonts w:ascii="Arial" w:hAnsi="Arial" w:cs="Arial"/>
          <w:lang w:val="es-419"/>
        </w:rPr>
        <w:t xml:space="preserve"> y </w:t>
      </w:r>
      <w:r>
        <w:rPr>
          <w:rFonts w:ascii="Arial" w:hAnsi="Arial" w:cs="Arial"/>
          <w:lang w:val="es-419"/>
        </w:rPr>
        <w:t>TB</w:t>
      </w:r>
      <w:r w:rsidRPr="00660AFE">
        <w:rPr>
          <w:rFonts w:ascii="Arial" w:hAnsi="Arial" w:cs="Arial"/>
          <w:lang w:val="es-419"/>
        </w:rPr>
        <w:t>, se integre</w:t>
      </w:r>
      <w:r>
        <w:rPr>
          <w:rFonts w:ascii="Arial" w:hAnsi="Arial" w:cs="Arial"/>
          <w:lang w:val="es-419"/>
        </w:rPr>
        <w:t>n</w:t>
      </w:r>
      <w:r w:rsidRPr="00660AFE">
        <w:rPr>
          <w:rFonts w:ascii="Arial" w:hAnsi="Arial" w:cs="Arial"/>
          <w:lang w:val="es-419"/>
        </w:rPr>
        <w:t xml:space="preserve"> este presupuesto para generar acciones hacia la sostenibilidad.</w:t>
      </w:r>
    </w:p>
    <w:p w14:paraId="3BAA27F8" w14:textId="51701842" w:rsidR="003A324D" w:rsidRDefault="003A324D" w:rsidP="003A324D">
      <w:pPr>
        <w:spacing w:after="240" w:line="240" w:lineRule="auto"/>
        <w:jc w:val="both"/>
        <w:rPr>
          <w:rFonts w:ascii="Arial" w:hAnsi="Arial" w:cs="Arial"/>
          <w:lang w:val="es-419"/>
        </w:rPr>
      </w:pPr>
      <w:r w:rsidRPr="00E21BDD">
        <w:rPr>
          <w:rFonts w:ascii="Arial" w:hAnsi="Arial" w:cs="Arial"/>
          <w:lang w:val="es-MX"/>
        </w:rPr>
        <w:t>De</w:t>
      </w:r>
      <w:r w:rsidRPr="00E21BDD">
        <w:rPr>
          <w:rFonts w:ascii="Arial" w:hAnsi="Arial" w:cs="Arial"/>
          <w:lang w:val="es-419"/>
        </w:rPr>
        <w:t xml:space="preserve"> acuerdo a los</w:t>
      </w:r>
      <w:r w:rsidRPr="00E21BDD">
        <w:rPr>
          <w:rFonts w:ascii="Arial" w:hAnsi="Arial" w:cs="Arial"/>
          <w:lang w:val="es-DO"/>
        </w:rPr>
        <w:t xml:space="preserve"> reportes</w:t>
      </w:r>
      <w:r w:rsidRPr="00DD37EC">
        <w:rPr>
          <w:rFonts w:ascii="Arial" w:hAnsi="Arial" w:cs="Arial"/>
          <w:lang w:val="es-DO"/>
        </w:rPr>
        <w:t xml:space="preserve"> de ejecución del presupuesto de egresos por grupo y objeto del gasto del 2015-2018 de la Secretaria de Finanzas</w:t>
      </w:r>
      <w:r>
        <w:rPr>
          <w:rFonts w:ascii="Arial" w:hAnsi="Arial" w:cs="Arial"/>
          <w:lang w:val="es-DO"/>
        </w:rPr>
        <w:t xml:space="preserve">, </w:t>
      </w:r>
      <w:r w:rsidRPr="00DD37EC">
        <w:rPr>
          <w:rFonts w:ascii="Arial" w:hAnsi="Arial" w:cs="Arial"/>
          <w:lang w:val="es-DO"/>
        </w:rPr>
        <w:t>se identific</w:t>
      </w:r>
      <w:r w:rsidR="00167814">
        <w:rPr>
          <w:rFonts w:ascii="Arial" w:hAnsi="Arial" w:cs="Arial"/>
          <w:lang w:val="es-DO"/>
        </w:rPr>
        <w:t>ó</w:t>
      </w:r>
      <w:r w:rsidRPr="00DD37EC">
        <w:rPr>
          <w:rFonts w:ascii="Arial" w:hAnsi="Arial" w:cs="Arial"/>
          <w:lang w:val="es-DO"/>
        </w:rPr>
        <w:t xml:space="preserve"> una </w:t>
      </w:r>
      <w:r>
        <w:rPr>
          <w:rFonts w:ascii="Arial" w:hAnsi="Arial" w:cs="Arial"/>
          <w:lang w:val="es-DO"/>
        </w:rPr>
        <w:t>subejecución</w:t>
      </w:r>
      <w:r w:rsidRPr="00DD37EC">
        <w:rPr>
          <w:rFonts w:ascii="Arial" w:hAnsi="Arial" w:cs="Arial"/>
          <w:lang w:val="es-DO"/>
        </w:rPr>
        <w:t xml:space="preserve"> importante de </w:t>
      </w:r>
      <w:r w:rsidRPr="00167814">
        <w:rPr>
          <w:rFonts w:ascii="Arial" w:hAnsi="Arial" w:cs="Arial"/>
          <w:lang w:val="es-DO"/>
        </w:rPr>
        <w:t>recursos (</w:t>
      </w:r>
      <w:r w:rsidR="00167814" w:rsidRPr="00167814">
        <w:rPr>
          <w:rFonts w:ascii="Arial" w:hAnsi="Arial" w:cs="Arial"/>
          <w:lang w:val="es-DO"/>
        </w:rPr>
        <w:t>v</w:t>
      </w:r>
      <w:r w:rsidRPr="00167814">
        <w:rPr>
          <w:rFonts w:ascii="Arial" w:hAnsi="Arial" w:cs="Arial"/>
          <w:lang w:val="es-DO"/>
        </w:rPr>
        <w:t xml:space="preserve">er </w:t>
      </w:r>
      <w:r w:rsidR="002C1B4E" w:rsidRPr="00167814">
        <w:rPr>
          <w:rFonts w:ascii="Arial" w:hAnsi="Arial" w:cs="Arial"/>
          <w:lang w:val="es-DO"/>
        </w:rPr>
        <w:t xml:space="preserve">figura </w:t>
      </w:r>
      <w:r w:rsidR="00167814" w:rsidRPr="00167814">
        <w:rPr>
          <w:rFonts w:ascii="Arial" w:hAnsi="Arial" w:cs="Arial"/>
          <w:lang w:val="es-DO"/>
        </w:rPr>
        <w:t>14</w:t>
      </w:r>
      <w:r w:rsidRPr="00167814">
        <w:rPr>
          <w:rFonts w:ascii="Arial" w:hAnsi="Arial" w:cs="Arial"/>
          <w:lang w:val="es-DO"/>
        </w:rPr>
        <w:t>).</w:t>
      </w:r>
      <w:r w:rsidRPr="00167814">
        <w:rPr>
          <w:rFonts w:ascii="Arial" w:hAnsi="Arial" w:cs="Arial"/>
          <w:lang w:val="es-419"/>
        </w:rPr>
        <w:t xml:space="preserve"> Durante 2015 y 2016, la Secretaría de Finanzas asignó </w:t>
      </w:r>
      <w:r w:rsidRPr="00167814">
        <w:rPr>
          <w:rFonts w:ascii="Arial" w:hAnsi="Arial" w:cs="Arial"/>
          <w:lang w:val="es-DO"/>
        </w:rPr>
        <w:t>US$3.9 millones</w:t>
      </w:r>
      <w:r w:rsidRPr="00167814">
        <w:rPr>
          <w:rFonts w:ascii="Arial" w:hAnsi="Arial" w:cs="Arial"/>
          <w:lang w:val="es-419"/>
        </w:rPr>
        <w:t xml:space="preserve"> por año a la SE</w:t>
      </w:r>
      <w:r>
        <w:rPr>
          <w:rFonts w:ascii="Arial" w:hAnsi="Arial" w:cs="Arial"/>
          <w:lang w:val="es-419"/>
        </w:rPr>
        <w:t xml:space="preserve">SAL </w:t>
      </w:r>
      <w:r w:rsidRPr="00DD37EC">
        <w:rPr>
          <w:rFonts w:ascii="Arial" w:hAnsi="Arial" w:cs="Arial"/>
          <w:lang w:val="es-DO"/>
        </w:rPr>
        <w:t>para la adquisición de los ARV</w:t>
      </w:r>
      <w:r>
        <w:rPr>
          <w:rFonts w:ascii="Arial" w:hAnsi="Arial" w:cs="Arial"/>
          <w:lang w:val="es-DO"/>
        </w:rPr>
        <w:t xml:space="preserve">, de los cuales en 2015 se </w:t>
      </w:r>
      <w:r w:rsidRPr="00DD37EC">
        <w:rPr>
          <w:rFonts w:ascii="Arial" w:hAnsi="Arial" w:cs="Arial"/>
          <w:lang w:val="es-DO"/>
        </w:rPr>
        <w:t xml:space="preserve">ejecutaron </w:t>
      </w:r>
      <w:r>
        <w:rPr>
          <w:rFonts w:ascii="Arial" w:hAnsi="Arial" w:cs="Arial"/>
          <w:lang w:val="es-DO"/>
        </w:rPr>
        <w:t xml:space="preserve">únicamente </w:t>
      </w:r>
      <w:r w:rsidRPr="00DD37EC">
        <w:rPr>
          <w:rFonts w:ascii="Arial" w:hAnsi="Arial" w:cs="Arial"/>
          <w:lang w:val="es-DO"/>
        </w:rPr>
        <w:t xml:space="preserve">US$900 mil </w:t>
      </w:r>
      <w:r>
        <w:rPr>
          <w:rFonts w:ascii="Arial" w:hAnsi="Arial" w:cs="Arial"/>
          <w:lang w:val="es-DO"/>
        </w:rPr>
        <w:t>(</w:t>
      </w:r>
      <w:r w:rsidRPr="00DD37EC">
        <w:rPr>
          <w:rFonts w:ascii="Arial" w:hAnsi="Arial" w:cs="Arial"/>
          <w:lang w:val="es-DO"/>
        </w:rPr>
        <w:t>dejando un monto disponible de US$ 3 millones</w:t>
      </w:r>
      <w:r>
        <w:rPr>
          <w:rFonts w:ascii="Arial" w:hAnsi="Arial" w:cs="Arial"/>
          <w:lang w:val="es-DO"/>
        </w:rPr>
        <w:t>)</w:t>
      </w:r>
      <w:r w:rsidRPr="00DD37EC">
        <w:rPr>
          <w:rFonts w:ascii="Arial" w:hAnsi="Arial" w:cs="Arial"/>
          <w:lang w:val="es-DO"/>
        </w:rPr>
        <w:t xml:space="preserve"> y </w:t>
      </w:r>
      <w:r>
        <w:rPr>
          <w:rFonts w:ascii="Arial" w:hAnsi="Arial" w:cs="Arial"/>
          <w:lang w:val="es-DO"/>
        </w:rPr>
        <w:t xml:space="preserve">en 2016 </w:t>
      </w:r>
      <w:r w:rsidRPr="00DD37EC">
        <w:rPr>
          <w:rFonts w:ascii="Arial" w:hAnsi="Arial" w:cs="Arial"/>
          <w:lang w:val="es-DO"/>
        </w:rPr>
        <w:t>US$ 2.4 millones</w:t>
      </w:r>
      <w:r>
        <w:rPr>
          <w:rFonts w:ascii="Arial" w:hAnsi="Arial" w:cs="Arial"/>
          <w:lang w:val="es-DO"/>
        </w:rPr>
        <w:t xml:space="preserve"> (d</w:t>
      </w:r>
      <w:r w:rsidRPr="00DD37EC">
        <w:rPr>
          <w:rFonts w:ascii="Arial" w:hAnsi="Arial" w:cs="Arial"/>
          <w:lang w:val="es-DO"/>
        </w:rPr>
        <w:t>ejando un disponible de US$1.4 millones sin ejecutar</w:t>
      </w:r>
      <w:r>
        <w:rPr>
          <w:rFonts w:ascii="Arial" w:hAnsi="Arial" w:cs="Arial"/>
          <w:lang w:val="es-DO"/>
        </w:rPr>
        <w:t>)</w:t>
      </w:r>
      <w:r w:rsidRPr="00DD37EC">
        <w:rPr>
          <w:rFonts w:ascii="Arial" w:hAnsi="Arial" w:cs="Arial"/>
          <w:lang w:val="es-DO"/>
        </w:rPr>
        <w:t>. En el 2017 lo asignado a la SESAL correspondió en un 100% a lo ejecutad</w:t>
      </w:r>
      <w:r>
        <w:rPr>
          <w:rFonts w:ascii="Arial" w:hAnsi="Arial" w:cs="Arial"/>
          <w:lang w:val="es-DO"/>
        </w:rPr>
        <w:t>o, ya que durante el año se reasignaron fondos al interior de la SESAL,</w:t>
      </w:r>
      <w:r w:rsidRPr="00DD37EC">
        <w:rPr>
          <w:rFonts w:ascii="Arial" w:hAnsi="Arial" w:cs="Arial"/>
          <w:lang w:val="es-DO"/>
        </w:rPr>
        <w:t xml:space="preserve"> mientras que para el 2018 lo asignado fue US$3.9 millones y lo ejecutado US$2.4 millones, dejando un disponible de US$1.5 millones sin ejecutar.</w:t>
      </w:r>
      <w:r w:rsidRPr="00E21BDD">
        <w:rPr>
          <w:rStyle w:val="FootnoteReference"/>
          <w:rFonts w:ascii="Arial" w:hAnsi="Arial" w:cs="Arial"/>
          <w:lang w:val="es-DO"/>
        </w:rPr>
        <w:t xml:space="preserve"> </w:t>
      </w:r>
      <w:r w:rsidRPr="00DD37EC">
        <w:rPr>
          <w:rStyle w:val="FootnoteReference"/>
          <w:rFonts w:ascii="Arial" w:hAnsi="Arial" w:cs="Arial"/>
          <w:lang w:val="es-DO"/>
        </w:rPr>
        <w:footnoteReference w:id="104"/>
      </w:r>
      <w:r w:rsidRPr="00DD37EC">
        <w:rPr>
          <w:rFonts w:ascii="Arial" w:hAnsi="Arial" w:cs="Arial"/>
          <w:lang w:val="es-DO"/>
        </w:rPr>
        <w:t xml:space="preserve"> </w:t>
      </w:r>
      <w:r>
        <w:rPr>
          <w:rFonts w:ascii="Arial" w:hAnsi="Arial" w:cs="Arial"/>
          <w:lang w:val="es-419"/>
        </w:rPr>
        <w:t xml:space="preserve">Esta subejecución representa una oportunidad perdida para la </w:t>
      </w:r>
      <w:r w:rsidR="00E62FBC">
        <w:rPr>
          <w:rFonts w:ascii="Arial" w:hAnsi="Arial" w:cs="Arial"/>
          <w:lang w:val="es-419"/>
        </w:rPr>
        <w:t>r</w:t>
      </w:r>
      <w:r>
        <w:rPr>
          <w:rFonts w:ascii="Arial" w:hAnsi="Arial" w:cs="Arial"/>
          <w:lang w:val="es-419"/>
        </w:rPr>
        <w:t>espuesta al VIH y como se observa en el año 2017, existe flexibilidad de fondos dentro del gasto de la Secretaría, por lo que de requerirse más recursos tanto para VIH como TB podría analizarse la reasignación interna como una fuente de financiamiento para estas enfermedades.</w:t>
      </w:r>
    </w:p>
    <w:p w14:paraId="7E1A82CA" w14:textId="7E6DD0D8" w:rsidR="007F3943" w:rsidRDefault="007F3943" w:rsidP="003A324D">
      <w:pPr>
        <w:spacing w:after="240" w:line="240" w:lineRule="auto"/>
        <w:jc w:val="both"/>
        <w:rPr>
          <w:rFonts w:ascii="Arial" w:hAnsi="Arial" w:cs="Arial"/>
          <w:lang w:val="es-419"/>
        </w:rPr>
      </w:pPr>
    </w:p>
    <w:p w14:paraId="755CD7D8" w14:textId="18E18504" w:rsidR="007F3943" w:rsidRDefault="007F3943" w:rsidP="003A324D">
      <w:pPr>
        <w:spacing w:after="240" w:line="240" w:lineRule="auto"/>
        <w:jc w:val="both"/>
        <w:rPr>
          <w:rFonts w:ascii="Arial" w:hAnsi="Arial" w:cs="Arial"/>
          <w:lang w:val="es-419"/>
        </w:rPr>
      </w:pPr>
    </w:p>
    <w:p w14:paraId="4AE3019E" w14:textId="0F7BBBD5" w:rsidR="007F3943" w:rsidRDefault="007F3943" w:rsidP="003A324D">
      <w:pPr>
        <w:spacing w:after="240" w:line="240" w:lineRule="auto"/>
        <w:jc w:val="both"/>
        <w:rPr>
          <w:rFonts w:ascii="Arial" w:hAnsi="Arial" w:cs="Arial"/>
          <w:lang w:val="es-419"/>
        </w:rPr>
      </w:pPr>
    </w:p>
    <w:p w14:paraId="668BE06E" w14:textId="58524068" w:rsidR="007F3943" w:rsidRDefault="007F3943" w:rsidP="003A324D">
      <w:pPr>
        <w:spacing w:after="240" w:line="240" w:lineRule="auto"/>
        <w:jc w:val="both"/>
        <w:rPr>
          <w:rFonts w:ascii="Arial" w:hAnsi="Arial" w:cs="Arial"/>
          <w:lang w:val="es-419"/>
        </w:rPr>
      </w:pPr>
    </w:p>
    <w:p w14:paraId="17F6FA79" w14:textId="662A0F0B" w:rsidR="007F3943" w:rsidRPr="00E21BDD" w:rsidRDefault="007F3943" w:rsidP="003A324D">
      <w:pPr>
        <w:spacing w:after="240" w:line="240" w:lineRule="auto"/>
        <w:jc w:val="both"/>
        <w:rPr>
          <w:rFonts w:ascii="Arial" w:hAnsi="Arial" w:cs="Arial"/>
          <w:lang w:val="es-419"/>
        </w:rPr>
      </w:pPr>
    </w:p>
    <w:p w14:paraId="610D91A9" w14:textId="62F529E5" w:rsidR="00E06CAD" w:rsidRPr="00E06CAD" w:rsidRDefault="00E06CAD" w:rsidP="00E06CAD">
      <w:pPr>
        <w:pStyle w:val="Caption"/>
        <w:rPr>
          <w:rStyle w:val="IntenseReference"/>
          <w:rFonts w:ascii="Arial" w:hAnsi="Arial" w:cs="Arial"/>
          <w:lang w:val="es-MX"/>
        </w:rPr>
      </w:pPr>
      <w:bookmarkStart w:id="115" w:name="_Toc8904111"/>
      <w:bookmarkStart w:id="116" w:name="_Hlk535496664"/>
      <w:r w:rsidRPr="00E06CAD">
        <w:rPr>
          <w:rFonts w:ascii="Arial" w:hAnsi="Arial" w:cs="Arial"/>
          <w:color w:val="auto"/>
          <w:sz w:val="22"/>
        </w:rPr>
        <w:lastRenderedPageBreak/>
        <w:t xml:space="preserve">Figura </w:t>
      </w:r>
      <w:r w:rsidRPr="00E06CAD">
        <w:rPr>
          <w:rFonts w:ascii="Arial" w:hAnsi="Arial" w:cs="Arial"/>
          <w:color w:val="auto"/>
          <w:sz w:val="22"/>
        </w:rPr>
        <w:fldChar w:fldCharType="begin"/>
      </w:r>
      <w:r w:rsidRPr="00E06CAD">
        <w:rPr>
          <w:rFonts w:ascii="Arial" w:hAnsi="Arial" w:cs="Arial"/>
          <w:color w:val="auto"/>
          <w:sz w:val="22"/>
        </w:rPr>
        <w:instrText xml:space="preserve"> SEQ Figura \* ARABIC </w:instrText>
      </w:r>
      <w:r w:rsidRPr="00E06CAD">
        <w:rPr>
          <w:rFonts w:ascii="Arial" w:hAnsi="Arial" w:cs="Arial"/>
          <w:color w:val="auto"/>
          <w:sz w:val="22"/>
        </w:rPr>
        <w:fldChar w:fldCharType="separate"/>
      </w:r>
      <w:r w:rsidR="00004563">
        <w:rPr>
          <w:rFonts w:ascii="Arial" w:hAnsi="Arial" w:cs="Arial"/>
          <w:noProof/>
          <w:color w:val="auto"/>
          <w:sz w:val="22"/>
        </w:rPr>
        <w:t>14</w:t>
      </w:r>
      <w:r w:rsidRPr="00E06CAD">
        <w:rPr>
          <w:rFonts w:ascii="Arial" w:hAnsi="Arial" w:cs="Arial"/>
          <w:color w:val="auto"/>
          <w:sz w:val="22"/>
        </w:rPr>
        <w:fldChar w:fldCharType="end"/>
      </w:r>
      <w:r w:rsidRPr="00E06CAD">
        <w:rPr>
          <w:rFonts w:ascii="Arial" w:hAnsi="Arial" w:cs="Arial"/>
          <w:color w:val="auto"/>
          <w:sz w:val="22"/>
        </w:rPr>
        <w:t>. Recursos asignados por la Secretaría de Finanzas a la SESAL vs lo ejecutado para medicamentos ARV 2015-2018</w:t>
      </w:r>
      <w:bookmarkEnd w:id="115"/>
    </w:p>
    <w:bookmarkEnd w:id="116"/>
    <w:p w14:paraId="71CB85D3" w14:textId="51D36316" w:rsidR="003A324D" w:rsidRPr="00DD37EC" w:rsidRDefault="00ED0FDB" w:rsidP="007F3943">
      <w:pPr>
        <w:spacing w:after="240" w:line="240" w:lineRule="auto"/>
        <w:jc w:val="center"/>
        <w:rPr>
          <w:rFonts w:ascii="Arial" w:hAnsi="Arial" w:cs="Arial"/>
          <w:lang w:val="es-DO"/>
        </w:rPr>
      </w:pPr>
      <w:r w:rsidRPr="00DD37EC">
        <w:rPr>
          <w:rFonts w:ascii="Arial" w:hAnsi="Arial" w:cs="Arial"/>
          <w:noProof/>
        </w:rPr>
        <w:drawing>
          <wp:inline distT="0" distB="0" distL="0" distR="0" wp14:anchorId="73FCFF92" wp14:editId="54D093B0">
            <wp:extent cx="4457700" cy="1479550"/>
            <wp:effectExtent l="0" t="0" r="0" b="6350"/>
            <wp:docPr id="10" name="Chart 10">
              <a:extLst xmlns:a="http://schemas.openxmlformats.org/drawingml/2006/main">
                <a:ext uri="{FF2B5EF4-FFF2-40B4-BE49-F238E27FC236}">
                  <a16:creationId xmlns:a16="http://schemas.microsoft.com/office/drawing/2014/main" id="{756FC18D-30C3-4B10-A8E1-77BB52F3541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4BE00CA" w14:textId="1A0D0C98" w:rsidR="00E06CAD" w:rsidRPr="00ED2AD1" w:rsidRDefault="003A324D" w:rsidP="00E06CAD">
      <w:pPr>
        <w:spacing w:after="240" w:line="240" w:lineRule="auto"/>
        <w:jc w:val="both"/>
        <w:rPr>
          <w:rFonts w:ascii="Arial" w:hAnsi="Arial" w:cs="Arial"/>
          <w:i/>
          <w:sz w:val="18"/>
          <w:lang w:val="es-DO"/>
        </w:rPr>
      </w:pPr>
      <w:r w:rsidRPr="00ED2AD1">
        <w:rPr>
          <w:rFonts w:ascii="Arial" w:hAnsi="Arial" w:cs="Arial"/>
          <w:sz w:val="18"/>
          <w:lang w:val="es-DO"/>
        </w:rPr>
        <w:t>Fuente:</w:t>
      </w:r>
      <w:r w:rsidRPr="00ED2AD1">
        <w:rPr>
          <w:rFonts w:ascii="Arial" w:hAnsi="Arial" w:cs="Arial"/>
          <w:i/>
          <w:sz w:val="18"/>
          <w:lang w:val="es-DO"/>
        </w:rPr>
        <w:t xml:space="preserve"> Elaborado por los autores, a partir de los reportes de ejecución del presupuesto de egresos por grupo y objeto del gasto del 2015-2018 de la Secretaria de Finanzas. </w:t>
      </w:r>
    </w:p>
    <w:p w14:paraId="3B1A5A7F" w14:textId="6C3F2E62" w:rsidR="00EA3006" w:rsidRDefault="003A324D" w:rsidP="008F1F96">
      <w:pPr>
        <w:pStyle w:val="Heading2"/>
        <w:numPr>
          <w:ilvl w:val="1"/>
          <w:numId w:val="19"/>
        </w:numPr>
        <w:spacing w:before="0" w:after="240" w:line="240" w:lineRule="auto"/>
        <w:rPr>
          <w:rFonts w:ascii="Arial" w:hAnsi="Arial" w:cs="Arial"/>
          <w:sz w:val="22"/>
          <w:szCs w:val="22"/>
          <w:lang w:val="es-419"/>
        </w:rPr>
      </w:pPr>
      <w:bookmarkStart w:id="117" w:name="_Toc8905251"/>
      <w:r w:rsidRPr="008F1F96">
        <w:rPr>
          <w:rFonts w:ascii="Arial" w:hAnsi="Arial" w:cs="Arial"/>
          <w:sz w:val="22"/>
          <w:szCs w:val="22"/>
          <w:lang w:val="es-419"/>
        </w:rPr>
        <w:t>Financiamiento necesario proyectado VIH</w:t>
      </w:r>
      <w:r w:rsidR="00E62FBC" w:rsidRPr="008F1F96">
        <w:rPr>
          <w:rFonts w:ascii="Arial" w:hAnsi="Arial" w:cs="Arial"/>
          <w:sz w:val="22"/>
          <w:szCs w:val="22"/>
          <w:lang w:val="es-419"/>
        </w:rPr>
        <w:t xml:space="preserve"> </w:t>
      </w:r>
      <w:r w:rsidR="008F1F96">
        <w:rPr>
          <w:rFonts w:ascii="Arial" w:hAnsi="Arial" w:cs="Arial"/>
          <w:sz w:val="22"/>
          <w:szCs w:val="22"/>
          <w:lang w:val="es-419"/>
        </w:rPr>
        <w:t>y TB</w:t>
      </w:r>
      <w:bookmarkEnd w:id="117"/>
    </w:p>
    <w:p w14:paraId="29DE711B" w14:textId="6A58877C" w:rsidR="00AD13A7" w:rsidRPr="0069686A" w:rsidRDefault="008F1F96" w:rsidP="0069686A">
      <w:pPr>
        <w:spacing w:after="240" w:line="240" w:lineRule="auto"/>
        <w:jc w:val="both"/>
        <w:rPr>
          <w:rFonts w:ascii="Arial" w:hAnsi="Arial" w:cs="Arial"/>
          <w:lang w:val="es-419"/>
        </w:rPr>
      </w:pPr>
      <w:r w:rsidRPr="008F1F96">
        <w:rPr>
          <w:rFonts w:ascii="Arial" w:hAnsi="Arial" w:cs="Arial"/>
          <w:lang w:val="es-419"/>
        </w:rPr>
        <w:t xml:space="preserve">La elaboración de escenarios de financiamiento es </w:t>
      </w:r>
      <w:r w:rsidR="00BD4672">
        <w:rPr>
          <w:rFonts w:ascii="Arial" w:hAnsi="Arial" w:cs="Arial"/>
          <w:lang w:val="es-419"/>
        </w:rPr>
        <w:t xml:space="preserve">una herramienta útil </w:t>
      </w:r>
      <w:r w:rsidRPr="008F1F96">
        <w:rPr>
          <w:rFonts w:ascii="Arial" w:hAnsi="Arial" w:cs="Arial"/>
          <w:lang w:val="es-419"/>
        </w:rPr>
        <w:t>para analizar la sostenibilidad</w:t>
      </w:r>
      <w:r>
        <w:rPr>
          <w:rFonts w:ascii="Arial" w:hAnsi="Arial" w:cs="Arial"/>
          <w:lang w:val="es-419"/>
        </w:rPr>
        <w:t xml:space="preserve"> financiera</w:t>
      </w:r>
      <w:r w:rsidRPr="008F1F96">
        <w:rPr>
          <w:rFonts w:ascii="Arial" w:hAnsi="Arial" w:cs="Arial"/>
          <w:lang w:val="es-419"/>
        </w:rPr>
        <w:t xml:space="preserve"> de la</w:t>
      </w:r>
      <w:r w:rsidR="00BD4672">
        <w:rPr>
          <w:rFonts w:ascii="Arial" w:hAnsi="Arial" w:cs="Arial"/>
          <w:lang w:val="es-419"/>
        </w:rPr>
        <w:t>s</w:t>
      </w:r>
      <w:r w:rsidRPr="008F1F96">
        <w:rPr>
          <w:rFonts w:ascii="Arial" w:hAnsi="Arial" w:cs="Arial"/>
          <w:lang w:val="es-419"/>
        </w:rPr>
        <w:t xml:space="preserve"> respuest</w:t>
      </w:r>
      <w:r>
        <w:rPr>
          <w:rFonts w:ascii="Arial" w:hAnsi="Arial" w:cs="Arial"/>
          <w:lang w:val="es-419"/>
        </w:rPr>
        <w:t>as nacionales al VIH y TB ante posibles fluctuaciones en el financiamiento externo.</w:t>
      </w:r>
      <w:r w:rsidR="00BD4672">
        <w:rPr>
          <w:rFonts w:ascii="Arial" w:hAnsi="Arial" w:cs="Arial"/>
          <w:lang w:val="es-419"/>
        </w:rPr>
        <w:t xml:space="preserve"> En la figura</w:t>
      </w:r>
      <w:r w:rsidR="00161BC4">
        <w:rPr>
          <w:rFonts w:ascii="Arial" w:hAnsi="Arial" w:cs="Arial"/>
          <w:lang w:val="es-419"/>
        </w:rPr>
        <w:t xml:space="preserve"> 15</w:t>
      </w:r>
      <w:r w:rsidR="00AD0D10">
        <w:rPr>
          <w:rFonts w:ascii="Arial" w:hAnsi="Arial" w:cs="Arial"/>
          <w:lang w:val="es-419"/>
        </w:rPr>
        <w:t xml:space="preserve"> y las tablas 14 y 15</w:t>
      </w:r>
      <w:r w:rsidR="00BD4672">
        <w:rPr>
          <w:rFonts w:ascii="Arial" w:hAnsi="Arial" w:cs="Arial"/>
          <w:lang w:val="es-419"/>
        </w:rPr>
        <w:t xml:space="preserve"> se presentan las tendencias de </w:t>
      </w:r>
      <w:r w:rsidR="003F64B1">
        <w:rPr>
          <w:rFonts w:ascii="Arial" w:hAnsi="Arial" w:cs="Arial"/>
          <w:lang w:val="es-419"/>
        </w:rPr>
        <w:t>financiamiento,</w:t>
      </w:r>
      <w:r w:rsidR="002C55BF">
        <w:rPr>
          <w:rFonts w:ascii="Arial" w:hAnsi="Arial" w:cs="Arial"/>
          <w:lang w:val="es-419"/>
        </w:rPr>
        <w:t xml:space="preserve"> </w:t>
      </w:r>
      <w:r w:rsidR="00AD0D10">
        <w:rPr>
          <w:rFonts w:ascii="Arial" w:hAnsi="Arial" w:cs="Arial"/>
          <w:lang w:val="es-419"/>
        </w:rPr>
        <w:t>así como las brechas estimadas</w:t>
      </w:r>
      <w:r w:rsidR="00600951">
        <w:rPr>
          <w:rFonts w:ascii="Arial" w:hAnsi="Arial" w:cs="Arial"/>
          <w:lang w:val="es-419"/>
        </w:rPr>
        <w:t xml:space="preserve"> para ambas enfermedades</w:t>
      </w:r>
      <w:r w:rsidR="00AD0D10">
        <w:rPr>
          <w:rFonts w:ascii="Arial" w:hAnsi="Arial" w:cs="Arial"/>
          <w:lang w:val="es-419"/>
        </w:rPr>
        <w:t>. En la figura 15 se muestra como</w:t>
      </w:r>
      <w:r w:rsidR="00BD4672">
        <w:rPr>
          <w:rFonts w:ascii="Arial" w:hAnsi="Arial" w:cs="Arial"/>
          <w:lang w:val="es-419"/>
        </w:rPr>
        <w:t xml:space="preserve"> el financiamiento </w:t>
      </w:r>
      <w:r w:rsidR="00AD13A7">
        <w:rPr>
          <w:rFonts w:ascii="Arial" w:hAnsi="Arial" w:cs="Arial"/>
          <w:lang w:val="es-419"/>
        </w:rPr>
        <w:t>público</w:t>
      </w:r>
      <w:r w:rsidR="00BD4672">
        <w:rPr>
          <w:rFonts w:ascii="Arial" w:hAnsi="Arial" w:cs="Arial"/>
          <w:lang w:val="es-419"/>
        </w:rPr>
        <w:t xml:space="preserve"> deberá incrementarse para representar al menos </w:t>
      </w:r>
      <w:r w:rsidR="00C67BC9">
        <w:rPr>
          <w:rFonts w:ascii="Arial" w:hAnsi="Arial" w:cs="Arial"/>
          <w:lang w:val="es-419"/>
        </w:rPr>
        <w:t>60</w:t>
      </w:r>
      <w:r w:rsidR="00BD4672">
        <w:rPr>
          <w:rFonts w:ascii="Arial" w:hAnsi="Arial" w:cs="Arial"/>
          <w:lang w:val="es-419"/>
        </w:rPr>
        <w:t xml:space="preserve">% del gasto total en VIH </w:t>
      </w:r>
      <w:r w:rsidR="00AD0D10">
        <w:rPr>
          <w:rFonts w:ascii="Arial" w:hAnsi="Arial" w:cs="Arial"/>
          <w:lang w:val="es-419"/>
        </w:rPr>
        <w:t>en</w:t>
      </w:r>
      <w:r w:rsidR="00BD4672">
        <w:rPr>
          <w:rFonts w:ascii="Arial" w:hAnsi="Arial" w:cs="Arial"/>
          <w:lang w:val="es-419"/>
        </w:rPr>
        <w:t xml:space="preserve"> 2023</w:t>
      </w:r>
      <w:r w:rsidR="00AD13A7">
        <w:rPr>
          <w:rFonts w:ascii="Arial" w:hAnsi="Arial" w:cs="Arial"/>
          <w:lang w:val="es-419"/>
        </w:rPr>
        <w:t>. Si se deseara cubrir el gasto estimado por el PENSIDA</w:t>
      </w:r>
      <w:r w:rsidR="003D0481">
        <w:rPr>
          <w:rFonts w:ascii="Arial" w:hAnsi="Arial" w:cs="Arial"/>
          <w:lang w:val="es-419"/>
        </w:rPr>
        <w:t xml:space="preserve"> al 2023</w:t>
      </w:r>
      <w:r w:rsidR="00AD13A7">
        <w:rPr>
          <w:rFonts w:ascii="Arial" w:hAnsi="Arial" w:cs="Arial"/>
          <w:lang w:val="es-419"/>
        </w:rPr>
        <w:t>, el financiamiento público debería de incrementarse a</w:t>
      </w:r>
      <w:r w:rsidR="003D0481">
        <w:rPr>
          <w:rFonts w:ascii="Arial" w:hAnsi="Arial" w:cs="Arial"/>
          <w:lang w:val="es-419"/>
        </w:rPr>
        <w:t xml:space="preserve"> cerca de 32 millones de dólares, </w:t>
      </w:r>
      <w:r w:rsidR="00AD0D10">
        <w:rPr>
          <w:rFonts w:ascii="Arial" w:hAnsi="Arial" w:cs="Arial"/>
          <w:lang w:val="es-419"/>
        </w:rPr>
        <w:t>es decir al</w:t>
      </w:r>
      <w:r w:rsidR="003D0481">
        <w:rPr>
          <w:rFonts w:ascii="Arial" w:hAnsi="Arial" w:cs="Arial"/>
          <w:lang w:val="es-419"/>
        </w:rPr>
        <w:t xml:space="preserve"> 69% del gasto total</w:t>
      </w:r>
      <w:r w:rsidR="00BD4672">
        <w:rPr>
          <w:rFonts w:ascii="Arial" w:hAnsi="Arial" w:cs="Arial"/>
          <w:lang w:val="es-419"/>
        </w:rPr>
        <w:t>.</w:t>
      </w:r>
      <w:r w:rsidR="00437242">
        <w:rPr>
          <w:rFonts w:ascii="Arial" w:hAnsi="Arial" w:cs="Arial"/>
          <w:lang w:val="es-419"/>
        </w:rPr>
        <w:t xml:space="preserve"> </w:t>
      </w:r>
      <w:r w:rsidR="00600951">
        <w:rPr>
          <w:rFonts w:ascii="Arial" w:hAnsi="Arial" w:cs="Arial"/>
          <w:lang w:val="es-419"/>
        </w:rPr>
        <w:t>En cuanto a las brechas</w:t>
      </w:r>
      <w:r w:rsidR="003F64B1">
        <w:rPr>
          <w:rFonts w:ascii="Arial" w:hAnsi="Arial" w:cs="Arial"/>
          <w:lang w:val="es-419"/>
        </w:rPr>
        <w:t xml:space="preserve"> a 2023</w:t>
      </w:r>
      <w:r w:rsidR="00600951">
        <w:rPr>
          <w:rFonts w:ascii="Arial" w:hAnsi="Arial" w:cs="Arial"/>
          <w:lang w:val="es-419"/>
        </w:rPr>
        <w:t>,</w:t>
      </w:r>
      <w:r w:rsidR="00437242">
        <w:rPr>
          <w:rFonts w:ascii="Arial" w:hAnsi="Arial" w:cs="Arial"/>
          <w:lang w:val="es-419"/>
        </w:rPr>
        <w:t xml:space="preserve"> </w:t>
      </w:r>
      <w:r w:rsidR="002C55BF">
        <w:rPr>
          <w:rFonts w:ascii="Arial" w:hAnsi="Arial" w:cs="Arial"/>
          <w:lang w:val="es-419"/>
        </w:rPr>
        <w:t>estas se estiman por un total de US$10 M para VIH y</w:t>
      </w:r>
      <w:r w:rsidR="00835D52">
        <w:rPr>
          <w:rFonts w:ascii="Arial" w:hAnsi="Arial" w:cs="Arial"/>
          <w:lang w:val="es-419"/>
        </w:rPr>
        <w:t xml:space="preserve"> US$226 mil</w:t>
      </w:r>
      <w:r w:rsidR="002C55BF">
        <w:rPr>
          <w:rFonts w:ascii="Arial" w:hAnsi="Arial" w:cs="Arial"/>
          <w:lang w:val="es-419"/>
        </w:rPr>
        <w:t xml:space="preserve"> </w:t>
      </w:r>
      <w:r w:rsidR="00437242">
        <w:rPr>
          <w:rFonts w:ascii="Arial" w:hAnsi="Arial" w:cs="Arial"/>
          <w:lang w:val="es-419"/>
        </w:rPr>
        <w:t xml:space="preserve">respecto a las necesidades proyectadas </w:t>
      </w:r>
      <w:r w:rsidR="005B31BB">
        <w:rPr>
          <w:rFonts w:ascii="Arial" w:hAnsi="Arial" w:cs="Arial"/>
          <w:lang w:val="es-419"/>
        </w:rPr>
        <w:t>de acuerdo al</w:t>
      </w:r>
      <w:r w:rsidR="00437242">
        <w:rPr>
          <w:rFonts w:ascii="Arial" w:hAnsi="Arial" w:cs="Arial"/>
          <w:lang w:val="es-419"/>
        </w:rPr>
        <w:t xml:space="preserve"> PENSIDA </w:t>
      </w:r>
      <w:r w:rsidR="003F64B1">
        <w:rPr>
          <w:rFonts w:ascii="Arial" w:hAnsi="Arial" w:cs="Arial"/>
          <w:lang w:val="es-419"/>
        </w:rPr>
        <w:t xml:space="preserve">y </w:t>
      </w:r>
      <w:r w:rsidR="00102001">
        <w:rPr>
          <w:rFonts w:ascii="Arial" w:hAnsi="Arial" w:cs="Arial"/>
          <w:lang w:val="es-419"/>
        </w:rPr>
        <w:t>al</w:t>
      </w:r>
      <w:r w:rsidR="00437242">
        <w:rPr>
          <w:rFonts w:ascii="Arial" w:hAnsi="Arial" w:cs="Arial"/>
          <w:lang w:val="es-419"/>
        </w:rPr>
        <w:t xml:space="preserve"> PENTB</w:t>
      </w:r>
      <w:r w:rsidR="003F64B1">
        <w:rPr>
          <w:rFonts w:ascii="Arial" w:hAnsi="Arial" w:cs="Arial"/>
          <w:lang w:val="es-419"/>
        </w:rPr>
        <w:t xml:space="preserve"> respectivamente.</w:t>
      </w:r>
    </w:p>
    <w:p w14:paraId="55A5D700" w14:textId="6F257FAE" w:rsidR="00AD13A7" w:rsidRPr="00AD13A7" w:rsidRDefault="00AD13A7" w:rsidP="00AD13A7">
      <w:pPr>
        <w:pStyle w:val="Caption"/>
        <w:rPr>
          <w:rFonts w:ascii="Arial" w:hAnsi="Arial" w:cs="Arial"/>
          <w:color w:val="auto"/>
          <w:sz w:val="22"/>
          <w:szCs w:val="22"/>
          <w:lang w:val="es-419"/>
        </w:rPr>
      </w:pPr>
      <w:bookmarkStart w:id="118" w:name="_Toc8904516"/>
      <w:r w:rsidRPr="00AD13A7">
        <w:rPr>
          <w:rFonts w:ascii="Arial" w:hAnsi="Arial" w:cs="Arial"/>
          <w:color w:val="auto"/>
          <w:sz w:val="22"/>
          <w:szCs w:val="22"/>
        </w:rPr>
        <w:t xml:space="preserve">Tabla </w:t>
      </w:r>
      <w:r w:rsidRPr="00AD13A7">
        <w:rPr>
          <w:rFonts w:ascii="Arial" w:hAnsi="Arial" w:cs="Arial"/>
          <w:color w:val="auto"/>
          <w:sz w:val="22"/>
          <w:szCs w:val="22"/>
        </w:rPr>
        <w:fldChar w:fldCharType="begin"/>
      </w:r>
      <w:r w:rsidRPr="00AD13A7">
        <w:rPr>
          <w:rFonts w:ascii="Arial" w:hAnsi="Arial" w:cs="Arial"/>
          <w:color w:val="auto"/>
          <w:sz w:val="22"/>
          <w:szCs w:val="22"/>
        </w:rPr>
        <w:instrText xml:space="preserve"> SEQ Tabla \* ARABIC </w:instrText>
      </w:r>
      <w:r w:rsidRPr="00AD13A7">
        <w:rPr>
          <w:rFonts w:ascii="Arial" w:hAnsi="Arial" w:cs="Arial"/>
          <w:color w:val="auto"/>
          <w:sz w:val="22"/>
          <w:szCs w:val="22"/>
        </w:rPr>
        <w:fldChar w:fldCharType="separate"/>
      </w:r>
      <w:r w:rsidR="00D447AE">
        <w:rPr>
          <w:rFonts w:ascii="Arial" w:hAnsi="Arial" w:cs="Arial"/>
          <w:noProof/>
          <w:color w:val="auto"/>
          <w:sz w:val="22"/>
          <w:szCs w:val="22"/>
        </w:rPr>
        <w:t>14</w:t>
      </w:r>
      <w:r w:rsidRPr="00AD13A7">
        <w:rPr>
          <w:rFonts w:ascii="Arial" w:hAnsi="Arial" w:cs="Arial"/>
          <w:color w:val="auto"/>
          <w:sz w:val="22"/>
          <w:szCs w:val="22"/>
        </w:rPr>
        <w:fldChar w:fldCharType="end"/>
      </w:r>
      <w:r w:rsidRPr="00AD13A7">
        <w:rPr>
          <w:rFonts w:ascii="Arial" w:hAnsi="Arial" w:cs="Arial"/>
          <w:color w:val="auto"/>
          <w:sz w:val="22"/>
          <w:szCs w:val="22"/>
        </w:rPr>
        <w:t>. Estimación de brecha VIH</w:t>
      </w:r>
      <w:r w:rsidR="00746CE2">
        <w:rPr>
          <w:rFonts w:ascii="Arial" w:hAnsi="Arial" w:cs="Arial"/>
          <w:color w:val="auto"/>
          <w:sz w:val="22"/>
          <w:szCs w:val="22"/>
        </w:rPr>
        <w:t xml:space="preserve"> (US$)</w:t>
      </w:r>
      <w:bookmarkEnd w:id="118"/>
    </w:p>
    <w:p w14:paraId="5635EBB2" w14:textId="172F8B8C" w:rsidR="00AD13A7" w:rsidRDefault="00AD13A7" w:rsidP="00AD13A7">
      <w:pPr>
        <w:rPr>
          <w:lang w:val="es-419"/>
        </w:rPr>
      </w:pPr>
      <w:r w:rsidRPr="002841D7">
        <w:rPr>
          <w:noProof/>
        </w:rPr>
        <w:drawing>
          <wp:inline distT="0" distB="0" distL="0" distR="0" wp14:anchorId="2DCF0E06" wp14:editId="7B59C322">
            <wp:extent cx="6553200" cy="287020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566196" cy="2875892"/>
                    </a:xfrm>
                    <a:prstGeom prst="rect">
                      <a:avLst/>
                    </a:prstGeom>
                    <a:noFill/>
                    <a:ln>
                      <a:noFill/>
                    </a:ln>
                  </pic:spPr>
                </pic:pic>
              </a:graphicData>
            </a:graphic>
          </wp:inline>
        </w:drawing>
      </w:r>
    </w:p>
    <w:p w14:paraId="17B3C3CD" w14:textId="77777777" w:rsidR="00435B45" w:rsidRPr="00ED2AD1" w:rsidRDefault="00435B45" w:rsidP="00435B45">
      <w:pPr>
        <w:rPr>
          <w:rFonts w:ascii="Arial" w:hAnsi="Arial" w:cs="Arial"/>
          <w:i/>
          <w:sz w:val="18"/>
          <w:szCs w:val="20"/>
          <w:lang w:val="es-419"/>
        </w:rPr>
      </w:pPr>
      <w:r w:rsidRPr="00ED2AD1">
        <w:rPr>
          <w:rFonts w:ascii="Arial" w:hAnsi="Arial" w:cs="Arial"/>
          <w:sz w:val="18"/>
          <w:szCs w:val="20"/>
          <w:lang w:val="es-419"/>
        </w:rPr>
        <w:t>Fuente:</w:t>
      </w:r>
      <w:r w:rsidRPr="00ED2AD1">
        <w:rPr>
          <w:rFonts w:ascii="Arial" w:hAnsi="Arial" w:cs="Arial"/>
          <w:i/>
          <w:sz w:val="18"/>
          <w:szCs w:val="20"/>
          <w:lang w:val="es-419"/>
        </w:rPr>
        <w:t xml:space="preserve"> elaboración de los autores con datos del MEGAS, PENSIDA, del Fondo Mundial, PEPFAR y el Banco Central de Honduras.</w:t>
      </w:r>
    </w:p>
    <w:p w14:paraId="111C12E5" w14:textId="77777777" w:rsidR="002C55BF" w:rsidRPr="00435B45" w:rsidRDefault="002C55BF" w:rsidP="002C55BF">
      <w:pPr>
        <w:pStyle w:val="Caption"/>
        <w:rPr>
          <w:lang w:val="es-419"/>
        </w:rPr>
      </w:pPr>
    </w:p>
    <w:p w14:paraId="62A1B165" w14:textId="0B918F60" w:rsidR="002C55BF" w:rsidRPr="002C55BF" w:rsidRDefault="002C55BF" w:rsidP="002C55BF">
      <w:pPr>
        <w:pStyle w:val="Caption"/>
        <w:rPr>
          <w:rFonts w:ascii="Arial" w:hAnsi="Arial" w:cs="Arial"/>
          <w:color w:val="auto"/>
          <w:sz w:val="22"/>
          <w:szCs w:val="22"/>
          <w:lang w:val="es-419"/>
        </w:rPr>
      </w:pPr>
      <w:bookmarkStart w:id="119" w:name="_Toc8904517"/>
      <w:r w:rsidRPr="002C55BF">
        <w:rPr>
          <w:rFonts w:ascii="Arial" w:hAnsi="Arial" w:cs="Arial"/>
          <w:color w:val="auto"/>
          <w:sz w:val="22"/>
          <w:szCs w:val="22"/>
        </w:rPr>
        <w:lastRenderedPageBreak/>
        <w:t xml:space="preserve">Tabla </w:t>
      </w:r>
      <w:r w:rsidRPr="002C55BF">
        <w:rPr>
          <w:rFonts w:ascii="Arial" w:hAnsi="Arial" w:cs="Arial"/>
          <w:color w:val="auto"/>
          <w:sz w:val="22"/>
          <w:szCs w:val="22"/>
        </w:rPr>
        <w:fldChar w:fldCharType="begin"/>
      </w:r>
      <w:r w:rsidRPr="002C55BF">
        <w:rPr>
          <w:rFonts w:ascii="Arial" w:hAnsi="Arial" w:cs="Arial"/>
          <w:color w:val="auto"/>
          <w:sz w:val="22"/>
          <w:szCs w:val="22"/>
        </w:rPr>
        <w:instrText xml:space="preserve"> SEQ Tabla \* ARABIC </w:instrText>
      </w:r>
      <w:r w:rsidRPr="002C55BF">
        <w:rPr>
          <w:rFonts w:ascii="Arial" w:hAnsi="Arial" w:cs="Arial"/>
          <w:color w:val="auto"/>
          <w:sz w:val="22"/>
          <w:szCs w:val="22"/>
        </w:rPr>
        <w:fldChar w:fldCharType="separate"/>
      </w:r>
      <w:r w:rsidR="00D447AE">
        <w:rPr>
          <w:rFonts w:ascii="Arial" w:hAnsi="Arial" w:cs="Arial"/>
          <w:noProof/>
          <w:color w:val="auto"/>
          <w:sz w:val="22"/>
          <w:szCs w:val="22"/>
        </w:rPr>
        <w:t>15</w:t>
      </w:r>
      <w:r w:rsidRPr="002C55BF">
        <w:rPr>
          <w:rFonts w:ascii="Arial" w:hAnsi="Arial" w:cs="Arial"/>
          <w:color w:val="auto"/>
          <w:sz w:val="22"/>
          <w:szCs w:val="22"/>
        </w:rPr>
        <w:fldChar w:fldCharType="end"/>
      </w:r>
      <w:r w:rsidRPr="002C55BF">
        <w:rPr>
          <w:rFonts w:ascii="Arial" w:hAnsi="Arial" w:cs="Arial"/>
          <w:color w:val="auto"/>
          <w:sz w:val="22"/>
          <w:szCs w:val="22"/>
        </w:rPr>
        <w:t>. Estimación de brecha TB</w:t>
      </w:r>
      <w:r w:rsidR="00746CE2">
        <w:rPr>
          <w:rFonts w:ascii="Arial" w:hAnsi="Arial" w:cs="Arial"/>
          <w:color w:val="auto"/>
          <w:sz w:val="22"/>
          <w:szCs w:val="22"/>
        </w:rPr>
        <w:t xml:space="preserve"> (US$)</w:t>
      </w:r>
      <w:bookmarkEnd w:id="119"/>
    </w:p>
    <w:p w14:paraId="7B8E357D" w14:textId="59ADC1F5" w:rsidR="002C55BF" w:rsidRDefault="002C55BF" w:rsidP="00AD13A7">
      <w:pPr>
        <w:rPr>
          <w:lang w:val="es-419"/>
        </w:rPr>
      </w:pPr>
      <w:r w:rsidRPr="002C55BF">
        <w:rPr>
          <w:noProof/>
        </w:rPr>
        <w:drawing>
          <wp:inline distT="0" distB="0" distL="0" distR="0" wp14:anchorId="7FF1EA49" wp14:editId="026927FB">
            <wp:extent cx="6510866" cy="2015206"/>
            <wp:effectExtent l="0" t="0" r="4445"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516049" cy="2016810"/>
                    </a:xfrm>
                    <a:prstGeom prst="rect">
                      <a:avLst/>
                    </a:prstGeom>
                    <a:noFill/>
                    <a:ln>
                      <a:noFill/>
                    </a:ln>
                  </pic:spPr>
                </pic:pic>
              </a:graphicData>
            </a:graphic>
          </wp:inline>
        </w:drawing>
      </w:r>
    </w:p>
    <w:p w14:paraId="3FF0A80A" w14:textId="410F4C53" w:rsidR="00435B45" w:rsidRPr="00ED2AD1" w:rsidRDefault="00435B45" w:rsidP="00435B45">
      <w:pPr>
        <w:rPr>
          <w:rFonts w:ascii="Arial" w:hAnsi="Arial" w:cs="Arial"/>
          <w:i/>
          <w:sz w:val="18"/>
          <w:szCs w:val="20"/>
          <w:lang w:val="es-419"/>
        </w:rPr>
      </w:pPr>
      <w:r w:rsidRPr="00ED2AD1">
        <w:rPr>
          <w:rFonts w:ascii="Arial" w:hAnsi="Arial" w:cs="Arial"/>
          <w:sz w:val="18"/>
          <w:szCs w:val="20"/>
          <w:lang w:val="es-419"/>
        </w:rPr>
        <w:t>Fuente</w:t>
      </w:r>
      <w:r w:rsidRPr="00ED2AD1">
        <w:rPr>
          <w:rFonts w:ascii="Arial" w:hAnsi="Arial" w:cs="Arial"/>
          <w:i/>
          <w:sz w:val="18"/>
          <w:szCs w:val="20"/>
          <w:lang w:val="es-419"/>
        </w:rPr>
        <w:t>: elaboración de los autores con datos de STOP TB, PENTB, del Fondo Mundial y el Banco Central de Honduras.</w:t>
      </w:r>
    </w:p>
    <w:p w14:paraId="03A3F977" w14:textId="3D9FF014" w:rsidR="00BD4672" w:rsidRPr="008F1F96" w:rsidRDefault="00BD4672" w:rsidP="00435B45">
      <w:pPr>
        <w:rPr>
          <w:rFonts w:ascii="Arial" w:hAnsi="Arial" w:cs="Arial"/>
          <w:lang w:val="es-419"/>
        </w:rPr>
      </w:pPr>
    </w:p>
    <w:p w14:paraId="3B961B01" w14:textId="4113E532" w:rsidR="00EA3006" w:rsidRPr="005079AD" w:rsidRDefault="00EA3006" w:rsidP="005079AD">
      <w:pPr>
        <w:pStyle w:val="Caption"/>
        <w:rPr>
          <w:rFonts w:ascii="Arial" w:hAnsi="Arial" w:cs="Arial"/>
          <w:sz w:val="22"/>
          <w:szCs w:val="22"/>
          <w:lang w:val="es-419"/>
        </w:rPr>
      </w:pPr>
      <w:bookmarkStart w:id="120" w:name="_Toc8904112"/>
      <w:r w:rsidRPr="00EA3006">
        <w:rPr>
          <w:rFonts w:ascii="Arial" w:hAnsi="Arial" w:cs="Arial"/>
          <w:color w:val="auto"/>
          <w:sz w:val="22"/>
          <w:szCs w:val="22"/>
        </w:rPr>
        <w:t xml:space="preserve">Figura </w:t>
      </w:r>
      <w:r w:rsidRPr="00EA3006">
        <w:rPr>
          <w:rFonts w:ascii="Arial" w:hAnsi="Arial" w:cs="Arial"/>
          <w:color w:val="auto"/>
          <w:sz w:val="22"/>
          <w:szCs w:val="22"/>
        </w:rPr>
        <w:fldChar w:fldCharType="begin"/>
      </w:r>
      <w:r w:rsidRPr="00EA3006">
        <w:rPr>
          <w:rFonts w:ascii="Arial" w:hAnsi="Arial" w:cs="Arial"/>
          <w:color w:val="auto"/>
          <w:sz w:val="22"/>
          <w:szCs w:val="22"/>
        </w:rPr>
        <w:instrText xml:space="preserve"> SEQ Figura \* ARABIC </w:instrText>
      </w:r>
      <w:r w:rsidRPr="00EA3006">
        <w:rPr>
          <w:rFonts w:ascii="Arial" w:hAnsi="Arial" w:cs="Arial"/>
          <w:color w:val="auto"/>
          <w:sz w:val="22"/>
          <w:szCs w:val="22"/>
        </w:rPr>
        <w:fldChar w:fldCharType="separate"/>
      </w:r>
      <w:r w:rsidR="00004563">
        <w:rPr>
          <w:rFonts w:ascii="Arial" w:hAnsi="Arial" w:cs="Arial"/>
          <w:noProof/>
          <w:color w:val="auto"/>
          <w:sz w:val="22"/>
          <w:szCs w:val="22"/>
        </w:rPr>
        <w:t>15</w:t>
      </w:r>
      <w:r w:rsidRPr="00EA3006">
        <w:rPr>
          <w:rFonts w:ascii="Arial" w:hAnsi="Arial" w:cs="Arial"/>
          <w:color w:val="auto"/>
          <w:sz w:val="22"/>
          <w:szCs w:val="22"/>
        </w:rPr>
        <w:fldChar w:fldCharType="end"/>
      </w:r>
      <w:r w:rsidRPr="00EA3006">
        <w:rPr>
          <w:rFonts w:ascii="Arial" w:hAnsi="Arial" w:cs="Arial"/>
          <w:color w:val="auto"/>
          <w:sz w:val="22"/>
          <w:szCs w:val="22"/>
        </w:rPr>
        <w:t>. Financiamiento necesario proyectado para VIH (US$)</w:t>
      </w:r>
      <w:bookmarkEnd w:id="120"/>
    </w:p>
    <w:p w14:paraId="691BD6BC" w14:textId="47546091" w:rsidR="005079AD" w:rsidRDefault="00473611" w:rsidP="00ED0D66">
      <w:pPr>
        <w:jc w:val="center"/>
        <w:rPr>
          <w:lang w:val="es-419"/>
        </w:rPr>
      </w:pPr>
      <w:r w:rsidRPr="00473611">
        <w:rPr>
          <w:noProof/>
          <w:lang w:val="es-419"/>
        </w:rPr>
        <mc:AlternateContent>
          <mc:Choice Requires="wps">
            <w:drawing>
              <wp:anchor distT="45720" distB="45720" distL="114300" distR="114300" simplePos="0" relativeHeight="251699200" behindDoc="0" locked="0" layoutInCell="1" allowOverlap="1" wp14:anchorId="4B11F8B7" wp14:editId="47C5C953">
                <wp:simplePos x="0" y="0"/>
                <wp:positionH relativeFrom="column">
                  <wp:posOffset>4408170</wp:posOffset>
                </wp:positionH>
                <wp:positionV relativeFrom="paragraph">
                  <wp:posOffset>768773</wp:posOffset>
                </wp:positionV>
                <wp:extent cx="575733" cy="194734"/>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733" cy="194734"/>
                        </a:xfrm>
                        <a:prstGeom prst="rect">
                          <a:avLst/>
                        </a:prstGeom>
                        <a:solidFill>
                          <a:srgbClr val="FFFFFF"/>
                        </a:solidFill>
                        <a:ln w="9525">
                          <a:noFill/>
                          <a:miter lim="800000"/>
                          <a:headEnd/>
                          <a:tailEnd/>
                        </a:ln>
                      </wps:spPr>
                      <wps:txbx>
                        <w:txbxContent>
                          <w:p w14:paraId="6E2B7C7E" w14:textId="641F5878" w:rsidR="00473611" w:rsidRPr="00473611" w:rsidRDefault="00473611">
                            <w:pPr>
                              <w:rPr>
                                <w:rFonts w:ascii="Arial" w:hAnsi="Arial" w:cs="Arial"/>
                                <w:b/>
                                <w:sz w:val="16"/>
                              </w:rPr>
                            </w:pPr>
                            <w:r w:rsidRPr="00473611">
                              <w:rPr>
                                <w:rFonts w:ascii="Arial" w:hAnsi="Arial" w:cs="Arial"/>
                                <w:b/>
                                <w:sz w:val="16"/>
                              </w:rPr>
                              <w:t>Brecha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11F8B7" id="_x0000_s1032" type="#_x0000_t202" style="position:absolute;left:0;text-align:left;margin-left:347.1pt;margin-top:60.55pt;width:45.35pt;height:15.35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" stroked="f">
                <v:textbox>
                  <w:txbxContent>
                    <w:p w14:paraId="6E2B7C7E" w14:textId="641F5878" w:rsidR="00473611" w:rsidRPr="00473611" w:rsidRDefault="00473611">
                      <w:pPr>
                        <w:rPr>
                          <w:rFonts w:ascii="Arial" w:hAnsi="Arial" w:cs="Arial"/>
                          <w:b/>
                          <w:sz w:val="16"/>
                        </w:rPr>
                      </w:pPr>
                      <w:r w:rsidRPr="00473611">
                        <w:rPr>
                          <w:rFonts w:ascii="Arial" w:hAnsi="Arial" w:cs="Arial"/>
                          <w:b/>
                          <w:sz w:val="16"/>
                        </w:rPr>
                        <w:t>Brecha</w:t>
                      </w:r>
                    </w:p>
                  </w:txbxContent>
                </v:textbox>
              </v:shape>
            </w:pict>
          </mc:Fallback>
        </mc:AlternateContent>
      </w:r>
      <w:r>
        <w:rPr>
          <w:noProof/>
          <w:lang w:val="es-419"/>
        </w:rPr>
        <mc:AlternateContent>
          <mc:Choice Requires="wps">
            <w:drawing>
              <wp:anchor distT="0" distB="0" distL="114300" distR="114300" simplePos="0" relativeHeight="251697152" behindDoc="0" locked="0" layoutInCell="1" allowOverlap="1" wp14:anchorId="04883660" wp14:editId="2454E734">
                <wp:simplePos x="0" y="0"/>
                <wp:positionH relativeFrom="column">
                  <wp:posOffset>4289637</wp:posOffset>
                </wp:positionH>
                <wp:positionV relativeFrom="paragraph">
                  <wp:posOffset>726440</wp:posOffset>
                </wp:positionV>
                <wp:extent cx="110066" cy="338667"/>
                <wp:effectExtent l="0" t="0" r="42545" b="23495"/>
                <wp:wrapNone/>
                <wp:docPr id="12" name="Right Brace 12"/>
                <wp:cNvGraphicFramePr/>
                <a:graphic xmlns:a="http://schemas.openxmlformats.org/drawingml/2006/main">
                  <a:graphicData uri="http://schemas.microsoft.com/office/word/2010/wordprocessingShape">
                    <wps:wsp>
                      <wps:cNvSpPr/>
                      <wps:spPr>
                        <a:xfrm>
                          <a:off x="0" y="0"/>
                          <a:ext cx="110066" cy="338667"/>
                        </a:xfrm>
                        <a:prstGeom prst="rightBrac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FE306E4"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2" o:spid="_x0000_s1026" type="#_x0000_t88" style="position:absolute;margin-left:337.75pt;margin-top:57.2pt;width:8.65pt;height:26.6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" adj="585" strokecolor="red" strokeweight="1pt">
                <v:stroke joinstyle="miter"/>
              </v:shape>
            </w:pict>
          </mc:Fallback>
        </mc:AlternateContent>
      </w:r>
      <w:r w:rsidR="00C67BC9">
        <w:rPr>
          <w:noProof/>
          <w:lang w:val="es-419"/>
        </w:rPr>
        <w:drawing>
          <wp:inline distT="0" distB="0" distL="0" distR="0" wp14:anchorId="724EB31C" wp14:editId="65E6B490">
            <wp:extent cx="5251827" cy="3668607"/>
            <wp:effectExtent l="0" t="0" r="635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58837" cy="3673503"/>
                    </a:xfrm>
                    <a:prstGeom prst="rect">
                      <a:avLst/>
                    </a:prstGeom>
                    <a:noFill/>
                  </pic:spPr>
                </pic:pic>
              </a:graphicData>
            </a:graphic>
          </wp:inline>
        </w:drawing>
      </w:r>
    </w:p>
    <w:p w14:paraId="0B09745E" w14:textId="076E5719" w:rsidR="000B09C4" w:rsidRPr="00ED2AD1" w:rsidRDefault="000B09C4" w:rsidP="000B09C4">
      <w:pPr>
        <w:rPr>
          <w:rFonts w:ascii="Arial" w:hAnsi="Arial" w:cs="Arial"/>
          <w:i/>
          <w:sz w:val="18"/>
          <w:lang w:val="es-419"/>
        </w:rPr>
      </w:pPr>
      <w:r w:rsidRPr="00ED2AD1">
        <w:rPr>
          <w:rFonts w:ascii="Arial" w:hAnsi="Arial" w:cs="Arial"/>
          <w:sz w:val="18"/>
          <w:lang w:val="es-419"/>
        </w:rPr>
        <w:t>Fuente</w:t>
      </w:r>
      <w:r w:rsidRPr="00ED2AD1">
        <w:rPr>
          <w:rFonts w:ascii="Arial" w:hAnsi="Arial" w:cs="Arial"/>
          <w:i/>
          <w:sz w:val="18"/>
          <w:lang w:val="es-419"/>
        </w:rPr>
        <w:t xml:space="preserve">: elaboración de los autores con datos del MEGAS, </w:t>
      </w:r>
      <w:r w:rsidR="00435B45" w:rsidRPr="00ED2AD1">
        <w:rPr>
          <w:rFonts w:ascii="Arial" w:hAnsi="Arial" w:cs="Arial"/>
          <w:i/>
          <w:sz w:val="18"/>
          <w:lang w:val="es-419"/>
        </w:rPr>
        <w:t>PENSIDA,</w:t>
      </w:r>
      <w:r w:rsidRPr="00ED2AD1">
        <w:rPr>
          <w:rFonts w:ascii="Arial" w:hAnsi="Arial" w:cs="Arial"/>
          <w:i/>
          <w:sz w:val="18"/>
          <w:lang w:val="es-419"/>
        </w:rPr>
        <w:t xml:space="preserve"> del Fondo Mundial, PEPFAR y el Banco Central de Honduras.</w:t>
      </w:r>
    </w:p>
    <w:p w14:paraId="57B211A1" w14:textId="282E62C3" w:rsidR="003A324D" w:rsidRPr="008C57B0" w:rsidRDefault="003A324D" w:rsidP="0068285B">
      <w:pPr>
        <w:pStyle w:val="Heading2"/>
        <w:numPr>
          <w:ilvl w:val="1"/>
          <w:numId w:val="19"/>
        </w:numPr>
        <w:spacing w:before="0" w:after="240" w:line="240" w:lineRule="auto"/>
        <w:rPr>
          <w:rFonts w:ascii="Arial" w:hAnsi="Arial" w:cs="Arial"/>
          <w:sz w:val="22"/>
          <w:szCs w:val="22"/>
          <w:lang w:val="es-419"/>
        </w:rPr>
      </w:pPr>
      <w:bookmarkStart w:id="121" w:name="_Toc8905252"/>
      <w:r>
        <w:rPr>
          <w:rFonts w:ascii="Arial" w:hAnsi="Arial" w:cs="Arial"/>
          <w:sz w:val="22"/>
          <w:szCs w:val="22"/>
          <w:lang w:val="es-419"/>
        </w:rPr>
        <w:lastRenderedPageBreak/>
        <w:t>Espacio fiscal para VIH</w:t>
      </w:r>
      <w:r w:rsidR="00560DAF">
        <w:rPr>
          <w:rFonts w:ascii="Arial" w:hAnsi="Arial" w:cs="Arial"/>
          <w:sz w:val="22"/>
          <w:szCs w:val="22"/>
          <w:lang w:val="es-419"/>
        </w:rPr>
        <w:t xml:space="preserve"> y </w:t>
      </w:r>
      <w:r>
        <w:rPr>
          <w:rFonts w:ascii="Arial" w:hAnsi="Arial" w:cs="Arial"/>
          <w:sz w:val="22"/>
          <w:szCs w:val="22"/>
          <w:lang w:val="es-419"/>
        </w:rPr>
        <w:t>TB</w:t>
      </w:r>
      <w:bookmarkEnd w:id="121"/>
    </w:p>
    <w:p w14:paraId="655B38BF" w14:textId="5DBDD5E9" w:rsidR="003A324D" w:rsidRPr="00DD37EC" w:rsidRDefault="003A324D" w:rsidP="001868A5">
      <w:pPr>
        <w:spacing w:after="240" w:line="240" w:lineRule="auto"/>
        <w:jc w:val="both"/>
        <w:rPr>
          <w:rFonts w:ascii="Arial" w:hAnsi="Arial" w:cs="Arial"/>
          <w:i/>
          <w:lang w:val="es-419"/>
        </w:rPr>
      </w:pPr>
      <w:r w:rsidRPr="00DD37EC">
        <w:rPr>
          <w:rFonts w:ascii="Arial" w:hAnsi="Arial" w:cs="Arial"/>
          <w:i/>
          <w:lang w:val="es-419"/>
        </w:rPr>
        <w:t>El espacio fiscal, es la disponibilidad de “espacio presupuestario” que permite al Gobierno proveer los recursos para un propósito deseado, sin n</w:t>
      </w:r>
      <w:r w:rsidR="009F748F">
        <w:rPr>
          <w:rFonts w:ascii="Arial" w:hAnsi="Arial" w:cs="Arial"/>
          <w:i/>
          <w:lang w:val="es-419"/>
        </w:rPr>
        <w:t>i</w:t>
      </w:r>
      <w:r w:rsidRPr="00DD37EC">
        <w:rPr>
          <w:rFonts w:ascii="Arial" w:hAnsi="Arial" w:cs="Arial"/>
          <w:i/>
          <w:lang w:val="es-419"/>
        </w:rPr>
        <w:t>ngún perjuicio para la sustentabilidad de la posición financiera del gobierno.</w:t>
      </w:r>
      <w:r w:rsidRPr="00DD37EC">
        <w:rPr>
          <w:rStyle w:val="FootnoteReference"/>
          <w:rFonts w:ascii="Arial" w:hAnsi="Arial" w:cs="Arial"/>
          <w:i/>
          <w:lang w:val="es-419"/>
        </w:rPr>
        <w:footnoteReference w:id="105"/>
      </w:r>
    </w:p>
    <w:p w14:paraId="779CE514" w14:textId="079F347F" w:rsidR="003A324D" w:rsidRDefault="003A324D" w:rsidP="001868A5">
      <w:pPr>
        <w:spacing w:after="240" w:line="240" w:lineRule="auto"/>
        <w:jc w:val="both"/>
        <w:rPr>
          <w:rFonts w:ascii="Arial" w:hAnsi="Arial" w:cs="Arial"/>
          <w:lang w:val="es-MX"/>
        </w:rPr>
      </w:pPr>
      <w:r w:rsidRPr="00F85C1A">
        <w:rPr>
          <w:rFonts w:ascii="Arial" w:hAnsi="Arial" w:cs="Arial"/>
          <w:lang w:val="es-MX"/>
        </w:rPr>
        <w:t>Existen 3 principales áreas para incrementar los recursos de las Respuestas Nacionales, 1) mejorar la ejecución presupuestaria, 2) generar nuevas fuentes de ingreso (e.g. a través de nuevos impuestos o reasignación de fondos dentro de la SESAL), y 3) generar eficiencias en el gasto y</w:t>
      </w:r>
      <w:r w:rsidR="00306C94">
        <w:rPr>
          <w:rFonts w:ascii="Arial" w:hAnsi="Arial" w:cs="Arial"/>
          <w:lang w:val="es-MX"/>
        </w:rPr>
        <w:t xml:space="preserve"> reasignar el gasto</w:t>
      </w:r>
      <w:r w:rsidRPr="00F85C1A">
        <w:rPr>
          <w:rFonts w:ascii="Arial" w:hAnsi="Arial" w:cs="Arial"/>
          <w:lang w:val="es-MX"/>
        </w:rPr>
        <w:t xml:space="preserve"> dentro de los programas.</w:t>
      </w:r>
    </w:p>
    <w:p w14:paraId="590D2D78" w14:textId="645D0B23" w:rsidR="003A324D" w:rsidRDefault="003A324D" w:rsidP="001868A5">
      <w:pPr>
        <w:spacing w:after="240" w:line="240" w:lineRule="auto"/>
        <w:jc w:val="both"/>
        <w:rPr>
          <w:rFonts w:ascii="Arial" w:hAnsi="Arial" w:cs="Arial"/>
          <w:lang w:val="es-MX"/>
        </w:rPr>
      </w:pPr>
      <w:r>
        <w:rPr>
          <w:rFonts w:ascii="Arial" w:hAnsi="Arial" w:cs="Arial"/>
          <w:lang w:val="es-MX"/>
        </w:rPr>
        <w:t xml:space="preserve">Honduras principalmente tiene la capacidad de ejercer un mayor porcentaje de los recursos asignados y generar eficiencias en el gasto. </w:t>
      </w:r>
      <w:r w:rsidRPr="00131459">
        <w:rPr>
          <w:rFonts w:ascii="Arial" w:hAnsi="Arial" w:cs="Arial"/>
          <w:lang w:val="es-419"/>
        </w:rPr>
        <w:t>Como sugiere el Caso de Inversión realizado por ONUSIDA, es posible incrementar la eficiencia del gasto al enfocar aún más las intervenciones en aquellas poblaciones con mayor prevalencia de VIH (HSH, Trans y población g</w:t>
      </w:r>
      <w:r>
        <w:rPr>
          <w:rFonts w:ascii="Arial" w:hAnsi="Arial" w:cs="Arial"/>
          <w:lang w:val="es-419"/>
        </w:rPr>
        <w:t>a</w:t>
      </w:r>
      <w:r w:rsidRPr="00131459">
        <w:rPr>
          <w:rFonts w:ascii="Arial" w:hAnsi="Arial" w:cs="Arial"/>
          <w:lang w:val="es-419"/>
        </w:rPr>
        <w:t>rífuna).</w:t>
      </w:r>
      <w:r>
        <w:rPr>
          <w:rStyle w:val="FootnoteReference"/>
          <w:rFonts w:ascii="Arial" w:hAnsi="Arial" w:cs="Arial"/>
          <w:lang w:val="es-419"/>
        </w:rPr>
        <w:footnoteReference w:id="106"/>
      </w:r>
      <w:r w:rsidR="009924EE">
        <w:rPr>
          <w:rFonts w:ascii="Arial" w:hAnsi="Arial" w:cs="Arial"/>
          <w:lang w:val="es-419"/>
        </w:rPr>
        <w:t xml:space="preserve"> Sin embargo, para el alcance de las metas y la expansión del tratamiento que eso requiere, </w:t>
      </w:r>
      <w:r w:rsidR="00C865F1">
        <w:rPr>
          <w:rFonts w:ascii="Arial" w:hAnsi="Arial" w:cs="Arial"/>
          <w:lang w:val="es-419"/>
        </w:rPr>
        <w:t xml:space="preserve">así como la cobertura de las brechas que dejarán los cooperantes, </w:t>
      </w:r>
      <w:r w:rsidR="009924EE">
        <w:rPr>
          <w:rFonts w:ascii="Arial" w:hAnsi="Arial" w:cs="Arial"/>
          <w:lang w:val="es-419"/>
        </w:rPr>
        <w:t>se necesitará incrementar los recursos asignados a las respuestas nacionales.</w:t>
      </w:r>
    </w:p>
    <w:p w14:paraId="69964283" w14:textId="7F981BEF" w:rsidR="003A324D" w:rsidRPr="00F85C1A" w:rsidRDefault="003A324D" w:rsidP="003A324D">
      <w:pPr>
        <w:spacing w:after="240" w:line="240" w:lineRule="auto"/>
        <w:jc w:val="both"/>
        <w:rPr>
          <w:rFonts w:ascii="Arial" w:hAnsi="Arial" w:cs="Arial"/>
          <w:lang w:val="es-MX"/>
        </w:rPr>
      </w:pPr>
      <w:r>
        <w:rPr>
          <w:rFonts w:ascii="Arial" w:hAnsi="Arial" w:cs="Arial"/>
          <w:lang w:val="es-MX"/>
        </w:rPr>
        <w:t xml:space="preserve">Respecto a nuevas fuentes de ingreso, Honduras es uno de los países con mayores tasas de recaudación en la región. Dentro de sus ingresos tributarios se incluyen el </w:t>
      </w:r>
      <w:r w:rsidR="001868A5">
        <w:rPr>
          <w:rFonts w:ascii="Arial" w:hAnsi="Arial" w:cs="Arial"/>
          <w:lang w:val="es-MX"/>
        </w:rPr>
        <w:t>i</w:t>
      </w:r>
      <w:r>
        <w:rPr>
          <w:rFonts w:ascii="Arial" w:hAnsi="Arial" w:cs="Arial"/>
          <w:lang w:val="es-MX"/>
        </w:rPr>
        <w:t>mpuesto sobre la renta, impuesto sobre la propiedad y los impuestos sobre la producción, consumo y ventas (ISV) que grava la producción de alcohol, producción y consumo de bebidas gaseosas, tabaco, tickets aéreos-18%- y loterías), entre otros.</w:t>
      </w:r>
      <w:r>
        <w:rPr>
          <w:rStyle w:val="FootnoteReference"/>
          <w:rFonts w:ascii="Arial" w:hAnsi="Arial" w:cs="Arial"/>
          <w:lang w:val="es-MX"/>
        </w:rPr>
        <w:footnoteReference w:id="107"/>
      </w:r>
      <w:r>
        <w:rPr>
          <w:rFonts w:ascii="Arial" w:hAnsi="Arial" w:cs="Arial"/>
          <w:lang w:val="es-MX"/>
        </w:rPr>
        <w:t xml:space="preserve"> Ante tal escenario, una alternativa es pensar en contribuciones adicionales o un incremento en las tasas actuales</w:t>
      </w:r>
      <w:r w:rsidR="006755D1">
        <w:rPr>
          <w:rFonts w:ascii="Arial" w:hAnsi="Arial" w:cs="Arial"/>
          <w:lang w:val="es-MX"/>
        </w:rPr>
        <w:t xml:space="preserve"> de</w:t>
      </w:r>
      <w:r>
        <w:rPr>
          <w:rFonts w:ascii="Arial" w:hAnsi="Arial" w:cs="Arial"/>
          <w:lang w:val="es-MX"/>
        </w:rPr>
        <w:t xml:space="preserve"> algunos rubros del ISV.  Otra opción, como se discutió en el 2018, es añadir un impuesto al consumo de bebidas alcohólicas.</w:t>
      </w:r>
      <w:r>
        <w:rPr>
          <w:rStyle w:val="FootnoteReference"/>
          <w:rFonts w:ascii="Arial" w:hAnsi="Arial" w:cs="Arial"/>
          <w:lang w:val="es-MX"/>
        </w:rPr>
        <w:footnoteReference w:id="108"/>
      </w:r>
      <w:r>
        <w:rPr>
          <w:rFonts w:ascii="Arial" w:hAnsi="Arial" w:cs="Arial"/>
          <w:lang w:val="es-MX"/>
        </w:rPr>
        <w:t xml:space="preserve"> Finalmente, otras posibilidades serían un impuesto a las transacciones financieras, una lotería específica para VIH</w:t>
      </w:r>
      <w:r w:rsidR="00560DAF">
        <w:rPr>
          <w:rFonts w:ascii="Arial" w:hAnsi="Arial" w:cs="Arial"/>
          <w:lang w:val="es-MX"/>
        </w:rPr>
        <w:t xml:space="preserve"> y </w:t>
      </w:r>
      <w:r>
        <w:rPr>
          <w:rFonts w:ascii="Arial" w:hAnsi="Arial" w:cs="Arial"/>
          <w:lang w:val="es-MX"/>
        </w:rPr>
        <w:t>TB o un programa de responsabilidad social corporativa que requiera una contribución sobre las utilidades brutas de las empresas que son proveedores del gobierno.</w:t>
      </w:r>
    </w:p>
    <w:p w14:paraId="1C35A43A" w14:textId="0AEE400D" w:rsidR="00275BDD" w:rsidRDefault="003A324D" w:rsidP="003A324D">
      <w:pPr>
        <w:spacing w:after="240" w:line="240" w:lineRule="auto"/>
        <w:jc w:val="both"/>
        <w:rPr>
          <w:rFonts w:ascii="Arial" w:hAnsi="Arial" w:cs="Arial"/>
          <w:lang w:val="es-MX"/>
        </w:rPr>
      </w:pPr>
      <w:r w:rsidRPr="00F85C1A">
        <w:rPr>
          <w:rFonts w:ascii="Arial" w:hAnsi="Arial" w:cs="Arial"/>
          <w:lang w:val="es-MX"/>
        </w:rPr>
        <w:t>Honduras no cuenta con u</w:t>
      </w:r>
      <w:r>
        <w:rPr>
          <w:rFonts w:ascii="Arial" w:hAnsi="Arial" w:cs="Arial"/>
          <w:lang w:val="es-MX"/>
        </w:rPr>
        <w:t xml:space="preserve">n catálogo explícito cubierto por el gobierno. A pesar de que el IHSS si cubre la atención de VIH y TB a través del Régimen de Enfermedad y Maternidad, este instituto no cuenta con la capacitación o infraestructura para alcanzar a las poblaciones clave, por ello la relevancia de fortalecer e incluir a las OSC como prestadoras de servicios. </w:t>
      </w:r>
      <w:r w:rsidR="005F0C34">
        <w:rPr>
          <w:rFonts w:ascii="Arial" w:hAnsi="Arial" w:cs="Arial"/>
          <w:lang w:val="es-MX"/>
        </w:rPr>
        <w:t xml:space="preserve">A través de fuentes secundarias también se sabe que pacientes con seguridad social reciben atención de la SESAL pero no se realiza el pago cruzado por estos servicios. </w:t>
      </w:r>
      <w:r w:rsidRPr="00F85C1A">
        <w:rPr>
          <w:rFonts w:ascii="Arial" w:hAnsi="Arial" w:cs="Arial"/>
          <w:lang w:val="es-MX"/>
        </w:rPr>
        <w:t>Dentro del proceso de Reforma</w:t>
      </w:r>
      <w:r>
        <w:rPr>
          <w:rFonts w:ascii="Arial" w:hAnsi="Arial" w:cs="Arial"/>
          <w:lang w:val="es-MX"/>
        </w:rPr>
        <w:t xml:space="preserve"> vigente,</w:t>
      </w:r>
      <w:r w:rsidRPr="00F85C1A">
        <w:rPr>
          <w:rFonts w:ascii="Arial" w:hAnsi="Arial" w:cs="Arial"/>
          <w:lang w:val="es-MX"/>
        </w:rPr>
        <w:t xml:space="preserve"> será muy relevante el g</w:t>
      </w:r>
      <w:r>
        <w:rPr>
          <w:rFonts w:ascii="Arial" w:hAnsi="Arial" w:cs="Arial"/>
          <w:lang w:val="es-MX"/>
        </w:rPr>
        <w:t>arantizar que el VIH y TB queden incluidas como intervenciones cubiertas para toda la población, lo que impedirá que el VIH se llegue a convertir en un gasto catastrófico y que ambas enfermedades disminuyan la productividad de la población afectada.</w:t>
      </w:r>
    </w:p>
    <w:p w14:paraId="711BF8B4" w14:textId="59210441" w:rsidR="00ED2AD1" w:rsidRDefault="00ED2AD1" w:rsidP="003A324D">
      <w:pPr>
        <w:spacing w:after="240" w:line="240" w:lineRule="auto"/>
        <w:jc w:val="both"/>
        <w:rPr>
          <w:rFonts w:ascii="Arial" w:hAnsi="Arial" w:cs="Arial"/>
          <w:lang w:val="es-MX"/>
        </w:rPr>
      </w:pPr>
    </w:p>
    <w:p w14:paraId="62AD1CFC" w14:textId="77777777" w:rsidR="00ED2AD1" w:rsidRPr="00F85C1A" w:rsidRDefault="00ED2AD1" w:rsidP="003A324D">
      <w:pPr>
        <w:spacing w:after="240" w:line="240" w:lineRule="auto"/>
        <w:jc w:val="both"/>
        <w:rPr>
          <w:rFonts w:ascii="Arial" w:hAnsi="Arial" w:cs="Arial"/>
          <w:lang w:val="es-MX"/>
        </w:rPr>
      </w:pPr>
    </w:p>
    <w:p w14:paraId="5E8ECFB9" w14:textId="5C16F336" w:rsidR="003A324D" w:rsidRDefault="003A324D" w:rsidP="0068285B">
      <w:pPr>
        <w:pStyle w:val="Heading2"/>
        <w:numPr>
          <w:ilvl w:val="1"/>
          <w:numId w:val="19"/>
        </w:numPr>
        <w:spacing w:before="0" w:after="240" w:line="240" w:lineRule="auto"/>
        <w:rPr>
          <w:rFonts w:ascii="Arial" w:hAnsi="Arial" w:cs="Arial"/>
          <w:sz w:val="22"/>
          <w:szCs w:val="22"/>
          <w:lang w:val="es-419"/>
        </w:rPr>
      </w:pPr>
      <w:bookmarkStart w:id="122" w:name="_Toc8905253"/>
      <w:r w:rsidRPr="00DD37EC">
        <w:rPr>
          <w:rFonts w:ascii="Arial" w:hAnsi="Arial" w:cs="Arial"/>
          <w:sz w:val="22"/>
          <w:szCs w:val="22"/>
          <w:lang w:val="es-419"/>
        </w:rPr>
        <w:lastRenderedPageBreak/>
        <w:t>Resumen de riesgos, sus impactos, su probabilidad y severidad, y soluciones potenciales</w:t>
      </w:r>
      <w:bookmarkEnd w:id="122"/>
    </w:p>
    <w:tbl>
      <w:tblPr>
        <w:tblStyle w:val="TableGrid"/>
        <w:tblW w:w="9985" w:type="dxa"/>
        <w:tblLayout w:type="fixed"/>
        <w:tblLook w:val="04A0" w:firstRow="1" w:lastRow="0" w:firstColumn="1" w:lastColumn="0" w:noHBand="0" w:noVBand="1"/>
      </w:tblPr>
      <w:tblGrid>
        <w:gridCol w:w="1536"/>
        <w:gridCol w:w="8449"/>
      </w:tblGrid>
      <w:tr w:rsidR="00DA76E6" w:rsidRPr="00392E34" w14:paraId="00B514E5" w14:textId="77777777" w:rsidTr="00DF682C">
        <w:trPr>
          <w:trHeight w:val="512"/>
        </w:trPr>
        <w:tc>
          <w:tcPr>
            <w:tcW w:w="1536" w:type="dxa"/>
            <w:shd w:val="clear" w:color="auto" w:fill="E7E6E6" w:themeFill="background2"/>
          </w:tcPr>
          <w:p w14:paraId="1C167938" w14:textId="77777777" w:rsidR="00DA76E6" w:rsidRPr="00DD37EC" w:rsidRDefault="00DA76E6" w:rsidP="00DF682C">
            <w:pPr>
              <w:spacing w:after="240"/>
              <w:rPr>
                <w:rFonts w:ascii="Arial" w:hAnsi="Arial" w:cs="Arial"/>
                <w:b/>
                <w:lang w:val="es-MX"/>
              </w:rPr>
            </w:pPr>
            <w:r w:rsidRPr="00DD37EC">
              <w:rPr>
                <w:rFonts w:ascii="Arial" w:hAnsi="Arial" w:cs="Arial"/>
                <w:b/>
                <w:lang w:val="es-MX"/>
              </w:rPr>
              <w:t xml:space="preserve">RIESGO </w:t>
            </w:r>
            <w:r>
              <w:rPr>
                <w:rFonts w:ascii="Arial" w:hAnsi="Arial" w:cs="Arial"/>
                <w:b/>
                <w:lang w:val="es-MX"/>
              </w:rPr>
              <w:t>4</w:t>
            </w:r>
          </w:p>
        </w:tc>
        <w:tc>
          <w:tcPr>
            <w:tcW w:w="8449" w:type="dxa"/>
            <w:shd w:val="clear" w:color="auto" w:fill="E7E6E6" w:themeFill="background2"/>
          </w:tcPr>
          <w:p w14:paraId="253516B6" w14:textId="77777777" w:rsidR="00DA76E6" w:rsidRPr="00DD37EC" w:rsidRDefault="00DA76E6" w:rsidP="00DF682C">
            <w:pPr>
              <w:tabs>
                <w:tab w:val="left" w:pos="337"/>
                <w:tab w:val="left" w:pos="1486"/>
              </w:tabs>
              <w:spacing w:after="240"/>
              <w:rPr>
                <w:rFonts w:ascii="Arial" w:hAnsi="Arial" w:cs="Arial"/>
                <w:b/>
                <w:lang w:val="es-MX"/>
              </w:rPr>
            </w:pPr>
            <w:r w:rsidRPr="00154BBD">
              <w:rPr>
                <w:rFonts w:ascii="Arial" w:hAnsi="Arial" w:cs="Arial"/>
                <w:b/>
                <w:bCs/>
                <w:iCs/>
                <w:lang w:val="es-DO"/>
              </w:rPr>
              <w:t>El financiamiento en prevención de VIH en población clave es financiado principalmente por la cooperación externa y el trabajo de prevención combinada para grupos clave es realizado por las organizaciones de sociedad civil (OSC) con fondos externos</w:t>
            </w:r>
          </w:p>
        </w:tc>
      </w:tr>
      <w:tr w:rsidR="00DA76E6" w:rsidRPr="00392E34" w14:paraId="24115749" w14:textId="77777777" w:rsidTr="00DF682C">
        <w:trPr>
          <w:trHeight w:val="512"/>
        </w:trPr>
        <w:tc>
          <w:tcPr>
            <w:tcW w:w="1536" w:type="dxa"/>
            <w:shd w:val="clear" w:color="auto" w:fill="auto"/>
          </w:tcPr>
          <w:p w14:paraId="3DEF4153" w14:textId="77777777" w:rsidR="00DA76E6" w:rsidRPr="00DD37EC" w:rsidRDefault="00DA76E6" w:rsidP="00DF682C">
            <w:pPr>
              <w:spacing w:after="240"/>
              <w:rPr>
                <w:rFonts w:ascii="Arial" w:hAnsi="Arial" w:cs="Arial"/>
                <w:b/>
                <w:lang w:val="es-MX"/>
              </w:rPr>
            </w:pPr>
            <w:r>
              <w:rPr>
                <w:rFonts w:ascii="Arial" w:hAnsi="Arial" w:cs="Arial"/>
                <w:b/>
                <w:lang w:val="es-MX"/>
              </w:rPr>
              <w:t>Descripción e impacto</w:t>
            </w:r>
          </w:p>
        </w:tc>
        <w:tc>
          <w:tcPr>
            <w:tcW w:w="8449" w:type="dxa"/>
            <w:shd w:val="clear" w:color="auto" w:fill="auto"/>
          </w:tcPr>
          <w:p w14:paraId="1EA9E678" w14:textId="5A39000C" w:rsidR="00DA76E6" w:rsidRPr="00A04133" w:rsidRDefault="00DA76E6" w:rsidP="00DF682C">
            <w:pPr>
              <w:spacing w:after="240"/>
              <w:rPr>
                <w:rFonts w:ascii="Arial" w:eastAsia="Times New Roman" w:hAnsi="Arial" w:cs="Arial"/>
                <w:color w:val="000000"/>
                <w:lang w:val="es-MX"/>
              </w:rPr>
            </w:pPr>
            <w:r w:rsidRPr="00A04133">
              <w:rPr>
                <w:rFonts w:ascii="Arial" w:eastAsia="Times New Roman" w:hAnsi="Arial" w:cs="Arial"/>
                <w:color w:val="000000"/>
                <w:lang w:val="es-MX"/>
              </w:rPr>
              <w:t>Del financiamiento total de VIH, únicamente el 15.1% se destina a población clave.  Del cual el 88.9% es financiado a través de fuentes internacionales y únicamente 11.1% por fuentes públicas.</w:t>
            </w:r>
            <w:r w:rsidRPr="00830CB5">
              <w:rPr>
                <w:lang w:val="es-MX"/>
              </w:rPr>
              <w:t xml:space="preserve"> </w:t>
            </w:r>
            <w:r w:rsidRPr="00830CB5">
              <w:rPr>
                <w:rFonts w:ascii="Arial" w:eastAsia="Times New Roman" w:hAnsi="Arial" w:cs="Arial"/>
                <w:color w:val="000000"/>
                <w:lang w:val="es-MX"/>
              </w:rPr>
              <w:t>Del gasto en prevención (60%; US$19 millones), únicamente el 25% provino de fuentes públicas, demostrando una brecha significativa y alta dependencia de este rubro de la cooperación externa y del gasto de bolsillo. Se estima que únicamente</w:t>
            </w:r>
            <w:r>
              <w:rPr>
                <w:rFonts w:ascii="Arial" w:eastAsia="Times New Roman" w:hAnsi="Arial" w:cs="Arial"/>
                <w:color w:val="000000"/>
                <w:lang w:val="es-MX"/>
              </w:rPr>
              <w:t xml:space="preserve"> </w:t>
            </w:r>
            <w:r w:rsidRPr="00830CB5">
              <w:rPr>
                <w:rFonts w:ascii="Arial" w:eastAsia="Times New Roman" w:hAnsi="Arial" w:cs="Arial"/>
                <w:color w:val="000000"/>
                <w:lang w:val="es-MX"/>
              </w:rPr>
              <w:t xml:space="preserve">el 10% del gasto en prevención entre población clave es financiado por fuentes </w:t>
            </w:r>
            <w:r w:rsidR="00E15312">
              <w:rPr>
                <w:rFonts w:ascii="Arial" w:eastAsia="Times New Roman" w:hAnsi="Arial" w:cs="Arial"/>
                <w:color w:val="000000"/>
                <w:lang w:val="es-MX"/>
              </w:rPr>
              <w:t>públicas</w:t>
            </w:r>
            <w:r>
              <w:rPr>
                <w:rFonts w:ascii="Arial" w:eastAsia="Times New Roman" w:hAnsi="Arial" w:cs="Arial"/>
                <w:color w:val="000000"/>
                <w:lang w:val="es-MX"/>
              </w:rPr>
              <w:t>.</w:t>
            </w:r>
            <w:r>
              <w:rPr>
                <w:rStyle w:val="FootnoteReference"/>
                <w:rFonts w:ascii="Arial" w:eastAsia="Times New Roman" w:hAnsi="Arial" w:cs="Arial"/>
                <w:color w:val="000000"/>
                <w:lang w:val="es-MX"/>
              </w:rPr>
              <w:footnoteReference w:id="109"/>
            </w:r>
          </w:p>
          <w:p w14:paraId="76FB5C50" w14:textId="77777777" w:rsidR="00DA76E6" w:rsidRPr="00DD37EC" w:rsidRDefault="00DA76E6" w:rsidP="00DF682C">
            <w:pPr>
              <w:spacing w:after="240"/>
              <w:rPr>
                <w:rFonts w:ascii="Arial" w:eastAsia="Times New Roman" w:hAnsi="Arial" w:cs="Arial"/>
                <w:color w:val="000000"/>
                <w:lang w:val="es-MX"/>
              </w:rPr>
            </w:pPr>
            <w:r w:rsidRPr="00A04133">
              <w:rPr>
                <w:rFonts w:ascii="Arial" w:eastAsia="Times New Roman" w:hAnsi="Arial" w:cs="Arial"/>
                <w:color w:val="000000"/>
                <w:lang w:val="es-MX"/>
              </w:rPr>
              <w:t>El bajo financiamiento público en prevención y la dependencia de recursos externos – cada vez menores – para las intervenciones de prevención combinada y diagnóstico hacia población clave a través de las OSC, contribuirá</w:t>
            </w:r>
            <w:r>
              <w:rPr>
                <w:rFonts w:ascii="Arial" w:eastAsia="Times New Roman" w:hAnsi="Arial" w:cs="Arial"/>
                <w:color w:val="000000"/>
                <w:lang w:val="es-MX"/>
              </w:rPr>
              <w:t>n</w:t>
            </w:r>
            <w:r w:rsidRPr="00A04133">
              <w:rPr>
                <w:rFonts w:ascii="Arial" w:eastAsia="Times New Roman" w:hAnsi="Arial" w:cs="Arial"/>
                <w:color w:val="000000"/>
                <w:lang w:val="es-MX"/>
              </w:rPr>
              <w:t xml:space="preserve"> en un mediano plazo, a que un número limitado de PVIH- en especial de población clave - no conozca su estatus y </w:t>
            </w:r>
            <w:r>
              <w:rPr>
                <w:rFonts w:ascii="Arial" w:eastAsia="Times New Roman" w:hAnsi="Arial" w:cs="Arial"/>
                <w:color w:val="000000"/>
                <w:lang w:val="es-MX"/>
              </w:rPr>
              <w:t>carezca de acceso</w:t>
            </w:r>
            <w:r w:rsidRPr="00A04133">
              <w:rPr>
                <w:rFonts w:ascii="Arial" w:eastAsia="Times New Roman" w:hAnsi="Arial" w:cs="Arial"/>
                <w:color w:val="000000"/>
                <w:lang w:val="es-MX"/>
              </w:rPr>
              <w:t xml:space="preserve"> a servicios de atención.</w:t>
            </w:r>
          </w:p>
        </w:tc>
      </w:tr>
      <w:tr w:rsidR="00DA76E6" w:rsidRPr="00392E34" w14:paraId="0A9CF77D" w14:textId="77777777" w:rsidTr="00DF682C">
        <w:trPr>
          <w:trHeight w:val="802"/>
        </w:trPr>
        <w:tc>
          <w:tcPr>
            <w:tcW w:w="1536" w:type="dxa"/>
          </w:tcPr>
          <w:p w14:paraId="484E467D" w14:textId="77777777" w:rsidR="00DA76E6" w:rsidRPr="00DD37EC" w:rsidRDefault="00DA76E6" w:rsidP="00DF682C">
            <w:pPr>
              <w:spacing w:after="240"/>
              <w:rPr>
                <w:rFonts w:ascii="Arial" w:hAnsi="Arial" w:cs="Arial"/>
                <w:b/>
                <w:lang w:val="es-MX"/>
              </w:rPr>
            </w:pPr>
            <w:r w:rsidRPr="00DD37EC">
              <w:rPr>
                <w:rFonts w:ascii="Arial" w:hAnsi="Arial" w:cs="Arial"/>
                <w:b/>
                <w:lang w:val="es-MX"/>
              </w:rPr>
              <w:t>Soluciones Potenciales</w:t>
            </w:r>
          </w:p>
        </w:tc>
        <w:tc>
          <w:tcPr>
            <w:tcW w:w="8449" w:type="dxa"/>
          </w:tcPr>
          <w:p w14:paraId="7DF3015F" w14:textId="0C7902CA" w:rsidR="00DA76E6" w:rsidRPr="00154BBD" w:rsidRDefault="00DA76E6" w:rsidP="00DF682C">
            <w:pPr>
              <w:pStyle w:val="ListParagraph"/>
              <w:numPr>
                <w:ilvl w:val="0"/>
                <w:numId w:val="30"/>
              </w:numPr>
              <w:spacing w:after="240"/>
              <w:rPr>
                <w:rFonts w:ascii="Arial" w:hAnsi="Arial" w:cs="Arial"/>
                <w:bCs/>
                <w:lang w:val="es-ES"/>
              </w:rPr>
            </w:pPr>
            <w:r w:rsidRPr="00154BBD">
              <w:rPr>
                <w:rFonts w:ascii="Arial" w:hAnsi="Arial" w:cs="Arial"/>
                <w:lang w:val="es-MX"/>
              </w:rPr>
              <w:t>Elaborar un plan de gestión y movilización de fondos nacionales para financiar las intervenciones de prevención con recursos de la SESAL, la Seguridad Social y/o alianzas con el sector privado</w:t>
            </w:r>
            <w:r w:rsidR="00AE6183">
              <w:rPr>
                <w:rFonts w:ascii="Arial" w:hAnsi="Arial" w:cs="Arial"/>
                <w:lang w:val="es-MX"/>
              </w:rPr>
              <w:t>.</w:t>
            </w:r>
          </w:p>
          <w:p w14:paraId="6E88A327" w14:textId="77777777" w:rsidR="00DA76E6" w:rsidRPr="00154BBD" w:rsidRDefault="00DA76E6" w:rsidP="00DF682C">
            <w:pPr>
              <w:pStyle w:val="ListParagraph"/>
              <w:numPr>
                <w:ilvl w:val="0"/>
                <w:numId w:val="30"/>
              </w:numPr>
              <w:spacing w:after="240"/>
              <w:rPr>
                <w:rFonts w:ascii="Arial" w:hAnsi="Arial" w:cs="Arial"/>
                <w:bCs/>
                <w:lang w:val="es-ES"/>
              </w:rPr>
            </w:pPr>
            <w:r w:rsidRPr="00154BBD">
              <w:rPr>
                <w:rFonts w:ascii="Arial" w:hAnsi="Arial" w:cs="Arial"/>
                <w:lang w:val="es-MX"/>
              </w:rPr>
              <w:t xml:space="preserve">Fortalecer la implementación del Paquete específico de prestaciones y servicios para el abordaje integral de las ITS y VIH en poblaciones clave (julio 2015) y establecer el paquete mínimo de prevención combinada para VIH en población general y clave, de acuerdo a la cartera de servicios de los Establecimientos de Salud con miras a la institucionalización y financiamiento por la SESAL y el IHSS. </w:t>
            </w:r>
          </w:p>
          <w:p w14:paraId="0AE802F0" w14:textId="77777777" w:rsidR="00DA76E6" w:rsidRPr="008604F1" w:rsidRDefault="00DA76E6" w:rsidP="00DF682C">
            <w:pPr>
              <w:pStyle w:val="ListParagraph"/>
              <w:numPr>
                <w:ilvl w:val="0"/>
                <w:numId w:val="30"/>
              </w:numPr>
              <w:spacing w:after="240"/>
              <w:rPr>
                <w:rFonts w:ascii="Arial" w:hAnsi="Arial" w:cs="Arial"/>
                <w:bCs/>
                <w:lang w:val="es-ES"/>
              </w:rPr>
            </w:pPr>
            <w:r w:rsidRPr="00154BBD">
              <w:rPr>
                <w:rFonts w:ascii="Arial" w:hAnsi="Arial" w:cs="Arial"/>
                <w:lang w:val="es-MX"/>
              </w:rPr>
              <w:t>Garantizar recursos para el fortalecimiento de los servicios amigables, VICITS y horarios extendidos.</w:t>
            </w:r>
          </w:p>
          <w:p w14:paraId="01C556BB" w14:textId="77777777" w:rsidR="00DA76E6" w:rsidRPr="00154BBD" w:rsidRDefault="00DA76E6" w:rsidP="00DF682C">
            <w:pPr>
              <w:pStyle w:val="ListParagraph"/>
              <w:numPr>
                <w:ilvl w:val="0"/>
                <w:numId w:val="30"/>
              </w:numPr>
              <w:spacing w:after="240"/>
              <w:rPr>
                <w:rFonts w:ascii="Arial" w:hAnsi="Arial" w:cs="Arial"/>
                <w:bCs/>
                <w:lang w:val="es-ES"/>
              </w:rPr>
            </w:pPr>
            <w:r w:rsidRPr="008604F1">
              <w:rPr>
                <w:rFonts w:ascii="Arial" w:hAnsi="Arial" w:cs="Arial"/>
                <w:bCs/>
                <w:lang w:val="es-ES"/>
              </w:rPr>
              <w:t>Crear líneas presupuestarias para cubrir los compromisos de cofinanciamiento de las pruebas CD4, PDR, carga viral, leche infantil, inversiones en reactivos ITS, insumos de laboratorio, cartuchos Gene-Xpert, respiradores N95, suplemento alimenticio para pacientes con TB-DR, control de infecciones de TB, así como para la prevención de VIH y TB a través de la prestación de servicios por parte de las OSCs.</w:t>
            </w:r>
          </w:p>
        </w:tc>
      </w:tr>
    </w:tbl>
    <w:p w14:paraId="777D46EA" w14:textId="77777777" w:rsidR="00DA76E6" w:rsidRPr="00DA76E6" w:rsidRDefault="00DA76E6" w:rsidP="00DA76E6">
      <w:pPr>
        <w:rPr>
          <w:lang w:val="es-ES"/>
        </w:rPr>
      </w:pPr>
    </w:p>
    <w:p w14:paraId="186E965D" w14:textId="658B35B7" w:rsidR="003A324D" w:rsidRPr="00DD37EC" w:rsidRDefault="003A324D" w:rsidP="003A324D">
      <w:pPr>
        <w:rPr>
          <w:rFonts w:ascii="Arial" w:hAnsi="Arial" w:cs="Arial"/>
          <w:lang w:val="es-419"/>
        </w:rPr>
      </w:pPr>
      <w:r>
        <w:rPr>
          <w:rFonts w:ascii="Arial" w:hAnsi="Arial" w:cs="Arial"/>
          <w:lang w:val="es-419"/>
        </w:rPr>
        <w:br w:type="page"/>
      </w:r>
    </w:p>
    <w:p w14:paraId="4CBF1AB0" w14:textId="7980D09A" w:rsidR="007B4CA8" w:rsidRPr="004F1CBE" w:rsidRDefault="006A2CA2" w:rsidP="004F1CBE">
      <w:pPr>
        <w:pStyle w:val="Heading1"/>
        <w:spacing w:before="0" w:after="240" w:line="240" w:lineRule="auto"/>
        <w:rPr>
          <w:rFonts w:ascii="Arial" w:hAnsi="Arial" w:cs="Arial"/>
          <w:sz w:val="22"/>
          <w:szCs w:val="22"/>
          <w:lang w:val="es-419"/>
        </w:rPr>
      </w:pPr>
      <w:bookmarkStart w:id="123" w:name="_Toc8905254"/>
      <w:r>
        <w:rPr>
          <w:rFonts w:ascii="Arial" w:hAnsi="Arial" w:cs="Arial"/>
          <w:sz w:val="22"/>
          <w:szCs w:val="22"/>
          <w:lang w:val="es-419"/>
        </w:rPr>
        <w:lastRenderedPageBreak/>
        <w:t>7</w:t>
      </w:r>
      <w:r w:rsidR="003A324D" w:rsidRPr="00DD37EC">
        <w:rPr>
          <w:rFonts w:ascii="Arial" w:hAnsi="Arial" w:cs="Arial"/>
          <w:sz w:val="22"/>
          <w:szCs w:val="22"/>
          <w:lang w:val="es-419"/>
        </w:rPr>
        <w:t xml:space="preserve">. </w:t>
      </w:r>
      <w:r w:rsidR="004F1CBE">
        <w:rPr>
          <w:rFonts w:ascii="Arial" w:hAnsi="Arial" w:cs="Arial"/>
          <w:sz w:val="22"/>
          <w:szCs w:val="22"/>
          <w:lang w:val="es-419"/>
        </w:rPr>
        <w:t>D</w:t>
      </w:r>
      <w:r w:rsidR="003A324D" w:rsidRPr="00DD37EC">
        <w:rPr>
          <w:rFonts w:ascii="Arial" w:hAnsi="Arial" w:cs="Arial"/>
          <w:sz w:val="22"/>
          <w:szCs w:val="22"/>
          <w:lang w:val="es-419"/>
        </w:rPr>
        <w:t>erechos humanos y género</w:t>
      </w:r>
      <w:bookmarkEnd w:id="123"/>
      <w:r w:rsidR="003A324D" w:rsidRPr="00DD37EC">
        <w:rPr>
          <w:rFonts w:ascii="Arial" w:hAnsi="Arial" w:cs="Arial"/>
          <w:sz w:val="22"/>
          <w:szCs w:val="22"/>
          <w:lang w:val="es-419"/>
        </w:rPr>
        <w:t xml:space="preserve"> </w:t>
      </w:r>
    </w:p>
    <w:p w14:paraId="4C766105" w14:textId="101CFD1C" w:rsidR="005876A1" w:rsidRPr="005876A1" w:rsidRDefault="005876A1" w:rsidP="0068285B">
      <w:pPr>
        <w:pStyle w:val="Heading2"/>
        <w:numPr>
          <w:ilvl w:val="1"/>
          <w:numId w:val="20"/>
        </w:numPr>
        <w:spacing w:before="0" w:after="240" w:line="240" w:lineRule="auto"/>
        <w:rPr>
          <w:rFonts w:ascii="Arial" w:hAnsi="Arial" w:cs="Arial"/>
          <w:sz w:val="22"/>
          <w:szCs w:val="22"/>
          <w:lang w:val="es-419"/>
        </w:rPr>
      </w:pPr>
      <w:bookmarkStart w:id="124" w:name="_Toc8905255"/>
      <w:r w:rsidRPr="00DD37EC">
        <w:rPr>
          <w:rFonts w:ascii="Arial" w:hAnsi="Arial" w:cs="Arial"/>
          <w:sz w:val="22"/>
          <w:szCs w:val="22"/>
          <w:lang w:val="es-419"/>
        </w:rPr>
        <w:t>Derechos humanos y género en el marco político, e institucional</w:t>
      </w:r>
      <w:bookmarkEnd w:id="124"/>
    </w:p>
    <w:p w14:paraId="51FA7F90" w14:textId="0A9C84C4" w:rsidR="003A324D" w:rsidRPr="00DD37EC" w:rsidRDefault="003A324D" w:rsidP="003A324D">
      <w:pPr>
        <w:pStyle w:val="NormalWeb"/>
        <w:spacing w:before="0" w:beforeAutospacing="0" w:after="240" w:afterAutospacing="0"/>
        <w:jc w:val="both"/>
        <w:rPr>
          <w:rFonts w:ascii="Arial" w:hAnsi="Arial" w:cs="Arial"/>
          <w:sz w:val="22"/>
          <w:szCs w:val="22"/>
          <w:lang w:val="es-ES"/>
        </w:rPr>
      </w:pPr>
      <w:r w:rsidRPr="00DD37EC">
        <w:rPr>
          <w:rFonts w:ascii="Arial" w:hAnsi="Arial" w:cs="Arial"/>
          <w:sz w:val="22"/>
          <w:szCs w:val="22"/>
          <w:lang w:val="es-ES"/>
        </w:rPr>
        <w:t xml:space="preserve">La Constitución de la República de Honduras establece las garantías básicas para el pleno ejercicio de </w:t>
      </w:r>
      <w:r w:rsidR="00ED0FDB">
        <w:rPr>
          <w:rFonts w:ascii="Arial" w:hAnsi="Arial" w:cs="Arial"/>
          <w:sz w:val="22"/>
          <w:szCs w:val="22"/>
          <w:lang w:val="es-ES"/>
        </w:rPr>
        <w:t>la</w:t>
      </w:r>
      <w:r w:rsidRPr="00DD37EC">
        <w:rPr>
          <w:rFonts w:ascii="Arial" w:hAnsi="Arial" w:cs="Arial"/>
          <w:sz w:val="22"/>
          <w:szCs w:val="22"/>
          <w:lang w:val="es-ES"/>
        </w:rPr>
        <w:t xml:space="preserve"> ciudadanía, salvaguardando el derecho a la vida, a la seguridad individual, a la libertad e igualdad ante la Ley, el acceso igualitario y oportuno a las fuentes de trabajo, a los servicios de salud y a educación de calidad. A pesar </w:t>
      </w:r>
      <w:r w:rsidR="00ED0FDB">
        <w:rPr>
          <w:rFonts w:ascii="Arial" w:hAnsi="Arial" w:cs="Arial"/>
          <w:sz w:val="22"/>
          <w:szCs w:val="22"/>
          <w:lang w:val="es-ES"/>
        </w:rPr>
        <w:t>esta declaración</w:t>
      </w:r>
      <w:r w:rsidRPr="00DD37EC">
        <w:rPr>
          <w:rFonts w:ascii="Arial" w:hAnsi="Arial" w:cs="Arial"/>
          <w:sz w:val="22"/>
          <w:szCs w:val="22"/>
          <w:lang w:val="es-ES"/>
        </w:rPr>
        <w:t xml:space="preserve">, la situación de los derechos humanos en Honduras es extremadamente compleja. </w:t>
      </w:r>
      <w:r w:rsidR="005E3958">
        <w:rPr>
          <w:rFonts w:ascii="Arial" w:hAnsi="Arial" w:cs="Arial"/>
          <w:sz w:val="22"/>
          <w:szCs w:val="22"/>
          <w:lang w:val="es-ES"/>
        </w:rPr>
        <w:t>La vi</w:t>
      </w:r>
      <w:r w:rsidRPr="00DD37EC">
        <w:rPr>
          <w:rFonts w:ascii="Arial" w:hAnsi="Arial" w:cs="Arial"/>
          <w:sz w:val="22"/>
          <w:szCs w:val="22"/>
          <w:lang w:val="es-ES"/>
        </w:rPr>
        <w:t>olencia e inseguridad son problemas graves de acuerdo con el Informe sobre la Situación de los Derechos Humanos en Honduras de la Comisión Interamericana de Derechos Humanos (2015). El mismo informe indica que además de situaciones con comunidades y pueblos indígenas en relación con la defensa de su territorio, los defensores y defensoras de las personas LGBT también enfrentan un contexto de violencia que se agrava por las actitudes estereotipadas y discriminatorias contra ese grupo.</w:t>
      </w:r>
      <w:r w:rsidRPr="00DD37EC">
        <w:rPr>
          <w:rStyle w:val="FootnoteReference"/>
          <w:rFonts w:ascii="Arial" w:hAnsi="Arial" w:cs="Arial"/>
          <w:sz w:val="22"/>
          <w:szCs w:val="22"/>
          <w:lang w:val="es-ES"/>
        </w:rPr>
        <w:footnoteReference w:id="110"/>
      </w:r>
      <w:r w:rsidRPr="00DD37EC">
        <w:rPr>
          <w:rFonts w:ascii="Arial" w:hAnsi="Arial" w:cs="Arial"/>
          <w:sz w:val="22"/>
          <w:szCs w:val="22"/>
          <w:lang w:val="es-ES"/>
        </w:rPr>
        <w:t xml:space="preserve"> </w:t>
      </w:r>
    </w:p>
    <w:p w14:paraId="11FC9773" w14:textId="67D75ECA" w:rsidR="003A324D" w:rsidRPr="00DD37EC" w:rsidRDefault="003A324D" w:rsidP="003A324D">
      <w:pPr>
        <w:pStyle w:val="NormalWeb"/>
        <w:shd w:val="clear" w:color="auto" w:fill="FFFFFF" w:themeFill="background1"/>
        <w:spacing w:before="0" w:beforeAutospacing="0" w:after="240" w:afterAutospacing="0"/>
        <w:jc w:val="both"/>
        <w:rPr>
          <w:rFonts w:ascii="Arial" w:hAnsi="Arial" w:cs="Arial"/>
          <w:color w:val="333333"/>
          <w:sz w:val="22"/>
          <w:szCs w:val="22"/>
          <w:shd w:val="clear" w:color="auto" w:fill="FBFBF8"/>
          <w:lang w:val="es-ES"/>
        </w:rPr>
      </w:pPr>
      <w:r w:rsidRPr="00DD37EC">
        <w:rPr>
          <w:rFonts w:ascii="Arial" w:hAnsi="Arial" w:cs="Arial"/>
          <w:sz w:val="22"/>
          <w:szCs w:val="22"/>
          <w:lang w:val="es-ES"/>
        </w:rPr>
        <w:t>L</w:t>
      </w:r>
      <w:r w:rsidRPr="00DD37EC">
        <w:rPr>
          <w:rFonts w:ascii="Arial" w:hAnsi="Arial" w:cs="Arial"/>
          <w:color w:val="333333"/>
          <w:sz w:val="22"/>
          <w:szCs w:val="22"/>
          <w:shd w:val="clear" w:color="auto" w:fill="FBFBF8"/>
          <w:lang w:val="es-ES"/>
        </w:rPr>
        <w:t xml:space="preserve">a Ley de Protección para las y los Defensores de Derechos Humanos, Periodistas, Comunicadores Sociales y Operadores de Justicia (2015), es sin duda un avance legislativo, pero hay serios problemas de ejecución de la Ley, y no se considera que la Ley sea suficiente para garantizar el derecho de defensa de los </w:t>
      </w:r>
      <w:r w:rsidR="00E20057">
        <w:rPr>
          <w:rFonts w:ascii="Arial" w:hAnsi="Arial" w:cs="Arial"/>
          <w:color w:val="333333"/>
          <w:sz w:val="22"/>
          <w:szCs w:val="22"/>
          <w:shd w:val="clear" w:color="auto" w:fill="FBFBF8"/>
          <w:lang w:val="es-ES"/>
        </w:rPr>
        <w:t>DDHH</w:t>
      </w:r>
      <w:r w:rsidRPr="00DD37EC">
        <w:rPr>
          <w:rFonts w:ascii="Arial" w:hAnsi="Arial" w:cs="Arial"/>
          <w:color w:val="333333"/>
          <w:sz w:val="22"/>
          <w:szCs w:val="22"/>
          <w:shd w:val="clear" w:color="auto" w:fill="FBFBF8"/>
          <w:lang w:val="es-ES"/>
        </w:rPr>
        <w:t>.  No se cumplen con diligencia investigaciones de violaciones de derechos humanos, ni hay protocolos especiales para responder a las denuncias de violaciones</w:t>
      </w:r>
      <w:r w:rsidR="008A4361">
        <w:rPr>
          <w:rFonts w:ascii="Arial" w:hAnsi="Arial" w:cs="Arial"/>
          <w:color w:val="333333"/>
          <w:sz w:val="22"/>
          <w:szCs w:val="22"/>
          <w:shd w:val="clear" w:color="auto" w:fill="FBFBF8"/>
          <w:lang w:val="es-ES"/>
        </w:rPr>
        <w:t>.</w:t>
      </w:r>
      <w:r w:rsidRPr="00DD37EC">
        <w:rPr>
          <w:rStyle w:val="FootnoteReference"/>
          <w:rFonts w:ascii="Arial" w:hAnsi="Arial" w:cs="Arial"/>
          <w:color w:val="333333"/>
          <w:sz w:val="22"/>
          <w:szCs w:val="22"/>
          <w:shd w:val="clear" w:color="auto" w:fill="FBFBF8"/>
          <w:lang w:val="es-ES"/>
        </w:rPr>
        <w:footnoteReference w:id="111"/>
      </w:r>
    </w:p>
    <w:p w14:paraId="224ACBFB" w14:textId="4AA0387F" w:rsidR="003A324D" w:rsidRPr="00DD37EC" w:rsidRDefault="003A324D" w:rsidP="003A324D">
      <w:pPr>
        <w:pStyle w:val="NormalWeb"/>
        <w:spacing w:before="0" w:beforeAutospacing="0" w:after="240" w:afterAutospacing="0"/>
        <w:jc w:val="both"/>
        <w:rPr>
          <w:rFonts w:ascii="Arial" w:hAnsi="Arial" w:cs="Arial"/>
          <w:sz w:val="22"/>
          <w:szCs w:val="22"/>
          <w:lang w:val="es-ES"/>
        </w:rPr>
      </w:pPr>
      <w:r w:rsidRPr="00DD37EC">
        <w:rPr>
          <w:rFonts w:ascii="Arial" w:hAnsi="Arial" w:cs="Arial"/>
          <w:color w:val="333333"/>
          <w:sz w:val="22"/>
          <w:szCs w:val="22"/>
          <w:shd w:val="clear" w:color="auto" w:fill="FBFBF8"/>
          <w:lang w:val="es-ES"/>
        </w:rPr>
        <w:t>La Fiscalía Especial de Derechos Humanos (FEDH) del Ministerio Público se enfoca en el sistema penal, cárceles, pero no en el procesamiento de denuncias individuales por violaciones</w:t>
      </w:r>
      <w:r w:rsidR="00E20057">
        <w:rPr>
          <w:rFonts w:ascii="Arial" w:hAnsi="Arial" w:cs="Arial"/>
          <w:color w:val="333333"/>
          <w:sz w:val="22"/>
          <w:szCs w:val="22"/>
          <w:shd w:val="clear" w:color="auto" w:fill="FBFBF8"/>
          <w:lang w:val="es-ES"/>
        </w:rPr>
        <w:t xml:space="preserve"> de DDHH</w:t>
      </w:r>
      <w:r w:rsidRPr="00DD37EC">
        <w:rPr>
          <w:rFonts w:ascii="Arial" w:hAnsi="Arial" w:cs="Arial"/>
          <w:color w:val="333333"/>
          <w:sz w:val="22"/>
          <w:szCs w:val="22"/>
          <w:shd w:val="clear" w:color="auto" w:fill="FBFBF8"/>
          <w:lang w:val="es-ES"/>
        </w:rPr>
        <w:t xml:space="preserve"> de personas vulnerables como mujeres y población LBGT. No hay tampoco una defensoría que preste apoyo legal a las personas que tienen quejas sobre violaciones de </w:t>
      </w:r>
      <w:r w:rsidR="00E20057">
        <w:rPr>
          <w:rFonts w:ascii="Arial" w:hAnsi="Arial" w:cs="Arial"/>
          <w:color w:val="333333"/>
          <w:sz w:val="22"/>
          <w:szCs w:val="22"/>
          <w:shd w:val="clear" w:color="auto" w:fill="FBFBF8"/>
          <w:lang w:val="es-ES"/>
        </w:rPr>
        <w:t>DDHH</w:t>
      </w:r>
      <w:r w:rsidRPr="00DD37EC">
        <w:rPr>
          <w:rFonts w:ascii="Arial" w:hAnsi="Arial" w:cs="Arial"/>
          <w:color w:val="333333"/>
          <w:sz w:val="22"/>
          <w:szCs w:val="22"/>
          <w:shd w:val="clear" w:color="auto" w:fill="FBFBF8"/>
          <w:lang w:val="es-ES"/>
        </w:rPr>
        <w:t xml:space="preserve">. Los defensores </w:t>
      </w:r>
      <w:r w:rsidR="00E20057">
        <w:rPr>
          <w:rFonts w:ascii="Arial" w:hAnsi="Arial" w:cs="Arial"/>
          <w:color w:val="333333"/>
          <w:sz w:val="22"/>
          <w:szCs w:val="22"/>
          <w:shd w:val="clear" w:color="auto" w:fill="FBFBF8"/>
          <w:lang w:val="es-ES"/>
        </w:rPr>
        <w:t xml:space="preserve">son </w:t>
      </w:r>
      <w:r w:rsidRPr="00DD37EC">
        <w:rPr>
          <w:rFonts w:ascii="Arial" w:hAnsi="Arial" w:cs="Arial"/>
          <w:color w:val="333333"/>
          <w:sz w:val="22"/>
          <w:szCs w:val="22"/>
          <w:shd w:val="clear" w:color="auto" w:fill="FBFBF8"/>
          <w:lang w:val="es-ES"/>
        </w:rPr>
        <w:t xml:space="preserve">individuos que pertenecen a entidades privadas como el Centro de Investigación y Promoción de Derechos Humanos (CIPRODEH). </w:t>
      </w:r>
      <w:r w:rsidR="00E20057">
        <w:rPr>
          <w:rFonts w:ascii="Arial" w:hAnsi="Arial" w:cs="Arial"/>
          <w:color w:val="333333"/>
          <w:sz w:val="22"/>
          <w:szCs w:val="22"/>
          <w:shd w:val="clear" w:color="auto" w:fill="FBFBF8"/>
          <w:lang w:val="es-ES"/>
        </w:rPr>
        <w:t xml:space="preserve">Si se incluyera </w:t>
      </w:r>
      <w:r w:rsidRPr="00DD37EC">
        <w:rPr>
          <w:rFonts w:ascii="Arial" w:hAnsi="Arial" w:cs="Arial"/>
          <w:sz w:val="22"/>
          <w:szCs w:val="22"/>
          <w:lang w:val="es-ES"/>
        </w:rPr>
        <w:t>en el ámbito de las competencias de la FEDH la investigación de violaciones a derechos económicos, sociales y culturale</w:t>
      </w:r>
      <w:r w:rsidR="00E20057">
        <w:rPr>
          <w:rFonts w:ascii="Arial" w:hAnsi="Arial" w:cs="Arial"/>
          <w:sz w:val="22"/>
          <w:szCs w:val="22"/>
          <w:lang w:val="es-ES"/>
        </w:rPr>
        <w:t xml:space="preserve">s, se </w:t>
      </w:r>
      <w:r w:rsidRPr="00DD37EC">
        <w:rPr>
          <w:rFonts w:ascii="Arial" w:hAnsi="Arial" w:cs="Arial"/>
          <w:sz w:val="22"/>
          <w:szCs w:val="22"/>
          <w:lang w:val="es-ES"/>
        </w:rPr>
        <w:t xml:space="preserve">daría a la FEDH un mandato </w:t>
      </w:r>
      <w:r w:rsidR="00B12C75" w:rsidRPr="00DD37EC">
        <w:rPr>
          <w:rFonts w:ascii="Arial" w:hAnsi="Arial" w:cs="Arial"/>
          <w:sz w:val="22"/>
          <w:szCs w:val="22"/>
          <w:lang w:val="es-ES"/>
        </w:rPr>
        <w:t>más</w:t>
      </w:r>
      <w:r w:rsidRPr="00DD37EC">
        <w:rPr>
          <w:rFonts w:ascii="Arial" w:hAnsi="Arial" w:cs="Arial"/>
          <w:sz w:val="22"/>
          <w:szCs w:val="22"/>
          <w:lang w:val="es-ES"/>
        </w:rPr>
        <w:t xml:space="preserve"> amplio sobre violaciones derechos humanos</w:t>
      </w:r>
      <w:r w:rsidR="00B12C75">
        <w:rPr>
          <w:rFonts w:ascii="Arial" w:hAnsi="Arial" w:cs="Arial"/>
          <w:sz w:val="22"/>
          <w:szCs w:val="22"/>
          <w:lang w:val="es-ES"/>
        </w:rPr>
        <w:t>.</w:t>
      </w:r>
      <w:r w:rsidRPr="00DD37EC">
        <w:rPr>
          <w:rStyle w:val="FootnoteReference"/>
          <w:rFonts w:ascii="Arial" w:hAnsi="Arial" w:cs="Arial"/>
          <w:sz w:val="22"/>
          <w:szCs w:val="22"/>
          <w:lang w:val="es-ES"/>
        </w:rPr>
        <w:footnoteReference w:id="112"/>
      </w:r>
      <w:r w:rsidRPr="00DD37EC">
        <w:rPr>
          <w:rFonts w:ascii="Arial" w:hAnsi="Arial" w:cs="Arial"/>
          <w:sz w:val="22"/>
          <w:szCs w:val="22"/>
          <w:lang w:val="es-ES"/>
        </w:rPr>
        <w:t xml:space="preserve"> </w:t>
      </w:r>
    </w:p>
    <w:p w14:paraId="0DB1DA66" w14:textId="260AB3D8" w:rsidR="003A324D" w:rsidRPr="00DD37EC" w:rsidRDefault="003A324D" w:rsidP="003A324D">
      <w:pPr>
        <w:spacing w:after="240" w:line="240" w:lineRule="auto"/>
        <w:jc w:val="both"/>
        <w:rPr>
          <w:rFonts w:ascii="Arial" w:eastAsia="Times New Roman" w:hAnsi="Arial" w:cs="Arial"/>
          <w:lang w:val="es-ES"/>
        </w:rPr>
      </w:pPr>
      <w:r w:rsidRPr="00DD37EC">
        <w:rPr>
          <w:rFonts w:ascii="Arial" w:hAnsi="Arial" w:cs="Arial"/>
          <w:lang w:val="es-ES"/>
        </w:rPr>
        <w:t xml:space="preserve">Por su parte, la oficina del Comisionado Nacional de Derechos Humanos (CONADEH) </w:t>
      </w:r>
      <w:r w:rsidR="00021FD9">
        <w:rPr>
          <w:rFonts w:ascii="Arial" w:eastAsia="Times New Roman" w:hAnsi="Arial" w:cs="Arial"/>
          <w:lang w:val="es-ES"/>
        </w:rPr>
        <w:t>se estableció</w:t>
      </w:r>
      <w:r w:rsidRPr="00DD37EC">
        <w:rPr>
          <w:rFonts w:ascii="Arial" w:eastAsia="Times New Roman" w:hAnsi="Arial" w:cs="Arial"/>
          <w:lang w:val="es-ES"/>
        </w:rPr>
        <w:t xml:space="preserve"> para garantizar la vigencia de los derechos y libertades reconocidas en la Constitución de la República y los Tratados y Convenios Internacionales Ratificados por Honduras</w:t>
      </w:r>
      <w:r w:rsidR="00B12C75">
        <w:rPr>
          <w:rFonts w:ascii="Arial" w:eastAsia="Times New Roman" w:hAnsi="Arial" w:cs="Arial"/>
          <w:lang w:val="es-ES"/>
        </w:rPr>
        <w:t>.</w:t>
      </w:r>
      <w:r w:rsidRPr="00DD37EC">
        <w:rPr>
          <w:rStyle w:val="FootnoteReference"/>
          <w:rFonts w:ascii="Arial" w:eastAsia="Times New Roman" w:hAnsi="Arial" w:cs="Arial"/>
          <w:lang w:val="es-ES"/>
        </w:rPr>
        <w:footnoteReference w:id="113"/>
      </w:r>
      <w:r w:rsidRPr="00DD37EC">
        <w:rPr>
          <w:rFonts w:ascii="Arial" w:eastAsia="Times New Roman" w:hAnsi="Arial" w:cs="Arial"/>
          <w:lang w:val="es-ES"/>
        </w:rPr>
        <w:t xml:space="preserve"> El CONADEH tiene facultades para iniciar </w:t>
      </w:r>
      <w:r w:rsidR="00021FD9">
        <w:rPr>
          <w:rFonts w:ascii="Arial" w:eastAsia="Times New Roman" w:hAnsi="Arial" w:cs="Arial"/>
          <w:lang w:val="es-ES"/>
        </w:rPr>
        <w:t>investigaciones</w:t>
      </w:r>
      <w:r w:rsidRPr="00DD37EC">
        <w:rPr>
          <w:rFonts w:ascii="Arial" w:eastAsia="Times New Roman" w:hAnsi="Arial" w:cs="Arial"/>
          <w:lang w:val="es-ES"/>
        </w:rPr>
        <w:t xml:space="preserve"> </w:t>
      </w:r>
      <w:r w:rsidR="00021FD9">
        <w:rPr>
          <w:rFonts w:ascii="Arial" w:eastAsia="Times New Roman" w:hAnsi="Arial" w:cs="Arial"/>
          <w:lang w:val="es-ES"/>
        </w:rPr>
        <w:t>para el</w:t>
      </w:r>
      <w:r w:rsidRPr="00DD37EC">
        <w:rPr>
          <w:rFonts w:ascii="Arial" w:eastAsia="Times New Roman" w:hAnsi="Arial" w:cs="Arial"/>
          <w:lang w:val="es-ES"/>
        </w:rPr>
        <w:t xml:space="preserve"> esclarecimiento de hechos </w:t>
      </w:r>
      <w:r w:rsidR="00021FD9">
        <w:rPr>
          <w:rFonts w:ascii="Arial" w:eastAsia="Times New Roman" w:hAnsi="Arial" w:cs="Arial"/>
          <w:lang w:val="es-ES"/>
        </w:rPr>
        <w:t>discriminatorias por parte de la administración pública, así como</w:t>
      </w:r>
      <w:r w:rsidRPr="00DD37EC">
        <w:rPr>
          <w:rFonts w:ascii="Arial" w:eastAsia="Times New Roman" w:hAnsi="Arial" w:cs="Arial"/>
          <w:lang w:val="es-ES"/>
        </w:rPr>
        <w:t xml:space="preserve"> a violaciones de </w:t>
      </w:r>
      <w:r w:rsidR="00021FD9">
        <w:rPr>
          <w:rFonts w:ascii="Arial" w:eastAsia="Times New Roman" w:hAnsi="Arial" w:cs="Arial"/>
          <w:lang w:val="es-ES"/>
        </w:rPr>
        <w:t>DDHH</w:t>
      </w:r>
      <w:r w:rsidR="001C259D">
        <w:rPr>
          <w:rFonts w:ascii="Arial" w:eastAsia="Times New Roman" w:hAnsi="Arial" w:cs="Arial"/>
          <w:lang w:val="es-ES"/>
        </w:rPr>
        <w:t xml:space="preserve"> – incluidas aquellas relacionadas con VIH y TB</w:t>
      </w:r>
      <w:r w:rsidR="00B12C75">
        <w:rPr>
          <w:rFonts w:ascii="Arial" w:eastAsia="Times New Roman" w:hAnsi="Arial" w:cs="Arial"/>
          <w:lang w:val="es-ES"/>
        </w:rPr>
        <w:t>.</w:t>
      </w:r>
      <w:r w:rsidRPr="00DD37EC">
        <w:rPr>
          <w:rStyle w:val="FootnoteReference"/>
          <w:rFonts w:ascii="Arial" w:eastAsia="Times New Roman" w:hAnsi="Arial" w:cs="Arial"/>
          <w:lang w:val="es-ES"/>
        </w:rPr>
        <w:footnoteReference w:id="114"/>
      </w:r>
      <w:r w:rsidR="00673104" w:rsidRPr="00DD37EC">
        <w:rPr>
          <w:rStyle w:val="FootnoteReference"/>
          <w:rFonts w:ascii="Arial" w:eastAsia="Georgia" w:hAnsi="Arial" w:cs="Arial"/>
          <w:color w:val="000000"/>
          <w:lang w:val="es-ES"/>
        </w:rPr>
        <w:footnoteReference w:id="115"/>
      </w:r>
      <w:r w:rsidR="00673104">
        <w:rPr>
          <w:rFonts w:ascii="Arial" w:eastAsia="Georgia" w:hAnsi="Arial" w:cs="Arial"/>
          <w:color w:val="000000"/>
          <w:lang w:val="es-ES"/>
        </w:rPr>
        <w:t xml:space="preserve"> </w:t>
      </w:r>
    </w:p>
    <w:p w14:paraId="037EF22F" w14:textId="7B626021" w:rsidR="003A324D" w:rsidRPr="001A5BB6" w:rsidRDefault="003A324D" w:rsidP="003A324D">
      <w:pPr>
        <w:spacing w:after="240" w:line="240" w:lineRule="auto"/>
        <w:jc w:val="both"/>
        <w:rPr>
          <w:rFonts w:ascii="Arial" w:hAnsi="Arial" w:cs="Arial"/>
          <w:lang w:val="es-ES"/>
        </w:rPr>
      </w:pPr>
      <w:r w:rsidRPr="00DD37EC">
        <w:rPr>
          <w:rFonts w:ascii="Arial" w:hAnsi="Arial" w:cs="Arial"/>
          <w:lang w:val="es-ES"/>
        </w:rPr>
        <w:lastRenderedPageBreak/>
        <w:t xml:space="preserve">La situación institucional es más compleja con la creación de la </w:t>
      </w:r>
      <w:r w:rsidR="00F0629F" w:rsidRPr="00DD37EC">
        <w:rPr>
          <w:rFonts w:ascii="Arial" w:hAnsi="Arial" w:cs="Arial"/>
          <w:lang w:val="es-ES"/>
        </w:rPr>
        <w:t>Secretaría</w:t>
      </w:r>
      <w:r w:rsidR="00F0629F">
        <w:rPr>
          <w:rFonts w:ascii="Arial" w:hAnsi="Arial" w:cs="Arial"/>
          <w:lang w:val="es-ES"/>
        </w:rPr>
        <w:t xml:space="preserve"> </w:t>
      </w:r>
      <w:r w:rsidRPr="00DD37EC">
        <w:rPr>
          <w:rFonts w:ascii="Arial" w:hAnsi="Arial" w:cs="Arial"/>
          <w:lang w:val="es-ES"/>
        </w:rPr>
        <w:t>de Derechos Humanos SEDH)</w:t>
      </w:r>
      <w:r w:rsidRPr="00DD37EC">
        <w:rPr>
          <w:rStyle w:val="FootnoteReference"/>
          <w:rFonts w:ascii="Arial" w:hAnsi="Arial" w:cs="Arial"/>
          <w:lang w:val="es-ES"/>
        </w:rPr>
        <w:footnoteReference w:id="116"/>
      </w:r>
      <w:r w:rsidRPr="00DD37EC">
        <w:rPr>
          <w:rFonts w:ascii="Arial" w:hAnsi="Arial" w:cs="Arial"/>
          <w:lang w:val="es-ES"/>
        </w:rPr>
        <w:t xml:space="preserve"> (Decreto PCM- 055-2017), como ente Rector y coordinador de la </w:t>
      </w:r>
      <w:r w:rsidR="001A5BB6">
        <w:rPr>
          <w:rFonts w:ascii="Arial" w:hAnsi="Arial" w:cs="Arial"/>
          <w:lang w:val="es-ES"/>
        </w:rPr>
        <w:t>e</w:t>
      </w:r>
      <w:r w:rsidRPr="00DD37EC">
        <w:rPr>
          <w:rFonts w:ascii="Arial" w:hAnsi="Arial" w:cs="Arial"/>
          <w:lang w:val="es-ES"/>
        </w:rPr>
        <w:t>jecución de la Política Pública y Plan Nacional de Acción en Derechos Humanos</w:t>
      </w:r>
      <w:r w:rsidR="001A5BB6">
        <w:rPr>
          <w:rFonts w:ascii="Arial" w:hAnsi="Arial" w:cs="Arial"/>
          <w:lang w:val="es-ES"/>
        </w:rPr>
        <w:t>.</w:t>
      </w:r>
      <w:r w:rsidRPr="00DD37EC">
        <w:rPr>
          <w:rFonts w:ascii="Arial" w:eastAsia="Times New Roman" w:hAnsi="Arial" w:cs="Arial"/>
          <w:lang w:val="es-US"/>
        </w:rPr>
        <w:t xml:space="preserve">También corresponde a la SEDH, coordinar y ejecutar los programas de sensibilización, formación, capacitación y promoción de los </w:t>
      </w:r>
      <w:r w:rsidR="001A5BB6">
        <w:rPr>
          <w:rFonts w:ascii="Arial" w:eastAsia="Times New Roman" w:hAnsi="Arial" w:cs="Arial"/>
          <w:lang w:val="es-US"/>
        </w:rPr>
        <w:t>DDHH</w:t>
      </w:r>
      <w:r w:rsidRPr="00DD37EC">
        <w:rPr>
          <w:rFonts w:ascii="Arial" w:eastAsia="Times New Roman" w:hAnsi="Arial" w:cs="Arial"/>
          <w:lang w:val="es-US"/>
        </w:rPr>
        <w:t xml:space="preserve"> para todos los servidores públicos y la ciudadanía en general, así como coordinar las instancias de participación, diálogo e interlocución con la sociedad civil sobre Derechos Humanos</w:t>
      </w:r>
      <w:r w:rsidRPr="00DD37EC">
        <w:rPr>
          <w:rStyle w:val="FootnoteReference"/>
          <w:rFonts w:ascii="Arial" w:eastAsia="Times New Roman" w:hAnsi="Arial" w:cs="Arial"/>
          <w:lang w:val="es-US"/>
        </w:rPr>
        <w:footnoteReference w:id="117"/>
      </w:r>
      <w:r w:rsidRPr="00DD37EC">
        <w:rPr>
          <w:rFonts w:ascii="Arial" w:eastAsia="Times New Roman" w:hAnsi="Arial" w:cs="Arial"/>
          <w:lang w:val="es-US"/>
        </w:rPr>
        <w:t xml:space="preserve">. </w:t>
      </w:r>
    </w:p>
    <w:p w14:paraId="36233EAB" w14:textId="6491512C" w:rsidR="003A324D" w:rsidRPr="005E572A" w:rsidRDefault="003A324D" w:rsidP="003A324D">
      <w:pPr>
        <w:spacing w:after="240" w:line="240" w:lineRule="auto"/>
        <w:jc w:val="both"/>
        <w:rPr>
          <w:rFonts w:ascii="Arial" w:eastAsia="Times New Roman" w:hAnsi="Arial" w:cs="Arial"/>
          <w:color w:val="282828"/>
          <w:shd w:val="clear" w:color="auto" w:fill="FFFFFF"/>
          <w:lang w:val="es-ES"/>
        </w:rPr>
      </w:pPr>
      <w:r w:rsidRPr="00DD37EC">
        <w:rPr>
          <w:rFonts w:ascii="Arial" w:eastAsia="Times New Roman" w:hAnsi="Arial" w:cs="Arial"/>
          <w:color w:val="282828"/>
          <w:shd w:val="clear" w:color="auto" w:fill="FFFFFF"/>
          <w:lang w:val="es-ES"/>
        </w:rPr>
        <w:t xml:space="preserve">En el área de VIH, las </w:t>
      </w:r>
      <w:r w:rsidR="00A92342">
        <w:rPr>
          <w:rFonts w:ascii="Arial" w:eastAsia="Times New Roman" w:hAnsi="Arial" w:cs="Arial"/>
          <w:color w:val="282828"/>
          <w:shd w:val="clear" w:color="auto" w:fill="FFFFFF"/>
          <w:lang w:val="es-ES"/>
        </w:rPr>
        <w:t>OSC</w:t>
      </w:r>
      <w:r w:rsidRPr="00DD37EC">
        <w:rPr>
          <w:rFonts w:ascii="Arial" w:eastAsia="Times New Roman" w:hAnsi="Arial" w:cs="Arial"/>
          <w:color w:val="282828"/>
          <w:shd w:val="clear" w:color="auto" w:fill="FFFFFF"/>
          <w:lang w:val="es-ES"/>
        </w:rPr>
        <w:t xml:space="preserve"> informan sobre la grave persistencia de estigma y discriminación en la sociedad e incluso en centros de salud donde se expone propaganda ideológica negativa proveniente de grupos ideológico-religiosos. Ello contribuye un ambiente y situación de homofobia y especialmente de transfobia permanente. Varios organismos de las Naciones Unidas que trabajan en Honduras han señalado que la violencia sexual contra personas LGBT las obliga al “desplazamiento interno” o a abandonar el país en busca de protección internacional.</w:t>
      </w:r>
      <w:r w:rsidRPr="00DD37EC">
        <w:rPr>
          <w:rStyle w:val="FootnoteReference"/>
          <w:rFonts w:ascii="Arial" w:eastAsia="Times New Roman" w:hAnsi="Arial" w:cs="Arial"/>
          <w:color w:val="282828"/>
          <w:shd w:val="clear" w:color="auto" w:fill="FFFFFF"/>
          <w:lang w:val="es-ES"/>
        </w:rPr>
        <w:footnoteReference w:id="118"/>
      </w:r>
    </w:p>
    <w:p w14:paraId="0128049C" w14:textId="7246E807" w:rsidR="003A324D" w:rsidRPr="00DD37EC" w:rsidRDefault="003A324D" w:rsidP="003A324D">
      <w:pPr>
        <w:spacing w:after="240" w:line="240" w:lineRule="auto"/>
        <w:jc w:val="both"/>
        <w:rPr>
          <w:rFonts w:ascii="Arial" w:hAnsi="Arial" w:cs="Arial"/>
          <w:lang w:val="es-ES"/>
        </w:rPr>
      </w:pPr>
      <w:r w:rsidRPr="00DD37EC">
        <w:rPr>
          <w:rFonts w:ascii="Arial" w:eastAsia="Times New Roman" w:hAnsi="Arial" w:cs="Arial"/>
          <w:lang w:val="es-ES"/>
        </w:rPr>
        <w:t>La Ley Especial sobre VIH/SIDA (modificada en 2015) tiene relevante contenido que de aplicarse contribuiría de manera muy importante a la protección de las personas afectadas, poblaciones clave y vulnerables al VIH, y contribuir para hacer más efectiva la respuesta a la epidemia de parte de la sociedad, las OSC y el sistema de salud. Desgraciadamente, la ley no se aplica</w:t>
      </w:r>
      <w:r w:rsidR="00A92342">
        <w:rPr>
          <w:rFonts w:ascii="Arial" w:eastAsia="Times New Roman" w:hAnsi="Arial" w:cs="Arial"/>
          <w:lang w:val="es-ES"/>
        </w:rPr>
        <w:t xml:space="preserve"> y en parte se debe a la ausencia de su Reglamentación</w:t>
      </w:r>
      <w:r w:rsidRPr="00DD37EC">
        <w:rPr>
          <w:rFonts w:ascii="Arial" w:eastAsia="Times New Roman" w:hAnsi="Arial" w:cs="Arial"/>
          <w:lang w:val="es-ES"/>
        </w:rPr>
        <w:t xml:space="preserve">.  </w:t>
      </w:r>
      <w:r w:rsidRPr="00DD37EC">
        <w:rPr>
          <w:rFonts w:ascii="Arial" w:hAnsi="Arial" w:cs="Arial"/>
          <w:lang w:val="es-ES"/>
        </w:rPr>
        <w:t>El artículo 52 de la Ley Especial sobre el VIH/SIDA, por ejemplo, prohíbe expresamente exigir la prueba del VIH para el empleo, disposición que se viola abiertamente. Todo formato de empleo incluye el requerimiento obligatorio pruebas de VIH como requisito obligatorio. OSC indican que lo mismo se requiere para acceder a vivienda (para alquilar o comprar). Asimismo, las OSC informan de situaciones de no respeto a la confidencialidad en centros de salud y en ámbitos laborales, supuestamente garantizada en la Ley Especial.</w:t>
      </w:r>
      <w:r w:rsidR="00A92342">
        <w:rPr>
          <w:rFonts w:ascii="Arial" w:hAnsi="Arial" w:cs="Arial"/>
          <w:lang w:val="es-ES"/>
        </w:rPr>
        <w:t xml:space="preserve"> Actualmente el Reglamento se encuentra en elaboración y se espera que sea aprobado este año.</w:t>
      </w:r>
    </w:p>
    <w:p w14:paraId="682AE397" w14:textId="77777777" w:rsidR="003A324D" w:rsidRPr="00DD37EC" w:rsidRDefault="003A324D" w:rsidP="003A324D">
      <w:pPr>
        <w:spacing w:after="240" w:line="240" w:lineRule="auto"/>
        <w:jc w:val="both"/>
        <w:rPr>
          <w:rFonts w:ascii="Arial" w:hAnsi="Arial" w:cs="Arial"/>
          <w:lang w:val="es-ES"/>
        </w:rPr>
      </w:pPr>
      <w:r w:rsidRPr="00DD37EC">
        <w:rPr>
          <w:rFonts w:ascii="Arial" w:hAnsi="Arial" w:cs="Arial"/>
          <w:lang w:val="es-ES"/>
        </w:rPr>
        <w:t xml:space="preserve">En general hay un ambiente en el cual, por diversas razones, entre ellas ideológicas y religiosas, simplemente no hay voluntad política para un compromiso serio derechos humanos en general y de las personas clave y vulnerables en VIH y TB en particular. </w:t>
      </w:r>
    </w:p>
    <w:p w14:paraId="5069F55E" w14:textId="77777777" w:rsidR="003A324D" w:rsidRPr="00DD37EC" w:rsidRDefault="003A324D" w:rsidP="003A324D">
      <w:pPr>
        <w:tabs>
          <w:tab w:val="num" w:pos="720"/>
        </w:tabs>
        <w:spacing w:after="240" w:line="240" w:lineRule="auto"/>
        <w:jc w:val="both"/>
        <w:rPr>
          <w:rFonts w:ascii="Arial" w:hAnsi="Arial" w:cs="Arial"/>
          <w:lang w:val="es-ES"/>
        </w:rPr>
      </w:pPr>
      <w:r w:rsidRPr="00DD37EC">
        <w:rPr>
          <w:rFonts w:ascii="Arial" w:hAnsi="Arial" w:cs="Arial"/>
          <w:lang w:val="es-ES"/>
        </w:rPr>
        <w:t>En este entorno, sin embargo, hay que destacar algunos aspectos positivos:</w:t>
      </w:r>
    </w:p>
    <w:p w14:paraId="0BF6E501" w14:textId="0F42411E" w:rsidR="003A324D" w:rsidRPr="00DD37EC" w:rsidRDefault="003A324D" w:rsidP="0068285B">
      <w:pPr>
        <w:pStyle w:val="ListParagraph"/>
        <w:numPr>
          <w:ilvl w:val="0"/>
          <w:numId w:val="11"/>
        </w:numPr>
        <w:tabs>
          <w:tab w:val="num" w:pos="720"/>
        </w:tabs>
        <w:spacing w:after="240" w:line="240" w:lineRule="auto"/>
        <w:jc w:val="both"/>
        <w:rPr>
          <w:rFonts w:ascii="Arial" w:hAnsi="Arial" w:cs="Arial"/>
          <w:lang w:val="es-ES"/>
        </w:rPr>
      </w:pPr>
      <w:r w:rsidRPr="00DD37EC">
        <w:rPr>
          <w:rFonts w:ascii="Arial" w:hAnsi="Arial" w:cs="Arial"/>
          <w:lang w:val="es-ES"/>
        </w:rPr>
        <w:t xml:space="preserve">Hay un esbozo de política con enfoque de derechos humanos, de parte de la </w:t>
      </w:r>
      <w:r w:rsidR="00F0629F" w:rsidRPr="00F0629F">
        <w:rPr>
          <w:rFonts w:ascii="Arial" w:hAnsi="Arial" w:cs="Arial"/>
          <w:lang w:val="es-ES"/>
        </w:rPr>
        <w:t xml:space="preserve">Secretaría </w:t>
      </w:r>
      <w:r w:rsidRPr="00DD37EC">
        <w:rPr>
          <w:rFonts w:ascii="Arial" w:hAnsi="Arial" w:cs="Arial"/>
          <w:lang w:val="es-ES"/>
        </w:rPr>
        <w:t xml:space="preserve">de Derechos Humanos.  </w:t>
      </w:r>
    </w:p>
    <w:p w14:paraId="19BC0047" w14:textId="77777777" w:rsidR="003A324D" w:rsidRPr="00DD37EC" w:rsidRDefault="003A324D" w:rsidP="0068285B">
      <w:pPr>
        <w:pStyle w:val="ListParagraph"/>
        <w:numPr>
          <w:ilvl w:val="0"/>
          <w:numId w:val="11"/>
        </w:numPr>
        <w:tabs>
          <w:tab w:val="num" w:pos="720"/>
        </w:tabs>
        <w:spacing w:after="240" w:line="240" w:lineRule="auto"/>
        <w:jc w:val="both"/>
        <w:rPr>
          <w:rFonts w:ascii="Arial" w:hAnsi="Arial" w:cs="Arial"/>
          <w:lang w:val="es-ES"/>
        </w:rPr>
      </w:pPr>
      <w:r w:rsidRPr="00DD37EC">
        <w:rPr>
          <w:rFonts w:ascii="Arial" w:hAnsi="Arial" w:cs="Arial"/>
          <w:lang w:val="es-ES"/>
        </w:rPr>
        <w:t xml:space="preserve">Las OSC hacen explícito un especial énfasis en derechos humanos en sus respectivas actividades y en el trabajo con poblaciones clave. </w:t>
      </w:r>
    </w:p>
    <w:p w14:paraId="5C635E03" w14:textId="77777777" w:rsidR="003A324D" w:rsidRPr="00DD37EC" w:rsidRDefault="003A324D" w:rsidP="0068285B">
      <w:pPr>
        <w:pStyle w:val="ListParagraph"/>
        <w:numPr>
          <w:ilvl w:val="0"/>
          <w:numId w:val="11"/>
        </w:numPr>
        <w:tabs>
          <w:tab w:val="num" w:pos="720"/>
        </w:tabs>
        <w:spacing w:after="240" w:line="240" w:lineRule="auto"/>
        <w:jc w:val="both"/>
        <w:rPr>
          <w:rFonts w:ascii="Arial" w:hAnsi="Arial" w:cs="Arial"/>
          <w:lang w:val="es-ES"/>
        </w:rPr>
      </w:pPr>
      <w:r w:rsidRPr="00DD37EC">
        <w:rPr>
          <w:rFonts w:ascii="Arial" w:hAnsi="Arial" w:cs="Arial"/>
          <w:lang w:val="es-ES"/>
        </w:rPr>
        <w:t xml:space="preserve">Hay alianzas informales entre OSC para promover aplicación de legislación sobre derechos humanos y procesamiento de violaciones de derechos humanos.  </w:t>
      </w:r>
    </w:p>
    <w:p w14:paraId="6B1A7819" w14:textId="3F0EC35F" w:rsidR="003A324D" w:rsidRPr="005E572A" w:rsidRDefault="003A324D" w:rsidP="0068285B">
      <w:pPr>
        <w:pStyle w:val="ListParagraph"/>
        <w:numPr>
          <w:ilvl w:val="0"/>
          <w:numId w:val="11"/>
        </w:numPr>
        <w:tabs>
          <w:tab w:val="num" w:pos="720"/>
        </w:tabs>
        <w:spacing w:after="240" w:line="240" w:lineRule="auto"/>
        <w:jc w:val="both"/>
        <w:rPr>
          <w:rFonts w:ascii="Arial" w:hAnsi="Arial" w:cs="Arial"/>
          <w:lang w:val="es-ES"/>
        </w:rPr>
      </w:pPr>
      <w:r w:rsidRPr="00DD37EC">
        <w:rPr>
          <w:rFonts w:ascii="Arial" w:hAnsi="Arial" w:cs="Arial"/>
          <w:lang w:val="es-ES"/>
        </w:rPr>
        <w:t>Un nuevo e importante esfuerzo del FM con un proyecto de derechos humanos titulado “Apoyo Intensivo para incrementar Programas para Reducir Barreras relacionadas con Derechos Humanos en los servicios de VIH”.</w:t>
      </w:r>
    </w:p>
    <w:p w14:paraId="5D39E82F" w14:textId="74F7786D" w:rsidR="003A324D" w:rsidRPr="00DD37EC" w:rsidRDefault="003A324D" w:rsidP="003A324D">
      <w:pPr>
        <w:spacing w:after="240" w:line="240" w:lineRule="auto"/>
        <w:jc w:val="both"/>
        <w:rPr>
          <w:rFonts w:ascii="Arial" w:hAnsi="Arial" w:cs="Arial"/>
          <w:lang w:val="es-ES"/>
        </w:rPr>
      </w:pPr>
      <w:r w:rsidRPr="00DD37EC">
        <w:rPr>
          <w:rFonts w:ascii="Arial" w:hAnsi="Arial" w:cs="Arial"/>
          <w:lang w:val="es-ES"/>
        </w:rPr>
        <w:t xml:space="preserve">Las poblaciones clave y en situación de vulnerabilidad más afectadas por el VIH en Honduras incluyen: las personas con VIH, personas trabajadoras sexuales (particularmente mujeres y mujeres trans), las y los miembros de minorías étnicas (particularmente de los pueblos Garífunas), los hombres que tienen </w:t>
      </w:r>
      <w:r w:rsidRPr="00DD37EC">
        <w:rPr>
          <w:rFonts w:ascii="Arial" w:hAnsi="Arial" w:cs="Arial"/>
          <w:lang w:val="es-ES"/>
        </w:rPr>
        <w:lastRenderedPageBreak/>
        <w:t>sexo con hombres</w:t>
      </w:r>
      <w:r w:rsidR="006E1942">
        <w:rPr>
          <w:rFonts w:ascii="Arial" w:hAnsi="Arial" w:cs="Arial"/>
          <w:lang w:val="es-ES"/>
        </w:rPr>
        <w:t xml:space="preserve">, </w:t>
      </w:r>
      <w:r w:rsidRPr="00DD37EC">
        <w:rPr>
          <w:rFonts w:ascii="Arial" w:hAnsi="Arial" w:cs="Arial"/>
          <w:lang w:val="es-ES"/>
        </w:rPr>
        <w:t>las personas transgéneras/travestis/transexuales</w:t>
      </w:r>
      <w:r w:rsidR="006E1942">
        <w:rPr>
          <w:rFonts w:ascii="Arial" w:hAnsi="Arial" w:cs="Arial"/>
          <w:lang w:val="es-ES"/>
        </w:rPr>
        <w:t xml:space="preserve"> y las personas privadas de libertad</w:t>
      </w:r>
      <w:r w:rsidRPr="00DD37EC">
        <w:rPr>
          <w:rFonts w:ascii="Arial" w:hAnsi="Arial" w:cs="Arial"/>
          <w:lang w:val="es-ES"/>
        </w:rPr>
        <w:t>.</w:t>
      </w:r>
      <w:r w:rsidR="006E1942" w:rsidRPr="006E1942">
        <w:rPr>
          <w:rStyle w:val="FootnoteReference"/>
          <w:rFonts w:ascii="Arial" w:hAnsi="Arial" w:cs="Arial"/>
          <w:lang w:val="es-ES"/>
        </w:rPr>
        <w:t xml:space="preserve"> </w:t>
      </w:r>
      <w:r w:rsidR="006E1942" w:rsidRPr="00DD37EC">
        <w:rPr>
          <w:rStyle w:val="FootnoteReference"/>
          <w:rFonts w:ascii="Arial" w:hAnsi="Arial" w:cs="Arial"/>
          <w:lang w:val="es-ES"/>
        </w:rPr>
        <w:footnoteReference w:id="119"/>
      </w:r>
      <w:r w:rsidRPr="00DD37EC">
        <w:rPr>
          <w:rFonts w:ascii="Arial" w:hAnsi="Arial" w:cs="Arial"/>
          <w:lang w:val="es-ES"/>
        </w:rPr>
        <w:t xml:space="preserve"> Hay otras poblaciones clave que necesitan ser identificadas como tales, por ejemplo, personas que se inyectan drogas no están mencionadas en PENSIDA IV.</w:t>
      </w:r>
      <w:r w:rsidR="006E1942" w:rsidRPr="006E1942">
        <w:rPr>
          <w:rFonts w:ascii="Arial" w:hAnsi="Arial" w:cs="Arial"/>
          <w:vertAlign w:val="superscript"/>
          <w:lang w:val="es-ES"/>
        </w:rPr>
        <w:t xml:space="preserve"> </w:t>
      </w:r>
      <w:r w:rsidR="006E1942" w:rsidRPr="00DD37EC">
        <w:rPr>
          <w:rFonts w:ascii="Arial" w:hAnsi="Arial" w:cs="Arial"/>
          <w:vertAlign w:val="superscript"/>
          <w:lang w:val="es-ES"/>
        </w:rPr>
        <w:footnoteReference w:id="120"/>
      </w:r>
      <w:r w:rsidRPr="00DD37EC">
        <w:rPr>
          <w:rFonts w:ascii="Arial" w:hAnsi="Arial" w:cs="Arial"/>
          <w:lang w:val="es-ES"/>
        </w:rPr>
        <w:t xml:space="preserve"> Otras poblaciones en situación de vulnerabilidad incluyen las y los trabajadores migrantes y sus parejas, niñas y niños vulnerables (incluidos aquellos en situación de orfandad o de calle), y las mujeres.</w:t>
      </w:r>
    </w:p>
    <w:p w14:paraId="118D3B3A" w14:textId="38E204F5" w:rsidR="003A324D" w:rsidRPr="00DD37EC" w:rsidRDefault="003A324D" w:rsidP="003A324D">
      <w:pPr>
        <w:spacing w:after="240" w:line="240" w:lineRule="auto"/>
        <w:jc w:val="both"/>
        <w:rPr>
          <w:rFonts w:ascii="Arial" w:eastAsia="Times New Roman" w:hAnsi="Arial" w:cs="Arial"/>
          <w:lang w:val="es-US"/>
        </w:rPr>
      </w:pPr>
      <w:r w:rsidRPr="00DD37EC">
        <w:rPr>
          <w:rFonts w:ascii="Arial" w:eastAsia="Times New Roman" w:hAnsi="Arial" w:cs="Arial"/>
          <w:lang w:val="es-ES"/>
        </w:rPr>
        <w:t>Las violaciones de derechos humanos y desigualdades de género están ampliamente documentadas</w:t>
      </w:r>
      <w:r w:rsidR="00770C87">
        <w:rPr>
          <w:rFonts w:ascii="Arial" w:eastAsia="Times New Roman" w:hAnsi="Arial" w:cs="Arial"/>
          <w:lang w:val="es-ES"/>
        </w:rPr>
        <w:t>.</w:t>
      </w:r>
      <w:r w:rsidRPr="00DD37EC">
        <w:rPr>
          <w:rStyle w:val="FootnoteReference"/>
          <w:rFonts w:ascii="Arial" w:eastAsia="Times New Roman" w:hAnsi="Arial" w:cs="Arial"/>
          <w:lang w:val="es-ES"/>
        </w:rPr>
        <w:footnoteReference w:id="121"/>
      </w:r>
      <w:r w:rsidR="00F0629F">
        <w:rPr>
          <w:rFonts w:ascii="Arial" w:eastAsia="Times New Roman" w:hAnsi="Arial" w:cs="Arial"/>
          <w:vertAlign w:val="superscript"/>
          <w:lang w:val="es-ES"/>
        </w:rPr>
        <w:t>,</w:t>
      </w:r>
      <w:r w:rsidRPr="00DD37EC">
        <w:rPr>
          <w:rStyle w:val="FootnoteReference"/>
          <w:rFonts w:ascii="Arial" w:eastAsia="Times New Roman" w:hAnsi="Arial" w:cs="Arial"/>
          <w:lang w:val="es-ES"/>
        </w:rPr>
        <w:footnoteReference w:id="122"/>
      </w:r>
      <w:r w:rsidRPr="00DD37EC">
        <w:rPr>
          <w:rFonts w:ascii="Arial" w:eastAsia="Times New Roman" w:hAnsi="Arial" w:cs="Arial"/>
          <w:lang w:val="es-ES"/>
        </w:rPr>
        <w:t xml:space="preserve"> Las desigualdades de género limitan el acceso de mujeres especialmente jóvenes a la atención de salud y la educación, representando una alta proporción de nuevas infecciones entre la población que vive con el VIH. La violencia de género, incluida la violación y el matrimonio precoz impiden protegerse adecuadamente del VIH. Conforme al Informe de la Comisión Interamericana de Derechos Humanos sobre Honduras, </w:t>
      </w:r>
      <w:r w:rsidRPr="00DD37EC">
        <w:rPr>
          <w:rFonts w:ascii="Arial" w:eastAsia="Times New Roman" w:hAnsi="Arial" w:cs="Arial"/>
          <w:lang w:val="es-US"/>
        </w:rPr>
        <w:t>organizaciones de la sociedad civil informaron sobre un incremento de mujeres asesinadas en un 263% en los últimos nueve años, de 175 casos</w:t>
      </w:r>
      <w:r w:rsidRPr="00DD37EC">
        <w:rPr>
          <w:rFonts w:ascii="Arial" w:eastAsia="Times New Roman" w:hAnsi="Arial" w:cs="Arial"/>
          <w:lang w:val="es-MX"/>
        </w:rPr>
        <w:t xml:space="preserve"> en 2005 a 636 en el 2013. Entre el 2002 y octubre de 2014, por lo menos 4</w:t>
      </w:r>
      <w:r w:rsidRPr="00DD37EC">
        <w:rPr>
          <w:rFonts w:ascii="Arial" w:eastAsia="Times New Roman" w:hAnsi="Arial" w:cs="Arial"/>
          <w:lang w:val="es-US"/>
        </w:rPr>
        <w:t>,283 mujeres habrían perdido la vida en forma violenta. Según cifras del Observatorio de la Violencia de la UNAH (Universidad Nacional Autónoma de Honduras), entre enero y diciembre de 2014, ocurrieron 531 muertes violentas de mujeres, que representa una tasa de 12 por cada 100.000 habitantes y una reducción de 2.6.</w:t>
      </w:r>
      <w:r w:rsidRPr="00DD37EC">
        <w:rPr>
          <w:rStyle w:val="FootnoteReference"/>
          <w:rFonts w:ascii="Arial" w:eastAsia="Times New Roman" w:hAnsi="Arial" w:cs="Arial"/>
          <w:lang w:val="es-US"/>
        </w:rPr>
        <w:footnoteReference w:id="123"/>
      </w:r>
      <w:r w:rsidRPr="00DD37EC">
        <w:rPr>
          <w:rFonts w:ascii="Arial" w:eastAsia="Times New Roman" w:hAnsi="Arial" w:cs="Arial"/>
          <w:lang w:val="es-US"/>
        </w:rPr>
        <w:t xml:space="preserve">  En el Informe de la visita de la Comisión en 2018, se indica que según datos del Ministerio Público comunicados por el Observatorio de la Violencia de la Universidad Nacional Autónoma de Honduras (UNAH), en el año 2017 se registraron 987 muertes de mujeres por causas externas, 16 menos que el año anterior. Si bien estos datos confirman la tendencia general de reducción de homicidios, la CIDH advierte que los asesinatos de mujeres en razón de su género no han disminuido en la misma proporción que los demás homicidios en el país</w:t>
      </w:r>
      <w:r w:rsidRPr="00DD37EC">
        <w:rPr>
          <w:rStyle w:val="FootnoteReference"/>
          <w:rFonts w:ascii="Arial" w:eastAsia="Times New Roman" w:hAnsi="Arial" w:cs="Arial"/>
          <w:lang w:val="es-US"/>
        </w:rPr>
        <w:footnoteReference w:id="124"/>
      </w:r>
      <w:r w:rsidRPr="00DD37EC">
        <w:rPr>
          <w:rFonts w:ascii="Arial" w:eastAsia="Times New Roman" w:hAnsi="Arial" w:cs="Arial"/>
          <w:lang w:val="es-US"/>
        </w:rPr>
        <w:t>.</w:t>
      </w:r>
    </w:p>
    <w:p w14:paraId="7225E5FA" w14:textId="77777777" w:rsidR="003A324D" w:rsidRPr="00DD37EC" w:rsidRDefault="003A324D" w:rsidP="003A324D">
      <w:pPr>
        <w:spacing w:after="240" w:line="240" w:lineRule="auto"/>
        <w:jc w:val="both"/>
        <w:rPr>
          <w:rFonts w:ascii="Arial" w:eastAsia="Times New Roman" w:hAnsi="Arial" w:cs="Arial"/>
          <w:lang w:val="es-ES"/>
        </w:rPr>
      </w:pPr>
      <w:r w:rsidRPr="00DD37EC">
        <w:rPr>
          <w:rFonts w:ascii="Arial" w:eastAsia="Times New Roman" w:hAnsi="Arial" w:cs="Arial"/>
          <w:lang w:val="es-ES"/>
        </w:rPr>
        <w:t>Las mujeres que viven con el VIH enfrentan desafíos para tomar decisiones autónomas e informadas sobre planificación familiar por falta de información adecuada. Algunos grupos de población enfrentan discriminación y exclusión.</w:t>
      </w:r>
      <w:r w:rsidRPr="00DD37EC">
        <w:rPr>
          <w:rStyle w:val="FootnoteReference"/>
          <w:rFonts w:ascii="Arial" w:eastAsia="Times New Roman" w:hAnsi="Arial" w:cs="Arial"/>
          <w:lang w:val="es-ES"/>
        </w:rPr>
        <w:footnoteReference w:id="125"/>
      </w:r>
      <w:r w:rsidRPr="00DD37EC">
        <w:rPr>
          <w:rFonts w:ascii="Arial" w:eastAsia="Times New Roman" w:hAnsi="Arial" w:cs="Arial"/>
          <w:lang w:val="es-ES"/>
        </w:rPr>
        <w:t xml:space="preserve"> OSC informan sobre la marginación que sufren hombres que tienen sexo hombres y personas transgénero. En Honduras el trabajo sexual autónomo es una actividad lícita, tal como se desprende de su constitución nacional y normativa penal vigente. No obstante, la población trabajadora sexual es constantemente estigmatizada y discriminada, y soporta mal trato por acción u omisión de las autoridades y organismos del estado.</w:t>
      </w:r>
      <w:r w:rsidRPr="00DD37EC">
        <w:rPr>
          <w:rStyle w:val="FootnoteReference"/>
          <w:rFonts w:ascii="Arial" w:eastAsia="Times New Roman" w:hAnsi="Arial" w:cs="Arial"/>
          <w:lang w:val="es-ES"/>
        </w:rPr>
        <w:footnoteReference w:id="126"/>
      </w:r>
      <w:r w:rsidRPr="00DD37EC">
        <w:rPr>
          <w:rFonts w:ascii="Arial" w:eastAsia="Times New Roman" w:hAnsi="Arial" w:cs="Arial"/>
          <w:lang w:val="es-ES"/>
        </w:rPr>
        <w:t xml:space="preserve"> Estigma y la discriminación relacionados con el VIH, así como las desigualdades de género, llevan a las poblaciones clave y vulnerables a alejarse de la prevención, el tratamiento y la atención relacionados con el VIH.</w:t>
      </w:r>
    </w:p>
    <w:p w14:paraId="32F493B8" w14:textId="515F8436" w:rsidR="003A324D" w:rsidRPr="00DD37EC" w:rsidRDefault="003A324D" w:rsidP="003A324D">
      <w:pPr>
        <w:pBdr>
          <w:top w:val="nil"/>
          <w:left w:val="nil"/>
          <w:bottom w:val="nil"/>
          <w:right w:val="nil"/>
          <w:between w:val="nil"/>
        </w:pBdr>
        <w:spacing w:after="240" w:line="240" w:lineRule="auto"/>
        <w:jc w:val="both"/>
        <w:rPr>
          <w:rFonts w:ascii="Arial" w:eastAsia="Georgia" w:hAnsi="Arial" w:cs="Arial"/>
          <w:color w:val="000000"/>
          <w:lang w:val="es-ES"/>
        </w:rPr>
      </w:pPr>
      <w:r w:rsidRPr="00DD37EC">
        <w:rPr>
          <w:rFonts w:ascii="Arial" w:eastAsia="Georgia" w:hAnsi="Arial" w:cs="Arial"/>
          <w:color w:val="000000"/>
          <w:lang w:val="es-ES"/>
        </w:rPr>
        <w:lastRenderedPageBreak/>
        <w:t xml:space="preserve">El estigma y la discriminación sufridos por las poblaciones clave y vulnerables son generalizados. Y específico relacionado con la pertenencia a determinadas poblaciones y un componente importante del </w:t>
      </w:r>
      <w:r w:rsidR="00AD747F" w:rsidRPr="00DD37EC">
        <w:rPr>
          <w:rFonts w:ascii="Arial" w:eastAsia="Georgia" w:hAnsi="Arial" w:cs="Arial"/>
          <w:color w:val="000000"/>
          <w:lang w:val="es-ES"/>
        </w:rPr>
        <w:t>auto</w:t>
      </w:r>
      <w:r w:rsidR="00AD747F">
        <w:rPr>
          <w:rFonts w:ascii="Arial" w:eastAsia="Georgia" w:hAnsi="Arial" w:cs="Arial"/>
          <w:color w:val="000000"/>
          <w:lang w:val="es-ES"/>
        </w:rPr>
        <w:t>-</w:t>
      </w:r>
      <w:r w:rsidR="00AD747F" w:rsidRPr="00DD37EC">
        <w:rPr>
          <w:rFonts w:ascii="Arial" w:eastAsia="Georgia" w:hAnsi="Arial" w:cs="Arial"/>
          <w:color w:val="000000"/>
          <w:lang w:val="es-ES"/>
        </w:rPr>
        <w:t>esti</w:t>
      </w:r>
      <w:r w:rsidR="00AD747F">
        <w:rPr>
          <w:rFonts w:ascii="Arial" w:eastAsia="Georgia" w:hAnsi="Arial" w:cs="Arial"/>
          <w:color w:val="000000"/>
          <w:lang w:val="es-ES"/>
        </w:rPr>
        <w:t>g</w:t>
      </w:r>
      <w:r w:rsidR="00AD747F" w:rsidRPr="00DD37EC">
        <w:rPr>
          <w:rFonts w:ascii="Arial" w:eastAsia="Georgia" w:hAnsi="Arial" w:cs="Arial"/>
          <w:color w:val="000000"/>
          <w:lang w:val="es-ES"/>
        </w:rPr>
        <w:t>ma</w:t>
      </w:r>
      <w:r w:rsidRPr="00DD37EC">
        <w:rPr>
          <w:rFonts w:ascii="Arial" w:eastAsia="Georgia" w:hAnsi="Arial" w:cs="Arial"/>
          <w:color w:val="000000"/>
          <w:lang w:val="es-ES"/>
        </w:rPr>
        <w:t>. La falta de protecciones legales existentes y la existencia de regulaciones punitivas que afectan a las personas que viven con VIH y a las poblaciones clave, representan obstáculos persistentes para acceder a servicios de VIH y TB, particularmente las trabajadoras sexuales, los hombres que tienen sexo con hombres, y las mujeres transgénero/travestis/transexuales.</w:t>
      </w:r>
    </w:p>
    <w:p w14:paraId="6BD3C2E6" w14:textId="49E290AC" w:rsidR="003A324D" w:rsidRPr="005E572A" w:rsidRDefault="003A324D" w:rsidP="003A324D">
      <w:pPr>
        <w:spacing w:after="240" w:line="240" w:lineRule="auto"/>
        <w:jc w:val="both"/>
        <w:rPr>
          <w:rFonts w:ascii="Arial" w:eastAsia="Times New Roman" w:hAnsi="Arial" w:cs="Arial"/>
          <w:lang w:val="es-US"/>
        </w:rPr>
      </w:pPr>
      <w:r w:rsidRPr="00DD37EC">
        <w:rPr>
          <w:rFonts w:ascii="Arial" w:hAnsi="Arial" w:cs="Arial"/>
          <w:color w:val="000000"/>
          <w:lang w:val="es-ES"/>
        </w:rPr>
        <w:t xml:space="preserve">La Comisión Interamericana de Derechos Humanos (CIDH) en su informe de la visita en 2018 observa </w:t>
      </w:r>
      <w:r w:rsidRPr="00DD37EC">
        <w:rPr>
          <w:rFonts w:ascii="Arial" w:eastAsia="Times New Roman" w:hAnsi="Arial" w:cs="Arial"/>
          <w:lang w:val="es-US"/>
        </w:rPr>
        <w:t>que en Honduras las personas LGBTI se enfrentan a actos de violencia y discriminación generalizada que normalmente permanecen en la impunidad. Al respecto, según información aportada por organismos de la sociedad civil, en los últimos 5 años, se reportan 177 asesinatos contra estas personas; incluyendo 23 en 2018. De estos asesinatos, se han abierto 65 investigaciones, sin que en ninguna de ellas se haya emitido una condena. La CIDH considera que la violencia contra las personas LGBTI en Honduras ocurre de manera generalizada en una clara violación a los derechos humanos. Estos casos quedan impunes, generando la impresión generalizada de que la violencia y la discriminación son aceptables. La Comisión recuerda al Estado de Honduras que el derecho a la integridad personal y el acceso a la justicia son principios fundantes de los derechos humanos, revistiendo de especial importancia en relación con las personas LGBTI</w:t>
      </w:r>
      <w:r w:rsidR="00563600">
        <w:rPr>
          <w:rFonts w:ascii="Arial" w:eastAsia="Times New Roman" w:hAnsi="Arial" w:cs="Arial"/>
          <w:lang w:val="es-US"/>
        </w:rPr>
        <w:t>.</w:t>
      </w:r>
      <w:r w:rsidRPr="00DD37EC">
        <w:rPr>
          <w:rStyle w:val="FootnoteReference"/>
          <w:rFonts w:ascii="Arial" w:eastAsia="Times New Roman" w:hAnsi="Arial" w:cs="Arial"/>
          <w:lang w:val="es-US"/>
        </w:rPr>
        <w:footnoteReference w:id="127"/>
      </w:r>
    </w:p>
    <w:p w14:paraId="35E8CF37" w14:textId="34F3F7A1" w:rsidR="003A324D" w:rsidRPr="005E572A" w:rsidRDefault="00F527B5" w:rsidP="003A324D">
      <w:pPr>
        <w:pBdr>
          <w:top w:val="nil"/>
          <w:left w:val="nil"/>
          <w:bottom w:val="nil"/>
          <w:right w:val="nil"/>
          <w:between w:val="nil"/>
        </w:pBdr>
        <w:spacing w:after="240" w:line="240" w:lineRule="auto"/>
        <w:jc w:val="both"/>
        <w:rPr>
          <w:rFonts w:ascii="Arial" w:eastAsia="Georgia" w:hAnsi="Arial" w:cs="Arial"/>
          <w:color w:val="000000"/>
          <w:lang w:val="es-ES"/>
        </w:rPr>
      </w:pPr>
      <w:r>
        <w:rPr>
          <w:rFonts w:ascii="Arial" w:eastAsia="Georgia" w:hAnsi="Arial" w:cs="Arial"/>
          <w:color w:val="000000"/>
          <w:lang w:val="es-ES"/>
        </w:rPr>
        <w:t>Las d</w:t>
      </w:r>
      <w:r w:rsidR="003A324D" w:rsidRPr="00DD37EC">
        <w:rPr>
          <w:rFonts w:ascii="Arial" w:eastAsia="Georgia" w:hAnsi="Arial" w:cs="Arial"/>
          <w:color w:val="000000"/>
          <w:lang w:val="es-ES"/>
        </w:rPr>
        <w:t>esigualdades de género y las dinámicas de poder crean vulnerabilidades para las mujeres y las adolescentes, particularmente en el contexto de las relaciones íntimas con una alta tasa de violencia basada en género (VBG)</w:t>
      </w:r>
      <w:r w:rsidR="003A324D" w:rsidRPr="00DD37EC">
        <w:rPr>
          <w:rStyle w:val="FootnoteReference"/>
          <w:rFonts w:ascii="Arial" w:eastAsia="Georgia" w:hAnsi="Arial" w:cs="Arial"/>
          <w:color w:val="000000"/>
          <w:lang w:val="es-ES"/>
        </w:rPr>
        <w:footnoteReference w:id="128"/>
      </w:r>
      <w:r w:rsidR="003A324D" w:rsidRPr="00DD37EC">
        <w:rPr>
          <w:rFonts w:ascii="Arial" w:eastAsia="Georgia" w:hAnsi="Arial" w:cs="Arial"/>
          <w:color w:val="000000"/>
          <w:lang w:val="es-ES"/>
        </w:rPr>
        <w:t>, lo que aumenta la vulnerabilidad de las mujeres a la infección por VIH y obstaculiza la búsqueda y el acceso a los servicios de salud.</w:t>
      </w:r>
    </w:p>
    <w:p w14:paraId="3F624CEB" w14:textId="77777777" w:rsidR="003A324D" w:rsidRPr="005E572A" w:rsidRDefault="003A324D" w:rsidP="003A324D">
      <w:pPr>
        <w:pBdr>
          <w:top w:val="nil"/>
          <w:left w:val="nil"/>
          <w:bottom w:val="nil"/>
          <w:right w:val="nil"/>
          <w:between w:val="nil"/>
        </w:pBdr>
        <w:spacing w:after="240" w:line="240" w:lineRule="auto"/>
        <w:jc w:val="both"/>
        <w:rPr>
          <w:rFonts w:ascii="Arial" w:eastAsia="Times New Roman" w:hAnsi="Arial" w:cs="Arial"/>
          <w:lang w:val="es-ES"/>
        </w:rPr>
      </w:pPr>
      <w:r w:rsidRPr="00DD37EC">
        <w:rPr>
          <w:rFonts w:ascii="Arial" w:eastAsia="Georgia" w:hAnsi="Arial" w:cs="Arial"/>
          <w:color w:val="000000"/>
          <w:lang w:val="es-ES"/>
        </w:rPr>
        <w:t>Los obstáculos socioculturales, físicos y económicos – incluyendo las pocas posibilidades económicas de pagar para recibir atención médica (a pesar de que en muchos casos la atención es nominalmente gratuita) y el acceso a transporte a los centros de salud que cuentan con los servicios especializados de VIH y pruebas de laboratorio para monitorear el tratamiento – son obstáculos importantes para las personas que viven con VIH para acceder, inscribirse y permanecer en los servicios.</w:t>
      </w:r>
      <w:r w:rsidRPr="00DD37EC">
        <w:rPr>
          <w:rStyle w:val="FootnoteReference"/>
          <w:rFonts w:ascii="Arial" w:eastAsia="Georgia" w:hAnsi="Arial" w:cs="Arial"/>
          <w:color w:val="000000"/>
          <w:lang w:val="es-ES"/>
        </w:rPr>
        <w:footnoteReference w:id="129"/>
      </w:r>
      <w:r w:rsidRPr="00DD37EC">
        <w:rPr>
          <w:rFonts w:ascii="Arial" w:eastAsia="Georgia" w:hAnsi="Arial" w:cs="Arial"/>
          <w:color w:val="000000"/>
          <w:lang w:val="es-ES"/>
        </w:rPr>
        <w:t xml:space="preserve"> </w:t>
      </w:r>
      <w:r w:rsidRPr="00DD37EC">
        <w:rPr>
          <w:rFonts w:ascii="Arial" w:eastAsia="Times New Roman" w:hAnsi="Arial" w:cs="Arial"/>
          <w:lang w:val="es-ES"/>
        </w:rPr>
        <w:t xml:space="preserve"> </w:t>
      </w:r>
    </w:p>
    <w:p w14:paraId="392DA857" w14:textId="77777777" w:rsidR="003A324D" w:rsidRPr="005E572A" w:rsidRDefault="003A324D" w:rsidP="003A324D">
      <w:pPr>
        <w:spacing w:after="240" w:line="240" w:lineRule="auto"/>
        <w:jc w:val="both"/>
        <w:rPr>
          <w:rFonts w:ascii="Arial" w:hAnsi="Arial" w:cs="Arial"/>
          <w:lang w:val="es-ES"/>
        </w:rPr>
      </w:pPr>
      <w:r w:rsidRPr="00DD37EC">
        <w:rPr>
          <w:rFonts w:ascii="Arial" w:eastAsia="Times New Roman" w:hAnsi="Arial" w:cs="Arial"/>
          <w:lang w:val="es-ES"/>
        </w:rPr>
        <w:t>Un aspecto importante se refiere a l</w:t>
      </w:r>
      <w:r w:rsidRPr="00DD37EC">
        <w:rPr>
          <w:rFonts w:ascii="Arial" w:hAnsi="Arial" w:cs="Arial"/>
          <w:lang w:val="es-ES"/>
        </w:rPr>
        <w:t>a capacitación formal del personal de salud en materia de derechos humanos y ética médica. Si bien hay manuales de capacitación diseñados para informar al personal sobre estos temas, no está claro qué tan frecuentemente el personal recibe capacitación en estos temas o cómo se aplican las guías en la práctica. Algunas de las OSC trabajan estrechamente con clínicas y personal médico a nivel individual para ayudar a desarrollar sus capacidades, muchas veces a raíz de relaciones personales, sin embargo, esto sigue siendo algo inconsistente tanto en su aplicación como en su impacto. Todavía hay pocos programas diseñados para capacitar al personal de salud sobre la ética médica en general, como específicamente relacionada con el VIH.</w:t>
      </w:r>
      <w:r w:rsidRPr="00DD37EC">
        <w:rPr>
          <w:rStyle w:val="FootnoteReference"/>
          <w:rFonts w:ascii="Arial" w:hAnsi="Arial" w:cs="Arial"/>
          <w:lang w:val="es-ES"/>
        </w:rPr>
        <w:footnoteReference w:id="130"/>
      </w:r>
      <w:r w:rsidRPr="00DD37EC">
        <w:rPr>
          <w:rFonts w:ascii="Arial" w:hAnsi="Arial" w:cs="Arial"/>
          <w:lang w:val="es-ES"/>
        </w:rPr>
        <w:t xml:space="preserve"> </w:t>
      </w:r>
    </w:p>
    <w:p w14:paraId="279FEAB2" w14:textId="626DC064" w:rsidR="003A324D" w:rsidRPr="005E572A" w:rsidRDefault="003A324D" w:rsidP="003A324D">
      <w:pPr>
        <w:spacing w:after="240" w:line="240" w:lineRule="auto"/>
        <w:jc w:val="both"/>
        <w:rPr>
          <w:rFonts w:ascii="Arial" w:hAnsi="Arial" w:cs="Arial"/>
          <w:bCs/>
          <w:lang w:val="es-ES"/>
        </w:rPr>
      </w:pPr>
      <w:r w:rsidRPr="00DD37EC">
        <w:rPr>
          <w:rFonts w:ascii="Arial" w:eastAsia="Times New Roman" w:hAnsi="Arial" w:cs="Arial"/>
          <w:lang w:val="es-ES"/>
        </w:rPr>
        <w:t xml:space="preserve">Se ha mencionado la profusión y fragmentación institucional en derechos humanos. Ello no solo afecta a la efectividad en la tarea de protección de derechos humanos, sino que también a la labor de las OSC en un marco institucional incierto y sin clara definición. Por ejemplo, ¿cuál será la división de competencias y la coordinación en financiamiento y en acciones entre la Secretaria de Derechos </w:t>
      </w:r>
      <w:r w:rsidRPr="00DD37EC">
        <w:rPr>
          <w:rFonts w:ascii="Arial" w:eastAsia="Times New Roman" w:hAnsi="Arial" w:cs="Arial"/>
          <w:lang w:val="es-ES"/>
        </w:rPr>
        <w:lastRenderedPageBreak/>
        <w:t xml:space="preserve">Humanos y el CONADEH?  Aunque VIH no se menciona explícitamente en la Ley de CONADEH, CONADEH recibe quejas y </w:t>
      </w:r>
      <w:r w:rsidRPr="00DD37EC">
        <w:rPr>
          <w:rFonts w:ascii="Arial" w:hAnsi="Arial" w:cs="Arial"/>
          <w:lang w:val="es-ES"/>
        </w:rPr>
        <w:t xml:space="preserve">monitorea e informa sobre casos de violaciones de derechos humanos relacionados con el VIH, pero los casos tratados y resueltos son limitados. En 2017 se recibieron 48 </w:t>
      </w:r>
      <w:r w:rsidR="00827D86">
        <w:rPr>
          <w:rFonts w:ascii="Arial" w:hAnsi="Arial" w:cs="Arial"/>
          <w:bCs/>
          <w:lang w:val="es-ES"/>
        </w:rPr>
        <w:t>q</w:t>
      </w:r>
      <w:r w:rsidRPr="00DD37EC">
        <w:rPr>
          <w:rFonts w:ascii="Arial" w:hAnsi="Arial" w:cs="Arial"/>
          <w:bCs/>
          <w:lang w:val="es-ES"/>
        </w:rPr>
        <w:t xml:space="preserve">uejas y fueron resueltas 32; en </w:t>
      </w:r>
      <w:r w:rsidRPr="00DD37EC">
        <w:rPr>
          <w:rFonts w:ascii="Arial" w:hAnsi="Arial" w:cs="Arial"/>
          <w:lang w:val="es-ES"/>
        </w:rPr>
        <w:t xml:space="preserve">2018 se recibieron 34 </w:t>
      </w:r>
      <w:r w:rsidRPr="00DD37EC">
        <w:rPr>
          <w:rFonts w:ascii="Arial" w:hAnsi="Arial" w:cs="Arial"/>
          <w:bCs/>
          <w:lang w:val="es-ES"/>
        </w:rPr>
        <w:t>quejas</w:t>
      </w:r>
      <w:r>
        <w:rPr>
          <w:rFonts w:ascii="Arial" w:hAnsi="Arial" w:cs="Arial"/>
          <w:bCs/>
          <w:lang w:val="es-ES"/>
        </w:rPr>
        <w:t xml:space="preserve"> </w:t>
      </w:r>
      <w:r w:rsidRPr="00DD37EC">
        <w:rPr>
          <w:rFonts w:ascii="Arial" w:hAnsi="Arial" w:cs="Arial"/>
          <w:bCs/>
          <w:lang w:val="es-ES"/>
        </w:rPr>
        <w:t>y fueron resueltas 30.</w:t>
      </w:r>
    </w:p>
    <w:p w14:paraId="3CFB8761" w14:textId="35D99348" w:rsidR="003A324D" w:rsidRPr="005E572A" w:rsidRDefault="003A324D" w:rsidP="003A324D">
      <w:pPr>
        <w:spacing w:after="240" w:line="240" w:lineRule="auto"/>
        <w:jc w:val="both"/>
        <w:rPr>
          <w:rFonts w:ascii="Arial" w:hAnsi="Arial" w:cs="Arial"/>
          <w:lang w:val="es-ES"/>
        </w:rPr>
      </w:pPr>
      <w:r w:rsidRPr="00DD37EC">
        <w:rPr>
          <w:rFonts w:ascii="Arial" w:hAnsi="Arial" w:cs="Arial"/>
          <w:lang w:val="es-ES"/>
        </w:rPr>
        <w:t xml:space="preserve">En síntesis, la situación de </w:t>
      </w:r>
      <w:r w:rsidR="00DA13AA">
        <w:rPr>
          <w:rFonts w:ascii="Arial" w:hAnsi="Arial" w:cs="Arial"/>
          <w:lang w:val="es-ES"/>
        </w:rPr>
        <w:t xml:space="preserve">DDHH </w:t>
      </w:r>
      <w:r w:rsidRPr="00DD37EC">
        <w:rPr>
          <w:rFonts w:ascii="Arial" w:hAnsi="Arial" w:cs="Arial"/>
          <w:lang w:val="es-ES"/>
        </w:rPr>
        <w:t>en Honduras es reflejo de un ambien</w:t>
      </w:r>
      <w:r w:rsidR="00001B7D">
        <w:rPr>
          <w:rFonts w:ascii="Arial" w:hAnsi="Arial" w:cs="Arial"/>
          <w:lang w:val="es-ES"/>
        </w:rPr>
        <w:t>te</w:t>
      </w:r>
      <w:r w:rsidRPr="00DD37EC">
        <w:rPr>
          <w:rFonts w:ascii="Arial" w:hAnsi="Arial" w:cs="Arial"/>
          <w:lang w:val="es-ES"/>
        </w:rPr>
        <w:t xml:space="preserve"> cultural e institucional que no otorga prioridad a la concepción y protección</w:t>
      </w:r>
      <w:r w:rsidRPr="00DD37EC" w:rsidDel="00A32475">
        <w:rPr>
          <w:rFonts w:ascii="Arial" w:hAnsi="Arial" w:cs="Arial"/>
          <w:lang w:val="es-ES"/>
        </w:rPr>
        <w:t xml:space="preserve"> </w:t>
      </w:r>
      <w:r w:rsidRPr="00DD37EC">
        <w:rPr>
          <w:rFonts w:ascii="Arial" w:hAnsi="Arial" w:cs="Arial"/>
          <w:lang w:val="es-ES"/>
        </w:rPr>
        <w:t xml:space="preserve">de los derechos humanos en general. Con relación al VIH la situación es aún más crítica por las campañas ideológicas en contra de las personas afectadas y la falta de empatía </w:t>
      </w:r>
      <w:r w:rsidR="00544095">
        <w:rPr>
          <w:rFonts w:ascii="Arial" w:hAnsi="Arial" w:cs="Arial"/>
          <w:lang w:val="es-ES"/>
        </w:rPr>
        <w:t>hacia</w:t>
      </w:r>
      <w:r w:rsidRPr="00DD37EC">
        <w:rPr>
          <w:rFonts w:ascii="Arial" w:hAnsi="Arial" w:cs="Arial"/>
          <w:lang w:val="es-ES"/>
        </w:rPr>
        <w:t xml:space="preserve"> ellas. El sistema institucional </w:t>
      </w:r>
      <w:r w:rsidR="00544095">
        <w:rPr>
          <w:rFonts w:ascii="Arial" w:hAnsi="Arial" w:cs="Arial"/>
          <w:lang w:val="es-ES"/>
        </w:rPr>
        <w:t>cuenta con</w:t>
      </w:r>
      <w:r w:rsidRPr="00DD37EC">
        <w:rPr>
          <w:rFonts w:ascii="Arial" w:hAnsi="Arial" w:cs="Arial"/>
          <w:lang w:val="es-ES"/>
        </w:rPr>
        <w:t xml:space="preserve"> leyes y declaraciones </w:t>
      </w:r>
      <w:r w:rsidR="00544095" w:rsidRPr="00DD37EC">
        <w:rPr>
          <w:rFonts w:ascii="Arial" w:hAnsi="Arial" w:cs="Arial"/>
          <w:lang w:val="es-ES"/>
        </w:rPr>
        <w:t>correctas,</w:t>
      </w:r>
      <w:r w:rsidR="00544095">
        <w:rPr>
          <w:rFonts w:ascii="Arial" w:hAnsi="Arial" w:cs="Arial"/>
          <w:lang w:val="es-ES"/>
        </w:rPr>
        <w:t xml:space="preserve"> pero</w:t>
      </w:r>
      <w:r w:rsidRPr="00DD37EC">
        <w:rPr>
          <w:rFonts w:ascii="Arial" w:hAnsi="Arial" w:cs="Arial"/>
          <w:lang w:val="es-ES"/>
        </w:rPr>
        <w:t xml:space="preserve"> no se aplican en la práctica</w:t>
      </w:r>
      <w:r w:rsidR="00544095">
        <w:rPr>
          <w:rFonts w:ascii="Arial" w:hAnsi="Arial" w:cs="Arial"/>
          <w:lang w:val="es-ES"/>
        </w:rPr>
        <w:t xml:space="preserve"> y l</w:t>
      </w:r>
      <w:r w:rsidRPr="00DD37EC">
        <w:rPr>
          <w:rFonts w:ascii="Arial" w:hAnsi="Arial" w:cs="Arial"/>
          <w:lang w:val="es-ES"/>
        </w:rPr>
        <w:t xml:space="preserve">as posibilidades de un cambio substancial se estiman remotas especialmente por las OSC que trabajan en VIH. </w:t>
      </w:r>
    </w:p>
    <w:p w14:paraId="1885707A" w14:textId="01874E25" w:rsidR="003A324D" w:rsidRDefault="00544095" w:rsidP="003A324D">
      <w:pPr>
        <w:spacing w:after="240" w:line="240" w:lineRule="auto"/>
        <w:jc w:val="both"/>
        <w:rPr>
          <w:rFonts w:ascii="Arial" w:eastAsia="Times New Roman" w:hAnsi="Arial" w:cs="Arial"/>
          <w:lang w:val="es-ES"/>
        </w:rPr>
      </w:pPr>
      <w:r>
        <w:rPr>
          <w:rFonts w:ascii="Arial" w:eastAsia="Times New Roman" w:hAnsi="Arial" w:cs="Arial"/>
          <w:lang w:val="es-ES"/>
        </w:rPr>
        <w:t>Es</w:t>
      </w:r>
      <w:r w:rsidR="003A324D" w:rsidRPr="00DD37EC">
        <w:rPr>
          <w:rFonts w:ascii="Arial" w:eastAsia="Times New Roman" w:hAnsi="Arial" w:cs="Arial"/>
          <w:lang w:val="es-ES"/>
        </w:rPr>
        <w:t xml:space="preserve"> preciso insistir en revertir el entorno desfavorable a los derechos humanos, para lo cual la labor del FM y de otros agentes externos de financiamiento y cooperación es fundamental. De igual manera es indispensable insistir en el apoyo a las OSC con financiamiento, capacitación, logística para asegurar su fortalecimiento y contribución a la protección de derechos humanos y en la respuesta efectiva a las epidemias de VIH y TB.</w:t>
      </w:r>
    </w:p>
    <w:p w14:paraId="418FE4D7" w14:textId="0DB04934" w:rsidR="00AD747F" w:rsidRPr="005E572A" w:rsidRDefault="006B738A" w:rsidP="003A324D">
      <w:pPr>
        <w:spacing w:after="240" w:line="240" w:lineRule="auto"/>
        <w:jc w:val="both"/>
        <w:rPr>
          <w:rFonts w:ascii="Arial" w:eastAsia="Times New Roman" w:hAnsi="Arial" w:cs="Arial"/>
          <w:lang w:val="es-ES"/>
        </w:rPr>
      </w:pPr>
      <w:r w:rsidRPr="006B738A">
        <w:rPr>
          <w:rFonts w:ascii="Arial" w:eastAsia="Times New Roman" w:hAnsi="Arial" w:cs="Arial"/>
          <w:lang w:val="es-ES"/>
        </w:rPr>
        <w:t xml:space="preserve">Para atender las brechas existentes en el diagnóstico y ejecución coordinada de políticas públicas en DDHH, el FM ha comisionado una asistencia técnica para la elaboración de una </w:t>
      </w:r>
      <w:r w:rsidR="001308EE" w:rsidRPr="00DD37EC">
        <w:rPr>
          <w:rFonts w:ascii="Arial" w:hAnsi="Arial" w:cs="Arial"/>
          <w:lang w:val="es-ES"/>
        </w:rPr>
        <w:t>“Evaluación de Línea de Base Honduras. Ampliación de Programas para Reducir los Obstáculos relacionados con los Derechos Humanos al acceso a los servicios de VIH</w:t>
      </w:r>
      <w:r w:rsidR="001308EE">
        <w:rPr>
          <w:rFonts w:ascii="Arial" w:hAnsi="Arial" w:cs="Arial"/>
          <w:lang w:val="es-ES"/>
        </w:rPr>
        <w:t>”</w:t>
      </w:r>
      <w:r w:rsidR="001308EE" w:rsidRPr="006B738A">
        <w:rPr>
          <w:rFonts w:ascii="Arial" w:eastAsia="Times New Roman" w:hAnsi="Arial" w:cs="Arial"/>
          <w:lang w:val="es-ES"/>
        </w:rPr>
        <w:t xml:space="preserve"> </w:t>
      </w:r>
      <w:r w:rsidRPr="006B738A">
        <w:rPr>
          <w:rFonts w:ascii="Arial" w:eastAsia="Times New Roman" w:hAnsi="Arial" w:cs="Arial"/>
          <w:lang w:val="es-ES"/>
        </w:rPr>
        <w:t xml:space="preserve">y de un </w:t>
      </w:r>
      <w:r w:rsidR="001308EE">
        <w:rPr>
          <w:rFonts w:ascii="Arial" w:eastAsia="Times New Roman" w:hAnsi="Arial" w:cs="Arial"/>
          <w:lang w:val="es-ES"/>
        </w:rPr>
        <w:t>“</w:t>
      </w:r>
      <w:r w:rsidRPr="006B738A">
        <w:rPr>
          <w:rFonts w:ascii="Arial" w:eastAsia="Times New Roman" w:hAnsi="Arial" w:cs="Arial"/>
          <w:lang w:val="es-ES"/>
        </w:rPr>
        <w:t>Plan Quinquenal de Reducción de los Obstáculos Relacionados con los Derechos Humanos al Acceso a los Servicios de VIH</w:t>
      </w:r>
      <w:r w:rsidR="001308EE">
        <w:rPr>
          <w:rFonts w:ascii="Arial" w:eastAsia="Times New Roman" w:hAnsi="Arial" w:cs="Arial"/>
          <w:lang w:val="es-ES"/>
        </w:rPr>
        <w:t>”</w:t>
      </w:r>
      <w:r w:rsidRPr="006B738A">
        <w:rPr>
          <w:rFonts w:ascii="Arial" w:eastAsia="Times New Roman" w:hAnsi="Arial" w:cs="Arial"/>
          <w:lang w:val="es-ES"/>
        </w:rPr>
        <w:t xml:space="preserve"> que priorice las propuestas de acción que han surgido de una consulta multisectorial. Esta Estrategia de Sostenibilidad se </w:t>
      </w:r>
      <w:r w:rsidR="00817737">
        <w:rPr>
          <w:rFonts w:ascii="Arial" w:eastAsia="Times New Roman" w:hAnsi="Arial" w:cs="Arial"/>
          <w:lang w:val="es-ES"/>
        </w:rPr>
        <w:t>encuentra alineada</w:t>
      </w:r>
      <w:r w:rsidRPr="006B738A">
        <w:rPr>
          <w:rFonts w:ascii="Arial" w:eastAsia="Times New Roman" w:hAnsi="Arial" w:cs="Arial"/>
          <w:lang w:val="es-ES"/>
        </w:rPr>
        <w:t xml:space="preserve"> con el Plan Quinquenal para evitar duplicidades y fortalecer la implementación de acciones críticas.</w:t>
      </w:r>
    </w:p>
    <w:p w14:paraId="6695FB13" w14:textId="73953D05" w:rsidR="003A324D" w:rsidRPr="00E1009A" w:rsidRDefault="00E1009A" w:rsidP="00E1009A">
      <w:pPr>
        <w:pStyle w:val="Heading2"/>
        <w:numPr>
          <w:ilvl w:val="1"/>
          <w:numId w:val="20"/>
        </w:numPr>
        <w:spacing w:before="0" w:after="240" w:line="240" w:lineRule="auto"/>
        <w:rPr>
          <w:rFonts w:ascii="Arial" w:hAnsi="Arial" w:cs="Arial"/>
          <w:sz w:val="22"/>
          <w:szCs w:val="22"/>
          <w:lang w:val="es-419"/>
        </w:rPr>
      </w:pPr>
      <w:bookmarkStart w:id="125" w:name="_Toc8905256"/>
      <w:r w:rsidRPr="00DD37EC">
        <w:rPr>
          <w:rFonts w:ascii="Arial" w:hAnsi="Arial" w:cs="Arial"/>
          <w:sz w:val="22"/>
          <w:szCs w:val="22"/>
          <w:lang w:val="es-419"/>
        </w:rPr>
        <w:t>Resumen de riesgos, su impacto</w:t>
      </w:r>
      <w:r>
        <w:rPr>
          <w:rFonts w:ascii="Arial" w:hAnsi="Arial" w:cs="Arial"/>
          <w:sz w:val="22"/>
          <w:szCs w:val="22"/>
          <w:lang w:val="es-419"/>
        </w:rPr>
        <w:t xml:space="preserve"> </w:t>
      </w:r>
      <w:r w:rsidRPr="00DD37EC">
        <w:rPr>
          <w:rFonts w:ascii="Arial" w:hAnsi="Arial" w:cs="Arial"/>
          <w:sz w:val="22"/>
          <w:szCs w:val="22"/>
          <w:lang w:val="es-419"/>
        </w:rPr>
        <w:t>y soluciones potenciales</w:t>
      </w:r>
      <w:bookmarkEnd w:id="125"/>
    </w:p>
    <w:tbl>
      <w:tblPr>
        <w:tblStyle w:val="TableGrid"/>
        <w:tblW w:w="9355" w:type="dxa"/>
        <w:tblLayout w:type="fixed"/>
        <w:tblLook w:val="04A0" w:firstRow="1" w:lastRow="0" w:firstColumn="1" w:lastColumn="0" w:noHBand="0" w:noVBand="1"/>
      </w:tblPr>
      <w:tblGrid>
        <w:gridCol w:w="1536"/>
        <w:gridCol w:w="7819"/>
      </w:tblGrid>
      <w:tr w:rsidR="008B2A96" w:rsidRPr="00392E34" w14:paraId="246AB3AC" w14:textId="77777777" w:rsidTr="00DF682C">
        <w:trPr>
          <w:trHeight w:val="512"/>
        </w:trPr>
        <w:tc>
          <w:tcPr>
            <w:tcW w:w="1536" w:type="dxa"/>
            <w:shd w:val="clear" w:color="auto" w:fill="E7E6E6" w:themeFill="background2"/>
          </w:tcPr>
          <w:p w14:paraId="1BAD3DD0" w14:textId="77777777" w:rsidR="008B2A96" w:rsidRPr="00DD37EC" w:rsidRDefault="008B2A96" w:rsidP="00DF682C">
            <w:pPr>
              <w:spacing w:after="240"/>
              <w:rPr>
                <w:rFonts w:ascii="Arial" w:hAnsi="Arial" w:cs="Arial"/>
                <w:b/>
                <w:lang w:val="es-MX"/>
              </w:rPr>
            </w:pPr>
            <w:r w:rsidRPr="00DD37EC">
              <w:rPr>
                <w:rFonts w:ascii="Arial" w:hAnsi="Arial" w:cs="Arial"/>
                <w:b/>
                <w:lang w:val="es-ES"/>
              </w:rPr>
              <w:t xml:space="preserve">RIESGO </w:t>
            </w:r>
            <w:r>
              <w:rPr>
                <w:rFonts w:ascii="Arial" w:hAnsi="Arial" w:cs="Arial"/>
                <w:b/>
                <w:lang w:val="es-ES"/>
              </w:rPr>
              <w:t>5</w:t>
            </w:r>
          </w:p>
        </w:tc>
        <w:tc>
          <w:tcPr>
            <w:tcW w:w="7819" w:type="dxa"/>
            <w:shd w:val="clear" w:color="auto" w:fill="E7E6E6" w:themeFill="background2"/>
          </w:tcPr>
          <w:p w14:paraId="60291DD7" w14:textId="77777777" w:rsidR="008B2A96" w:rsidRPr="00DD37EC" w:rsidRDefault="008B2A96" w:rsidP="00DF682C">
            <w:pPr>
              <w:tabs>
                <w:tab w:val="left" w:pos="337"/>
                <w:tab w:val="left" w:pos="1486"/>
              </w:tabs>
              <w:spacing w:after="240"/>
              <w:rPr>
                <w:rFonts w:ascii="Arial" w:hAnsi="Arial" w:cs="Arial"/>
                <w:b/>
                <w:lang w:val="es-MX"/>
              </w:rPr>
            </w:pPr>
            <w:r w:rsidRPr="00710181">
              <w:rPr>
                <w:rFonts w:ascii="Arial" w:hAnsi="Arial" w:cs="Arial"/>
                <w:b/>
                <w:bCs/>
                <w:lang w:val="es-ES"/>
              </w:rPr>
              <w:t>Falta de toma de decisiones y responsabilidad política para el respeto de los Derechos Humanos</w:t>
            </w:r>
          </w:p>
        </w:tc>
      </w:tr>
      <w:tr w:rsidR="008B2A96" w:rsidRPr="00392E34" w14:paraId="5249CC09" w14:textId="77777777" w:rsidTr="00DF682C">
        <w:trPr>
          <w:trHeight w:val="802"/>
        </w:trPr>
        <w:tc>
          <w:tcPr>
            <w:tcW w:w="1536" w:type="dxa"/>
          </w:tcPr>
          <w:p w14:paraId="2C7B9CE9" w14:textId="77777777" w:rsidR="008B2A96" w:rsidRPr="00DD37EC" w:rsidRDefault="008B2A96" w:rsidP="00DF682C">
            <w:pPr>
              <w:spacing w:after="240"/>
              <w:rPr>
                <w:rFonts w:ascii="Arial" w:hAnsi="Arial" w:cs="Arial"/>
                <w:b/>
                <w:lang w:val="es-MX"/>
              </w:rPr>
            </w:pPr>
            <w:r>
              <w:rPr>
                <w:rFonts w:ascii="Arial" w:hAnsi="Arial" w:cs="Arial"/>
                <w:b/>
                <w:lang w:val="es-ES"/>
              </w:rPr>
              <w:t>Descripción e Impacto</w:t>
            </w:r>
          </w:p>
        </w:tc>
        <w:tc>
          <w:tcPr>
            <w:tcW w:w="7819" w:type="dxa"/>
          </w:tcPr>
          <w:p w14:paraId="1D3F5ECE" w14:textId="77777777" w:rsidR="008B2A96" w:rsidRPr="000C02A3" w:rsidRDefault="008B2A96" w:rsidP="00DF682C">
            <w:pPr>
              <w:spacing w:after="240"/>
              <w:rPr>
                <w:rFonts w:ascii="Arial" w:hAnsi="Arial" w:cs="Arial"/>
                <w:bCs/>
                <w:lang w:val="es-ES"/>
              </w:rPr>
            </w:pPr>
            <w:r w:rsidRPr="000C02A3">
              <w:rPr>
                <w:rFonts w:ascii="Arial" w:hAnsi="Arial" w:cs="Arial"/>
                <w:bCs/>
                <w:lang w:val="es-ES"/>
              </w:rPr>
              <w:t>En el país existe legislación para la protección de los Derechos Humanos, pero no es implementada en su totalidad (i.e. Violación sistemática del Art. 52 de Ley Especial SIDA que impide exigir prueba de VIH para acceso al trabajo). Asimismo, el marco de derechos humanos internacional que el país ha suscrito debe ser aplicado y de cumplimiento obligatorio y total.</w:t>
            </w:r>
          </w:p>
          <w:p w14:paraId="2324B53E" w14:textId="4626C6DB" w:rsidR="008B2A96" w:rsidRPr="00DD37EC" w:rsidRDefault="008B2A96" w:rsidP="00DF682C">
            <w:pPr>
              <w:spacing w:after="240"/>
              <w:rPr>
                <w:rFonts w:ascii="Arial" w:hAnsi="Arial" w:cs="Arial"/>
                <w:lang w:val="es-MX"/>
              </w:rPr>
            </w:pPr>
            <w:r w:rsidRPr="000C02A3">
              <w:rPr>
                <w:rFonts w:ascii="Arial" w:hAnsi="Arial" w:cs="Arial"/>
                <w:bCs/>
                <w:lang w:val="es-ES"/>
              </w:rPr>
              <w:t>Sin toma de decisión política expresada en implementación de la legislación de derechos humanos, persecución de violaciones de derechos humanos, las poblaciones clave y vulnerables quedan desprotegidas. Existe poca inversión pública para la eliminación de barreras al acceso a servicios de VIH y TB</w:t>
            </w:r>
            <w:r w:rsidR="006B738A">
              <w:rPr>
                <w:rFonts w:ascii="Arial" w:hAnsi="Arial" w:cs="Arial"/>
                <w:bCs/>
                <w:lang w:val="es-ES"/>
              </w:rPr>
              <w:t xml:space="preserve"> </w:t>
            </w:r>
            <w:r w:rsidRPr="000C02A3">
              <w:rPr>
                <w:rFonts w:ascii="Arial" w:hAnsi="Arial" w:cs="Arial"/>
                <w:bCs/>
                <w:lang w:val="es-ES"/>
              </w:rPr>
              <w:t>relacionadas con DDHH.</w:t>
            </w:r>
          </w:p>
        </w:tc>
      </w:tr>
      <w:tr w:rsidR="008B2A96" w:rsidRPr="00392E34" w14:paraId="5BB77FC6" w14:textId="77777777" w:rsidTr="00DF682C">
        <w:trPr>
          <w:trHeight w:val="802"/>
        </w:trPr>
        <w:tc>
          <w:tcPr>
            <w:tcW w:w="1536" w:type="dxa"/>
          </w:tcPr>
          <w:p w14:paraId="74255E2B" w14:textId="77777777" w:rsidR="008B2A96" w:rsidRPr="00DD37EC" w:rsidRDefault="008B2A96" w:rsidP="00DF682C">
            <w:pPr>
              <w:spacing w:after="240"/>
              <w:rPr>
                <w:rFonts w:ascii="Arial" w:hAnsi="Arial" w:cs="Arial"/>
                <w:b/>
                <w:lang w:val="es-MX"/>
              </w:rPr>
            </w:pPr>
            <w:r w:rsidRPr="00DD37EC">
              <w:rPr>
                <w:rFonts w:ascii="Arial" w:hAnsi="Arial" w:cs="Arial"/>
                <w:b/>
                <w:lang w:val="es-ES"/>
              </w:rPr>
              <w:t>Soluciones Potenciales</w:t>
            </w:r>
          </w:p>
        </w:tc>
        <w:tc>
          <w:tcPr>
            <w:tcW w:w="7819" w:type="dxa"/>
          </w:tcPr>
          <w:p w14:paraId="589A7CD9" w14:textId="77777777" w:rsidR="008B2A96" w:rsidRPr="00C15AC5" w:rsidRDefault="008B2A96" w:rsidP="00DF682C">
            <w:pPr>
              <w:pStyle w:val="ListParagraph"/>
              <w:numPr>
                <w:ilvl w:val="0"/>
                <w:numId w:val="31"/>
              </w:numPr>
              <w:spacing w:after="240"/>
              <w:jc w:val="both"/>
              <w:rPr>
                <w:rFonts w:ascii="Arial" w:hAnsi="Arial" w:cs="Arial"/>
                <w:bCs/>
                <w:lang w:val="es-ES"/>
              </w:rPr>
            </w:pPr>
            <w:r w:rsidRPr="00C15AC5">
              <w:rPr>
                <w:rFonts w:ascii="Arial" w:hAnsi="Arial" w:cs="Arial"/>
                <w:lang w:val="es-MX"/>
              </w:rPr>
              <w:t>Realizar una alianza estratégica entre la SEDH, AMHON (Asociación de Municipios de Honduras)</w:t>
            </w:r>
            <w:r>
              <w:rPr>
                <w:rFonts w:ascii="Arial" w:hAnsi="Arial" w:cs="Arial"/>
                <w:lang w:val="es-MX"/>
              </w:rPr>
              <w:t xml:space="preserve">, </w:t>
            </w:r>
            <w:r w:rsidRPr="00C15AC5">
              <w:rPr>
                <w:rFonts w:ascii="Arial" w:hAnsi="Arial" w:cs="Arial"/>
                <w:lang w:val="es-MX"/>
              </w:rPr>
              <w:t>el CONADEH (Comisionado Nacional de los Derechos Humanos)</w:t>
            </w:r>
            <w:r>
              <w:rPr>
                <w:rFonts w:ascii="Arial" w:hAnsi="Arial" w:cs="Arial"/>
                <w:lang w:val="es-MX"/>
              </w:rPr>
              <w:t xml:space="preserve"> y el Instituto Penitenciario</w:t>
            </w:r>
            <w:r w:rsidRPr="00C15AC5">
              <w:rPr>
                <w:rFonts w:ascii="Arial" w:hAnsi="Arial" w:cs="Arial"/>
                <w:lang w:val="es-MX"/>
              </w:rPr>
              <w:t xml:space="preserve"> para que </w:t>
            </w:r>
            <w:r>
              <w:rPr>
                <w:rFonts w:ascii="Arial" w:hAnsi="Arial" w:cs="Arial"/>
                <w:lang w:val="es-MX"/>
              </w:rPr>
              <w:t>se implementen acciones en</w:t>
            </w:r>
            <w:r w:rsidRPr="00C15AC5">
              <w:rPr>
                <w:rFonts w:ascii="Arial" w:hAnsi="Arial" w:cs="Arial"/>
                <w:lang w:val="es-MX"/>
              </w:rPr>
              <w:t xml:space="preserve"> defensa de los Derechos Humanos</w:t>
            </w:r>
            <w:r>
              <w:rPr>
                <w:rFonts w:ascii="Arial" w:hAnsi="Arial" w:cs="Arial"/>
                <w:lang w:val="es-MX"/>
              </w:rPr>
              <w:t xml:space="preserve"> de las personas privadas de libertad con TB</w:t>
            </w:r>
            <w:r w:rsidRPr="00C15AC5">
              <w:rPr>
                <w:rFonts w:ascii="Arial" w:hAnsi="Arial" w:cs="Arial"/>
                <w:lang w:val="es-MX"/>
              </w:rPr>
              <w:t xml:space="preserve"> – con la participación y acompañamiento de la sociedad civil.</w:t>
            </w:r>
          </w:p>
          <w:p w14:paraId="39B479F5" w14:textId="77777777" w:rsidR="008B2A96" w:rsidRPr="00C15AC5" w:rsidRDefault="008B2A96" w:rsidP="00DF682C">
            <w:pPr>
              <w:pStyle w:val="ListParagraph"/>
              <w:numPr>
                <w:ilvl w:val="0"/>
                <w:numId w:val="31"/>
              </w:numPr>
              <w:spacing w:after="240"/>
              <w:jc w:val="both"/>
              <w:rPr>
                <w:rFonts w:ascii="Arial" w:hAnsi="Arial" w:cs="Arial"/>
                <w:bCs/>
                <w:lang w:val="es-ES"/>
              </w:rPr>
            </w:pPr>
            <w:r w:rsidRPr="00C15AC5">
              <w:rPr>
                <w:rFonts w:ascii="Arial" w:hAnsi="Arial" w:cs="Arial"/>
                <w:lang w:val="es-MX"/>
              </w:rPr>
              <w:lastRenderedPageBreak/>
              <w:t>Implementación</w:t>
            </w:r>
            <w:r>
              <w:rPr>
                <w:rFonts w:ascii="Arial" w:hAnsi="Arial" w:cs="Arial"/>
                <w:lang w:val="es-MX"/>
              </w:rPr>
              <w:t xml:space="preserve"> y monitoreo</w:t>
            </w:r>
            <w:r w:rsidRPr="00C15AC5">
              <w:rPr>
                <w:rFonts w:ascii="Arial" w:hAnsi="Arial" w:cs="Arial"/>
                <w:lang w:val="es-MX"/>
              </w:rPr>
              <w:t xml:space="preserve"> de las acciones del Plan de Reducción de Obstáculos Relacionados con los Derechos Humanos al Acceso a los Servicios de VIH, Plan Quinquenal 2019-2023.</w:t>
            </w:r>
          </w:p>
        </w:tc>
      </w:tr>
    </w:tbl>
    <w:p w14:paraId="3C88B4C3" w14:textId="1F30B24B" w:rsidR="0082781F" w:rsidRPr="00AD747F" w:rsidRDefault="0082781F" w:rsidP="00AD747F">
      <w:pPr>
        <w:spacing w:after="240" w:line="240" w:lineRule="auto"/>
        <w:rPr>
          <w:highlight w:val="yellow"/>
          <w:lang w:val="es-MX"/>
        </w:rPr>
      </w:pPr>
    </w:p>
    <w:p w14:paraId="292A1BE8" w14:textId="5A04E7ED" w:rsidR="00F166A3" w:rsidRPr="00DD37EC" w:rsidRDefault="002378F4" w:rsidP="00DD37EC">
      <w:pPr>
        <w:pStyle w:val="Heading1"/>
        <w:spacing w:before="0" w:after="240" w:line="240" w:lineRule="auto"/>
        <w:rPr>
          <w:rFonts w:ascii="Arial" w:hAnsi="Arial" w:cs="Arial"/>
          <w:sz w:val="22"/>
          <w:szCs w:val="22"/>
          <w:lang w:val="es-419"/>
        </w:rPr>
      </w:pPr>
      <w:bookmarkStart w:id="126" w:name="_Toc8905257"/>
      <w:r>
        <w:rPr>
          <w:rFonts w:ascii="Arial" w:hAnsi="Arial" w:cs="Arial"/>
          <w:sz w:val="22"/>
          <w:szCs w:val="22"/>
          <w:lang w:val="es-419"/>
        </w:rPr>
        <w:t>8</w:t>
      </w:r>
      <w:r w:rsidR="00F166A3" w:rsidRPr="00DD37EC">
        <w:rPr>
          <w:rFonts w:ascii="Arial" w:hAnsi="Arial" w:cs="Arial"/>
          <w:sz w:val="22"/>
          <w:szCs w:val="22"/>
          <w:lang w:val="es-419"/>
        </w:rPr>
        <w:t>. Organizaciones de la Sociedad Civil</w:t>
      </w:r>
      <w:bookmarkEnd w:id="126"/>
      <w:r w:rsidR="00F166A3" w:rsidRPr="00DD37EC">
        <w:rPr>
          <w:rFonts w:ascii="Arial" w:hAnsi="Arial" w:cs="Arial"/>
          <w:sz w:val="22"/>
          <w:szCs w:val="22"/>
          <w:lang w:val="es-419"/>
        </w:rPr>
        <w:t xml:space="preserve"> </w:t>
      </w:r>
    </w:p>
    <w:p w14:paraId="20685952" w14:textId="4BAA22FB" w:rsidR="00324882" w:rsidRPr="00082D10" w:rsidRDefault="00F166A3" w:rsidP="0068285B">
      <w:pPr>
        <w:pStyle w:val="Heading2"/>
        <w:numPr>
          <w:ilvl w:val="1"/>
          <w:numId w:val="17"/>
        </w:numPr>
        <w:spacing w:before="0" w:after="240" w:line="240" w:lineRule="auto"/>
        <w:rPr>
          <w:rFonts w:ascii="Arial" w:hAnsi="Arial" w:cs="Arial"/>
          <w:sz w:val="22"/>
          <w:szCs w:val="22"/>
          <w:lang w:val="es-419"/>
        </w:rPr>
      </w:pPr>
      <w:bookmarkStart w:id="127" w:name="_Toc8905258"/>
      <w:r w:rsidRPr="00DD37EC">
        <w:rPr>
          <w:rFonts w:ascii="Arial" w:hAnsi="Arial" w:cs="Arial"/>
          <w:sz w:val="22"/>
          <w:szCs w:val="22"/>
          <w:lang w:val="es-419"/>
        </w:rPr>
        <w:t>Estructura y roles actuales de la sociedad civil</w:t>
      </w:r>
      <w:bookmarkEnd w:id="127"/>
      <w:r w:rsidRPr="00DD37EC">
        <w:rPr>
          <w:rFonts w:ascii="Arial" w:hAnsi="Arial" w:cs="Arial"/>
          <w:sz w:val="22"/>
          <w:szCs w:val="22"/>
          <w:lang w:val="es-419"/>
        </w:rPr>
        <w:t xml:space="preserve"> </w:t>
      </w:r>
    </w:p>
    <w:p w14:paraId="0E8C27A6" w14:textId="2CB95691" w:rsidR="00324882" w:rsidRPr="00DD37EC" w:rsidRDefault="00324882" w:rsidP="00082D10">
      <w:pPr>
        <w:spacing w:after="240" w:line="240" w:lineRule="auto"/>
        <w:jc w:val="both"/>
        <w:rPr>
          <w:rFonts w:ascii="Arial" w:hAnsi="Arial" w:cs="Arial"/>
          <w:lang w:val="es-ES"/>
        </w:rPr>
      </w:pPr>
      <w:r w:rsidRPr="00DD37EC">
        <w:rPr>
          <w:rFonts w:ascii="Arial" w:hAnsi="Arial" w:cs="Arial"/>
          <w:lang w:val="es-ES"/>
        </w:rPr>
        <w:t>A pesar de que existe consciencia de que el gobierno no siempre pued</w:t>
      </w:r>
      <w:r w:rsidR="007560E7">
        <w:rPr>
          <w:rFonts w:ascii="Arial" w:hAnsi="Arial" w:cs="Arial"/>
          <w:lang w:val="es-ES"/>
        </w:rPr>
        <w:t>e</w:t>
      </w:r>
      <w:r w:rsidRPr="00DD37EC">
        <w:rPr>
          <w:rFonts w:ascii="Arial" w:hAnsi="Arial" w:cs="Arial"/>
          <w:lang w:val="es-ES"/>
        </w:rPr>
        <w:t xml:space="preserve"> prestar servicios de salud a poblaciones clave y vulnerables, el apoyo y reconocimiento de la labor de las OSC en Honduras es limitado y difícil. La experiencia del Fondo Mundial indica que en VIH/SIDA, tuberculosis y malaria, las OSC formadas por pares tienen mejor oportunidad </w:t>
      </w:r>
      <w:r w:rsidR="007560E7">
        <w:rPr>
          <w:rFonts w:ascii="Arial" w:hAnsi="Arial" w:cs="Arial"/>
          <w:lang w:val="es-ES"/>
        </w:rPr>
        <w:t>de</w:t>
      </w:r>
      <w:r w:rsidRPr="00DD37EC">
        <w:rPr>
          <w:rFonts w:ascii="Arial" w:hAnsi="Arial" w:cs="Arial"/>
          <w:lang w:val="es-ES"/>
        </w:rPr>
        <w:t xml:space="preserve"> llegar a las poblaciones clave con servicios de prevención, información, defensa, alcance, pruebas rápidas, acceso al tratamiento, seguimiento y atención. Sin embargo, en Honduras, el apoyo financiero, institucional, logístico y operativo de las OSC es mínimo. </w:t>
      </w:r>
    </w:p>
    <w:p w14:paraId="0C3BF084" w14:textId="1E94156C" w:rsidR="00324882" w:rsidRPr="00DD37EC" w:rsidRDefault="00324882" w:rsidP="00082D10">
      <w:pPr>
        <w:spacing w:after="240" w:line="240" w:lineRule="auto"/>
        <w:jc w:val="both"/>
        <w:rPr>
          <w:rFonts w:ascii="Arial" w:hAnsi="Arial" w:cs="Arial"/>
          <w:lang w:val="es-ES"/>
        </w:rPr>
      </w:pPr>
      <w:r w:rsidRPr="00DD37EC">
        <w:rPr>
          <w:rFonts w:ascii="Arial" w:hAnsi="Arial" w:cs="Arial"/>
          <w:lang w:val="es-ES"/>
        </w:rPr>
        <w:t xml:space="preserve">Los procedimientos para obtener la personalidad jurídica </w:t>
      </w:r>
      <w:r w:rsidR="00B66422">
        <w:rPr>
          <w:rFonts w:ascii="Arial" w:hAnsi="Arial" w:cs="Arial"/>
          <w:lang w:val="es-ES"/>
        </w:rPr>
        <w:t xml:space="preserve">existen, pero </w:t>
      </w:r>
      <w:r w:rsidRPr="00DD37EC">
        <w:rPr>
          <w:rFonts w:ascii="Arial" w:hAnsi="Arial" w:cs="Arial"/>
          <w:lang w:val="es-ES"/>
        </w:rPr>
        <w:t>pueden tomar cierto tiempo. Asimismo</w:t>
      </w:r>
      <w:r w:rsidR="008C7FAF" w:rsidRPr="00DD37EC">
        <w:rPr>
          <w:rFonts w:ascii="Arial" w:hAnsi="Arial" w:cs="Arial"/>
          <w:lang w:val="es-ES"/>
        </w:rPr>
        <w:t>,</w:t>
      </w:r>
      <w:r w:rsidRPr="00DD37EC">
        <w:rPr>
          <w:rFonts w:ascii="Arial" w:hAnsi="Arial" w:cs="Arial"/>
          <w:lang w:val="es-ES"/>
        </w:rPr>
        <w:t xml:space="preserve"> </w:t>
      </w:r>
      <w:r w:rsidR="00B66422">
        <w:rPr>
          <w:rFonts w:ascii="Arial" w:hAnsi="Arial" w:cs="Arial"/>
          <w:lang w:val="es-ES"/>
        </w:rPr>
        <w:t>se reportan</w:t>
      </w:r>
      <w:r w:rsidRPr="00DD37EC">
        <w:rPr>
          <w:rFonts w:ascii="Arial" w:hAnsi="Arial" w:cs="Arial"/>
          <w:lang w:val="es-ES"/>
        </w:rPr>
        <w:t xml:space="preserve"> casos de sesgo o discriminación dentro del registro, por ejemplo</w:t>
      </w:r>
      <w:r w:rsidR="008C7FAF" w:rsidRPr="00DD37EC">
        <w:rPr>
          <w:rFonts w:ascii="Arial" w:hAnsi="Arial" w:cs="Arial"/>
          <w:lang w:val="es-ES"/>
        </w:rPr>
        <w:t>,</w:t>
      </w:r>
      <w:r w:rsidRPr="00DD37EC">
        <w:rPr>
          <w:rFonts w:ascii="Arial" w:hAnsi="Arial" w:cs="Arial"/>
          <w:lang w:val="es-ES"/>
        </w:rPr>
        <w:t xml:space="preserve"> </w:t>
      </w:r>
      <w:r w:rsidR="00B66422">
        <w:rPr>
          <w:rFonts w:ascii="Arial" w:hAnsi="Arial" w:cs="Arial"/>
          <w:lang w:val="es-ES"/>
        </w:rPr>
        <w:t>al bloquear el proceso de registro de organizaciones que contienen la palabra “transgénero”.</w:t>
      </w:r>
    </w:p>
    <w:p w14:paraId="36A74763" w14:textId="4A68CF5F" w:rsidR="00324882" w:rsidRPr="00E15312" w:rsidRDefault="00382AAD" w:rsidP="00082D10">
      <w:pPr>
        <w:spacing w:after="240" w:line="240" w:lineRule="auto"/>
        <w:jc w:val="both"/>
        <w:rPr>
          <w:rFonts w:ascii="Arial" w:hAnsi="Arial" w:cs="Arial"/>
          <w:lang w:val="es-MX"/>
        </w:rPr>
      </w:pPr>
      <w:r>
        <w:rPr>
          <w:rFonts w:ascii="Arial" w:hAnsi="Arial" w:cs="Arial"/>
          <w:lang w:val="es-ES"/>
        </w:rPr>
        <w:t xml:space="preserve">La mayoría de las OSC </w:t>
      </w:r>
      <w:r w:rsidR="00181754">
        <w:rPr>
          <w:rFonts w:ascii="Arial" w:hAnsi="Arial" w:cs="Arial"/>
          <w:lang w:val="es-ES"/>
        </w:rPr>
        <w:t>consultadas trabajan</w:t>
      </w:r>
      <w:r>
        <w:rPr>
          <w:rFonts w:ascii="Arial" w:hAnsi="Arial" w:cs="Arial"/>
          <w:lang w:val="es-ES"/>
        </w:rPr>
        <w:t xml:space="preserve"> en VIH, sin embargo</w:t>
      </w:r>
      <w:r w:rsidR="004A3B05">
        <w:rPr>
          <w:rFonts w:ascii="Arial" w:hAnsi="Arial" w:cs="Arial"/>
          <w:lang w:val="es-ES"/>
        </w:rPr>
        <w:t>,</w:t>
      </w:r>
      <w:r>
        <w:rPr>
          <w:rFonts w:ascii="Arial" w:hAnsi="Arial" w:cs="Arial"/>
          <w:lang w:val="es-ES"/>
        </w:rPr>
        <w:t xml:space="preserve"> se mencionó el caso de una nueva OSC</w:t>
      </w:r>
      <w:r w:rsidR="00324882" w:rsidRPr="00DD37EC">
        <w:rPr>
          <w:rFonts w:ascii="Arial" w:hAnsi="Arial" w:cs="Arial"/>
          <w:lang w:val="es-ES"/>
        </w:rPr>
        <w:t xml:space="preserve"> </w:t>
      </w:r>
      <w:r>
        <w:rPr>
          <w:rFonts w:ascii="Arial" w:hAnsi="Arial" w:cs="Arial"/>
          <w:lang w:val="es-ES"/>
        </w:rPr>
        <w:t>que se encuentra a</w:t>
      </w:r>
      <w:r w:rsidR="00324882" w:rsidRPr="00DD37EC">
        <w:rPr>
          <w:rFonts w:ascii="Arial" w:hAnsi="Arial" w:cs="Arial"/>
          <w:lang w:val="es-ES"/>
        </w:rPr>
        <w:t xml:space="preserve"> punto de obtener</w:t>
      </w:r>
      <w:r w:rsidR="004A3B05">
        <w:rPr>
          <w:rFonts w:ascii="Arial" w:hAnsi="Arial" w:cs="Arial"/>
          <w:lang w:val="es-ES"/>
        </w:rPr>
        <w:t xml:space="preserve"> su estatus legal para trabajar en </w:t>
      </w:r>
      <w:r w:rsidR="00324882" w:rsidRPr="00DD37EC">
        <w:rPr>
          <w:rFonts w:ascii="Arial" w:hAnsi="Arial" w:cs="Arial"/>
          <w:lang w:val="es-ES"/>
        </w:rPr>
        <w:t>TB</w:t>
      </w:r>
      <w:r w:rsidR="004A3B05">
        <w:rPr>
          <w:rFonts w:ascii="Arial" w:hAnsi="Arial" w:cs="Arial"/>
          <w:lang w:val="es-ES"/>
        </w:rPr>
        <w:t>. Su principal enfoque será</w:t>
      </w:r>
      <w:r w:rsidR="00324882" w:rsidRPr="00DD37EC">
        <w:rPr>
          <w:rFonts w:ascii="Arial" w:hAnsi="Arial" w:cs="Arial"/>
          <w:lang w:val="es-ES"/>
        </w:rPr>
        <w:t xml:space="preserve"> en los lugares de trabajo, en conjunto con empresas y sindicatos</w:t>
      </w:r>
      <w:r w:rsidR="005F5F54">
        <w:rPr>
          <w:rFonts w:ascii="Arial" w:hAnsi="Arial" w:cs="Arial"/>
          <w:lang w:val="es-ES"/>
        </w:rPr>
        <w:t xml:space="preserve">, con </w:t>
      </w:r>
      <w:r w:rsidR="00937A3B">
        <w:rPr>
          <w:rFonts w:ascii="Arial" w:hAnsi="Arial" w:cs="Arial"/>
          <w:lang w:val="es-ES"/>
        </w:rPr>
        <w:t xml:space="preserve">especial </w:t>
      </w:r>
      <w:r w:rsidR="005F5F54">
        <w:rPr>
          <w:rFonts w:ascii="Arial" w:hAnsi="Arial" w:cs="Arial"/>
          <w:lang w:val="es-ES"/>
        </w:rPr>
        <w:t xml:space="preserve">énfasis en </w:t>
      </w:r>
      <w:r w:rsidR="00324882" w:rsidRPr="00DD37EC">
        <w:rPr>
          <w:rFonts w:ascii="Arial" w:hAnsi="Arial" w:cs="Arial"/>
          <w:lang w:val="es-ES"/>
        </w:rPr>
        <w:t>las maquilas o fábricas que importan materias primas, procesan, ensamblan, fabrican y exportan. Esta OSC puede aportar una apertura de actividades con el sector laboral y empresarial que puede ser usado como vehículo y experiencia para las OSC trabajando en VIH.</w:t>
      </w:r>
    </w:p>
    <w:p w14:paraId="72467EE2" w14:textId="51E2078D" w:rsidR="00324882" w:rsidRPr="00DD37EC" w:rsidRDefault="00324882" w:rsidP="00082D10">
      <w:pPr>
        <w:spacing w:after="240" w:line="240" w:lineRule="auto"/>
        <w:jc w:val="both"/>
        <w:rPr>
          <w:rFonts w:ascii="Arial" w:hAnsi="Arial" w:cs="Arial"/>
          <w:lang w:val="es-ES"/>
        </w:rPr>
      </w:pPr>
      <w:bookmarkStart w:id="128" w:name="_Toc534983191"/>
      <w:r w:rsidRPr="00DD37EC">
        <w:rPr>
          <w:rFonts w:ascii="Arial" w:hAnsi="Arial" w:cs="Arial"/>
          <w:lang w:val="es-ES"/>
        </w:rPr>
        <w:t xml:space="preserve">Las OSC realizan una amplia gama de actividades con los pocos recursos que poseen. De </w:t>
      </w:r>
      <w:r w:rsidR="00C97C6D">
        <w:rPr>
          <w:rFonts w:ascii="Arial" w:hAnsi="Arial" w:cs="Arial"/>
          <w:lang w:val="es-ES"/>
        </w:rPr>
        <w:t>acuerdo con las entrevistas estas actividades incluyen la</w:t>
      </w:r>
      <w:r w:rsidRPr="00DD37EC">
        <w:rPr>
          <w:rFonts w:ascii="Arial" w:hAnsi="Arial" w:cs="Arial"/>
          <w:lang w:val="es-ES"/>
        </w:rPr>
        <w:t xml:space="preserve"> prepara</w:t>
      </w:r>
      <w:r w:rsidR="00C97C6D">
        <w:rPr>
          <w:rFonts w:ascii="Arial" w:hAnsi="Arial" w:cs="Arial"/>
          <w:lang w:val="es-ES"/>
        </w:rPr>
        <w:t>ción</w:t>
      </w:r>
      <w:r w:rsidRPr="00DD37EC">
        <w:rPr>
          <w:rFonts w:ascii="Arial" w:hAnsi="Arial" w:cs="Arial"/>
          <w:lang w:val="es-ES"/>
        </w:rPr>
        <w:t xml:space="preserve"> y distribu</w:t>
      </w:r>
      <w:r w:rsidR="00C97C6D">
        <w:rPr>
          <w:rFonts w:ascii="Arial" w:hAnsi="Arial" w:cs="Arial"/>
          <w:lang w:val="es-ES"/>
        </w:rPr>
        <w:t xml:space="preserve">ción de </w:t>
      </w:r>
      <w:r w:rsidRPr="00DD37EC">
        <w:rPr>
          <w:rFonts w:ascii="Arial" w:hAnsi="Arial" w:cs="Arial"/>
          <w:lang w:val="es-ES"/>
        </w:rPr>
        <w:t>material de información, realiza</w:t>
      </w:r>
      <w:r w:rsidR="00C97C6D">
        <w:rPr>
          <w:rFonts w:ascii="Arial" w:hAnsi="Arial" w:cs="Arial"/>
          <w:lang w:val="es-ES"/>
        </w:rPr>
        <w:t>ción de</w:t>
      </w:r>
      <w:r w:rsidRPr="00DD37EC">
        <w:rPr>
          <w:rFonts w:ascii="Arial" w:hAnsi="Arial" w:cs="Arial"/>
          <w:lang w:val="es-ES"/>
        </w:rPr>
        <w:t xml:space="preserve"> visitas domiciliarias, acompaña</w:t>
      </w:r>
      <w:r w:rsidR="00C97C6D">
        <w:rPr>
          <w:rFonts w:ascii="Arial" w:hAnsi="Arial" w:cs="Arial"/>
          <w:lang w:val="es-ES"/>
        </w:rPr>
        <w:t>miento de</w:t>
      </w:r>
      <w:r w:rsidRPr="00DD37EC">
        <w:rPr>
          <w:rFonts w:ascii="Arial" w:hAnsi="Arial" w:cs="Arial"/>
          <w:lang w:val="es-ES"/>
        </w:rPr>
        <w:t xml:space="preserve"> personas a los servicios de salud, y seguimiento para asegurar que los pacientes no abandonen el tratamiento.  Pero estas actividades son un mínimo de lo que las OSC p</w:t>
      </w:r>
      <w:r w:rsidR="00054372">
        <w:rPr>
          <w:rFonts w:ascii="Arial" w:hAnsi="Arial" w:cs="Arial"/>
          <w:lang w:val="es-ES"/>
        </w:rPr>
        <w:t>odrían</w:t>
      </w:r>
      <w:r w:rsidRPr="00DD37EC">
        <w:rPr>
          <w:rFonts w:ascii="Arial" w:hAnsi="Arial" w:cs="Arial"/>
          <w:lang w:val="es-ES"/>
        </w:rPr>
        <w:t xml:space="preserve"> hacer </w:t>
      </w:r>
      <w:r w:rsidR="00054372">
        <w:rPr>
          <w:rFonts w:ascii="Arial" w:hAnsi="Arial" w:cs="Arial"/>
          <w:lang w:val="es-ES"/>
        </w:rPr>
        <w:t>con un mayor</w:t>
      </w:r>
      <w:r w:rsidRPr="00DD37EC">
        <w:rPr>
          <w:rFonts w:ascii="Arial" w:hAnsi="Arial" w:cs="Arial"/>
          <w:lang w:val="es-ES"/>
        </w:rPr>
        <w:t xml:space="preserve"> financiamiento y apoyo.  Las OSC deben ser consideradas como un complemento esencial en la respuesta al VIH y TB</w:t>
      </w:r>
      <w:r w:rsidR="00114092">
        <w:rPr>
          <w:rFonts w:ascii="Arial" w:hAnsi="Arial" w:cs="Arial"/>
          <w:lang w:val="es-ES"/>
        </w:rPr>
        <w:t xml:space="preserve"> y</w:t>
      </w:r>
      <w:r w:rsidRPr="00DD37EC">
        <w:rPr>
          <w:rFonts w:ascii="Arial" w:hAnsi="Arial" w:cs="Arial"/>
          <w:lang w:val="es-ES"/>
        </w:rPr>
        <w:t xml:space="preserve"> colaboradores estrechos </w:t>
      </w:r>
      <w:r w:rsidR="00114092">
        <w:rPr>
          <w:rFonts w:ascii="Arial" w:hAnsi="Arial" w:cs="Arial"/>
          <w:lang w:val="es-ES"/>
        </w:rPr>
        <w:t xml:space="preserve">de la SESAL, </w:t>
      </w:r>
      <w:r w:rsidR="00865A93">
        <w:rPr>
          <w:rFonts w:ascii="Arial" w:hAnsi="Arial" w:cs="Arial"/>
          <w:lang w:val="es-ES"/>
        </w:rPr>
        <w:t>al permitirles</w:t>
      </w:r>
      <w:r w:rsidR="00114092">
        <w:rPr>
          <w:rFonts w:ascii="Arial" w:hAnsi="Arial" w:cs="Arial"/>
          <w:lang w:val="es-ES"/>
        </w:rPr>
        <w:t xml:space="preserve"> </w:t>
      </w:r>
      <w:r w:rsidRPr="00DD37EC">
        <w:rPr>
          <w:rFonts w:ascii="Arial" w:hAnsi="Arial" w:cs="Arial"/>
          <w:lang w:val="es-ES"/>
        </w:rPr>
        <w:t>realizar testeos, colaborar en el diagnóstico de personas afectadas</w:t>
      </w:r>
      <w:r w:rsidR="00114092">
        <w:rPr>
          <w:rFonts w:ascii="Arial" w:hAnsi="Arial" w:cs="Arial"/>
          <w:lang w:val="es-ES"/>
        </w:rPr>
        <w:t xml:space="preserve"> y</w:t>
      </w:r>
      <w:r w:rsidRPr="00DD37EC">
        <w:rPr>
          <w:rFonts w:ascii="Arial" w:hAnsi="Arial" w:cs="Arial"/>
          <w:lang w:val="es-ES"/>
        </w:rPr>
        <w:t xml:space="preserve"> acompañar los procesos de tratamiento y adherencia.  El papel de las OSC en testeo de poblaciones clave tiene el potencial de contribuir significativamente con el primer nivel de la cascada de VIH. Además, OSC bien instauradas en el sistema nacional pueden también contribuir con actividades de protección y servicio social y trabajar con otras entidades del estado en el fortalecimiento y alcance de poblaciones vulnerables con programas sociales más comprehensivos.</w:t>
      </w:r>
      <w:bookmarkEnd w:id="128"/>
      <w:r w:rsidRPr="00DD37EC">
        <w:rPr>
          <w:rFonts w:ascii="Arial" w:hAnsi="Arial" w:cs="Arial"/>
          <w:lang w:val="es-ES"/>
        </w:rPr>
        <w:t xml:space="preserve">  </w:t>
      </w:r>
    </w:p>
    <w:p w14:paraId="36555760" w14:textId="45A3ADAE" w:rsidR="00324882" w:rsidRPr="00DD37EC" w:rsidRDefault="00324882" w:rsidP="00082D10">
      <w:pPr>
        <w:spacing w:after="240" w:line="240" w:lineRule="auto"/>
        <w:jc w:val="both"/>
        <w:rPr>
          <w:rFonts w:ascii="Arial" w:hAnsi="Arial" w:cs="Arial"/>
          <w:lang w:val="es-ES"/>
        </w:rPr>
      </w:pPr>
      <w:r w:rsidRPr="00DD37EC">
        <w:rPr>
          <w:rFonts w:ascii="Arial" w:hAnsi="Arial" w:cs="Arial"/>
          <w:lang w:val="es-ES"/>
        </w:rPr>
        <w:t xml:space="preserve">Una limitante importante para la acción de las OSC es que sus actividades están sujetas al pago de impuestos, como Impuesto al Valor Agregado por compras o realización de eventos. En </w:t>
      </w:r>
      <w:r w:rsidR="00326560" w:rsidRPr="00DD37EC">
        <w:rPr>
          <w:rFonts w:ascii="Arial" w:hAnsi="Arial" w:cs="Arial"/>
          <w:lang w:val="es-ES"/>
        </w:rPr>
        <w:t>República</w:t>
      </w:r>
      <w:r w:rsidRPr="00DD37EC">
        <w:rPr>
          <w:rFonts w:ascii="Arial" w:hAnsi="Arial" w:cs="Arial"/>
          <w:lang w:val="es-ES"/>
        </w:rPr>
        <w:t xml:space="preserve"> Dominicana y en Chile, por ejemplo, las OSC constituidas y registradas con la autoridad de impuestos como sin fines de lucros, están exentas de impuestos. Algunas OSC indican que logran establecer una buena relación con municipios para la realización de sus campañas para obtener recursos y se les exime de hecho del pago de permisos para la ejecución de eventos públicos.</w:t>
      </w:r>
    </w:p>
    <w:p w14:paraId="1398A8FD" w14:textId="47B6E58B" w:rsidR="00324882" w:rsidRPr="00DD37EC" w:rsidRDefault="00324882" w:rsidP="00082D10">
      <w:pPr>
        <w:spacing w:after="240" w:line="240" w:lineRule="auto"/>
        <w:jc w:val="both"/>
        <w:rPr>
          <w:rFonts w:ascii="Arial" w:hAnsi="Arial" w:cs="Arial"/>
          <w:lang w:val="es-ES"/>
        </w:rPr>
      </w:pPr>
      <w:r w:rsidRPr="00DD37EC">
        <w:rPr>
          <w:rFonts w:ascii="Arial" w:hAnsi="Arial" w:cs="Arial"/>
          <w:lang w:val="es-ES"/>
        </w:rPr>
        <w:lastRenderedPageBreak/>
        <w:t>Otra limitante es la falta de una ley sobre identidad de género que permita el cambio de nombre tal como se va produciendo en la gran mayoría de países</w:t>
      </w:r>
      <w:r w:rsidR="00584AA9">
        <w:rPr>
          <w:rFonts w:ascii="Arial" w:hAnsi="Arial" w:cs="Arial"/>
          <w:lang w:val="es-ES"/>
        </w:rPr>
        <w:t>.</w:t>
      </w:r>
      <w:r w:rsidRPr="00DD37EC">
        <w:rPr>
          <w:rStyle w:val="FootnoteReference"/>
          <w:rFonts w:ascii="Arial" w:hAnsi="Arial" w:cs="Arial"/>
          <w:lang w:val="es-ES"/>
        </w:rPr>
        <w:footnoteReference w:id="131"/>
      </w:r>
      <w:r w:rsidRPr="00DD37EC">
        <w:rPr>
          <w:rFonts w:ascii="Arial" w:hAnsi="Arial" w:cs="Arial"/>
          <w:lang w:val="es-ES"/>
        </w:rPr>
        <w:t xml:space="preserve"> Las leyes de identidad de género contribuyen significativamente a disminuir el estigma y discriminación, especialmente en los servicios de salud y sociales, en el medio laboral. </w:t>
      </w:r>
    </w:p>
    <w:p w14:paraId="71E9AA85" w14:textId="587CBCCC" w:rsidR="00324882" w:rsidRPr="00DD37EC" w:rsidRDefault="00324882" w:rsidP="00082D10">
      <w:pPr>
        <w:spacing w:after="240" w:line="240" w:lineRule="auto"/>
        <w:jc w:val="both"/>
        <w:rPr>
          <w:rFonts w:ascii="Arial" w:hAnsi="Arial" w:cs="Arial"/>
          <w:lang w:val="es-ES"/>
        </w:rPr>
      </w:pPr>
      <w:r w:rsidRPr="00DD37EC">
        <w:rPr>
          <w:rFonts w:ascii="Arial" w:hAnsi="Arial" w:cs="Arial"/>
          <w:lang w:val="es-ES"/>
        </w:rPr>
        <w:t>A pesar de las limitaciones mencionadas, las OSC hacen lo posible por tener una presencia en los medios de comunicación social y participan activamente en foros y talleres. Es interesante notar de que en un ambiente que no es propicio a las OSC, estas reciben amplia cobertura en la prensa que ayuda a que la población conozca y entienda acerca de la labor de las OSC.</w:t>
      </w:r>
    </w:p>
    <w:p w14:paraId="21F0B53D" w14:textId="4463B9D2" w:rsidR="00324882" w:rsidRPr="00DD37EC" w:rsidRDefault="00324882" w:rsidP="00082D10">
      <w:pPr>
        <w:spacing w:after="240" w:line="240" w:lineRule="auto"/>
        <w:jc w:val="both"/>
        <w:rPr>
          <w:rFonts w:ascii="Arial" w:hAnsi="Arial" w:cs="Arial"/>
          <w:lang w:val="es-ES"/>
        </w:rPr>
      </w:pPr>
      <w:r w:rsidRPr="00DD37EC">
        <w:rPr>
          <w:rFonts w:ascii="Arial" w:hAnsi="Arial" w:cs="Arial"/>
          <w:lang w:val="es-ES"/>
        </w:rPr>
        <w:t>Entrevistas con algunas OSC aportaron una valiosa experiencia y un claro conocimiento de las limitaciones que sufren y sus causas. Al mismo tiempo, hay clara consciencia de que la dura labor de las OSC ha creado una generación de líderes importante. Honduras cuenta con personas capacidades, con experiencia y madurez política e institucional que bajo condiciones propicias puede realizar un extraordinario aporte a la respuesta en VIH y TB.</w:t>
      </w:r>
    </w:p>
    <w:p w14:paraId="5C682DC1" w14:textId="74924E6F" w:rsidR="00D639F7" w:rsidRDefault="00324882" w:rsidP="00082D10">
      <w:pPr>
        <w:spacing w:after="240" w:line="240" w:lineRule="auto"/>
        <w:jc w:val="both"/>
        <w:rPr>
          <w:rFonts w:ascii="Arial" w:hAnsi="Arial" w:cs="Arial"/>
          <w:lang w:val="es-ES"/>
        </w:rPr>
      </w:pPr>
      <w:r w:rsidRPr="00DD37EC">
        <w:rPr>
          <w:rFonts w:ascii="Arial" w:hAnsi="Arial" w:cs="Arial"/>
          <w:lang w:val="es-ES"/>
        </w:rPr>
        <w:t xml:space="preserve">La siguiente tabla destaca los principales aspectos de preocupación y motivación de las OSC. </w:t>
      </w:r>
    </w:p>
    <w:p w14:paraId="2BD7F2FC" w14:textId="76CCC199" w:rsidR="00BB4640" w:rsidRPr="00BB4640" w:rsidRDefault="00BB4640" w:rsidP="00BB4640">
      <w:pPr>
        <w:pStyle w:val="Caption"/>
        <w:rPr>
          <w:rFonts w:ascii="Arial" w:hAnsi="Arial" w:cs="Arial"/>
          <w:color w:val="auto"/>
          <w:sz w:val="22"/>
          <w:szCs w:val="22"/>
          <w:lang w:val="es-ES"/>
        </w:rPr>
      </w:pPr>
      <w:bookmarkStart w:id="129" w:name="_Toc8904518"/>
      <w:r w:rsidRPr="00BB4640">
        <w:rPr>
          <w:rFonts w:ascii="Arial" w:hAnsi="Arial" w:cs="Arial"/>
          <w:color w:val="auto"/>
          <w:sz w:val="22"/>
          <w:szCs w:val="22"/>
        </w:rPr>
        <w:t xml:space="preserve">Tabla </w:t>
      </w:r>
      <w:r w:rsidRPr="00BB4640">
        <w:rPr>
          <w:rFonts w:ascii="Arial" w:hAnsi="Arial" w:cs="Arial"/>
          <w:color w:val="auto"/>
          <w:sz w:val="22"/>
          <w:szCs w:val="22"/>
        </w:rPr>
        <w:fldChar w:fldCharType="begin"/>
      </w:r>
      <w:r w:rsidRPr="00BB4640">
        <w:rPr>
          <w:rFonts w:ascii="Arial" w:hAnsi="Arial" w:cs="Arial"/>
          <w:color w:val="auto"/>
          <w:sz w:val="22"/>
          <w:szCs w:val="22"/>
        </w:rPr>
        <w:instrText xml:space="preserve"> SEQ Tabla \* ARABIC </w:instrText>
      </w:r>
      <w:r w:rsidRPr="00BB4640">
        <w:rPr>
          <w:rFonts w:ascii="Arial" w:hAnsi="Arial" w:cs="Arial"/>
          <w:color w:val="auto"/>
          <w:sz w:val="22"/>
          <w:szCs w:val="22"/>
        </w:rPr>
        <w:fldChar w:fldCharType="separate"/>
      </w:r>
      <w:r w:rsidR="00D447AE">
        <w:rPr>
          <w:rFonts w:ascii="Arial" w:hAnsi="Arial" w:cs="Arial"/>
          <w:noProof/>
          <w:color w:val="auto"/>
          <w:sz w:val="22"/>
          <w:szCs w:val="22"/>
        </w:rPr>
        <w:t>16</w:t>
      </w:r>
      <w:r w:rsidRPr="00BB4640">
        <w:rPr>
          <w:rFonts w:ascii="Arial" w:hAnsi="Arial" w:cs="Arial"/>
          <w:color w:val="auto"/>
          <w:sz w:val="22"/>
          <w:szCs w:val="22"/>
        </w:rPr>
        <w:fldChar w:fldCharType="end"/>
      </w:r>
      <w:r w:rsidRPr="00BB4640">
        <w:rPr>
          <w:rFonts w:ascii="Arial" w:hAnsi="Arial" w:cs="Arial"/>
          <w:color w:val="auto"/>
          <w:sz w:val="22"/>
          <w:szCs w:val="22"/>
        </w:rPr>
        <w:t>. Desafíos enfrentados por las OSC</w:t>
      </w:r>
      <w:bookmarkEnd w:id="129"/>
    </w:p>
    <w:tbl>
      <w:tblPr>
        <w:tblStyle w:val="PlainTable5"/>
        <w:tblW w:w="10725" w:type="dxa"/>
        <w:tblInd w:w="-110" w:type="dxa"/>
        <w:tblLook w:val="04A0" w:firstRow="1" w:lastRow="0" w:firstColumn="1" w:lastColumn="0" w:noHBand="0" w:noVBand="1"/>
      </w:tblPr>
      <w:tblGrid>
        <w:gridCol w:w="1830"/>
        <w:gridCol w:w="8895"/>
      </w:tblGrid>
      <w:tr w:rsidR="00F5028F" w:rsidRPr="00980FA1" w14:paraId="202E181D" w14:textId="77777777" w:rsidTr="009B573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21" w:type="dxa"/>
            <w:tcBorders>
              <w:top w:val="single" w:sz="4" w:space="0" w:color="auto"/>
              <w:left w:val="single" w:sz="4" w:space="0" w:color="auto"/>
              <w:bottom w:val="single" w:sz="4" w:space="0" w:color="auto"/>
              <w:right w:val="single" w:sz="4" w:space="0" w:color="auto"/>
            </w:tcBorders>
            <w:shd w:val="clear" w:color="auto" w:fill="1F3864" w:themeFill="accent1" w:themeFillShade="80"/>
          </w:tcPr>
          <w:p w14:paraId="0EC4BB83" w14:textId="640CB84A" w:rsidR="00F5028F" w:rsidRPr="00DD37EC" w:rsidRDefault="00F5028F" w:rsidP="00DD37EC">
            <w:pPr>
              <w:tabs>
                <w:tab w:val="left" w:pos="198"/>
              </w:tabs>
              <w:spacing w:after="240"/>
              <w:jc w:val="center"/>
              <w:rPr>
                <w:rFonts w:ascii="Arial" w:hAnsi="Arial" w:cs="Arial"/>
                <w:i w:val="0"/>
                <w:color w:val="FFFFFF" w:themeColor="background1"/>
                <w:sz w:val="22"/>
                <w:lang w:val="es-419"/>
              </w:rPr>
            </w:pPr>
            <w:r w:rsidRPr="00DD37EC">
              <w:rPr>
                <w:rFonts w:ascii="Arial" w:hAnsi="Arial" w:cs="Arial"/>
                <w:i w:val="0"/>
                <w:color w:val="FFFFFF" w:themeColor="background1"/>
                <w:sz w:val="22"/>
                <w:lang w:val="es-419"/>
              </w:rPr>
              <w:t>Área clave</w:t>
            </w:r>
          </w:p>
        </w:tc>
        <w:tc>
          <w:tcPr>
            <w:tcW w:w="8904" w:type="dxa"/>
            <w:tcBorders>
              <w:top w:val="single" w:sz="4" w:space="0" w:color="auto"/>
              <w:left w:val="single" w:sz="4" w:space="0" w:color="auto"/>
              <w:bottom w:val="single" w:sz="4" w:space="0" w:color="auto"/>
              <w:right w:val="single" w:sz="4" w:space="0" w:color="auto"/>
            </w:tcBorders>
            <w:shd w:val="clear" w:color="auto" w:fill="1F3864" w:themeFill="accent1" w:themeFillShade="80"/>
          </w:tcPr>
          <w:p w14:paraId="2C5A52FA" w14:textId="78E6A589" w:rsidR="00F5028F" w:rsidRPr="00DD37EC" w:rsidRDefault="00F5028F" w:rsidP="00DD37EC">
            <w:pPr>
              <w:spacing w:after="240"/>
              <w:jc w:val="center"/>
              <w:cnfStyle w:val="100000000000" w:firstRow="1" w:lastRow="0" w:firstColumn="0" w:lastColumn="0" w:oddVBand="0" w:evenVBand="0" w:oddHBand="0" w:evenHBand="0" w:firstRowFirstColumn="0" w:firstRowLastColumn="0" w:lastRowFirstColumn="0" w:lastRowLastColumn="0"/>
              <w:rPr>
                <w:rFonts w:ascii="Arial" w:hAnsi="Arial" w:cs="Arial"/>
                <w:i w:val="0"/>
                <w:color w:val="FFFFFF" w:themeColor="background1"/>
                <w:sz w:val="22"/>
                <w:lang w:val="es-419"/>
              </w:rPr>
            </w:pPr>
            <w:r w:rsidRPr="00DD37EC">
              <w:rPr>
                <w:rFonts w:ascii="Arial" w:hAnsi="Arial" w:cs="Arial"/>
                <w:i w:val="0"/>
                <w:color w:val="FFFFFF" w:themeColor="background1"/>
                <w:sz w:val="22"/>
                <w:lang w:val="es-419"/>
              </w:rPr>
              <w:t xml:space="preserve">Desafíos </w:t>
            </w:r>
          </w:p>
        </w:tc>
      </w:tr>
      <w:tr w:rsidR="00F5028F" w:rsidRPr="00392E34" w14:paraId="1535C254" w14:textId="77777777" w:rsidTr="009B57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1"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13A3F6C7" w14:textId="3C54EF82" w:rsidR="00F5028F" w:rsidRPr="00DD37EC" w:rsidRDefault="00F5028F" w:rsidP="00DD37EC">
            <w:pPr>
              <w:tabs>
                <w:tab w:val="left" w:pos="198"/>
                <w:tab w:val="right" w:pos="4459"/>
              </w:tabs>
              <w:spacing w:after="240"/>
              <w:rPr>
                <w:rFonts w:ascii="Arial" w:hAnsi="Arial" w:cs="Arial"/>
                <w:b/>
                <w:sz w:val="22"/>
                <w:lang w:val="es-419"/>
              </w:rPr>
            </w:pPr>
          </w:p>
          <w:p w14:paraId="217530FC" w14:textId="405A35C0" w:rsidR="009B5737" w:rsidRDefault="009B5737" w:rsidP="00DD37EC">
            <w:pPr>
              <w:tabs>
                <w:tab w:val="left" w:pos="198"/>
                <w:tab w:val="right" w:pos="4459"/>
              </w:tabs>
              <w:spacing w:after="240"/>
              <w:rPr>
                <w:rFonts w:ascii="Arial" w:hAnsi="Arial" w:cs="Arial"/>
                <w:b/>
                <w:lang w:val="es-419"/>
              </w:rPr>
            </w:pPr>
          </w:p>
          <w:p w14:paraId="7EF2C98B" w14:textId="77777777" w:rsidR="00584AA9" w:rsidRPr="00DD37EC" w:rsidRDefault="00584AA9" w:rsidP="00C036E9">
            <w:pPr>
              <w:tabs>
                <w:tab w:val="left" w:pos="198"/>
                <w:tab w:val="right" w:pos="4459"/>
              </w:tabs>
              <w:spacing w:after="240"/>
              <w:jc w:val="left"/>
              <w:rPr>
                <w:rFonts w:ascii="Arial" w:hAnsi="Arial" w:cs="Arial"/>
                <w:b/>
                <w:i w:val="0"/>
                <w:iCs w:val="0"/>
                <w:sz w:val="22"/>
                <w:lang w:val="es-419"/>
              </w:rPr>
            </w:pPr>
          </w:p>
          <w:p w14:paraId="143EEBDD" w14:textId="77777777" w:rsidR="00F5028F" w:rsidRPr="00DD37EC" w:rsidRDefault="00F5028F" w:rsidP="00DD37EC">
            <w:pPr>
              <w:tabs>
                <w:tab w:val="left" w:pos="198"/>
                <w:tab w:val="right" w:pos="4459"/>
              </w:tabs>
              <w:spacing w:after="240"/>
              <w:jc w:val="center"/>
              <w:rPr>
                <w:rFonts w:ascii="Arial" w:hAnsi="Arial" w:cs="Arial"/>
                <w:b/>
                <w:i w:val="0"/>
                <w:iCs w:val="0"/>
                <w:sz w:val="22"/>
                <w:lang w:val="es-419"/>
              </w:rPr>
            </w:pPr>
            <w:r w:rsidRPr="00DD37EC">
              <w:rPr>
                <w:rFonts w:ascii="Arial" w:hAnsi="Arial" w:cs="Arial"/>
                <w:b/>
                <w:sz w:val="22"/>
                <w:lang w:val="es-419"/>
              </w:rPr>
              <w:t>Provisión de servicios</w:t>
            </w:r>
          </w:p>
          <w:p w14:paraId="4CEB4045" w14:textId="77777777" w:rsidR="00F5028F" w:rsidRPr="00DD37EC" w:rsidRDefault="00F5028F" w:rsidP="00DD37EC">
            <w:pPr>
              <w:tabs>
                <w:tab w:val="left" w:pos="198"/>
              </w:tabs>
              <w:spacing w:after="240"/>
              <w:jc w:val="center"/>
              <w:rPr>
                <w:rFonts w:ascii="Arial" w:hAnsi="Arial" w:cs="Arial"/>
                <w:i w:val="0"/>
                <w:iCs w:val="0"/>
                <w:sz w:val="22"/>
                <w:lang w:val="es-419"/>
              </w:rPr>
            </w:pPr>
          </w:p>
          <w:p w14:paraId="780D7FBD" w14:textId="77777777" w:rsidR="00F5028F" w:rsidRPr="00DD37EC" w:rsidRDefault="00F5028F" w:rsidP="00DD37EC">
            <w:pPr>
              <w:tabs>
                <w:tab w:val="left" w:pos="198"/>
              </w:tabs>
              <w:spacing w:after="240"/>
              <w:jc w:val="center"/>
              <w:rPr>
                <w:rFonts w:ascii="Arial" w:hAnsi="Arial" w:cs="Arial"/>
                <w:sz w:val="22"/>
                <w:lang w:val="es-419"/>
              </w:rPr>
            </w:pPr>
          </w:p>
        </w:tc>
        <w:tc>
          <w:tcPr>
            <w:tcW w:w="8904"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65F91AB" w14:textId="25EFE276" w:rsidR="00F5028F" w:rsidRPr="00DD37EC" w:rsidRDefault="00F5028F" w:rsidP="0068285B">
            <w:pPr>
              <w:pStyle w:val="ListParagraph"/>
              <w:numPr>
                <w:ilvl w:val="0"/>
                <w:numId w:val="5"/>
              </w:numPr>
              <w:spacing w:after="240"/>
              <w:cnfStyle w:val="000000100000" w:firstRow="0" w:lastRow="0" w:firstColumn="0" w:lastColumn="0" w:oddVBand="0" w:evenVBand="0" w:oddHBand="1" w:evenHBand="0" w:firstRowFirstColumn="0" w:firstRowLastColumn="0" w:lastRowFirstColumn="0" w:lastRowLastColumn="0"/>
              <w:rPr>
                <w:rFonts w:ascii="Arial" w:hAnsi="Arial" w:cs="Arial"/>
                <w:lang w:val="es-419"/>
              </w:rPr>
            </w:pPr>
            <w:r w:rsidRPr="00DD37EC">
              <w:rPr>
                <w:rFonts w:ascii="Arial" w:hAnsi="Arial" w:cs="Arial"/>
                <w:lang w:val="es-419"/>
              </w:rPr>
              <w:t xml:space="preserve">Problema de identificación con nombre de mujer trans, uso de nombre legal en servicios de salud (salvo en Centro SAIS) </w:t>
            </w:r>
            <w:r w:rsidR="009B5737" w:rsidRPr="00DD37EC">
              <w:rPr>
                <w:rFonts w:ascii="Arial" w:hAnsi="Arial" w:cs="Arial"/>
                <w:lang w:val="es-419"/>
              </w:rPr>
              <w:t>- hospitalización de mujeres trans en sector hombres</w:t>
            </w:r>
          </w:p>
          <w:p w14:paraId="38EA6C59" w14:textId="369B7DE5" w:rsidR="00F5028F" w:rsidRPr="00DD37EC" w:rsidRDefault="009B5737" w:rsidP="0068285B">
            <w:pPr>
              <w:pStyle w:val="ListParagraph"/>
              <w:numPr>
                <w:ilvl w:val="0"/>
                <w:numId w:val="5"/>
              </w:numPr>
              <w:spacing w:after="240"/>
              <w:cnfStyle w:val="000000100000" w:firstRow="0" w:lastRow="0" w:firstColumn="0" w:lastColumn="0" w:oddVBand="0" w:evenVBand="0" w:oddHBand="1" w:evenHBand="0" w:firstRowFirstColumn="0" w:firstRowLastColumn="0" w:lastRowFirstColumn="0" w:lastRowLastColumn="0"/>
              <w:rPr>
                <w:rFonts w:ascii="Arial" w:hAnsi="Arial" w:cs="Arial"/>
                <w:lang w:val="es-419"/>
              </w:rPr>
            </w:pPr>
            <w:r w:rsidRPr="00DD37EC">
              <w:rPr>
                <w:rFonts w:ascii="Arial" w:hAnsi="Arial" w:cs="Arial"/>
                <w:lang w:val="es-ES"/>
              </w:rPr>
              <w:t>Ausencia de protocolos clínicos de salud trans, abordaje trans con criterios de abordaje de HSM que es incompatible con la psicología y fisiología de la mujer trans y sus necesidades</w:t>
            </w:r>
            <w:r w:rsidR="00F5028F" w:rsidRPr="00DD37EC">
              <w:rPr>
                <w:rFonts w:ascii="Arial" w:hAnsi="Arial" w:cs="Arial"/>
                <w:lang w:val="es-419"/>
              </w:rPr>
              <w:t xml:space="preserve"> </w:t>
            </w:r>
          </w:p>
          <w:p w14:paraId="144B6162" w14:textId="0558DC5C" w:rsidR="00F5028F" w:rsidRPr="00DD37EC" w:rsidRDefault="00F5028F" w:rsidP="0068285B">
            <w:pPr>
              <w:pStyle w:val="ListParagraph"/>
              <w:numPr>
                <w:ilvl w:val="0"/>
                <w:numId w:val="5"/>
              </w:numPr>
              <w:spacing w:after="240"/>
              <w:cnfStyle w:val="000000100000" w:firstRow="0" w:lastRow="0" w:firstColumn="0" w:lastColumn="0" w:oddVBand="0" w:evenVBand="0" w:oddHBand="1" w:evenHBand="0" w:firstRowFirstColumn="0" w:firstRowLastColumn="0" w:lastRowFirstColumn="0" w:lastRowLastColumn="0"/>
              <w:rPr>
                <w:rFonts w:ascii="Arial" w:hAnsi="Arial" w:cs="Arial"/>
                <w:lang w:val="es-ES"/>
              </w:rPr>
            </w:pPr>
            <w:r w:rsidRPr="00DD37EC">
              <w:rPr>
                <w:rFonts w:ascii="Arial" w:hAnsi="Arial" w:cs="Arial"/>
                <w:lang w:val="es-ES"/>
              </w:rPr>
              <w:t>Falta de sensibilización de los guardias de servicios de salud</w:t>
            </w:r>
          </w:p>
          <w:p w14:paraId="2AE3B848" w14:textId="2772D0CE" w:rsidR="00F5028F" w:rsidRPr="00DD37EC" w:rsidRDefault="00F5028F" w:rsidP="0068285B">
            <w:pPr>
              <w:pStyle w:val="ListParagraph"/>
              <w:numPr>
                <w:ilvl w:val="0"/>
                <w:numId w:val="5"/>
              </w:numPr>
              <w:spacing w:after="240"/>
              <w:cnfStyle w:val="000000100000" w:firstRow="0" w:lastRow="0" w:firstColumn="0" w:lastColumn="0" w:oddVBand="0" w:evenVBand="0" w:oddHBand="1" w:evenHBand="0" w:firstRowFirstColumn="0" w:firstRowLastColumn="0" w:lastRowFirstColumn="0" w:lastRowLastColumn="0"/>
              <w:rPr>
                <w:rFonts w:ascii="Arial" w:hAnsi="Arial" w:cs="Arial"/>
                <w:lang w:val="es-ES"/>
              </w:rPr>
            </w:pPr>
            <w:r w:rsidRPr="00DD37EC">
              <w:rPr>
                <w:rFonts w:ascii="Arial" w:hAnsi="Arial" w:cs="Arial"/>
                <w:lang w:val="es-ES"/>
              </w:rPr>
              <w:t>Necesidad de capacitación de los prestadores de salud en un enfoque de salud diferenciado</w:t>
            </w:r>
            <w:r w:rsidR="00584AA9">
              <w:rPr>
                <w:rFonts w:ascii="Arial" w:hAnsi="Arial" w:cs="Arial"/>
                <w:lang w:val="es-ES"/>
              </w:rPr>
              <w:t>; e</w:t>
            </w:r>
            <w:r w:rsidR="009B5737" w:rsidRPr="00DD37EC">
              <w:rPr>
                <w:rFonts w:ascii="Arial" w:hAnsi="Arial" w:cs="Arial"/>
                <w:lang w:val="es-ES"/>
              </w:rPr>
              <w:t>l enfoque actual de la epidemia es vertical, se necesita un enfoque que abarque el abanico de temas en diferentes poblaciones clave incluyendo personas discapacitadas</w:t>
            </w:r>
          </w:p>
          <w:p w14:paraId="0B742D7D" w14:textId="438C4C23" w:rsidR="00F5028F" w:rsidRPr="00DD37EC" w:rsidRDefault="009B5737" w:rsidP="0068285B">
            <w:pPr>
              <w:pStyle w:val="ListParagraph"/>
              <w:numPr>
                <w:ilvl w:val="0"/>
                <w:numId w:val="5"/>
              </w:numPr>
              <w:spacing w:after="240"/>
              <w:cnfStyle w:val="000000100000" w:firstRow="0" w:lastRow="0" w:firstColumn="0" w:lastColumn="0" w:oddVBand="0" w:evenVBand="0" w:oddHBand="1" w:evenHBand="0" w:firstRowFirstColumn="0" w:firstRowLastColumn="0" w:lastRowFirstColumn="0" w:lastRowLastColumn="0"/>
              <w:rPr>
                <w:rFonts w:ascii="Arial" w:hAnsi="Arial" w:cs="Arial"/>
                <w:lang w:val="es-ES"/>
              </w:rPr>
            </w:pPr>
            <w:r w:rsidRPr="00DD37EC">
              <w:rPr>
                <w:rFonts w:ascii="Arial" w:hAnsi="Arial" w:cs="Arial"/>
                <w:lang w:val="es-ES"/>
              </w:rPr>
              <w:t>Déficit de</w:t>
            </w:r>
            <w:r w:rsidR="00F5028F" w:rsidRPr="00DD37EC">
              <w:rPr>
                <w:rFonts w:ascii="Arial" w:hAnsi="Arial" w:cs="Arial"/>
                <w:lang w:val="es-ES"/>
              </w:rPr>
              <w:t xml:space="preserve"> endocrinólogos con conocimiento salud mujer tran</w:t>
            </w:r>
            <w:r w:rsidRPr="00DD37EC">
              <w:rPr>
                <w:rFonts w:ascii="Arial" w:hAnsi="Arial" w:cs="Arial"/>
                <w:lang w:val="es-ES"/>
              </w:rPr>
              <w:t>s</w:t>
            </w:r>
          </w:p>
          <w:p w14:paraId="0301C737" w14:textId="755E6008" w:rsidR="00F5028F" w:rsidRPr="00DD37EC" w:rsidRDefault="00F5028F" w:rsidP="0068285B">
            <w:pPr>
              <w:pStyle w:val="ListParagraph"/>
              <w:numPr>
                <w:ilvl w:val="0"/>
                <w:numId w:val="5"/>
              </w:numPr>
              <w:spacing w:after="240"/>
              <w:cnfStyle w:val="000000100000" w:firstRow="0" w:lastRow="0" w:firstColumn="0" w:lastColumn="0" w:oddVBand="0" w:evenVBand="0" w:oddHBand="1" w:evenHBand="0" w:firstRowFirstColumn="0" w:firstRowLastColumn="0" w:lastRowFirstColumn="0" w:lastRowLastColumn="0"/>
              <w:rPr>
                <w:rFonts w:ascii="Arial" w:hAnsi="Arial" w:cs="Arial"/>
                <w:lang w:val="es-419"/>
              </w:rPr>
            </w:pPr>
            <w:r w:rsidRPr="00DD37EC">
              <w:rPr>
                <w:rFonts w:ascii="Arial" w:hAnsi="Arial" w:cs="Arial"/>
                <w:lang w:val="es-419"/>
              </w:rPr>
              <w:t xml:space="preserve">Desabastecimiento de medicamentos </w:t>
            </w:r>
            <w:r w:rsidR="009B5737" w:rsidRPr="00DD37EC">
              <w:rPr>
                <w:rFonts w:ascii="Arial" w:hAnsi="Arial" w:cs="Arial"/>
                <w:lang w:val="es-419"/>
              </w:rPr>
              <w:t>en centros de salud</w:t>
            </w:r>
            <w:r w:rsidR="009B5737" w:rsidRPr="00DD37EC">
              <w:rPr>
                <w:rFonts w:ascii="Arial" w:hAnsi="Arial" w:cs="Arial"/>
                <w:highlight w:val="yellow"/>
                <w:lang w:val="es-419"/>
              </w:rPr>
              <w:t xml:space="preserve"> </w:t>
            </w:r>
          </w:p>
          <w:p w14:paraId="7644424C" w14:textId="1A881E2E" w:rsidR="00F5028F" w:rsidRPr="00DD37EC" w:rsidRDefault="00F5028F" w:rsidP="0068285B">
            <w:pPr>
              <w:pStyle w:val="ListParagraph"/>
              <w:numPr>
                <w:ilvl w:val="0"/>
                <w:numId w:val="5"/>
              </w:numPr>
              <w:spacing w:after="240"/>
              <w:cnfStyle w:val="000000100000" w:firstRow="0" w:lastRow="0" w:firstColumn="0" w:lastColumn="0" w:oddVBand="0" w:evenVBand="0" w:oddHBand="1" w:evenHBand="0" w:firstRowFirstColumn="0" w:firstRowLastColumn="0" w:lastRowFirstColumn="0" w:lastRowLastColumn="0"/>
              <w:rPr>
                <w:rFonts w:ascii="Arial" w:hAnsi="Arial" w:cs="Arial"/>
                <w:lang w:val="es-ES"/>
              </w:rPr>
            </w:pPr>
            <w:r w:rsidRPr="00DD37EC">
              <w:rPr>
                <w:rFonts w:ascii="Arial" w:hAnsi="Arial" w:cs="Arial"/>
                <w:lang w:val="es-ES"/>
              </w:rPr>
              <w:t xml:space="preserve">Relaciones </w:t>
            </w:r>
            <w:r w:rsidR="009B5737" w:rsidRPr="00DD37EC">
              <w:rPr>
                <w:rFonts w:ascii="Arial" w:hAnsi="Arial" w:cs="Arial"/>
                <w:lang w:val="es-ES"/>
              </w:rPr>
              <w:t>informales</w:t>
            </w:r>
            <w:r w:rsidRPr="00DD37EC">
              <w:rPr>
                <w:rFonts w:ascii="Arial" w:hAnsi="Arial" w:cs="Arial"/>
                <w:lang w:val="es-ES"/>
              </w:rPr>
              <w:t xml:space="preserve"> con laboratorios de VIH y la falta de confidencialidad en laboratorios</w:t>
            </w:r>
          </w:p>
          <w:p w14:paraId="49E299DE" w14:textId="1D9A4B08" w:rsidR="00F5028F" w:rsidRPr="00DD37EC" w:rsidRDefault="00F5028F" w:rsidP="0068285B">
            <w:pPr>
              <w:pStyle w:val="ListParagraph"/>
              <w:numPr>
                <w:ilvl w:val="0"/>
                <w:numId w:val="5"/>
              </w:numPr>
              <w:spacing w:after="240"/>
              <w:cnfStyle w:val="000000100000" w:firstRow="0" w:lastRow="0" w:firstColumn="0" w:lastColumn="0" w:oddVBand="0" w:evenVBand="0" w:oddHBand="1" w:evenHBand="0" w:firstRowFirstColumn="0" w:firstRowLastColumn="0" w:lastRowFirstColumn="0" w:lastRowLastColumn="0"/>
              <w:rPr>
                <w:rFonts w:ascii="Arial" w:hAnsi="Arial" w:cs="Arial"/>
                <w:lang w:val="es-ES"/>
              </w:rPr>
            </w:pPr>
            <w:r w:rsidRPr="00DD37EC">
              <w:rPr>
                <w:rFonts w:ascii="Arial" w:hAnsi="Arial" w:cs="Arial"/>
                <w:lang w:val="es-ES"/>
              </w:rPr>
              <w:t>Creciente número de abandonos de tratamiento</w:t>
            </w:r>
          </w:p>
        </w:tc>
      </w:tr>
      <w:tr w:rsidR="00F5028F" w:rsidRPr="00392E34" w14:paraId="6F047299" w14:textId="77777777" w:rsidTr="009B5737">
        <w:tc>
          <w:tcPr>
            <w:cnfStyle w:val="001000000000" w:firstRow="0" w:lastRow="0" w:firstColumn="1" w:lastColumn="0" w:oddVBand="0" w:evenVBand="0" w:oddHBand="0" w:evenHBand="0" w:firstRowFirstColumn="0" w:firstRowLastColumn="0" w:lastRowFirstColumn="0" w:lastRowLastColumn="0"/>
            <w:tcW w:w="1821" w:type="dxa"/>
            <w:tcBorders>
              <w:top w:val="single" w:sz="4" w:space="0" w:color="auto"/>
              <w:left w:val="single" w:sz="4" w:space="0" w:color="auto"/>
              <w:bottom w:val="single" w:sz="4" w:space="0" w:color="auto"/>
              <w:right w:val="single" w:sz="4" w:space="0" w:color="auto"/>
            </w:tcBorders>
          </w:tcPr>
          <w:p w14:paraId="0D806D31" w14:textId="77777777" w:rsidR="00F5028F" w:rsidRPr="00DD37EC" w:rsidRDefault="00F5028F" w:rsidP="00C036E9">
            <w:pPr>
              <w:spacing w:after="240"/>
              <w:jc w:val="left"/>
              <w:rPr>
                <w:rFonts w:ascii="Arial" w:hAnsi="Arial" w:cs="Arial"/>
                <w:i w:val="0"/>
                <w:iCs w:val="0"/>
                <w:sz w:val="22"/>
                <w:lang w:val="es-419"/>
              </w:rPr>
            </w:pPr>
          </w:p>
          <w:p w14:paraId="12E9B5D0" w14:textId="432AE443" w:rsidR="00F5028F" w:rsidRPr="00DD37EC" w:rsidRDefault="00F5028F" w:rsidP="00C036E9">
            <w:pPr>
              <w:spacing w:after="240"/>
              <w:jc w:val="left"/>
              <w:rPr>
                <w:rFonts w:ascii="Arial" w:hAnsi="Arial" w:cs="Arial"/>
                <w:b/>
                <w:i w:val="0"/>
                <w:iCs w:val="0"/>
                <w:sz w:val="22"/>
                <w:lang w:val="es-419"/>
              </w:rPr>
            </w:pPr>
            <w:r w:rsidRPr="00DD37EC">
              <w:rPr>
                <w:rFonts w:ascii="Arial" w:hAnsi="Arial" w:cs="Arial"/>
                <w:b/>
                <w:sz w:val="22"/>
                <w:lang w:val="es-419"/>
              </w:rPr>
              <w:t>Financiamiento</w:t>
            </w:r>
          </w:p>
          <w:p w14:paraId="2AF0AB34" w14:textId="77777777" w:rsidR="00F5028F" w:rsidRPr="00DD37EC" w:rsidRDefault="00F5028F" w:rsidP="00DD37EC">
            <w:pPr>
              <w:spacing w:after="240"/>
              <w:jc w:val="center"/>
              <w:rPr>
                <w:rFonts w:ascii="Arial" w:hAnsi="Arial" w:cs="Arial"/>
                <w:i w:val="0"/>
                <w:iCs w:val="0"/>
                <w:sz w:val="22"/>
                <w:lang w:val="es-419"/>
              </w:rPr>
            </w:pPr>
          </w:p>
          <w:p w14:paraId="6DE4BE08" w14:textId="77777777" w:rsidR="00F5028F" w:rsidRPr="00DD37EC" w:rsidRDefault="00F5028F" w:rsidP="00DD37EC">
            <w:pPr>
              <w:spacing w:after="240"/>
              <w:jc w:val="center"/>
              <w:rPr>
                <w:rFonts w:ascii="Arial" w:hAnsi="Arial" w:cs="Arial"/>
                <w:sz w:val="22"/>
                <w:lang w:val="es-419"/>
              </w:rPr>
            </w:pPr>
          </w:p>
        </w:tc>
        <w:tc>
          <w:tcPr>
            <w:tcW w:w="8904" w:type="dxa"/>
            <w:tcBorders>
              <w:top w:val="single" w:sz="4" w:space="0" w:color="auto"/>
              <w:left w:val="single" w:sz="4" w:space="0" w:color="auto"/>
              <w:bottom w:val="single" w:sz="4" w:space="0" w:color="auto"/>
              <w:right w:val="single" w:sz="4" w:space="0" w:color="auto"/>
            </w:tcBorders>
          </w:tcPr>
          <w:p w14:paraId="7B5B386E" w14:textId="3EA4F078" w:rsidR="00F5028F" w:rsidRPr="00DD37EC" w:rsidRDefault="00F5028F" w:rsidP="0068285B">
            <w:pPr>
              <w:pStyle w:val="ListParagraph"/>
              <w:numPr>
                <w:ilvl w:val="0"/>
                <w:numId w:val="6"/>
              </w:numPr>
              <w:spacing w:after="240"/>
              <w:cnfStyle w:val="000000000000" w:firstRow="0" w:lastRow="0" w:firstColumn="0" w:lastColumn="0" w:oddVBand="0" w:evenVBand="0" w:oddHBand="0" w:evenHBand="0" w:firstRowFirstColumn="0" w:firstRowLastColumn="0" w:lastRowFirstColumn="0" w:lastRowLastColumn="0"/>
              <w:rPr>
                <w:rFonts w:ascii="Arial" w:hAnsi="Arial" w:cs="Arial"/>
                <w:lang w:val="es-419"/>
              </w:rPr>
            </w:pPr>
            <w:r w:rsidRPr="00DD37EC">
              <w:rPr>
                <w:rFonts w:ascii="Arial" w:hAnsi="Arial" w:cs="Arial"/>
                <w:lang w:val="es-419"/>
              </w:rPr>
              <w:t>Ausencia de financiamiento</w:t>
            </w:r>
            <w:r w:rsidR="00FF5A78" w:rsidRPr="00DD37EC">
              <w:rPr>
                <w:rFonts w:ascii="Arial" w:hAnsi="Arial" w:cs="Arial"/>
                <w:lang w:val="es-419"/>
              </w:rPr>
              <w:t xml:space="preserve"> </w:t>
            </w:r>
            <w:r w:rsidRPr="00DD37EC">
              <w:rPr>
                <w:rFonts w:ascii="Arial" w:hAnsi="Arial" w:cs="Arial"/>
                <w:lang w:val="es-419"/>
              </w:rPr>
              <w:t>público dom</w:t>
            </w:r>
            <w:r w:rsidR="00FF5A78" w:rsidRPr="00DD37EC">
              <w:rPr>
                <w:rFonts w:ascii="Arial" w:hAnsi="Arial" w:cs="Arial"/>
                <w:lang w:val="es-419"/>
              </w:rPr>
              <w:t>és</w:t>
            </w:r>
            <w:r w:rsidRPr="00DD37EC">
              <w:rPr>
                <w:rFonts w:ascii="Arial" w:hAnsi="Arial" w:cs="Arial"/>
                <w:lang w:val="es-419"/>
              </w:rPr>
              <w:t>tico</w:t>
            </w:r>
            <w:r w:rsidR="00A90585" w:rsidRPr="00DD37EC">
              <w:rPr>
                <w:rFonts w:ascii="Arial" w:hAnsi="Arial" w:cs="Arial"/>
                <w:lang w:val="es-419"/>
              </w:rPr>
              <w:t xml:space="preserve"> para la labor de las OSC</w:t>
            </w:r>
          </w:p>
          <w:p w14:paraId="7590DA28" w14:textId="0406760A" w:rsidR="00F5028F" w:rsidRPr="00DD37EC" w:rsidRDefault="00F5028F" w:rsidP="0068285B">
            <w:pPr>
              <w:pStyle w:val="ListParagraph"/>
              <w:numPr>
                <w:ilvl w:val="0"/>
                <w:numId w:val="6"/>
              </w:numPr>
              <w:spacing w:after="240"/>
              <w:cnfStyle w:val="000000000000" w:firstRow="0" w:lastRow="0" w:firstColumn="0" w:lastColumn="0" w:oddVBand="0" w:evenVBand="0" w:oddHBand="0" w:evenHBand="0" w:firstRowFirstColumn="0" w:firstRowLastColumn="0" w:lastRowFirstColumn="0" w:lastRowLastColumn="0"/>
              <w:rPr>
                <w:rFonts w:ascii="Arial" w:hAnsi="Arial" w:cs="Arial"/>
                <w:lang w:val="es-419"/>
              </w:rPr>
            </w:pPr>
            <w:r w:rsidRPr="00DD37EC">
              <w:rPr>
                <w:rFonts w:ascii="Arial" w:hAnsi="Arial" w:cs="Arial"/>
                <w:lang w:val="es-419"/>
              </w:rPr>
              <w:t>Pago de impuestos por actividades de la</w:t>
            </w:r>
            <w:r w:rsidR="00FF5A78" w:rsidRPr="00DD37EC">
              <w:rPr>
                <w:rFonts w:ascii="Arial" w:hAnsi="Arial" w:cs="Arial"/>
                <w:lang w:val="es-419"/>
              </w:rPr>
              <w:t>s</w:t>
            </w:r>
            <w:r w:rsidRPr="00DD37EC">
              <w:rPr>
                <w:rFonts w:ascii="Arial" w:hAnsi="Arial" w:cs="Arial"/>
                <w:lang w:val="es-419"/>
              </w:rPr>
              <w:t xml:space="preserve"> OSC y </w:t>
            </w:r>
            <w:r w:rsidR="0058719A" w:rsidRPr="00DD37EC">
              <w:rPr>
                <w:rFonts w:ascii="Arial" w:hAnsi="Arial" w:cs="Arial"/>
                <w:lang w:val="es-419"/>
              </w:rPr>
              <w:t>los costos bancarios</w:t>
            </w:r>
            <w:r w:rsidRPr="00DD37EC">
              <w:rPr>
                <w:rFonts w:ascii="Arial" w:hAnsi="Arial" w:cs="Arial"/>
                <w:lang w:val="es-419"/>
              </w:rPr>
              <w:t xml:space="preserve"> (cajas, seguridad, chequeras</w:t>
            </w:r>
            <w:r w:rsidR="00FF5A78" w:rsidRPr="00DD37EC">
              <w:rPr>
                <w:rFonts w:ascii="Arial" w:hAnsi="Arial" w:cs="Arial"/>
                <w:lang w:val="es-419"/>
              </w:rPr>
              <w:t>) merman la capacidad financiera de las organizaciones.</w:t>
            </w:r>
          </w:p>
          <w:p w14:paraId="510E16A8" w14:textId="10629F3A" w:rsidR="00F5028F" w:rsidRPr="00DD37EC" w:rsidRDefault="00F5028F" w:rsidP="0068285B">
            <w:pPr>
              <w:pStyle w:val="ListParagraph"/>
              <w:numPr>
                <w:ilvl w:val="0"/>
                <w:numId w:val="6"/>
              </w:numPr>
              <w:spacing w:after="240"/>
              <w:cnfStyle w:val="000000000000" w:firstRow="0" w:lastRow="0" w:firstColumn="0" w:lastColumn="0" w:oddVBand="0" w:evenVBand="0" w:oddHBand="0" w:evenHBand="0" w:firstRowFirstColumn="0" w:firstRowLastColumn="0" w:lastRowFirstColumn="0" w:lastRowLastColumn="0"/>
              <w:rPr>
                <w:rFonts w:ascii="Arial" w:hAnsi="Arial" w:cs="Arial"/>
                <w:lang w:val="es-419"/>
              </w:rPr>
            </w:pPr>
            <w:r w:rsidRPr="00DD37EC">
              <w:rPr>
                <w:rFonts w:ascii="Arial" w:hAnsi="Arial" w:cs="Arial"/>
                <w:lang w:val="es-419"/>
              </w:rPr>
              <w:t xml:space="preserve">La dependencia </w:t>
            </w:r>
            <w:r w:rsidR="00FF5A78" w:rsidRPr="00DD37EC">
              <w:rPr>
                <w:rFonts w:ascii="Arial" w:hAnsi="Arial" w:cs="Arial"/>
                <w:lang w:val="es-419"/>
              </w:rPr>
              <w:t>de talleres para la generación de fondos propios, contribuciones de miembros de las organizaciones (en gran parte profesionales), teatro público, y apoyo del FM</w:t>
            </w:r>
            <w:r w:rsidRPr="00DD37EC">
              <w:rPr>
                <w:rFonts w:ascii="Arial" w:hAnsi="Arial" w:cs="Arial"/>
                <w:lang w:val="es-419"/>
              </w:rPr>
              <w:t>; el financiamiento externo es irregular y con algunas condiciones</w:t>
            </w:r>
          </w:p>
          <w:p w14:paraId="329360EA" w14:textId="77777777" w:rsidR="00F5028F" w:rsidRPr="00DD37EC" w:rsidRDefault="00F5028F" w:rsidP="0068285B">
            <w:pPr>
              <w:pStyle w:val="ListParagraph"/>
              <w:numPr>
                <w:ilvl w:val="0"/>
                <w:numId w:val="6"/>
              </w:numPr>
              <w:spacing w:after="240"/>
              <w:cnfStyle w:val="000000000000" w:firstRow="0" w:lastRow="0" w:firstColumn="0" w:lastColumn="0" w:oddVBand="0" w:evenVBand="0" w:oddHBand="0" w:evenHBand="0" w:firstRowFirstColumn="0" w:firstRowLastColumn="0" w:lastRowFirstColumn="0" w:lastRowLastColumn="0"/>
              <w:rPr>
                <w:rFonts w:ascii="Arial" w:hAnsi="Arial" w:cs="Arial"/>
                <w:lang w:val="es-419"/>
              </w:rPr>
            </w:pPr>
            <w:r w:rsidRPr="00DD37EC">
              <w:rPr>
                <w:rFonts w:ascii="Arial" w:hAnsi="Arial" w:cs="Arial"/>
                <w:lang w:val="es-419"/>
              </w:rPr>
              <w:t xml:space="preserve">Dependencia de la labor de los grupos </w:t>
            </w:r>
            <w:r w:rsidR="0058719A" w:rsidRPr="00DD37EC">
              <w:rPr>
                <w:rFonts w:ascii="Arial" w:hAnsi="Arial" w:cs="Arial"/>
                <w:lang w:val="es-419"/>
              </w:rPr>
              <w:t>de los</w:t>
            </w:r>
            <w:r w:rsidRPr="00DD37EC">
              <w:rPr>
                <w:rFonts w:ascii="Arial" w:hAnsi="Arial" w:cs="Arial"/>
                <w:lang w:val="es-419"/>
              </w:rPr>
              <w:t xml:space="preserve"> fondos de </w:t>
            </w:r>
            <w:r w:rsidR="0058719A" w:rsidRPr="00DD37EC">
              <w:rPr>
                <w:rFonts w:ascii="Arial" w:hAnsi="Arial" w:cs="Arial"/>
                <w:lang w:val="es-419"/>
              </w:rPr>
              <w:t>cooperantes, incertidumbre ante la gradual disminución de los fondos externos</w:t>
            </w:r>
          </w:p>
          <w:p w14:paraId="14828A68" w14:textId="7AC12561" w:rsidR="00DC0045" w:rsidRPr="00DD37EC" w:rsidRDefault="00DC0045" w:rsidP="0068285B">
            <w:pPr>
              <w:pStyle w:val="ListParagraph"/>
              <w:numPr>
                <w:ilvl w:val="0"/>
                <w:numId w:val="6"/>
              </w:numPr>
              <w:spacing w:after="240"/>
              <w:cnfStyle w:val="000000000000" w:firstRow="0" w:lastRow="0" w:firstColumn="0" w:lastColumn="0" w:oddVBand="0" w:evenVBand="0" w:oddHBand="0" w:evenHBand="0" w:firstRowFirstColumn="0" w:firstRowLastColumn="0" w:lastRowFirstColumn="0" w:lastRowLastColumn="0"/>
              <w:rPr>
                <w:rFonts w:ascii="Arial" w:hAnsi="Arial" w:cs="Arial"/>
                <w:lang w:val="es-419"/>
              </w:rPr>
            </w:pPr>
            <w:r w:rsidRPr="00DD37EC">
              <w:rPr>
                <w:rFonts w:ascii="Arial" w:hAnsi="Arial" w:cs="Arial"/>
                <w:lang w:val="es-419"/>
              </w:rPr>
              <w:lastRenderedPageBreak/>
              <w:t>Necesidades de capacitación organizacional, administrativa, de manejo financiero, informes, y preparación de propuestas de financiamiento, entre otros</w:t>
            </w:r>
          </w:p>
        </w:tc>
      </w:tr>
      <w:tr w:rsidR="00F5028F" w:rsidRPr="00392E34" w14:paraId="761B0181" w14:textId="77777777" w:rsidTr="009B57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1"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18AD47FA" w14:textId="27E4F676" w:rsidR="00F5028F" w:rsidRPr="00DD37EC" w:rsidRDefault="00F5028F" w:rsidP="00DD37EC">
            <w:pPr>
              <w:spacing w:after="240"/>
              <w:rPr>
                <w:rFonts w:ascii="Arial" w:hAnsi="Arial" w:cs="Arial"/>
                <w:sz w:val="22"/>
                <w:lang w:val="es-419"/>
              </w:rPr>
            </w:pPr>
          </w:p>
          <w:p w14:paraId="15CFC837" w14:textId="77777777" w:rsidR="009B5737" w:rsidRPr="00DD37EC" w:rsidRDefault="009B5737" w:rsidP="00DD37EC">
            <w:pPr>
              <w:spacing w:after="240"/>
              <w:rPr>
                <w:rFonts w:ascii="Arial" w:hAnsi="Arial" w:cs="Arial"/>
                <w:i w:val="0"/>
                <w:iCs w:val="0"/>
                <w:sz w:val="22"/>
                <w:lang w:val="es-419"/>
              </w:rPr>
            </w:pPr>
          </w:p>
          <w:p w14:paraId="4AAF06FB" w14:textId="77777777" w:rsidR="00F5028F" w:rsidRPr="00DD37EC" w:rsidRDefault="00F5028F" w:rsidP="00DD37EC">
            <w:pPr>
              <w:spacing w:after="240"/>
              <w:jc w:val="center"/>
              <w:rPr>
                <w:rFonts w:ascii="Arial" w:hAnsi="Arial" w:cs="Arial"/>
                <w:b/>
                <w:i w:val="0"/>
                <w:iCs w:val="0"/>
                <w:sz w:val="22"/>
                <w:lang w:val="es-419"/>
              </w:rPr>
            </w:pPr>
            <w:r w:rsidRPr="00DD37EC">
              <w:rPr>
                <w:rFonts w:ascii="Arial" w:hAnsi="Arial" w:cs="Arial"/>
                <w:b/>
                <w:sz w:val="22"/>
                <w:lang w:val="es-419"/>
              </w:rPr>
              <w:t>Derechos humanos</w:t>
            </w:r>
          </w:p>
          <w:p w14:paraId="37AB97C3" w14:textId="77777777" w:rsidR="00F5028F" w:rsidRPr="00DD37EC" w:rsidRDefault="00F5028F" w:rsidP="00DD37EC">
            <w:pPr>
              <w:spacing w:after="240"/>
              <w:jc w:val="center"/>
              <w:rPr>
                <w:rFonts w:ascii="Arial" w:hAnsi="Arial" w:cs="Arial"/>
                <w:i w:val="0"/>
                <w:iCs w:val="0"/>
                <w:sz w:val="22"/>
                <w:lang w:val="es-419"/>
              </w:rPr>
            </w:pPr>
          </w:p>
          <w:p w14:paraId="4CE9DFBE" w14:textId="77777777" w:rsidR="00F5028F" w:rsidRPr="00DD37EC" w:rsidRDefault="00F5028F" w:rsidP="00DD37EC">
            <w:pPr>
              <w:spacing w:after="240"/>
              <w:jc w:val="center"/>
              <w:rPr>
                <w:rFonts w:ascii="Arial" w:hAnsi="Arial" w:cs="Arial"/>
                <w:sz w:val="22"/>
                <w:lang w:val="es-419"/>
              </w:rPr>
            </w:pPr>
          </w:p>
        </w:tc>
        <w:tc>
          <w:tcPr>
            <w:tcW w:w="8904"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433955F0" w14:textId="5EC4036E" w:rsidR="00F5028F" w:rsidRPr="00DD37EC" w:rsidRDefault="00F5028F" w:rsidP="0068285B">
            <w:pPr>
              <w:pStyle w:val="ListParagraph"/>
              <w:numPr>
                <w:ilvl w:val="0"/>
                <w:numId w:val="7"/>
              </w:numPr>
              <w:spacing w:after="240"/>
              <w:cnfStyle w:val="000000100000" w:firstRow="0" w:lastRow="0" w:firstColumn="0" w:lastColumn="0" w:oddVBand="0" w:evenVBand="0" w:oddHBand="1" w:evenHBand="0" w:firstRowFirstColumn="0" w:firstRowLastColumn="0" w:lastRowFirstColumn="0" w:lastRowLastColumn="0"/>
              <w:rPr>
                <w:rFonts w:ascii="Arial" w:hAnsi="Arial" w:cs="Arial"/>
                <w:lang w:val="es-419"/>
              </w:rPr>
            </w:pPr>
            <w:r w:rsidRPr="00DD37EC">
              <w:rPr>
                <w:rFonts w:ascii="Arial" w:hAnsi="Arial" w:cs="Arial"/>
                <w:lang w:val="es-419"/>
              </w:rPr>
              <w:t xml:space="preserve">En prisiones, </w:t>
            </w:r>
            <w:r w:rsidR="0058719A" w:rsidRPr="00DD37EC">
              <w:rPr>
                <w:rFonts w:ascii="Arial" w:hAnsi="Arial" w:cs="Arial"/>
                <w:lang w:val="es-419"/>
              </w:rPr>
              <w:t xml:space="preserve">se ubican a </w:t>
            </w:r>
            <w:r w:rsidRPr="00DD37EC">
              <w:rPr>
                <w:rFonts w:ascii="Arial" w:hAnsi="Arial" w:cs="Arial"/>
                <w:lang w:val="es-419"/>
              </w:rPr>
              <w:t>las mujeres trans están en celdas con hombres</w:t>
            </w:r>
            <w:r w:rsidR="0058719A" w:rsidRPr="00DD37EC">
              <w:rPr>
                <w:rFonts w:ascii="Arial" w:hAnsi="Arial" w:cs="Arial"/>
                <w:lang w:val="es-419"/>
              </w:rPr>
              <w:t xml:space="preserve">, existe </w:t>
            </w:r>
            <w:r w:rsidRPr="00DD37EC">
              <w:rPr>
                <w:rFonts w:ascii="Arial" w:hAnsi="Arial" w:cs="Arial"/>
                <w:lang w:val="es-419"/>
              </w:rPr>
              <w:t>falta privacidad y violaciones</w:t>
            </w:r>
          </w:p>
          <w:p w14:paraId="09A2B0D5" w14:textId="6B92BE6E" w:rsidR="00F5028F" w:rsidRPr="00DD37EC" w:rsidRDefault="00F5028F" w:rsidP="0068285B">
            <w:pPr>
              <w:pStyle w:val="ListParagraph"/>
              <w:numPr>
                <w:ilvl w:val="0"/>
                <w:numId w:val="7"/>
              </w:numPr>
              <w:spacing w:after="240"/>
              <w:cnfStyle w:val="000000100000" w:firstRow="0" w:lastRow="0" w:firstColumn="0" w:lastColumn="0" w:oddVBand="0" w:evenVBand="0" w:oddHBand="1" w:evenHBand="0" w:firstRowFirstColumn="0" w:firstRowLastColumn="0" w:lastRowFirstColumn="0" w:lastRowLastColumn="0"/>
              <w:rPr>
                <w:rFonts w:ascii="Arial" w:hAnsi="Arial" w:cs="Arial"/>
                <w:lang w:val="es-419"/>
              </w:rPr>
            </w:pPr>
            <w:r w:rsidRPr="00DD37EC">
              <w:rPr>
                <w:rFonts w:ascii="Arial" w:hAnsi="Arial" w:cs="Arial"/>
                <w:lang w:val="es-419"/>
              </w:rPr>
              <w:t xml:space="preserve">Estigma y discriminación contra mujeres trans, incluyendo problemas de acceso al trabajo y discriminación en pago, y dificultad </w:t>
            </w:r>
            <w:r w:rsidRPr="00DD37EC">
              <w:rPr>
                <w:rStyle w:val="FootnoteReference"/>
                <w:rFonts w:ascii="Arial" w:hAnsi="Arial" w:cs="Arial"/>
                <w:lang w:val="es-419"/>
              </w:rPr>
              <w:t xml:space="preserve"> </w:t>
            </w:r>
            <w:r w:rsidRPr="00DD37EC">
              <w:rPr>
                <w:rFonts w:ascii="Arial" w:hAnsi="Arial" w:cs="Arial"/>
                <w:lang w:val="es-419"/>
              </w:rPr>
              <w:t xml:space="preserve">en alquiler </w:t>
            </w:r>
            <w:r w:rsidR="00191992" w:rsidRPr="00DD37EC">
              <w:rPr>
                <w:rFonts w:ascii="Arial" w:hAnsi="Arial" w:cs="Arial"/>
                <w:lang w:val="es-419"/>
              </w:rPr>
              <w:t xml:space="preserve">de vivienda </w:t>
            </w:r>
            <w:r w:rsidRPr="00DD37EC">
              <w:rPr>
                <w:rFonts w:ascii="Arial" w:hAnsi="Arial" w:cs="Arial"/>
                <w:lang w:val="es-419"/>
              </w:rPr>
              <w:t>y para casa de seguridad trans</w:t>
            </w:r>
          </w:p>
          <w:p w14:paraId="41668A49" w14:textId="21CE84DA" w:rsidR="00F5028F" w:rsidRPr="00DD37EC" w:rsidRDefault="00F5028F" w:rsidP="0068285B">
            <w:pPr>
              <w:pStyle w:val="ListParagraph"/>
              <w:numPr>
                <w:ilvl w:val="0"/>
                <w:numId w:val="7"/>
              </w:numPr>
              <w:spacing w:after="240"/>
              <w:cnfStyle w:val="000000100000" w:firstRow="0" w:lastRow="0" w:firstColumn="0" w:lastColumn="0" w:oddVBand="0" w:evenVBand="0" w:oddHBand="1" w:evenHBand="0" w:firstRowFirstColumn="0" w:firstRowLastColumn="0" w:lastRowFirstColumn="0" w:lastRowLastColumn="0"/>
              <w:rPr>
                <w:rFonts w:ascii="Arial" w:hAnsi="Arial" w:cs="Arial"/>
                <w:lang w:val="es-ES"/>
              </w:rPr>
            </w:pPr>
            <w:r w:rsidRPr="00DD37EC">
              <w:rPr>
                <w:rFonts w:ascii="Arial" w:hAnsi="Arial" w:cs="Arial"/>
                <w:lang w:val="es-ES"/>
              </w:rPr>
              <w:t>Falta de investigaciones por violaciones de derechos humanos</w:t>
            </w:r>
          </w:p>
          <w:p w14:paraId="15D3E11F" w14:textId="0ACB5B11" w:rsidR="00F5028F" w:rsidRPr="00DD37EC" w:rsidRDefault="00F5028F" w:rsidP="0068285B">
            <w:pPr>
              <w:pStyle w:val="ListParagraph"/>
              <w:numPr>
                <w:ilvl w:val="0"/>
                <w:numId w:val="7"/>
              </w:numPr>
              <w:spacing w:after="240"/>
              <w:cnfStyle w:val="000000100000" w:firstRow="0" w:lastRow="0" w:firstColumn="0" w:lastColumn="0" w:oddVBand="0" w:evenVBand="0" w:oddHBand="1" w:evenHBand="0" w:firstRowFirstColumn="0" w:firstRowLastColumn="0" w:lastRowFirstColumn="0" w:lastRowLastColumn="0"/>
              <w:rPr>
                <w:rFonts w:ascii="Arial" w:hAnsi="Arial" w:cs="Arial"/>
                <w:lang w:val="es-419"/>
              </w:rPr>
            </w:pPr>
            <w:r w:rsidRPr="00DD37EC">
              <w:rPr>
                <w:rFonts w:ascii="Arial" w:hAnsi="Arial" w:cs="Arial"/>
                <w:lang w:val="es-ES"/>
              </w:rPr>
              <w:t>Falta de información en empresas y falta de servicios de prevención en sector laboral</w:t>
            </w:r>
          </w:p>
          <w:p w14:paraId="7C702A7D" w14:textId="1B01CC08" w:rsidR="00F5028F" w:rsidRPr="00DD37EC" w:rsidRDefault="00F5028F" w:rsidP="0068285B">
            <w:pPr>
              <w:pStyle w:val="ListParagraph"/>
              <w:numPr>
                <w:ilvl w:val="0"/>
                <w:numId w:val="7"/>
              </w:numPr>
              <w:spacing w:after="240"/>
              <w:cnfStyle w:val="000000100000" w:firstRow="0" w:lastRow="0" w:firstColumn="0" w:lastColumn="0" w:oddVBand="0" w:evenVBand="0" w:oddHBand="1" w:evenHBand="0" w:firstRowFirstColumn="0" w:firstRowLastColumn="0" w:lastRowFirstColumn="0" w:lastRowLastColumn="0"/>
              <w:rPr>
                <w:rFonts w:ascii="Arial" w:hAnsi="Arial" w:cs="Arial"/>
                <w:lang w:val="es-ES"/>
              </w:rPr>
            </w:pPr>
            <w:r w:rsidRPr="00DD37EC">
              <w:rPr>
                <w:rFonts w:ascii="Arial" w:hAnsi="Arial" w:cs="Arial"/>
                <w:lang w:val="es-ES"/>
              </w:rPr>
              <w:t xml:space="preserve">Aumento del número de asesinatos de mujeres trans y de </w:t>
            </w:r>
            <w:r w:rsidR="00191992" w:rsidRPr="00DD37EC">
              <w:rPr>
                <w:rFonts w:ascii="Arial" w:hAnsi="Arial" w:cs="Arial"/>
                <w:lang w:val="es-ES"/>
              </w:rPr>
              <w:t>migración</w:t>
            </w:r>
            <w:r w:rsidRPr="00DD37EC">
              <w:rPr>
                <w:rFonts w:ascii="Arial" w:hAnsi="Arial" w:cs="Arial"/>
                <w:lang w:val="es-ES"/>
              </w:rPr>
              <w:t xml:space="preserve"> de mujeres trans</w:t>
            </w:r>
          </w:p>
        </w:tc>
      </w:tr>
      <w:tr w:rsidR="00F5028F" w:rsidRPr="00392E34" w14:paraId="3477802B" w14:textId="77777777" w:rsidTr="009B5737">
        <w:tc>
          <w:tcPr>
            <w:cnfStyle w:val="001000000000" w:firstRow="0" w:lastRow="0" w:firstColumn="1" w:lastColumn="0" w:oddVBand="0" w:evenVBand="0" w:oddHBand="0" w:evenHBand="0" w:firstRowFirstColumn="0" w:firstRowLastColumn="0" w:lastRowFirstColumn="0" w:lastRowLastColumn="0"/>
            <w:tcW w:w="1821" w:type="dxa"/>
            <w:tcBorders>
              <w:top w:val="single" w:sz="4" w:space="0" w:color="auto"/>
              <w:left w:val="single" w:sz="4" w:space="0" w:color="auto"/>
              <w:bottom w:val="single" w:sz="4" w:space="0" w:color="auto"/>
              <w:right w:val="single" w:sz="4" w:space="0" w:color="auto"/>
            </w:tcBorders>
          </w:tcPr>
          <w:p w14:paraId="39076BF9" w14:textId="5F40940F" w:rsidR="00F5028F" w:rsidRPr="00DD37EC" w:rsidRDefault="00F5028F" w:rsidP="00DD37EC">
            <w:pPr>
              <w:spacing w:after="240"/>
              <w:rPr>
                <w:rFonts w:ascii="Arial" w:hAnsi="Arial" w:cs="Arial"/>
                <w:sz w:val="22"/>
                <w:lang w:val="es-419"/>
              </w:rPr>
            </w:pPr>
          </w:p>
          <w:p w14:paraId="4B7CF87D" w14:textId="77777777" w:rsidR="009B5737" w:rsidRPr="00DD37EC" w:rsidRDefault="009B5737" w:rsidP="00DD37EC">
            <w:pPr>
              <w:spacing w:after="240"/>
              <w:rPr>
                <w:rFonts w:ascii="Arial" w:hAnsi="Arial" w:cs="Arial"/>
                <w:i w:val="0"/>
                <w:iCs w:val="0"/>
                <w:sz w:val="22"/>
                <w:lang w:val="es-419"/>
              </w:rPr>
            </w:pPr>
          </w:p>
          <w:p w14:paraId="6CC60027" w14:textId="77777777" w:rsidR="00F5028F" w:rsidRPr="00DD37EC" w:rsidRDefault="00F5028F" w:rsidP="00DD37EC">
            <w:pPr>
              <w:spacing w:after="240"/>
              <w:jc w:val="center"/>
              <w:rPr>
                <w:rFonts w:ascii="Arial" w:hAnsi="Arial" w:cs="Arial"/>
                <w:b/>
                <w:sz w:val="22"/>
                <w:lang w:val="es-419"/>
              </w:rPr>
            </w:pPr>
            <w:r w:rsidRPr="00DD37EC">
              <w:rPr>
                <w:rFonts w:ascii="Arial" w:hAnsi="Arial" w:cs="Arial"/>
                <w:b/>
                <w:sz w:val="22"/>
                <w:lang w:val="es-419"/>
              </w:rPr>
              <w:t>Sistema legal</w:t>
            </w:r>
          </w:p>
        </w:tc>
        <w:tc>
          <w:tcPr>
            <w:tcW w:w="8904" w:type="dxa"/>
            <w:tcBorders>
              <w:top w:val="single" w:sz="4" w:space="0" w:color="auto"/>
              <w:left w:val="single" w:sz="4" w:space="0" w:color="auto"/>
              <w:bottom w:val="single" w:sz="4" w:space="0" w:color="auto"/>
              <w:right w:val="single" w:sz="4" w:space="0" w:color="auto"/>
            </w:tcBorders>
          </w:tcPr>
          <w:p w14:paraId="0300CA10" w14:textId="2EFD0D2C" w:rsidR="00F5028F" w:rsidRPr="00DD37EC" w:rsidRDefault="00F5028F" w:rsidP="0068285B">
            <w:pPr>
              <w:pStyle w:val="ListParagraph"/>
              <w:numPr>
                <w:ilvl w:val="0"/>
                <w:numId w:val="5"/>
              </w:numPr>
              <w:spacing w:after="240"/>
              <w:cnfStyle w:val="000000000000" w:firstRow="0" w:lastRow="0" w:firstColumn="0" w:lastColumn="0" w:oddVBand="0" w:evenVBand="0" w:oddHBand="0" w:evenHBand="0" w:firstRowFirstColumn="0" w:firstRowLastColumn="0" w:lastRowFirstColumn="0" w:lastRowLastColumn="0"/>
              <w:rPr>
                <w:rFonts w:ascii="Arial" w:hAnsi="Arial" w:cs="Arial"/>
                <w:lang w:val="es-419"/>
              </w:rPr>
            </w:pPr>
            <w:r w:rsidRPr="00DD37EC">
              <w:rPr>
                <w:rFonts w:ascii="Arial" w:hAnsi="Arial" w:cs="Arial"/>
                <w:lang w:val="es-419"/>
              </w:rPr>
              <w:t>Falta de ley de identidad de g</w:t>
            </w:r>
            <w:r w:rsidRPr="00DD37EC">
              <w:rPr>
                <w:rFonts w:ascii="Arial" w:hAnsi="Arial" w:cs="Arial"/>
                <w:lang w:val="es-ES"/>
              </w:rPr>
              <w:t>é</w:t>
            </w:r>
            <w:r w:rsidRPr="00DD37EC">
              <w:rPr>
                <w:rFonts w:ascii="Arial" w:hAnsi="Arial" w:cs="Arial"/>
                <w:lang w:val="es-419"/>
              </w:rPr>
              <w:t>nero</w:t>
            </w:r>
          </w:p>
          <w:p w14:paraId="50547EE2" w14:textId="01782D7D" w:rsidR="00F5028F" w:rsidRPr="00DD37EC" w:rsidRDefault="00F5028F" w:rsidP="0068285B">
            <w:pPr>
              <w:pStyle w:val="ListParagraph"/>
              <w:numPr>
                <w:ilvl w:val="0"/>
                <w:numId w:val="5"/>
              </w:numPr>
              <w:spacing w:after="240"/>
              <w:cnfStyle w:val="000000000000" w:firstRow="0" w:lastRow="0" w:firstColumn="0" w:lastColumn="0" w:oddVBand="0" w:evenVBand="0" w:oddHBand="0" w:evenHBand="0" w:firstRowFirstColumn="0" w:firstRowLastColumn="0" w:lastRowFirstColumn="0" w:lastRowLastColumn="0"/>
              <w:rPr>
                <w:rFonts w:ascii="Arial" w:hAnsi="Arial" w:cs="Arial"/>
                <w:lang w:val="es-419"/>
              </w:rPr>
            </w:pPr>
            <w:r w:rsidRPr="00DD37EC">
              <w:rPr>
                <w:rFonts w:ascii="Arial" w:hAnsi="Arial" w:cs="Arial"/>
                <w:lang w:val="es-419"/>
              </w:rPr>
              <w:t>Requisito de pruebas de VIH en solicitudes de empleo (cada seis meses, y si es positivo, despido)</w:t>
            </w:r>
            <w:r w:rsidR="00191992" w:rsidRPr="00DD37EC">
              <w:rPr>
                <w:rFonts w:ascii="Arial" w:hAnsi="Arial" w:cs="Arial"/>
                <w:lang w:val="es-419"/>
              </w:rPr>
              <w:t>, lo cual es una violación a la Ley Especial del SIDA (art. 52)</w:t>
            </w:r>
          </w:p>
          <w:p w14:paraId="54949159" w14:textId="2AFB8A5D" w:rsidR="00F5028F" w:rsidRPr="00DD37EC" w:rsidRDefault="00F5028F" w:rsidP="0068285B">
            <w:pPr>
              <w:pStyle w:val="ListParagraph"/>
              <w:numPr>
                <w:ilvl w:val="0"/>
                <w:numId w:val="5"/>
              </w:numPr>
              <w:spacing w:after="240"/>
              <w:cnfStyle w:val="000000000000" w:firstRow="0" w:lastRow="0" w:firstColumn="0" w:lastColumn="0" w:oddVBand="0" w:evenVBand="0" w:oddHBand="0" w:evenHBand="0" w:firstRowFirstColumn="0" w:firstRowLastColumn="0" w:lastRowFirstColumn="0" w:lastRowLastColumn="0"/>
              <w:rPr>
                <w:rFonts w:ascii="Arial" w:hAnsi="Arial" w:cs="Arial"/>
                <w:lang w:val="es-ES"/>
              </w:rPr>
            </w:pPr>
            <w:r w:rsidRPr="00DD37EC">
              <w:rPr>
                <w:rFonts w:ascii="Arial" w:hAnsi="Arial" w:cs="Arial"/>
                <w:lang w:val="es-ES"/>
              </w:rPr>
              <w:t>No hay fiscalía de discriminación ni aplicación de normativa de derechos humanos para personas con VIH</w:t>
            </w:r>
          </w:p>
          <w:p w14:paraId="2DC11A42" w14:textId="3EFA1C3B" w:rsidR="00F5028F" w:rsidRPr="00DD37EC" w:rsidRDefault="00F5028F" w:rsidP="0068285B">
            <w:pPr>
              <w:pStyle w:val="ListParagraph"/>
              <w:numPr>
                <w:ilvl w:val="0"/>
                <w:numId w:val="5"/>
              </w:numPr>
              <w:spacing w:after="240"/>
              <w:cnfStyle w:val="000000000000" w:firstRow="0" w:lastRow="0" w:firstColumn="0" w:lastColumn="0" w:oddVBand="0" w:evenVBand="0" w:oddHBand="0" w:evenHBand="0" w:firstRowFirstColumn="0" w:firstRowLastColumn="0" w:lastRowFirstColumn="0" w:lastRowLastColumn="0"/>
              <w:rPr>
                <w:rFonts w:ascii="Arial" w:hAnsi="Arial" w:cs="Arial"/>
                <w:lang w:val="es-ES"/>
              </w:rPr>
            </w:pPr>
            <w:r w:rsidRPr="00DD37EC">
              <w:rPr>
                <w:rFonts w:ascii="Arial" w:hAnsi="Arial" w:cs="Arial"/>
                <w:lang w:val="es-ES"/>
              </w:rPr>
              <w:t xml:space="preserve">Colegio de Abogados no se ha involucrado; </w:t>
            </w:r>
            <w:r w:rsidR="00191992" w:rsidRPr="00DD37EC">
              <w:rPr>
                <w:rFonts w:ascii="Arial" w:hAnsi="Arial" w:cs="Arial"/>
                <w:lang w:val="es-ES"/>
              </w:rPr>
              <w:t xml:space="preserve">se enfocan </w:t>
            </w:r>
            <w:r w:rsidRPr="00DD37EC">
              <w:rPr>
                <w:rFonts w:ascii="Arial" w:hAnsi="Arial" w:cs="Arial"/>
                <w:lang w:val="es-ES"/>
              </w:rPr>
              <w:t>en</w:t>
            </w:r>
            <w:r w:rsidR="00191992" w:rsidRPr="00DD37EC">
              <w:rPr>
                <w:rFonts w:ascii="Arial" w:hAnsi="Arial" w:cs="Arial"/>
                <w:lang w:val="es-ES"/>
              </w:rPr>
              <w:t xml:space="preserve"> el</w:t>
            </w:r>
            <w:r w:rsidRPr="00DD37EC">
              <w:rPr>
                <w:rFonts w:ascii="Arial" w:hAnsi="Arial" w:cs="Arial"/>
                <w:lang w:val="es-ES"/>
              </w:rPr>
              <w:t xml:space="preserve"> resguardo de ética profesional; apoyo legal limitado a un pequeño grupo de abogados</w:t>
            </w:r>
            <w:r w:rsidR="00191992" w:rsidRPr="00DD37EC">
              <w:rPr>
                <w:rFonts w:ascii="Arial" w:hAnsi="Arial" w:cs="Arial"/>
                <w:lang w:val="es-ES"/>
              </w:rPr>
              <w:t>.</w:t>
            </w:r>
          </w:p>
          <w:p w14:paraId="64192A45" w14:textId="694BC547" w:rsidR="00F5028F" w:rsidRPr="00DD37EC" w:rsidRDefault="00F5028F" w:rsidP="0068285B">
            <w:pPr>
              <w:pStyle w:val="ListParagraph"/>
              <w:numPr>
                <w:ilvl w:val="0"/>
                <w:numId w:val="5"/>
              </w:numPr>
              <w:spacing w:after="240"/>
              <w:cnfStyle w:val="000000000000" w:firstRow="0" w:lastRow="0" w:firstColumn="0" w:lastColumn="0" w:oddVBand="0" w:evenVBand="0" w:oddHBand="0" w:evenHBand="0" w:firstRowFirstColumn="0" w:firstRowLastColumn="0" w:lastRowFirstColumn="0" w:lastRowLastColumn="0"/>
              <w:rPr>
                <w:rFonts w:ascii="Arial" w:hAnsi="Arial" w:cs="Arial"/>
                <w:lang w:val="es-ES"/>
              </w:rPr>
            </w:pPr>
            <w:r w:rsidRPr="00DD37EC">
              <w:rPr>
                <w:rFonts w:ascii="Arial" w:hAnsi="Arial" w:cs="Arial"/>
                <w:lang w:val="es-ES"/>
              </w:rPr>
              <w:t>Ley de Fomento de OSC inoperante</w:t>
            </w:r>
          </w:p>
        </w:tc>
      </w:tr>
      <w:tr w:rsidR="00F5028F" w:rsidRPr="00392E34" w14:paraId="24F2443B" w14:textId="77777777" w:rsidTr="009B57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1"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677CC90F" w14:textId="77777777" w:rsidR="00F5028F" w:rsidRPr="00DD37EC" w:rsidRDefault="00F5028F" w:rsidP="00DD37EC">
            <w:pPr>
              <w:spacing w:after="240"/>
              <w:rPr>
                <w:rFonts w:ascii="Arial" w:hAnsi="Arial" w:cs="Arial"/>
                <w:sz w:val="22"/>
                <w:lang w:val="es-419"/>
              </w:rPr>
            </w:pPr>
          </w:p>
          <w:p w14:paraId="04BA9C3F" w14:textId="77777777" w:rsidR="00F5028F" w:rsidRPr="00DD37EC" w:rsidRDefault="00F5028F" w:rsidP="00DD37EC">
            <w:pPr>
              <w:spacing w:after="240"/>
              <w:rPr>
                <w:rFonts w:ascii="Arial" w:hAnsi="Arial" w:cs="Arial"/>
                <w:i w:val="0"/>
                <w:iCs w:val="0"/>
                <w:sz w:val="22"/>
                <w:lang w:val="es-419"/>
              </w:rPr>
            </w:pPr>
          </w:p>
          <w:p w14:paraId="5756ACE5" w14:textId="77777777" w:rsidR="00F95EA2" w:rsidRDefault="00F95EA2" w:rsidP="00DD37EC">
            <w:pPr>
              <w:spacing w:after="240"/>
              <w:jc w:val="center"/>
              <w:rPr>
                <w:rFonts w:ascii="Arial" w:hAnsi="Arial" w:cs="Arial"/>
                <w:b/>
                <w:i w:val="0"/>
                <w:iCs w:val="0"/>
                <w:lang w:val="es-419"/>
              </w:rPr>
            </w:pPr>
          </w:p>
          <w:p w14:paraId="0608C1D5" w14:textId="31E91EFD" w:rsidR="00F5028F" w:rsidRPr="00DD37EC" w:rsidRDefault="00F5028F" w:rsidP="00DD37EC">
            <w:pPr>
              <w:spacing w:after="240"/>
              <w:jc w:val="center"/>
              <w:rPr>
                <w:rFonts w:ascii="Arial" w:hAnsi="Arial" w:cs="Arial"/>
                <w:b/>
                <w:sz w:val="22"/>
                <w:lang w:val="es-419"/>
              </w:rPr>
            </w:pPr>
            <w:r w:rsidRPr="00DD37EC">
              <w:rPr>
                <w:rFonts w:ascii="Arial" w:hAnsi="Arial" w:cs="Arial"/>
                <w:b/>
                <w:sz w:val="22"/>
                <w:lang w:val="es-419"/>
              </w:rPr>
              <w:t>Gobernanza y política</w:t>
            </w:r>
          </w:p>
        </w:tc>
        <w:tc>
          <w:tcPr>
            <w:tcW w:w="8904"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73F5A310" w14:textId="5E816C70" w:rsidR="00DC0045" w:rsidRPr="00DD37EC" w:rsidRDefault="00F5028F" w:rsidP="0068285B">
            <w:pPr>
              <w:pStyle w:val="ListParagraph"/>
              <w:numPr>
                <w:ilvl w:val="0"/>
                <w:numId w:val="8"/>
              </w:numPr>
              <w:spacing w:after="240"/>
              <w:cnfStyle w:val="000000100000" w:firstRow="0" w:lastRow="0" w:firstColumn="0" w:lastColumn="0" w:oddVBand="0" w:evenVBand="0" w:oddHBand="1" w:evenHBand="0" w:firstRowFirstColumn="0" w:firstRowLastColumn="0" w:lastRowFirstColumn="0" w:lastRowLastColumn="0"/>
              <w:rPr>
                <w:rFonts w:ascii="Arial" w:hAnsi="Arial" w:cs="Arial"/>
                <w:lang w:val="es-419"/>
              </w:rPr>
            </w:pPr>
            <w:r w:rsidRPr="00DD37EC">
              <w:rPr>
                <w:rFonts w:ascii="Arial" w:hAnsi="Arial" w:cs="Arial"/>
                <w:lang w:val="es-419"/>
              </w:rPr>
              <w:t xml:space="preserve">Falta de voluntad política </w:t>
            </w:r>
            <w:r w:rsidR="00191992" w:rsidRPr="00DD37EC">
              <w:rPr>
                <w:rFonts w:ascii="Arial" w:hAnsi="Arial" w:cs="Arial"/>
                <w:lang w:val="es-419"/>
              </w:rPr>
              <w:t>para acabar con el estigma y discriminación</w:t>
            </w:r>
            <w:r w:rsidR="00DC0045" w:rsidRPr="00DD37EC">
              <w:rPr>
                <w:rFonts w:ascii="Arial" w:hAnsi="Arial" w:cs="Arial"/>
                <w:lang w:val="es-419"/>
              </w:rPr>
              <w:t>, y para apoyar financieramente a las OSC y desarrollar programas y proyectos con participación de las OSC</w:t>
            </w:r>
          </w:p>
          <w:p w14:paraId="499B901B" w14:textId="4CFCCED3" w:rsidR="00F5028F" w:rsidRPr="00DD37EC" w:rsidRDefault="00F5028F" w:rsidP="0068285B">
            <w:pPr>
              <w:pStyle w:val="ListParagraph"/>
              <w:numPr>
                <w:ilvl w:val="0"/>
                <w:numId w:val="8"/>
              </w:numPr>
              <w:spacing w:after="240"/>
              <w:cnfStyle w:val="000000100000" w:firstRow="0" w:lastRow="0" w:firstColumn="0" w:lastColumn="0" w:oddVBand="0" w:evenVBand="0" w:oddHBand="1" w:evenHBand="0" w:firstRowFirstColumn="0" w:firstRowLastColumn="0" w:lastRowFirstColumn="0" w:lastRowLastColumn="0"/>
              <w:rPr>
                <w:rFonts w:ascii="Arial" w:hAnsi="Arial" w:cs="Arial"/>
                <w:lang w:val="es-ES"/>
              </w:rPr>
            </w:pPr>
            <w:r w:rsidRPr="00DD37EC">
              <w:rPr>
                <w:rFonts w:ascii="Arial" w:hAnsi="Arial" w:cs="Arial"/>
                <w:lang w:val="es-ES"/>
              </w:rPr>
              <w:t xml:space="preserve">La necesidad </w:t>
            </w:r>
            <w:r w:rsidR="00191992" w:rsidRPr="00DD37EC">
              <w:rPr>
                <w:rFonts w:ascii="Arial" w:hAnsi="Arial" w:cs="Arial"/>
                <w:lang w:val="es-ES"/>
              </w:rPr>
              <w:t>de</w:t>
            </w:r>
            <w:r w:rsidRPr="00DD37EC">
              <w:rPr>
                <w:rFonts w:ascii="Arial" w:hAnsi="Arial" w:cs="Arial"/>
                <w:lang w:val="es-ES"/>
              </w:rPr>
              <w:t xml:space="preserve"> espacios de acercamiento con</w:t>
            </w:r>
            <w:r w:rsidR="00191992" w:rsidRPr="00DD37EC">
              <w:rPr>
                <w:rFonts w:ascii="Arial" w:hAnsi="Arial" w:cs="Arial"/>
                <w:lang w:val="es-ES"/>
              </w:rPr>
              <w:t xml:space="preserve"> las</w:t>
            </w:r>
            <w:r w:rsidRPr="00DD37EC">
              <w:rPr>
                <w:rFonts w:ascii="Arial" w:hAnsi="Arial" w:cs="Arial"/>
                <w:lang w:val="es-ES"/>
              </w:rPr>
              <w:t xml:space="preserve"> instancia</w:t>
            </w:r>
            <w:r w:rsidR="00191992" w:rsidRPr="00DD37EC">
              <w:rPr>
                <w:rFonts w:ascii="Arial" w:hAnsi="Arial" w:cs="Arial"/>
                <w:lang w:val="es-ES"/>
              </w:rPr>
              <w:t>s</w:t>
            </w:r>
            <w:r w:rsidRPr="00DD37EC">
              <w:rPr>
                <w:rFonts w:ascii="Arial" w:hAnsi="Arial" w:cs="Arial"/>
                <w:lang w:val="es-ES"/>
              </w:rPr>
              <w:t xml:space="preserve"> de decisión pública</w:t>
            </w:r>
            <w:r w:rsidR="00191992" w:rsidRPr="00DD37EC">
              <w:rPr>
                <w:rFonts w:ascii="Arial" w:hAnsi="Arial" w:cs="Arial"/>
                <w:lang w:val="es-ES"/>
              </w:rPr>
              <w:t>s</w:t>
            </w:r>
            <w:r w:rsidRPr="00DD37EC">
              <w:rPr>
                <w:rFonts w:ascii="Arial" w:hAnsi="Arial" w:cs="Arial"/>
                <w:lang w:val="es-ES"/>
              </w:rPr>
              <w:t xml:space="preserve"> y privada</w:t>
            </w:r>
            <w:r w:rsidR="00191992" w:rsidRPr="00DD37EC">
              <w:rPr>
                <w:rFonts w:ascii="Arial" w:hAnsi="Arial" w:cs="Arial"/>
                <w:lang w:val="es-ES"/>
              </w:rPr>
              <w:t>s</w:t>
            </w:r>
          </w:p>
          <w:p w14:paraId="6FF42E14" w14:textId="5BFC75CF" w:rsidR="00F5028F" w:rsidRPr="00DD37EC" w:rsidRDefault="00F5028F" w:rsidP="0068285B">
            <w:pPr>
              <w:pStyle w:val="ListParagraph"/>
              <w:numPr>
                <w:ilvl w:val="0"/>
                <w:numId w:val="8"/>
              </w:numPr>
              <w:spacing w:after="240"/>
              <w:cnfStyle w:val="000000100000" w:firstRow="0" w:lastRow="0" w:firstColumn="0" w:lastColumn="0" w:oddVBand="0" w:evenVBand="0" w:oddHBand="1" w:evenHBand="0" w:firstRowFirstColumn="0" w:firstRowLastColumn="0" w:lastRowFirstColumn="0" w:lastRowLastColumn="0"/>
              <w:rPr>
                <w:rFonts w:ascii="Arial" w:hAnsi="Arial" w:cs="Arial"/>
                <w:lang w:val="es-ES"/>
              </w:rPr>
            </w:pPr>
            <w:r w:rsidRPr="00DD37EC">
              <w:rPr>
                <w:rFonts w:ascii="Arial" w:hAnsi="Arial" w:cs="Arial"/>
                <w:lang w:val="es-ES"/>
              </w:rPr>
              <w:t xml:space="preserve">Subutilización </w:t>
            </w:r>
            <w:r w:rsidR="00191992" w:rsidRPr="00DD37EC">
              <w:rPr>
                <w:rFonts w:ascii="Arial" w:hAnsi="Arial" w:cs="Arial"/>
                <w:lang w:val="es-ES"/>
              </w:rPr>
              <w:t>de la capacidad política de</w:t>
            </w:r>
            <w:r w:rsidRPr="00DD37EC">
              <w:rPr>
                <w:rFonts w:ascii="Arial" w:hAnsi="Arial" w:cs="Arial"/>
                <w:lang w:val="es-ES"/>
              </w:rPr>
              <w:t xml:space="preserve"> OSC para logra</w:t>
            </w:r>
            <w:r w:rsidR="00191992" w:rsidRPr="00DD37EC">
              <w:rPr>
                <w:rFonts w:ascii="Arial" w:hAnsi="Arial" w:cs="Arial"/>
                <w:lang w:val="es-ES"/>
              </w:rPr>
              <w:t>r mayor</w:t>
            </w:r>
            <w:r w:rsidRPr="00DD37EC">
              <w:rPr>
                <w:rFonts w:ascii="Arial" w:hAnsi="Arial" w:cs="Arial"/>
                <w:lang w:val="es-ES"/>
              </w:rPr>
              <w:t xml:space="preserve"> financiero y apoyo para el sostenimiento institucional</w:t>
            </w:r>
          </w:p>
          <w:p w14:paraId="0598A00B" w14:textId="7568622B" w:rsidR="00F5028F" w:rsidRPr="00DD37EC" w:rsidRDefault="00F5028F" w:rsidP="0068285B">
            <w:pPr>
              <w:pStyle w:val="ListParagraph"/>
              <w:numPr>
                <w:ilvl w:val="0"/>
                <w:numId w:val="8"/>
              </w:numPr>
              <w:spacing w:after="240"/>
              <w:cnfStyle w:val="000000100000" w:firstRow="0" w:lastRow="0" w:firstColumn="0" w:lastColumn="0" w:oddVBand="0" w:evenVBand="0" w:oddHBand="1" w:evenHBand="0" w:firstRowFirstColumn="0" w:firstRowLastColumn="0" w:lastRowFirstColumn="0" w:lastRowLastColumn="0"/>
              <w:rPr>
                <w:rFonts w:ascii="Arial" w:hAnsi="Arial" w:cs="Arial"/>
                <w:lang w:val="es-ES"/>
              </w:rPr>
            </w:pPr>
            <w:r w:rsidRPr="00DD37EC">
              <w:rPr>
                <w:rFonts w:ascii="Arial" w:hAnsi="Arial" w:cs="Arial"/>
                <w:lang w:val="es-ES"/>
              </w:rPr>
              <w:t xml:space="preserve">La fragmentación institucional </w:t>
            </w:r>
            <w:r w:rsidR="00DC0045" w:rsidRPr="00DD37EC">
              <w:rPr>
                <w:rFonts w:ascii="Arial" w:hAnsi="Arial" w:cs="Arial"/>
                <w:lang w:val="es-ES"/>
              </w:rPr>
              <w:t>SDH</w:t>
            </w:r>
            <w:r w:rsidR="00191992" w:rsidRPr="00DD37EC">
              <w:rPr>
                <w:rFonts w:ascii="Arial" w:hAnsi="Arial" w:cs="Arial"/>
                <w:lang w:val="es-ES"/>
              </w:rPr>
              <w:t xml:space="preserve"> y</w:t>
            </w:r>
            <w:r w:rsidRPr="00DD37EC">
              <w:rPr>
                <w:rFonts w:ascii="Arial" w:hAnsi="Arial" w:cs="Arial"/>
                <w:lang w:val="es-ES"/>
              </w:rPr>
              <w:t xml:space="preserve"> CONADEH representa falta de voluntad política e institucional</w:t>
            </w:r>
          </w:p>
          <w:p w14:paraId="4B407354" w14:textId="2DD41590" w:rsidR="00F5028F" w:rsidRPr="00DD37EC" w:rsidRDefault="00F5028F" w:rsidP="0068285B">
            <w:pPr>
              <w:pStyle w:val="ListParagraph"/>
              <w:numPr>
                <w:ilvl w:val="0"/>
                <w:numId w:val="8"/>
              </w:numPr>
              <w:spacing w:after="240"/>
              <w:cnfStyle w:val="000000100000" w:firstRow="0" w:lastRow="0" w:firstColumn="0" w:lastColumn="0" w:oddVBand="0" w:evenVBand="0" w:oddHBand="1" w:evenHBand="0" w:firstRowFirstColumn="0" w:firstRowLastColumn="0" w:lastRowFirstColumn="0" w:lastRowLastColumn="0"/>
              <w:rPr>
                <w:rFonts w:ascii="Arial" w:hAnsi="Arial" w:cs="Arial"/>
                <w:lang w:val="es-ES"/>
              </w:rPr>
            </w:pPr>
            <w:r w:rsidRPr="00DD37EC">
              <w:rPr>
                <w:rFonts w:ascii="Arial" w:hAnsi="Arial" w:cs="Arial"/>
                <w:lang w:val="es-ES"/>
              </w:rPr>
              <w:t>Ausencia de una política clara sobre VIH con financiamiento, mandatos institucionales claros</w:t>
            </w:r>
          </w:p>
          <w:p w14:paraId="699F7256" w14:textId="011B6672" w:rsidR="00F5028F" w:rsidRPr="00DD37EC" w:rsidRDefault="00F5028F" w:rsidP="0068285B">
            <w:pPr>
              <w:pStyle w:val="ListParagraph"/>
              <w:numPr>
                <w:ilvl w:val="0"/>
                <w:numId w:val="8"/>
              </w:numPr>
              <w:spacing w:after="240"/>
              <w:cnfStyle w:val="000000100000" w:firstRow="0" w:lastRow="0" w:firstColumn="0" w:lastColumn="0" w:oddVBand="0" w:evenVBand="0" w:oddHBand="1" w:evenHBand="0" w:firstRowFirstColumn="0" w:firstRowLastColumn="0" w:lastRowFirstColumn="0" w:lastRowLastColumn="0"/>
              <w:rPr>
                <w:rFonts w:ascii="Arial" w:hAnsi="Arial" w:cs="Arial"/>
                <w:lang w:val="es-ES"/>
              </w:rPr>
            </w:pPr>
            <w:r w:rsidRPr="00DD37EC">
              <w:rPr>
                <w:rFonts w:ascii="Arial" w:hAnsi="Arial" w:cs="Arial"/>
                <w:lang w:val="es-ES"/>
              </w:rPr>
              <w:t>Necesidad de alianzas con otras OSC para alcanzar a más mujeres trans y proporcionar apoyo y servicios</w:t>
            </w:r>
            <w:r w:rsidR="00191992" w:rsidRPr="00DD37EC">
              <w:rPr>
                <w:rFonts w:ascii="Arial" w:hAnsi="Arial" w:cs="Arial"/>
                <w:lang w:val="es-ES"/>
              </w:rPr>
              <w:t>.</w:t>
            </w:r>
          </w:p>
        </w:tc>
      </w:tr>
    </w:tbl>
    <w:p w14:paraId="4495B8D6" w14:textId="77777777" w:rsidR="00D639F7" w:rsidRPr="00DD37EC" w:rsidRDefault="00D639F7" w:rsidP="00DD37EC">
      <w:pPr>
        <w:pStyle w:val="Heading2"/>
        <w:spacing w:before="0" w:after="240" w:line="240" w:lineRule="auto"/>
        <w:rPr>
          <w:rFonts w:ascii="Arial" w:hAnsi="Arial" w:cs="Arial"/>
          <w:sz w:val="22"/>
          <w:szCs w:val="22"/>
          <w:lang w:val="es-419"/>
        </w:rPr>
      </w:pPr>
    </w:p>
    <w:p w14:paraId="6428C3D2" w14:textId="4640030D" w:rsidR="00F166A3" w:rsidRPr="00DD37EC" w:rsidRDefault="00F166A3" w:rsidP="0068285B">
      <w:pPr>
        <w:pStyle w:val="Heading2"/>
        <w:numPr>
          <w:ilvl w:val="1"/>
          <w:numId w:val="17"/>
        </w:numPr>
        <w:spacing w:before="0" w:after="240" w:line="240" w:lineRule="auto"/>
        <w:rPr>
          <w:rFonts w:ascii="Arial" w:hAnsi="Arial" w:cs="Arial"/>
          <w:sz w:val="22"/>
          <w:szCs w:val="22"/>
          <w:lang w:val="es-419"/>
        </w:rPr>
      </w:pPr>
      <w:bookmarkStart w:id="130" w:name="_Toc8905259"/>
      <w:r w:rsidRPr="00DD37EC">
        <w:rPr>
          <w:rFonts w:ascii="Arial" w:hAnsi="Arial" w:cs="Arial"/>
          <w:sz w:val="22"/>
          <w:szCs w:val="22"/>
          <w:lang w:val="es-419"/>
        </w:rPr>
        <w:t>Sostenibilidad y resiliencia de sociedad civil más allá de transición</w:t>
      </w:r>
      <w:bookmarkEnd w:id="130"/>
    </w:p>
    <w:p w14:paraId="08C2638D" w14:textId="6E2AF89E" w:rsidR="008C7FAF" w:rsidRPr="00082D10" w:rsidRDefault="002378F4" w:rsidP="00082D10">
      <w:pPr>
        <w:pStyle w:val="Heading3"/>
        <w:spacing w:before="0" w:after="240" w:line="240" w:lineRule="auto"/>
        <w:rPr>
          <w:rFonts w:ascii="Arial" w:hAnsi="Arial" w:cs="Arial"/>
          <w:sz w:val="22"/>
          <w:szCs w:val="22"/>
          <w:lang w:val="es-419"/>
        </w:rPr>
      </w:pPr>
      <w:bookmarkStart w:id="131" w:name="_Toc8905260"/>
      <w:r>
        <w:rPr>
          <w:rFonts w:ascii="Arial" w:hAnsi="Arial" w:cs="Arial"/>
          <w:sz w:val="22"/>
          <w:szCs w:val="22"/>
          <w:lang w:val="es-419"/>
        </w:rPr>
        <w:t>8</w:t>
      </w:r>
      <w:r w:rsidR="00E6452B" w:rsidRPr="00DD37EC">
        <w:rPr>
          <w:rFonts w:ascii="Arial" w:hAnsi="Arial" w:cs="Arial"/>
          <w:sz w:val="22"/>
          <w:szCs w:val="22"/>
          <w:lang w:val="es-419"/>
        </w:rPr>
        <w:t>.2.1</w:t>
      </w:r>
      <w:r w:rsidR="00CF3298" w:rsidRPr="00DD37EC">
        <w:rPr>
          <w:rFonts w:ascii="Arial" w:hAnsi="Arial" w:cs="Arial"/>
          <w:sz w:val="22"/>
          <w:szCs w:val="22"/>
          <w:lang w:val="es-419"/>
        </w:rPr>
        <w:t xml:space="preserve"> Contratación de las OSC</w:t>
      </w:r>
      <w:bookmarkEnd w:id="131"/>
      <w:r w:rsidR="00CF3298" w:rsidRPr="00DD37EC">
        <w:rPr>
          <w:rFonts w:ascii="Arial" w:hAnsi="Arial" w:cs="Arial"/>
          <w:sz w:val="22"/>
          <w:szCs w:val="22"/>
          <w:lang w:val="es-419"/>
        </w:rPr>
        <w:t xml:space="preserve"> </w:t>
      </w:r>
    </w:p>
    <w:p w14:paraId="0BA1DC52" w14:textId="77777777" w:rsidR="004E580D" w:rsidRDefault="00E629E0" w:rsidP="00DD37EC">
      <w:pPr>
        <w:spacing w:after="240" w:line="240" w:lineRule="auto"/>
        <w:jc w:val="both"/>
        <w:rPr>
          <w:rFonts w:ascii="Arial" w:hAnsi="Arial" w:cs="Arial"/>
          <w:lang w:val="es-ES"/>
        </w:rPr>
      </w:pPr>
      <w:r>
        <w:rPr>
          <w:rFonts w:ascii="Arial" w:hAnsi="Arial" w:cs="Arial"/>
          <w:lang w:val="es-419"/>
        </w:rPr>
        <w:t>A</w:t>
      </w:r>
      <w:r w:rsidR="008C7FAF" w:rsidRPr="00DD37EC">
        <w:rPr>
          <w:rFonts w:ascii="Arial" w:hAnsi="Arial" w:cs="Arial"/>
          <w:lang w:val="es-ES"/>
        </w:rPr>
        <w:t xml:space="preserve"> pesar de que existe una legislación vigente en </w:t>
      </w:r>
      <w:r>
        <w:rPr>
          <w:rFonts w:ascii="Arial" w:hAnsi="Arial" w:cs="Arial"/>
          <w:lang w:val="es-ES"/>
        </w:rPr>
        <w:t>términos de la financiación pública de las OSC</w:t>
      </w:r>
      <w:r w:rsidR="008C7FAF" w:rsidRPr="00DD37EC">
        <w:rPr>
          <w:rFonts w:ascii="Arial" w:hAnsi="Arial" w:cs="Arial"/>
          <w:lang w:val="es-ES"/>
        </w:rPr>
        <w:t xml:space="preserve"> (Ley Especial de Fomento para las Organizaciones No-Gubernamentales de Desarrollo, Decreto 32/2011)</w:t>
      </w:r>
      <w:r w:rsidR="00FA30C5">
        <w:rPr>
          <w:rFonts w:ascii="Arial" w:hAnsi="Arial" w:cs="Arial"/>
          <w:lang w:val="es-ES"/>
        </w:rPr>
        <w:t xml:space="preserve">, </w:t>
      </w:r>
      <w:r w:rsidR="008C7FAF" w:rsidRPr="00DD37EC">
        <w:rPr>
          <w:rFonts w:ascii="Arial" w:hAnsi="Arial" w:cs="Arial"/>
          <w:lang w:val="es-ES"/>
        </w:rPr>
        <w:t>no existe una política</w:t>
      </w:r>
      <w:r w:rsidR="00067EEF">
        <w:rPr>
          <w:rFonts w:ascii="Arial" w:hAnsi="Arial" w:cs="Arial"/>
          <w:lang w:val="es-ES"/>
        </w:rPr>
        <w:t xml:space="preserve"> general</w:t>
      </w:r>
      <w:r w:rsidR="008C7FAF" w:rsidRPr="00DD37EC">
        <w:rPr>
          <w:rFonts w:ascii="Arial" w:hAnsi="Arial" w:cs="Arial"/>
          <w:lang w:val="es-ES"/>
        </w:rPr>
        <w:t xml:space="preserve"> de contratación socia</w:t>
      </w:r>
      <w:r w:rsidR="00067EEF">
        <w:rPr>
          <w:rFonts w:ascii="Arial" w:hAnsi="Arial" w:cs="Arial"/>
          <w:lang w:val="es-ES"/>
        </w:rPr>
        <w:t>l</w:t>
      </w:r>
      <w:r w:rsidR="008C7FAF" w:rsidRPr="00DD37EC">
        <w:rPr>
          <w:rFonts w:ascii="Arial" w:hAnsi="Arial" w:cs="Arial"/>
          <w:lang w:val="es-ES"/>
        </w:rPr>
        <w:t>, por ejemplo, por medio de convocatorias, más allá de las transferencias que hace la Secretaria de Desarrollo Social</w:t>
      </w:r>
      <w:r w:rsidR="00F03C7A">
        <w:rPr>
          <w:rFonts w:ascii="Arial" w:hAnsi="Arial" w:cs="Arial"/>
          <w:lang w:val="es-ES"/>
        </w:rPr>
        <w:t xml:space="preserve"> y otras Secretarías como esfuerzos </w:t>
      </w:r>
      <w:r w:rsidR="00F03C7A">
        <w:rPr>
          <w:rFonts w:ascii="Arial" w:hAnsi="Arial" w:cs="Arial"/>
          <w:lang w:val="es-ES"/>
        </w:rPr>
        <w:lastRenderedPageBreak/>
        <w:t>aislados</w:t>
      </w:r>
      <w:r w:rsidR="008C7FAF" w:rsidRPr="00DD37EC">
        <w:rPr>
          <w:rFonts w:ascii="Arial" w:hAnsi="Arial" w:cs="Arial"/>
          <w:lang w:val="es-ES"/>
        </w:rPr>
        <w:t>.</w:t>
      </w:r>
      <w:r w:rsidR="004D3729" w:rsidRPr="00DD37EC">
        <w:rPr>
          <w:rStyle w:val="FootnoteReference"/>
          <w:rFonts w:ascii="Arial" w:hAnsi="Arial" w:cs="Arial"/>
          <w:lang w:val="es-ES"/>
        </w:rPr>
        <w:footnoteReference w:id="132"/>
      </w:r>
      <w:r w:rsidR="004D3729">
        <w:rPr>
          <w:rFonts w:ascii="Arial" w:hAnsi="Arial" w:cs="Arial"/>
          <w:lang w:val="es-ES"/>
        </w:rPr>
        <w:t xml:space="preserve">  </w:t>
      </w:r>
      <w:r w:rsidR="008C7FAF" w:rsidRPr="00DD37EC">
        <w:rPr>
          <w:rFonts w:ascii="Arial" w:hAnsi="Arial" w:cs="Arial"/>
          <w:lang w:val="es-ES"/>
        </w:rPr>
        <w:t>Esta política es necesaria y debe incluir no solo la financiación pública, sino que también mecanismos y oportunidades de financiamiento privado de las OSC, para lo cual se requiere una nueva normativa que incentive al sector privado a apoyar financiera y logísticamente a las OSC, como es el caso en Argentina con el financiamiento privado de fundaciones como la Fundación Huésped.</w:t>
      </w:r>
      <w:r w:rsidR="008C7FAF" w:rsidRPr="00DD37EC">
        <w:rPr>
          <w:rStyle w:val="FootnoteReference"/>
          <w:rFonts w:ascii="Arial" w:hAnsi="Arial" w:cs="Arial"/>
          <w:lang w:val="es-ES"/>
        </w:rPr>
        <w:footnoteReference w:id="133"/>
      </w:r>
      <w:r w:rsidR="008C7FAF" w:rsidRPr="00DD37EC">
        <w:rPr>
          <w:rFonts w:ascii="Arial" w:hAnsi="Arial" w:cs="Arial"/>
          <w:lang w:val="es-ES"/>
        </w:rPr>
        <w:t xml:space="preserve"> </w:t>
      </w:r>
    </w:p>
    <w:p w14:paraId="0EDC07C5" w14:textId="135BB226" w:rsidR="008C7FAF" w:rsidRPr="00DD37EC" w:rsidRDefault="008C7FAF" w:rsidP="00DD37EC">
      <w:pPr>
        <w:spacing w:after="240" w:line="240" w:lineRule="auto"/>
        <w:jc w:val="both"/>
        <w:rPr>
          <w:rFonts w:ascii="Arial" w:hAnsi="Arial" w:cs="Arial"/>
          <w:lang w:val="es-ES"/>
        </w:rPr>
      </w:pPr>
      <w:r w:rsidRPr="00DD37EC">
        <w:rPr>
          <w:rFonts w:ascii="Arial" w:hAnsi="Arial" w:cs="Arial"/>
          <w:lang w:val="es-ES"/>
        </w:rPr>
        <w:t>Las OSC se financian por medio de aportes de miembros, actividades sociales de recaudación de fondos. Algunas también tienen acceso a financiación externa, pública y privada. Algunas OSC reconocen que en ciertos casos estas fuentes de financiamiento externo ponen condiciones que limitan su acción. Una limitante a la contratación social con fondos públicos es la posible restricción a la labor de promoción ("advocacy") de las OSC si ello envuelve planteamientos contrarios o críticos de la labor del Estado en VIH, TB y con respecto a la labor de las OSC en general en la sociedad.</w:t>
      </w:r>
    </w:p>
    <w:p w14:paraId="166821E6" w14:textId="6792806A" w:rsidR="008C7FAF" w:rsidRPr="00DD37EC" w:rsidRDefault="008C7FAF" w:rsidP="00082D10">
      <w:pPr>
        <w:spacing w:after="240" w:line="240" w:lineRule="auto"/>
        <w:jc w:val="both"/>
        <w:rPr>
          <w:rFonts w:ascii="Arial" w:hAnsi="Arial" w:cs="Arial"/>
          <w:lang w:val="es-ES"/>
        </w:rPr>
      </w:pPr>
      <w:r w:rsidRPr="00DD37EC">
        <w:rPr>
          <w:rFonts w:ascii="Arial" w:hAnsi="Arial" w:cs="Arial"/>
          <w:lang w:val="es-ES"/>
        </w:rPr>
        <w:t>La OSC Kukulcán es una de las pocas instituciones que proveen servicios (realizan pruebas de testeo rápido, y hacen labores de prevención) y cuenta con una larga trayectoria logrando acuerdos con municipios. Actúan con fondos propios provenientes de contribuciones de sus miembros, actividades sociales y teatro público. Trabajan en lograr apoyo de empresas privadas y quisieran tener convenios para labores de información, prevención, testeo y acceso a servicios de salud para trabajadores privados. Consideran que la fragmentación institucional es un efecto secundario de la situación imperante en el país con derechos humanos y falta de apoyo a las actividades de las OSC.</w:t>
      </w:r>
    </w:p>
    <w:p w14:paraId="145DD950" w14:textId="7A55494E" w:rsidR="008C7FAF" w:rsidRPr="00DD37EC" w:rsidRDefault="008C7FAF" w:rsidP="00082D10">
      <w:pPr>
        <w:tabs>
          <w:tab w:val="num" w:pos="1440"/>
        </w:tabs>
        <w:spacing w:after="240" w:line="240" w:lineRule="auto"/>
        <w:jc w:val="both"/>
        <w:rPr>
          <w:rFonts w:ascii="Arial" w:hAnsi="Arial" w:cs="Arial"/>
          <w:lang w:val="es-ES"/>
        </w:rPr>
      </w:pPr>
      <w:r w:rsidRPr="00DD37EC">
        <w:rPr>
          <w:rFonts w:ascii="Arial" w:hAnsi="Arial" w:cs="Arial"/>
          <w:lang w:val="es-ES"/>
        </w:rPr>
        <w:t xml:space="preserve">Debido a que la Ley Especial sobre HIV/ SIDA y sobre Fomento de las Organizaciones de la Sociedad Civil que no se aplican y por tanto no tienen vigencia en la práctica, las OSC estiman necesaria la elaboración y aprobación de una nueva Ley sobre las OSC que sea comprehensiva y con mecanismos efectivos de aplicación. Esta ley debería reconocer las capacidades de las OSC para ejecutar proyectos de prevención y su nivel de conocimiento de la realidad en incluir mecanismos explícitos de financiamiento </w:t>
      </w:r>
      <w:r w:rsidR="00D70EE4" w:rsidRPr="00DD37EC">
        <w:rPr>
          <w:rFonts w:ascii="Arial" w:hAnsi="Arial" w:cs="Arial"/>
          <w:lang w:val="es-ES"/>
        </w:rPr>
        <w:t>público</w:t>
      </w:r>
      <w:r w:rsidRPr="00DD37EC">
        <w:rPr>
          <w:rFonts w:ascii="Arial" w:hAnsi="Arial" w:cs="Arial"/>
          <w:lang w:val="es-ES"/>
        </w:rPr>
        <w:t xml:space="preserve"> de las OSC. </w:t>
      </w:r>
    </w:p>
    <w:p w14:paraId="6F6684DC" w14:textId="77777777" w:rsidR="008C7FAF" w:rsidRPr="00DD37EC" w:rsidRDefault="008C7FAF" w:rsidP="00DD37EC">
      <w:pPr>
        <w:spacing w:after="240" w:line="240" w:lineRule="auto"/>
        <w:jc w:val="both"/>
        <w:rPr>
          <w:rFonts w:ascii="Arial" w:hAnsi="Arial" w:cs="Arial"/>
          <w:lang w:val="es-ES"/>
        </w:rPr>
      </w:pPr>
      <w:r w:rsidRPr="00DD37EC">
        <w:rPr>
          <w:rFonts w:ascii="Arial" w:hAnsi="Arial" w:cs="Arial"/>
          <w:lang w:val="es-ES"/>
        </w:rPr>
        <w:t xml:space="preserve">Las potenciales fuentes de financiamiento público de las OSC son amplias en todos los países e igual debería ser en Honduras: </w:t>
      </w:r>
    </w:p>
    <w:p w14:paraId="4B03F1F8" w14:textId="77777777" w:rsidR="008C7FAF" w:rsidRPr="00DD37EC" w:rsidRDefault="008C7FAF" w:rsidP="0068285B">
      <w:pPr>
        <w:pStyle w:val="ListParagraph"/>
        <w:numPr>
          <w:ilvl w:val="0"/>
          <w:numId w:val="3"/>
        </w:numPr>
        <w:spacing w:after="240" w:line="240" w:lineRule="auto"/>
        <w:ind w:left="270" w:firstLine="0"/>
        <w:jc w:val="both"/>
        <w:rPr>
          <w:rFonts w:ascii="Arial" w:hAnsi="Arial" w:cs="Arial"/>
          <w:lang w:val="es-ES"/>
        </w:rPr>
      </w:pPr>
      <w:r w:rsidRPr="00DD37EC">
        <w:rPr>
          <w:rFonts w:ascii="Arial" w:hAnsi="Arial" w:cs="Arial"/>
          <w:lang w:val="es-ES"/>
        </w:rPr>
        <w:t>Presupuesto Nacional</w:t>
      </w:r>
    </w:p>
    <w:p w14:paraId="71668F48" w14:textId="77777777" w:rsidR="008C7FAF" w:rsidRPr="00DD37EC" w:rsidRDefault="008C7FAF" w:rsidP="0068285B">
      <w:pPr>
        <w:pStyle w:val="ListParagraph"/>
        <w:numPr>
          <w:ilvl w:val="0"/>
          <w:numId w:val="3"/>
        </w:numPr>
        <w:spacing w:after="240" w:line="240" w:lineRule="auto"/>
        <w:ind w:left="270" w:firstLine="0"/>
        <w:jc w:val="both"/>
        <w:rPr>
          <w:rFonts w:ascii="Arial" w:hAnsi="Arial" w:cs="Arial"/>
          <w:lang w:val="es-ES"/>
        </w:rPr>
      </w:pPr>
      <w:r w:rsidRPr="00DD37EC">
        <w:rPr>
          <w:rFonts w:ascii="Arial" w:hAnsi="Arial" w:cs="Arial"/>
          <w:lang w:val="es-ES"/>
        </w:rPr>
        <w:t>Presupuestos municipales</w:t>
      </w:r>
    </w:p>
    <w:p w14:paraId="0A729EF0" w14:textId="61CCBD7C" w:rsidR="000B0050" w:rsidRDefault="008C7FAF" w:rsidP="0068285B">
      <w:pPr>
        <w:pStyle w:val="ListParagraph"/>
        <w:numPr>
          <w:ilvl w:val="0"/>
          <w:numId w:val="3"/>
        </w:numPr>
        <w:spacing w:after="240" w:line="240" w:lineRule="auto"/>
        <w:ind w:left="270" w:firstLine="0"/>
        <w:jc w:val="both"/>
        <w:rPr>
          <w:rFonts w:ascii="Arial" w:hAnsi="Arial" w:cs="Arial"/>
          <w:lang w:val="es-ES"/>
        </w:rPr>
      </w:pPr>
      <w:r w:rsidRPr="00DD37EC">
        <w:rPr>
          <w:rFonts w:ascii="Arial" w:hAnsi="Arial" w:cs="Arial"/>
          <w:lang w:val="es-ES"/>
        </w:rPr>
        <w:t>Secretar</w:t>
      </w:r>
      <w:r w:rsidR="000B0050">
        <w:rPr>
          <w:rFonts w:ascii="Arial" w:hAnsi="Arial" w:cs="Arial"/>
          <w:lang w:val="es-ES"/>
        </w:rPr>
        <w:t>í</w:t>
      </w:r>
      <w:r w:rsidRPr="00DD37EC">
        <w:rPr>
          <w:rFonts w:ascii="Arial" w:hAnsi="Arial" w:cs="Arial"/>
          <w:lang w:val="es-ES"/>
        </w:rPr>
        <w:t>a de Salud</w:t>
      </w:r>
    </w:p>
    <w:p w14:paraId="0693B558" w14:textId="1989B3D7" w:rsidR="008C7FAF" w:rsidRPr="00DD37EC" w:rsidRDefault="008C7FAF" w:rsidP="0068285B">
      <w:pPr>
        <w:pStyle w:val="ListParagraph"/>
        <w:numPr>
          <w:ilvl w:val="0"/>
          <w:numId w:val="3"/>
        </w:numPr>
        <w:spacing w:after="240" w:line="240" w:lineRule="auto"/>
        <w:ind w:left="270" w:firstLine="0"/>
        <w:jc w:val="both"/>
        <w:rPr>
          <w:rFonts w:ascii="Arial" w:hAnsi="Arial" w:cs="Arial"/>
          <w:lang w:val="es-ES"/>
        </w:rPr>
      </w:pPr>
      <w:r w:rsidRPr="00DD37EC">
        <w:rPr>
          <w:rFonts w:ascii="Arial" w:hAnsi="Arial" w:cs="Arial"/>
          <w:lang w:val="es-ES"/>
        </w:rPr>
        <w:t>Secretar</w:t>
      </w:r>
      <w:r w:rsidR="000B0050">
        <w:rPr>
          <w:rFonts w:ascii="Arial" w:hAnsi="Arial" w:cs="Arial"/>
          <w:lang w:val="es-ES"/>
        </w:rPr>
        <w:t>í</w:t>
      </w:r>
      <w:r w:rsidRPr="00DD37EC">
        <w:rPr>
          <w:rFonts w:ascii="Arial" w:hAnsi="Arial" w:cs="Arial"/>
          <w:lang w:val="es-ES"/>
        </w:rPr>
        <w:t>a de Trabajo</w:t>
      </w:r>
      <w:r w:rsidR="000B0050">
        <w:rPr>
          <w:rFonts w:ascii="Arial" w:hAnsi="Arial" w:cs="Arial"/>
          <w:lang w:val="es-ES"/>
        </w:rPr>
        <w:t xml:space="preserve"> y Seguridad Social</w:t>
      </w:r>
    </w:p>
    <w:p w14:paraId="6BA0B1EE" w14:textId="52C4F547" w:rsidR="008C7FAF" w:rsidRPr="00DD37EC" w:rsidRDefault="008C7FAF" w:rsidP="0068285B">
      <w:pPr>
        <w:pStyle w:val="ListParagraph"/>
        <w:numPr>
          <w:ilvl w:val="0"/>
          <w:numId w:val="3"/>
        </w:numPr>
        <w:spacing w:after="240" w:line="240" w:lineRule="auto"/>
        <w:ind w:left="270" w:firstLine="0"/>
        <w:jc w:val="both"/>
        <w:rPr>
          <w:rFonts w:ascii="Arial" w:hAnsi="Arial" w:cs="Arial"/>
          <w:lang w:val="es-ES"/>
        </w:rPr>
      </w:pPr>
      <w:r w:rsidRPr="00DD37EC">
        <w:rPr>
          <w:rFonts w:ascii="Arial" w:hAnsi="Arial" w:cs="Arial"/>
          <w:lang w:val="es-ES"/>
        </w:rPr>
        <w:t>Secretar</w:t>
      </w:r>
      <w:r w:rsidR="000B0050">
        <w:rPr>
          <w:rFonts w:ascii="Arial" w:hAnsi="Arial" w:cs="Arial"/>
          <w:lang w:val="es-ES"/>
        </w:rPr>
        <w:t>í</w:t>
      </w:r>
      <w:r w:rsidRPr="00DD37EC">
        <w:rPr>
          <w:rFonts w:ascii="Arial" w:hAnsi="Arial" w:cs="Arial"/>
          <w:lang w:val="es-ES"/>
        </w:rPr>
        <w:t>a de Derechos Humanos</w:t>
      </w:r>
    </w:p>
    <w:p w14:paraId="0ED6E3D0" w14:textId="69028B25" w:rsidR="008C7FAF" w:rsidRPr="00DD37EC" w:rsidRDefault="008C7FAF" w:rsidP="0068285B">
      <w:pPr>
        <w:pStyle w:val="ListParagraph"/>
        <w:numPr>
          <w:ilvl w:val="0"/>
          <w:numId w:val="3"/>
        </w:numPr>
        <w:spacing w:after="240" w:line="240" w:lineRule="auto"/>
        <w:ind w:left="270" w:firstLine="0"/>
        <w:jc w:val="both"/>
        <w:rPr>
          <w:rFonts w:ascii="Arial" w:hAnsi="Arial" w:cs="Arial"/>
          <w:lang w:val="es-ES"/>
        </w:rPr>
      </w:pPr>
      <w:r w:rsidRPr="00DD37EC">
        <w:rPr>
          <w:rFonts w:ascii="Arial" w:hAnsi="Arial" w:cs="Arial"/>
          <w:lang w:val="es-ES"/>
        </w:rPr>
        <w:t>Secretar</w:t>
      </w:r>
      <w:r w:rsidR="000B0050">
        <w:rPr>
          <w:rFonts w:ascii="Arial" w:hAnsi="Arial" w:cs="Arial"/>
          <w:lang w:val="es-ES"/>
        </w:rPr>
        <w:t>í</w:t>
      </w:r>
      <w:r w:rsidRPr="00DD37EC">
        <w:rPr>
          <w:rFonts w:ascii="Arial" w:hAnsi="Arial" w:cs="Arial"/>
          <w:lang w:val="es-ES"/>
        </w:rPr>
        <w:t xml:space="preserve">a de </w:t>
      </w:r>
      <w:r w:rsidR="000B0050">
        <w:rPr>
          <w:rFonts w:ascii="Arial" w:hAnsi="Arial" w:cs="Arial"/>
          <w:lang w:val="es-ES"/>
        </w:rPr>
        <w:t xml:space="preserve">Gobernación, </w:t>
      </w:r>
      <w:r w:rsidRPr="00DD37EC">
        <w:rPr>
          <w:rFonts w:ascii="Arial" w:hAnsi="Arial" w:cs="Arial"/>
          <w:lang w:val="es-ES"/>
        </w:rPr>
        <w:t>Justicia</w:t>
      </w:r>
      <w:r w:rsidR="000B0050">
        <w:rPr>
          <w:rFonts w:ascii="Arial" w:hAnsi="Arial" w:cs="Arial"/>
          <w:lang w:val="es-ES"/>
        </w:rPr>
        <w:t xml:space="preserve"> y Descentralización</w:t>
      </w:r>
      <w:r w:rsidRPr="00DD37EC">
        <w:rPr>
          <w:rFonts w:ascii="Arial" w:hAnsi="Arial" w:cs="Arial"/>
          <w:lang w:val="es-ES"/>
        </w:rPr>
        <w:t xml:space="preserve"> (sistema de Salud de Prisiones)</w:t>
      </w:r>
    </w:p>
    <w:p w14:paraId="246DA611" w14:textId="3514A7D0" w:rsidR="008C7FAF" w:rsidRPr="00082D10" w:rsidRDefault="000B0050" w:rsidP="0068285B">
      <w:pPr>
        <w:pStyle w:val="ListParagraph"/>
        <w:numPr>
          <w:ilvl w:val="0"/>
          <w:numId w:val="3"/>
        </w:numPr>
        <w:spacing w:after="240" w:line="240" w:lineRule="auto"/>
        <w:ind w:left="270" w:firstLine="0"/>
        <w:jc w:val="both"/>
        <w:rPr>
          <w:rFonts w:ascii="Arial" w:hAnsi="Arial" w:cs="Arial"/>
          <w:lang w:val="es-ES"/>
        </w:rPr>
      </w:pPr>
      <w:r>
        <w:rPr>
          <w:rFonts w:ascii="Arial" w:hAnsi="Arial" w:cs="Arial"/>
          <w:lang w:val="es-ES"/>
        </w:rPr>
        <w:t>Secretaría</w:t>
      </w:r>
      <w:r w:rsidR="008C7FAF" w:rsidRPr="00DD37EC">
        <w:rPr>
          <w:rFonts w:ascii="Arial" w:hAnsi="Arial" w:cs="Arial"/>
          <w:lang w:val="es-ES"/>
        </w:rPr>
        <w:t xml:space="preserve"> de Defensa</w:t>
      </w:r>
      <w:r>
        <w:rPr>
          <w:rFonts w:ascii="Arial" w:hAnsi="Arial" w:cs="Arial"/>
          <w:lang w:val="es-ES"/>
        </w:rPr>
        <w:t xml:space="preserve"> Nacional</w:t>
      </w:r>
    </w:p>
    <w:p w14:paraId="1FD3961C" w14:textId="53F9361C" w:rsidR="008C7FAF" w:rsidRDefault="008C7FAF" w:rsidP="00DD37EC">
      <w:pPr>
        <w:spacing w:after="240" w:line="240" w:lineRule="auto"/>
        <w:jc w:val="both"/>
        <w:rPr>
          <w:rFonts w:ascii="Arial" w:hAnsi="Arial" w:cs="Arial"/>
          <w:lang w:val="es-ES"/>
        </w:rPr>
      </w:pPr>
      <w:r w:rsidRPr="00DD37EC">
        <w:rPr>
          <w:rFonts w:ascii="Arial" w:hAnsi="Arial" w:cs="Arial"/>
          <w:lang w:val="es-ES"/>
        </w:rPr>
        <w:t>Fuentes opcionales</w:t>
      </w:r>
      <w:r w:rsidR="00920898">
        <w:rPr>
          <w:rFonts w:ascii="Arial" w:hAnsi="Arial" w:cs="Arial"/>
          <w:lang w:val="es-ES"/>
        </w:rPr>
        <w:t xml:space="preserve"> también </w:t>
      </w:r>
      <w:r w:rsidRPr="00DD37EC">
        <w:rPr>
          <w:rFonts w:ascii="Arial" w:hAnsi="Arial" w:cs="Arial"/>
          <w:lang w:val="es-ES"/>
        </w:rPr>
        <w:t>incluyen porcentaje de ingresos de casinos y loterías; impuestos de ventas; impuestos sobre alcohol, tabaco y otros.</w:t>
      </w:r>
    </w:p>
    <w:p w14:paraId="2CF1EDE0" w14:textId="77777777" w:rsidR="00800C37" w:rsidRPr="00F03C7A" w:rsidRDefault="00800C37" w:rsidP="00800C37">
      <w:pPr>
        <w:spacing w:after="240" w:line="240" w:lineRule="auto"/>
        <w:jc w:val="both"/>
        <w:rPr>
          <w:rFonts w:ascii="Arial" w:hAnsi="Arial" w:cs="Arial"/>
          <w:lang w:val="es-ES"/>
        </w:rPr>
      </w:pPr>
      <w:r w:rsidRPr="00F03C7A">
        <w:rPr>
          <w:rFonts w:ascii="Arial" w:hAnsi="Arial" w:cs="Arial"/>
          <w:lang w:val="es-ES"/>
        </w:rPr>
        <w:t>Si bien en el país existen mecanismos de contratación púbica de las OSC para la prestación de servicios</w:t>
      </w:r>
      <w:r>
        <w:rPr>
          <w:rFonts w:ascii="Arial" w:hAnsi="Arial" w:cs="Arial"/>
          <w:lang w:val="es-ES"/>
        </w:rPr>
        <w:t xml:space="preserve"> de VIH y TB</w:t>
      </w:r>
      <w:r w:rsidRPr="00F03C7A">
        <w:rPr>
          <w:rFonts w:ascii="Arial" w:hAnsi="Arial" w:cs="Arial"/>
          <w:lang w:val="es-ES"/>
        </w:rPr>
        <w:t xml:space="preserve"> como los Convenios y Acuerdos, sobre todo a nivel municipal, no existe un mecanismo institucional formal para que las OSC accedan a una bolsa fija y representativa de recursos de fuentes públicas para el desarrollo de actividades de prevención, promoción y movilización </w:t>
      </w:r>
      <w:r w:rsidRPr="00F03C7A">
        <w:rPr>
          <w:rFonts w:ascii="Arial" w:hAnsi="Arial" w:cs="Arial"/>
          <w:lang w:val="es-ES"/>
        </w:rPr>
        <w:lastRenderedPageBreak/>
        <w:t xml:space="preserve">comunitaria. </w:t>
      </w:r>
      <w:r>
        <w:rPr>
          <w:rFonts w:ascii="Arial" w:hAnsi="Arial" w:cs="Arial"/>
          <w:lang w:val="es-ES"/>
        </w:rPr>
        <w:t>Otro ejemplo es que e</w:t>
      </w:r>
      <w:r w:rsidRPr="00DD37EC">
        <w:rPr>
          <w:rFonts w:ascii="Arial" w:hAnsi="Arial" w:cs="Arial"/>
          <w:lang w:val="es-ES"/>
        </w:rPr>
        <w:t>l Instituto Hondureño de Seguridad Social no contrata con OSC para la prestación de servicios a poblaciones clave y vulnerables.</w:t>
      </w:r>
    </w:p>
    <w:p w14:paraId="583F803E" w14:textId="37F4C54C" w:rsidR="00800C37" w:rsidRDefault="008C41DB" w:rsidP="00800C37">
      <w:pPr>
        <w:spacing w:after="240" w:line="240" w:lineRule="auto"/>
        <w:jc w:val="both"/>
        <w:rPr>
          <w:rFonts w:ascii="Arial" w:hAnsi="Arial" w:cs="Arial"/>
          <w:lang w:val="es-ES"/>
        </w:rPr>
      </w:pPr>
      <w:r w:rsidRPr="008C41DB">
        <w:rPr>
          <w:rFonts w:ascii="Arial" w:hAnsi="Arial" w:cs="Arial"/>
          <w:lang w:val="es-ES"/>
        </w:rPr>
        <w:t>En Honduras la Ley Especial de VIH/SIDA del 2015 ofrece un potencial marco conceptual y legislativo para explorar mecanismos de financiamiento, proyectos y apoyo para la respuesta al VIH por parte de OSC.</w:t>
      </w:r>
      <w:r>
        <w:rPr>
          <w:rFonts w:ascii="Arial" w:hAnsi="Arial" w:cs="Arial"/>
          <w:lang w:val="es-ES"/>
        </w:rPr>
        <w:t xml:space="preserve"> </w:t>
      </w:r>
      <w:r w:rsidR="00800C37" w:rsidRPr="00F03C7A">
        <w:rPr>
          <w:rFonts w:ascii="Arial" w:hAnsi="Arial" w:cs="Arial"/>
          <w:lang w:val="es-ES"/>
        </w:rPr>
        <w:t>Actualmente el Reglamento de la Ley Especial del VIH/sida 2015 se encuentra en elaboración, donde se ha considerado el replanteamiento de la estructura y funciones de la CONASIDA. De acuerdo a la Ley Especial del VIH existen los fundamentos para que CONASIDA pueda ejercer la gestión de recursos financieros tanto para su gestión y actividades cotidianas como para favorecer la continuidad de las actividades actualmente financiadas por los cooperantes externos. La principal de ellas es la contratación de OSCs para proveer servicios de prevención, promoción y movilización comunitaria – especialmente enfocada en población clave (intervenciones con la mayor costo-efectividad). Así está en discusión la posibilidad de crear un mecanismo de asignación de fondos concursables similar al implementado en México por CENSIDA. La OPS, el FM y PEPFAR podrían contribuir con asistencia técnica en caso de tener buena recepción por parte de las autoridades nacionales</w:t>
      </w:r>
      <w:r>
        <w:rPr>
          <w:rFonts w:ascii="Arial" w:hAnsi="Arial" w:cs="Arial"/>
          <w:lang w:val="es-ES"/>
        </w:rPr>
        <w:t xml:space="preserve"> (ver Anexo</w:t>
      </w:r>
      <w:r w:rsidR="00864EFD">
        <w:rPr>
          <w:rFonts w:ascii="Arial" w:hAnsi="Arial" w:cs="Arial"/>
          <w:lang w:val="es-ES"/>
        </w:rPr>
        <w:t>)</w:t>
      </w:r>
      <w:r w:rsidR="00800C37" w:rsidRPr="00F03C7A">
        <w:rPr>
          <w:rFonts w:ascii="Arial" w:hAnsi="Arial" w:cs="Arial"/>
          <w:lang w:val="es-ES"/>
        </w:rPr>
        <w:t>.</w:t>
      </w:r>
    </w:p>
    <w:p w14:paraId="1A9DA5E4" w14:textId="13ABE287" w:rsidR="00800C37" w:rsidRPr="00DD37EC" w:rsidRDefault="00800C37" w:rsidP="00DD37EC">
      <w:pPr>
        <w:spacing w:after="240" w:line="240" w:lineRule="auto"/>
        <w:jc w:val="both"/>
        <w:rPr>
          <w:rFonts w:ascii="Arial" w:hAnsi="Arial" w:cs="Arial"/>
          <w:lang w:val="es-ES"/>
        </w:rPr>
      </w:pPr>
      <w:r>
        <w:rPr>
          <w:rFonts w:ascii="Arial" w:hAnsi="Arial" w:cs="Arial"/>
          <w:lang w:val="es-ES"/>
        </w:rPr>
        <w:t>La</w:t>
      </w:r>
      <w:r w:rsidRPr="00DD37EC">
        <w:rPr>
          <w:rFonts w:ascii="Arial" w:hAnsi="Arial" w:cs="Arial"/>
          <w:lang w:val="es-ES"/>
        </w:rPr>
        <w:t xml:space="preserve"> Secretaria de Desarrollo Social hace transferencias financieras a OSC e Iglesias para el financiamiento de actividades de servicio y cooperación social – por ejemplo, para el trabajo en discapacidad. Este modelo que debería ser analizado y tomado en consideración para establecer mecanismos similares en la SESAL, la S</w:t>
      </w:r>
      <w:r>
        <w:rPr>
          <w:rFonts w:ascii="Arial" w:hAnsi="Arial" w:cs="Arial"/>
          <w:lang w:val="es-ES"/>
        </w:rPr>
        <w:t>E</w:t>
      </w:r>
      <w:r w:rsidRPr="00DD37EC">
        <w:rPr>
          <w:rFonts w:ascii="Arial" w:hAnsi="Arial" w:cs="Arial"/>
          <w:lang w:val="es-ES"/>
        </w:rPr>
        <w:t>DH y en CONASIDA una vez que se defina mejor su papel institucional y si este papel contemplará mecanismos de financiamiento de las OSC.</w:t>
      </w:r>
    </w:p>
    <w:p w14:paraId="4A322E16" w14:textId="7FAA2BC6" w:rsidR="00E6452B" w:rsidRPr="00082D10" w:rsidRDefault="008C7FAF" w:rsidP="00DD37EC">
      <w:pPr>
        <w:spacing w:after="240" w:line="240" w:lineRule="auto"/>
        <w:jc w:val="both"/>
        <w:rPr>
          <w:rFonts w:ascii="Arial" w:hAnsi="Arial" w:cs="Arial"/>
          <w:lang w:val="es-ES"/>
        </w:rPr>
      </w:pPr>
      <w:r w:rsidRPr="00DD37EC">
        <w:rPr>
          <w:rFonts w:ascii="Arial" w:hAnsi="Arial" w:cs="Arial"/>
          <w:lang w:val="es-ES"/>
        </w:rPr>
        <w:t>De no introducirse cambios importantes, el financiamiento, sostenibilidad y capacidad de acción de las OSC estará seriamente limitada y ello afectará la implementación de los planes de transición en general.</w:t>
      </w:r>
    </w:p>
    <w:p w14:paraId="6D3545AF" w14:textId="21187251" w:rsidR="00A42D36" w:rsidRPr="00082D10" w:rsidRDefault="00F166A3" w:rsidP="0068285B">
      <w:pPr>
        <w:pStyle w:val="Heading2"/>
        <w:numPr>
          <w:ilvl w:val="1"/>
          <w:numId w:val="17"/>
        </w:numPr>
        <w:spacing w:before="0" w:after="240" w:line="240" w:lineRule="auto"/>
        <w:rPr>
          <w:rFonts w:ascii="Arial" w:hAnsi="Arial" w:cs="Arial"/>
          <w:sz w:val="22"/>
          <w:szCs w:val="22"/>
          <w:lang w:val="es-419"/>
        </w:rPr>
      </w:pPr>
      <w:bookmarkStart w:id="132" w:name="_Toc8905261"/>
      <w:r w:rsidRPr="00DD37EC">
        <w:rPr>
          <w:rFonts w:ascii="Arial" w:hAnsi="Arial" w:cs="Arial"/>
          <w:sz w:val="22"/>
          <w:szCs w:val="22"/>
          <w:lang w:val="es-419"/>
        </w:rPr>
        <w:t>Oportunidades para un mayor rol de sociedad civil en respuesta a VIH</w:t>
      </w:r>
      <w:bookmarkEnd w:id="132"/>
    </w:p>
    <w:p w14:paraId="311698EF" w14:textId="41E64326" w:rsidR="00D864D9" w:rsidRPr="00DD37EC" w:rsidRDefault="00D864D9" w:rsidP="00DD37EC">
      <w:pPr>
        <w:spacing w:after="240" w:line="240" w:lineRule="auto"/>
        <w:jc w:val="both"/>
        <w:rPr>
          <w:rFonts w:ascii="Arial" w:hAnsi="Arial" w:cs="Arial"/>
          <w:lang w:val="es-ES"/>
        </w:rPr>
      </w:pPr>
      <w:bookmarkStart w:id="133" w:name="_Toc534983194"/>
      <w:r w:rsidRPr="00DD37EC">
        <w:rPr>
          <w:rFonts w:ascii="Arial" w:hAnsi="Arial" w:cs="Arial"/>
          <w:lang w:val="es-ES"/>
        </w:rPr>
        <w:t>Las oportunidades que se visualizan son limitadas si no se toman acciones de parte del gobierno y con apoyo externo que aseguren un flujo de financiamiento objetivo, transparente y continuo.</w:t>
      </w:r>
      <w:bookmarkEnd w:id="133"/>
      <w:r w:rsidRPr="00DD37EC">
        <w:rPr>
          <w:rFonts w:ascii="Arial" w:hAnsi="Arial" w:cs="Arial"/>
          <w:lang w:val="es-ES"/>
        </w:rPr>
        <w:t xml:space="preserve"> </w:t>
      </w:r>
    </w:p>
    <w:p w14:paraId="53B81FF1" w14:textId="39AAEBB6" w:rsidR="00D864D9" w:rsidRPr="00DD37EC" w:rsidRDefault="00D864D9" w:rsidP="00DD37EC">
      <w:pPr>
        <w:spacing w:after="240" w:line="240" w:lineRule="auto"/>
        <w:jc w:val="both"/>
        <w:rPr>
          <w:rFonts w:ascii="Arial" w:hAnsi="Arial" w:cs="Arial"/>
          <w:lang w:val="es-ES"/>
        </w:rPr>
      </w:pPr>
      <w:bookmarkStart w:id="134" w:name="_Toc534983195"/>
      <w:r w:rsidRPr="00DD37EC">
        <w:rPr>
          <w:rFonts w:ascii="Arial" w:hAnsi="Arial" w:cs="Arial"/>
          <w:lang w:val="es-ES"/>
        </w:rPr>
        <w:t>La cooperación internacional, financiera y técnica debe centrarse en convencer al gobierno y al legislativo acerca de la necesidad imperiosa de reconocer el papel de las OSC, apoyarlas financieramente e incluirlas como parte de los servicios de salud que organizaciones privadas pueden prestar a poblaciones clave y vulnerables en VIH y TB.  Sin una mínima voluntad política expresada en legislación comprehensiva y en asignaciones presupuestarias para el financiamiento público de las OSC, las oportunidades no solo serán mínimas, sino que el país perderá el valioso y extraordinario aporte de las OSC.</w:t>
      </w:r>
      <w:bookmarkEnd w:id="134"/>
    </w:p>
    <w:p w14:paraId="59AE3AC3" w14:textId="77777777" w:rsidR="00D864D9" w:rsidRPr="00DD37EC" w:rsidRDefault="00D864D9" w:rsidP="00DD37EC">
      <w:pPr>
        <w:spacing w:after="240" w:line="240" w:lineRule="auto"/>
        <w:jc w:val="both"/>
        <w:rPr>
          <w:rFonts w:ascii="Arial" w:hAnsi="Arial" w:cs="Arial"/>
          <w:lang w:val="es-ES"/>
        </w:rPr>
      </w:pPr>
      <w:r w:rsidRPr="00DD37EC">
        <w:rPr>
          <w:rFonts w:ascii="Arial" w:hAnsi="Arial" w:cs="Arial"/>
          <w:lang w:val="es-ES"/>
        </w:rPr>
        <w:t>Para tener éxito, las OSC necesitan desarrollo de capacidades:</w:t>
      </w:r>
    </w:p>
    <w:p w14:paraId="0C113F5B" w14:textId="2698F5E4" w:rsidR="00D864D9" w:rsidRPr="00DD37EC" w:rsidRDefault="00D864D9" w:rsidP="0068285B">
      <w:pPr>
        <w:pStyle w:val="ListParagraph"/>
        <w:numPr>
          <w:ilvl w:val="0"/>
          <w:numId w:val="4"/>
        </w:numPr>
        <w:spacing w:after="240" w:line="240" w:lineRule="auto"/>
        <w:ind w:left="270" w:firstLine="0"/>
        <w:jc w:val="both"/>
        <w:rPr>
          <w:rFonts w:ascii="Arial" w:hAnsi="Arial" w:cs="Arial"/>
          <w:lang w:val="es-ES"/>
        </w:rPr>
      </w:pPr>
      <w:r w:rsidRPr="00DD37EC">
        <w:rPr>
          <w:rFonts w:ascii="Arial" w:hAnsi="Arial" w:cs="Arial"/>
          <w:lang w:val="es-ES"/>
        </w:rPr>
        <w:t>Obtención de personal</w:t>
      </w:r>
      <w:r w:rsidR="00BE7A81">
        <w:rPr>
          <w:rFonts w:ascii="Arial" w:hAnsi="Arial" w:cs="Arial"/>
          <w:lang w:val="es-ES"/>
        </w:rPr>
        <w:t>idad</w:t>
      </w:r>
      <w:r w:rsidRPr="00DD37EC">
        <w:rPr>
          <w:rFonts w:ascii="Arial" w:hAnsi="Arial" w:cs="Arial"/>
          <w:lang w:val="es-ES"/>
        </w:rPr>
        <w:t xml:space="preserve"> jurídica</w:t>
      </w:r>
      <w:r w:rsidR="00BE7A81">
        <w:rPr>
          <w:rFonts w:ascii="Arial" w:hAnsi="Arial" w:cs="Arial"/>
          <w:lang w:val="es-ES"/>
        </w:rPr>
        <w:t xml:space="preserve"> y exoneración de impuestos</w:t>
      </w:r>
    </w:p>
    <w:p w14:paraId="0CB84AD9" w14:textId="73149F2E" w:rsidR="00D864D9" w:rsidRPr="00DD37EC" w:rsidRDefault="00D864D9" w:rsidP="00BE7A81">
      <w:pPr>
        <w:pStyle w:val="ListParagraph"/>
        <w:numPr>
          <w:ilvl w:val="0"/>
          <w:numId w:val="4"/>
        </w:numPr>
        <w:spacing w:after="240" w:line="240" w:lineRule="auto"/>
        <w:ind w:left="720" w:hanging="450"/>
        <w:jc w:val="both"/>
        <w:rPr>
          <w:rFonts w:ascii="Arial" w:hAnsi="Arial" w:cs="Arial"/>
          <w:lang w:val="es-ES"/>
        </w:rPr>
      </w:pPr>
      <w:r w:rsidRPr="00DD37EC">
        <w:rPr>
          <w:rFonts w:ascii="Arial" w:hAnsi="Arial" w:cs="Arial"/>
          <w:lang w:val="es-ES"/>
        </w:rPr>
        <w:t>Preparación de propuestas de financiamiento público y privado</w:t>
      </w:r>
      <w:r w:rsidR="00BE7A81">
        <w:rPr>
          <w:rFonts w:ascii="Arial" w:hAnsi="Arial" w:cs="Arial"/>
          <w:lang w:val="es-ES"/>
        </w:rPr>
        <w:t xml:space="preserve"> </w:t>
      </w:r>
    </w:p>
    <w:p w14:paraId="151C1092" w14:textId="49E541EF" w:rsidR="00D864D9" w:rsidRPr="00DD37EC" w:rsidRDefault="00D864D9" w:rsidP="0068285B">
      <w:pPr>
        <w:pStyle w:val="ListParagraph"/>
        <w:numPr>
          <w:ilvl w:val="0"/>
          <w:numId w:val="4"/>
        </w:numPr>
        <w:spacing w:after="240" w:line="240" w:lineRule="auto"/>
        <w:ind w:left="270" w:firstLine="0"/>
        <w:jc w:val="both"/>
        <w:rPr>
          <w:rFonts w:ascii="Arial" w:hAnsi="Arial" w:cs="Arial"/>
          <w:lang w:val="es-ES"/>
        </w:rPr>
      </w:pPr>
      <w:r w:rsidRPr="00DD37EC">
        <w:rPr>
          <w:rFonts w:ascii="Arial" w:hAnsi="Arial" w:cs="Arial"/>
          <w:lang w:val="es-ES"/>
        </w:rPr>
        <w:t>Capacidad administrativa</w:t>
      </w:r>
      <w:r w:rsidR="00BE7A81">
        <w:rPr>
          <w:rFonts w:ascii="Arial" w:hAnsi="Arial" w:cs="Arial"/>
          <w:lang w:val="es-ES"/>
        </w:rPr>
        <w:t xml:space="preserve"> – diseño y gestión de proyectos</w:t>
      </w:r>
    </w:p>
    <w:p w14:paraId="70B46B2E" w14:textId="16454690" w:rsidR="00D864D9" w:rsidRPr="00BE7A81" w:rsidRDefault="00D864D9" w:rsidP="00BE7A81">
      <w:pPr>
        <w:pStyle w:val="ListParagraph"/>
        <w:numPr>
          <w:ilvl w:val="0"/>
          <w:numId w:val="4"/>
        </w:numPr>
        <w:spacing w:after="240" w:line="240" w:lineRule="auto"/>
        <w:ind w:left="720" w:hanging="450"/>
        <w:jc w:val="both"/>
        <w:rPr>
          <w:rFonts w:ascii="Arial" w:hAnsi="Arial" w:cs="Arial"/>
          <w:lang w:val="es-ES"/>
        </w:rPr>
      </w:pPr>
      <w:r w:rsidRPr="00DD37EC">
        <w:rPr>
          <w:rFonts w:ascii="Arial" w:hAnsi="Arial" w:cs="Arial"/>
          <w:lang w:val="es-ES"/>
        </w:rPr>
        <w:t>Capacidad de manejo financiero</w:t>
      </w:r>
      <w:r w:rsidR="00BE7A81">
        <w:rPr>
          <w:rFonts w:ascii="Arial" w:hAnsi="Arial" w:cs="Arial"/>
          <w:lang w:val="es-ES"/>
        </w:rPr>
        <w:t xml:space="preserve"> - – desarrollo de planes de negocio</w:t>
      </w:r>
    </w:p>
    <w:p w14:paraId="5480C21D" w14:textId="134E3456" w:rsidR="00D864D9" w:rsidRPr="00DD37EC" w:rsidRDefault="00D864D9" w:rsidP="00BE7A81">
      <w:pPr>
        <w:pStyle w:val="ListParagraph"/>
        <w:numPr>
          <w:ilvl w:val="0"/>
          <w:numId w:val="4"/>
        </w:numPr>
        <w:spacing w:after="240" w:line="240" w:lineRule="auto"/>
        <w:ind w:left="720" w:hanging="450"/>
        <w:jc w:val="both"/>
        <w:rPr>
          <w:rFonts w:ascii="Arial" w:hAnsi="Arial" w:cs="Arial"/>
          <w:lang w:val="es-ES"/>
        </w:rPr>
      </w:pPr>
      <w:r w:rsidRPr="00DD37EC">
        <w:rPr>
          <w:rFonts w:ascii="Arial" w:hAnsi="Arial" w:cs="Arial"/>
          <w:lang w:val="es-ES"/>
        </w:rPr>
        <w:t>Capacidad para cumplir con requisitos de rendición de cuentas e informes</w:t>
      </w:r>
      <w:r w:rsidR="00BE7A81">
        <w:rPr>
          <w:rFonts w:ascii="Arial" w:hAnsi="Arial" w:cs="Arial"/>
          <w:lang w:val="es-ES"/>
        </w:rPr>
        <w:t xml:space="preserve"> – asesoría jurídica, contable y de auditoría</w:t>
      </w:r>
    </w:p>
    <w:p w14:paraId="26911419" w14:textId="51754A2C" w:rsidR="00D864D9" w:rsidRDefault="00D864D9" w:rsidP="0068285B">
      <w:pPr>
        <w:pStyle w:val="ListParagraph"/>
        <w:numPr>
          <w:ilvl w:val="0"/>
          <w:numId w:val="4"/>
        </w:numPr>
        <w:spacing w:after="240" w:line="240" w:lineRule="auto"/>
        <w:ind w:left="270" w:firstLine="0"/>
        <w:jc w:val="both"/>
        <w:rPr>
          <w:rFonts w:ascii="Arial" w:hAnsi="Arial" w:cs="Arial"/>
          <w:lang w:val="es-ES"/>
        </w:rPr>
      </w:pPr>
      <w:r w:rsidRPr="00DD37EC">
        <w:rPr>
          <w:rFonts w:ascii="Arial" w:hAnsi="Arial" w:cs="Arial"/>
          <w:lang w:val="es-ES"/>
        </w:rPr>
        <w:t xml:space="preserve">Capacidad de </w:t>
      </w:r>
      <w:r w:rsidR="00BE7A81">
        <w:rPr>
          <w:rFonts w:ascii="Arial" w:hAnsi="Arial" w:cs="Arial"/>
          <w:lang w:val="es-ES"/>
        </w:rPr>
        <w:t xml:space="preserve">promoción y </w:t>
      </w:r>
      <w:r w:rsidRPr="00DD37EC">
        <w:rPr>
          <w:rFonts w:ascii="Arial" w:hAnsi="Arial" w:cs="Arial"/>
          <w:lang w:val="es-ES"/>
        </w:rPr>
        <w:t>comunicación social</w:t>
      </w:r>
    </w:p>
    <w:p w14:paraId="1BAB5A0C" w14:textId="41869FC3" w:rsidR="00BE7A81" w:rsidRPr="00082D10" w:rsidRDefault="00BE7A81" w:rsidP="0068285B">
      <w:pPr>
        <w:pStyle w:val="ListParagraph"/>
        <w:numPr>
          <w:ilvl w:val="0"/>
          <w:numId w:val="4"/>
        </w:numPr>
        <w:spacing w:after="240" w:line="240" w:lineRule="auto"/>
        <w:ind w:left="270" w:firstLine="0"/>
        <w:jc w:val="both"/>
        <w:rPr>
          <w:rFonts w:ascii="Arial" w:hAnsi="Arial" w:cs="Arial"/>
          <w:lang w:val="es-ES"/>
        </w:rPr>
      </w:pPr>
      <w:r>
        <w:rPr>
          <w:rFonts w:ascii="Arial" w:hAnsi="Arial" w:cs="Arial"/>
          <w:lang w:val="es-ES"/>
        </w:rPr>
        <w:t>Capacidad de coordinación colectiva entre OSCs</w:t>
      </w:r>
    </w:p>
    <w:p w14:paraId="32BF8616" w14:textId="1E48C047" w:rsidR="00D864D9" w:rsidRPr="00DD37EC" w:rsidRDefault="00D864D9" w:rsidP="00DD37EC">
      <w:pPr>
        <w:spacing w:after="240" w:line="240" w:lineRule="auto"/>
        <w:jc w:val="both"/>
        <w:rPr>
          <w:rFonts w:ascii="Arial" w:hAnsi="Arial" w:cs="Arial"/>
          <w:lang w:val="es-ES"/>
        </w:rPr>
      </w:pPr>
      <w:r w:rsidRPr="00DD37EC">
        <w:rPr>
          <w:rFonts w:ascii="Arial" w:hAnsi="Arial" w:cs="Arial"/>
          <w:lang w:val="es-ES"/>
        </w:rPr>
        <w:lastRenderedPageBreak/>
        <w:t>Las OSC carecen o tiene medios materiales insuficientes (oficinas, comunicaciones, transporte, almacenaje) para mantener el alcance, el acceso a los servicios de atención médica y el seguimiento.</w:t>
      </w:r>
    </w:p>
    <w:p w14:paraId="0A9A894D" w14:textId="6805352A" w:rsidR="00D864D9" w:rsidRPr="00DD37EC" w:rsidRDefault="00D864D9" w:rsidP="00DD37EC">
      <w:pPr>
        <w:spacing w:after="240" w:line="240" w:lineRule="auto"/>
        <w:jc w:val="both"/>
        <w:rPr>
          <w:rFonts w:ascii="Arial" w:hAnsi="Arial" w:cs="Arial"/>
          <w:lang w:val="es-ES"/>
        </w:rPr>
      </w:pPr>
      <w:bookmarkStart w:id="135" w:name="_Toc534983196"/>
      <w:r w:rsidRPr="00DD37EC">
        <w:rPr>
          <w:rFonts w:ascii="Arial" w:hAnsi="Arial" w:cs="Arial"/>
          <w:lang w:val="es-ES"/>
        </w:rPr>
        <w:t>Es importante crear oportunidades para el financiamiento privado a las OSC con incentivos fiscales para el financiamiento de proyectos y actividades, y para donaciones individuales y corporativas.</w:t>
      </w:r>
      <w:bookmarkEnd w:id="135"/>
      <w:r w:rsidRPr="00DD37EC">
        <w:rPr>
          <w:rFonts w:ascii="Arial" w:hAnsi="Arial" w:cs="Arial"/>
          <w:lang w:val="es-ES"/>
        </w:rPr>
        <w:t xml:space="preserve"> </w:t>
      </w:r>
    </w:p>
    <w:p w14:paraId="55FED88C" w14:textId="0C5CC0F6" w:rsidR="00D864D9" w:rsidRPr="00A73BD0" w:rsidRDefault="00D864D9" w:rsidP="00A73BD0">
      <w:pPr>
        <w:spacing w:after="240" w:line="240" w:lineRule="auto"/>
        <w:jc w:val="both"/>
        <w:rPr>
          <w:rFonts w:ascii="Arial" w:hAnsi="Arial" w:cs="Arial"/>
          <w:lang w:val="es-ES"/>
        </w:rPr>
      </w:pPr>
      <w:bookmarkStart w:id="136" w:name="_Toc534983197"/>
      <w:r w:rsidRPr="00DD37EC">
        <w:rPr>
          <w:rFonts w:ascii="Arial" w:hAnsi="Arial" w:cs="Arial"/>
          <w:lang w:val="es-ES"/>
        </w:rPr>
        <w:t xml:space="preserve">Es necesario apoyar las actividades de las OSC para conformar y consolidar la formación de redes y alianzas de OSC a nivel nacional y regional.  El hecho de que OSC (como la Red Lésbica Cattrachas y Kukulcan) tienen filiales en diversos puntos del país contribuye al mejor conocimiento de las situaciones particulares en la diversidad urbana y rural de Honduras y redes de coordinación para intercambiar estas experiencias y maximizar el uso de escasos recursos son de gran utilidad. De igual manera, se debe incentivar la participación de las OSC en redes regionales, como REDCA y REDLA (Redes Centroamericana y Latinoamericana de Personas con VIH – donde actualmente se participa activamente </w:t>
      </w:r>
      <w:r w:rsidR="00B36643">
        <w:rPr>
          <w:rFonts w:ascii="Arial" w:hAnsi="Arial" w:cs="Arial"/>
          <w:lang w:val="es-ES"/>
        </w:rPr>
        <w:t>–</w:t>
      </w:r>
      <w:r w:rsidRPr="00DD37EC">
        <w:rPr>
          <w:rFonts w:ascii="Arial" w:hAnsi="Arial" w:cs="Arial"/>
          <w:lang w:val="es-ES"/>
        </w:rPr>
        <w:t xml:space="preserve"> y REDLACTRANS, Red Latinoamericana y del Caribe de Acción Voluntaria en VIH/Sida, entre otras.</w:t>
      </w:r>
      <w:bookmarkEnd w:id="136"/>
      <w:r w:rsidRPr="00DD37EC">
        <w:rPr>
          <w:rFonts w:ascii="Arial" w:hAnsi="Arial" w:cs="Arial"/>
          <w:lang w:val="es-ES"/>
        </w:rPr>
        <w:t xml:space="preserve"> </w:t>
      </w:r>
      <w:r w:rsidR="00A73BD0">
        <w:rPr>
          <w:rFonts w:ascii="Arial" w:hAnsi="Arial" w:cs="Arial"/>
          <w:lang w:val="es-ES"/>
        </w:rPr>
        <w:t xml:space="preserve">De igual forma </w:t>
      </w:r>
      <w:r w:rsidR="00A73BD0">
        <w:rPr>
          <w:rFonts w:ascii="Arial" w:eastAsia="Times New Roman" w:hAnsi="Arial" w:cs="Arial"/>
          <w:lang w:val="es-ES"/>
        </w:rPr>
        <w:t>s</w:t>
      </w:r>
      <w:r w:rsidRPr="00DD37EC">
        <w:rPr>
          <w:rFonts w:ascii="Arial" w:eastAsia="Times New Roman" w:hAnsi="Arial" w:cs="Arial"/>
          <w:lang w:val="es-ES"/>
        </w:rPr>
        <w:t>er</w:t>
      </w:r>
      <w:r w:rsidR="00A73BD0">
        <w:rPr>
          <w:rFonts w:ascii="Arial" w:eastAsia="Times New Roman" w:hAnsi="Arial" w:cs="Arial"/>
          <w:lang w:val="es-ES"/>
        </w:rPr>
        <w:t>í</w:t>
      </w:r>
      <w:r w:rsidRPr="00DD37EC">
        <w:rPr>
          <w:rFonts w:ascii="Arial" w:eastAsia="Times New Roman" w:hAnsi="Arial" w:cs="Arial"/>
          <w:lang w:val="es-ES"/>
        </w:rPr>
        <w:t xml:space="preserve">a igualmente beneficioso incrementar los lazos con ONG nacionales de importancia como La Fundación Huésped en Argentina y la Corporación </w:t>
      </w:r>
      <w:r w:rsidR="00866CDB">
        <w:rPr>
          <w:rFonts w:ascii="Arial" w:eastAsia="Times New Roman" w:hAnsi="Arial" w:cs="Arial"/>
          <w:lang w:val="es-ES"/>
        </w:rPr>
        <w:t>SIDA</w:t>
      </w:r>
      <w:r w:rsidR="00866CDB" w:rsidRPr="00DD37EC">
        <w:rPr>
          <w:rFonts w:ascii="Arial" w:eastAsia="Times New Roman" w:hAnsi="Arial" w:cs="Arial"/>
          <w:lang w:val="es-ES"/>
        </w:rPr>
        <w:t xml:space="preserve"> </w:t>
      </w:r>
      <w:r w:rsidRPr="00DD37EC">
        <w:rPr>
          <w:rFonts w:ascii="Arial" w:eastAsia="Times New Roman" w:hAnsi="Arial" w:cs="Arial"/>
          <w:lang w:val="es-ES"/>
        </w:rPr>
        <w:t>en Chile.</w:t>
      </w:r>
    </w:p>
    <w:p w14:paraId="42DCDF28" w14:textId="7B712DE3" w:rsidR="00AD747F" w:rsidRPr="00082D10" w:rsidRDefault="00D864D9" w:rsidP="00082D10">
      <w:pPr>
        <w:shd w:val="clear" w:color="auto" w:fill="FFFFFF"/>
        <w:spacing w:after="240" w:line="240" w:lineRule="auto"/>
        <w:jc w:val="both"/>
        <w:rPr>
          <w:rFonts w:ascii="Arial" w:eastAsia="Times New Roman" w:hAnsi="Arial" w:cs="Arial"/>
          <w:lang w:val="es-ES"/>
        </w:rPr>
      </w:pPr>
      <w:r w:rsidRPr="00DD37EC">
        <w:rPr>
          <w:rFonts w:ascii="Arial" w:eastAsia="Times New Roman" w:hAnsi="Arial" w:cs="Arial"/>
          <w:lang w:val="es-ES"/>
        </w:rPr>
        <w:t>En Honduras, las OSC consideran que el MCP realiza una muy buena labor, pero quisieran tener una mayor voz y participación especialmente en los temas de la transición y planeación estratégica. Es importante obtener de las OSC propuestas, para orientar acciones para hacer efectiva la ampliación de las inversiones del Estado, en sus diferentes niveles a la respuesta al VIH y la TB principalmente. Igualmente, la participación efectiva de las OSC en los espacios de toma de decisión relacionados con la priorización de las poblaciones clave, y el reconocimiento de las OSC como actores clave para la sostenibilidad de las respuestas.  Ello requiere que las OSC tengan un empoderamiento creciente y una voz en los diversos ámbitos de la convivencia nacional.</w:t>
      </w:r>
    </w:p>
    <w:p w14:paraId="2CE2A3BD" w14:textId="353D062A" w:rsidR="00B470CB" w:rsidRPr="00253373" w:rsidRDefault="00F166A3" w:rsidP="00B470CB">
      <w:pPr>
        <w:pStyle w:val="Heading2"/>
        <w:numPr>
          <w:ilvl w:val="1"/>
          <w:numId w:val="17"/>
        </w:numPr>
        <w:spacing w:before="0" w:after="240" w:line="240" w:lineRule="auto"/>
        <w:rPr>
          <w:rFonts w:ascii="Arial" w:hAnsi="Arial" w:cs="Arial"/>
          <w:sz w:val="22"/>
          <w:szCs w:val="22"/>
          <w:lang w:val="es-419"/>
        </w:rPr>
      </w:pPr>
      <w:bookmarkStart w:id="137" w:name="_Toc8905262"/>
      <w:r w:rsidRPr="00DD37EC">
        <w:rPr>
          <w:rFonts w:ascii="Arial" w:hAnsi="Arial" w:cs="Arial"/>
          <w:sz w:val="22"/>
          <w:szCs w:val="22"/>
          <w:lang w:val="es-419"/>
        </w:rPr>
        <w:t>Resumen de riesgos, su impacto</w:t>
      </w:r>
      <w:r w:rsidR="00007C59" w:rsidRPr="00DD37EC">
        <w:rPr>
          <w:rFonts w:ascii="Arial" w:hAnsi="Arial" w:cs="Arial"/>
          <w:sz w:val="22"/>
          <w:szCs w:val="22"/>
          <w:lang w:val="es-419"/>
        </w:rPr>
        <w:t xml:space="preserve"> y</w:t>
      </w:r>
      <w:r w:rsidR="00E93F41" w:rsidRPr="00DD37EC">
        <w:rPr>
          <w:rFonts w:ascii="Arial" w:hAnsi="Arial" w:cs="Arial"/>
          <w:sz w:val="22"/>
          <w:szCs w:val="22"/>
          <w:lang w:val="es-419"/>
        </w:rPr>
        <w:t xml:space="preserve"> soluciones potenciales</w:t>
      </w:r>
      <w:bookmarkEnd w:id="137"/>
    </w:p>
    <w:tbl>
      <w:tblPr>
        <w:tblStyle w:val="TableGrid"/>
        <w:tblW w:w="9355" w:type="dxa"/>
        <w:tblLayout w:type="fixed"/>
        <w:tblLook w:val="04A0" w:firstRow="1" w:lastRow="0" w:firstColumn="1" w:lastColumn="0" w:noHBand="0" w:noVBand="1"/>
      </w:tblPr>
      <w:tblGrid>
        <w:gridCol w:w="1536"/>
        <w:gridCol w:w="7819"/>
      </w:tblGrid>
      <w:tr w:rsidR="008B2A96" w:rsidRPr="00392E34" w14:paraId="25D2012E" w14:textId="77777777" w:rsidTr="00DF682C">
        <w:trPr>
          <w:trHeight w:val="512"/>
        </w:trPr>
        <w:tc>
          <w:tcPr>
            <w:tcW w:w="1536" w:type="dxa"/>
            <w:shd w:val="clear" w:color="auto" w:fill="E7E6E6" w:themeFill="background2"/>
          </w:tcPr>
          <w:p w14:paraId="6FFE9E43" w14:textId="77777777" w:rsidR="008B2A96" w:rsidRPr="00DD37EC" w:rsidRDefault="008B2A96" w:rsidP="00DF682C">
            <w:pPr>
              <w:spacing w:after="240"/>
              <w:rPr>
                <w:rFonts w:ascii="Arial" w:hAnsi="Arial" w:cs="Arial"/>
                <w:b/>
                <w:lang w:val="es-MX"/>
              </w:rPr>
            </w:pPr>
            <w:r w:rsidRPr="00DD37EC">
              <w:rPr>
                <w:rFonts w:ascii="Arial" w:hAnsi="Arial" w:cs="Arial"/>
                <w:b/>
                <w:lang w:val="es-ES"/>
              </w:rPr>
              <w:t xml:space="preserve">RIESGO </w:t>
            </w:r>
            <w:r>
              <w:rPr>
                <w:rFonts w:ascii="Arial" w:hAnsi="Arial" w:cs="Arial"/>
                <w:b/>
                <w:lang w:val="es-ES"/>
              </w:rPr>
              <w:t>6</w:t>
            </w:r>
          </w:p>
        </w:tc>
        <w:tc>
          <w:tcPr>
            <w:tcW w:w="7819" w:type="dxa"/>
            <w:shd w:val="clear" w:color="auto" w:fill="E7E6E6" w:themeFill="background2"/>
          </w:tcPr>
          <w:p w14:paraId="160A57AB" w14:textId="77777777" w:rsidR="008B2A96" w:rsidRPr="00DD37EC" w:rsidRDefault="008B2A96" w:rsidP="00DF682C">
            <w:pPr>
              <w:tabs>
                <w:tab w:val="left" w:pos="337"/>
                <w:tab w:val="left" w:pos="1486"/>
              </w:tabs>
              <w:spacing w:after="240"/>
              <w:rPr>
                <w:rFonts w:ascii="Arial" w:hAnsi="Arial" w:cs="Arial"/>
                <w:b/>
                <w:lang w:val="es-MX"/>
              </w:rPr>
            </w:pPr>
            <w:r w:rsidRPr="001A0D6D">
              <w:rPr>
                <w:rFonts w:ascii="Arial" w:hAnsi="Arial" w:cs="Arial"/>
                <w:b/>
                <w:bCs/>
                <w:lang w:val="es-ES_tradnl"/>
              </w:rPr>
              <w:t>Limitado financiamiento público para las OSCs trabajando en VIH y TB, y pérdida del enfoque de su rol.</w:t>
            </w:r>
          </w:p>
        </w:tc>
      </w:tr>
      <w:tr w:rsidR="008B2A96" w:rsidRPr="00392E34" w14:paraId="0CC6CB7F" w14:textId="77777777" w:rsidTr="00DF682C">
        <w:trPr>
          <w:trHeight w:val="802"/>
        </w:trPr>
        <w:tc>
          <w:tcPr>
            <w:tcW w:w="1536" w:type="dxa"/>
          </w:tcPr>
          <w:p w14:paraId="0484152F" w14:textId="77777777" w:rsidR="008B2A96" w:rsidRPr="00DD37EC" w:rsidRDefault="008B2A96" w:rsidP="00DF682C">
            <w:pPr>
              <w:spacing w:after="240"/>
              <w:rPr>
                <w:rFonts w:ascii="Arial" w:hAnsi="Arial" w:cs="Arial"/>
                <w:b/>
                <w:lang w:val="es-MX"/>
              </w:rPr>
            </w:pPr>
            <w:r>
              <w:rPr>
                <w:rFonts w:ascii="Arial" w:hAnsi="Arial" w:cs="Arial"/>
                <w:b/>
                <w:lang w:val="es-ES"/>
              </w:rPr>
              <w:t>Descripción e Impacto</w:t>
            </w:r>
          </w:p>
        </w:tc>
        <w:tc>
          <w:tcPr>
            <w:tcW w:w="7819" w:type="dxa"/>
          </w:tcPr>
          <w:p w14:paraId="5A2D6CE3" w14:textId="77777777" w:rsidR="008B2A96" w:rsidRPr="000C02A3" w:rsidRDefault="008B2A96" w:rsidP="00DF682C">
            <w:pPr>
              <w:spacing w:after="240"/>
              <w:rPr>
                <w:rFonts w:ascii="Arial" w:hAnsi="Arial" w:cs="Arial"/>
                <w:lang w:val="es-MX"/>
              </w:rPr>
            </w:pPr>
            <w:r w:rsidRPr="000C02A3">
              <w:rPr>
                <w:rFonts w:ascii="Arial" w:hAnsi="Arial" w:cs="Arial"/>
                <w:lang w:val="es-MX"/>
              </w:rPr>
              <w:t xml:space="preserve">Con financiamiento limitado, las actividades e impacto de las OSC y su sustentabilidad institucional y de servicios se puede ver disminuida afectando la respuesta a las epidemias. </w:t>
            </w:r>
          </w:p>
          <w:p w14:paraId="1BB71EE1" w14:textId="77777777" w:rsidR="008B2A96" w:rsidRPr="000C02A3" w:rsidRDefault="008B2A96" w:rsidP="00DF682C">
            <w:pPr>
              <w:spacing w:after="240"/>
              <w:rPr>
                <w:rFonts w:ascii="Arial" w:hAnsi="Arial" w:cs="Arial"/>
                <w:lang w:val="es-MX"/>
              </w:rPr>
            </w:pPr>
            <w:r w:rsidRPr="000C02A3">
              <w:rPr>
                <w:rFonts w:ascii="Arial" w:hAnsi="Arial" w:cs="Arial"/>
                <w:lang w:val="es-MX"/>
              </w:rPr>
              <w:t>Las dos únicas OSC con trabajo en VIH que se incluyeron en el presupuesto 2019 fueron FOROSIDA con $US 56 mil ($L1.3 M) y la Cruz Roja Hondureña con $US 408 mil ($L 10 M) – cuyo presupuesto no es exclusivo para VIH. El mecanismo de contratación es a través de convenios anuales con la SESAL.</w:t>
            </w:r>
          </w:p>
          <w:p w14:paraId="5B284C1E" w14:textId="77777777" w:rsidR="008B2A96" w:rsidRPr="000C02A3" w:rsidRDefault="008B2A96" w:rsidP="00DF682C">
            <w:pPr>
              <w:spacing w:after="240"/>
              <w:rPr>
                <w:rFonts w:ascii="Arial" w:hAnsi="Arial" w:cs="Arial"/>
                <w:lang w:val="es-MX"/>
              </w:rPr>
            </w:pPr>
            <w:r w:rsidRPr="000C02A3">
              <w:rPr>
                <w:rFonts w:ascii="Arial" w:hAnsi="Arial" w:cs="Arial"/>
                <w:lang w:val="es-MX"/>
              </w:rPr>
              <w:t>En desarrollo de OSC en TB es incipiente en el país y no ha tenido el fortalecimiento necesario para su empoderamiento y gestión.</w:t>
            </w:r>
          </w:p>
          <w:p w14:paraId="33FD0573" w14:textId="77777777" w:rsidR="008B2A96" w:rsidRPr="00DD37EC" w:rsidRDefault="008B2A96" w:rsidP="00DF682C">
            <w:pPr>
              <w:spacing w:after="240"/>
              <w:rPr>
                <w:rFonts w:ascii="Arial" w:hAnsi="Arial" w:cs="Arial"/>
                <w:lang w:val="es-MX"/>
              </w:rPr>
            </w:pPr>
            <w:r w:rsidRPr="000C02A3">
              <w:rPr>
                <w:rFonts w:ascii="Arial" w:hAnsi="Arial" w:cs="Arial"/>
                <w:lang w:val="es-MX"/>
              </w:rPr>
              <w:t>Se expresó la complejidad del papel de las OSCs y la necesidad de fortalecer sus competencias organizacionales y operativas para el mejor desarrollo de sus potencialidades, para la prestación de servicios de salud y servicios sociales y su reenfoque en incidencia y veeduría (propósito original de su creación).</w:t>
            </w:r>
          </w:p>
        </w:tc>
      </w:tr>
      <w:tr w:rsidR="008B2A96" w:rsidRPr="00392E34" w14:paraId="46D9F49C" w14:textId="77777777" w:rsidTr="00DF682C">
        <w:trPr>
          <w:trHeight w:val="530"/>
        </w:trPr>
        <w:tc>
          <w:tcPr>
            <w:tcW w:w="1536" w:type="dxa"/>
          </w:tcPr>
          <w:p w14:paraId="41797BE3" w14:textId="77777777" w:rsidR="008B2A96" w:rsidRPr="00DD37EC" w:rsidRDefault="008B2A96" w:rsidP="00DF682C">
            <w:pPr>
              <w:spacing w:after="240"/>
              <w:rPr>
                <w:rFonts w:ascii="Arial" w:hAnsi="Arial" w:cs="Arial"/>
                <w:b/>
                <w:lang w:val="es-MX"/>
              </w:rPr>
            </w:pPr>
            <w:r w:rsidRPr="00DD37EC">
              <w:rPr>
                <w:rFonts w:ascii="Arial" w:hAnsi="Arial" w:cs="Arial"/>
                <w:b/>
                <w:lang w:val="es-ES"/>
              </w:rPr>
              <w:lastRenderedPageBreak/>
              <w:t>Soluciones Potenciales</w:t>
            </w:r>
          </w:p>
        </w:tc>
        <w:tc>
          <w:tcPr>
            <w:tcW w:w="7819" w:type="dxa"/>
          </w:tcPr>
          <w:p w14:paraId="6C928882" w14:textId="77777777" w:rsidR="008B2A96" w:rsidRPr="000663F0" w:rsidRDefault="008B2A96" w:rsidP="00DF682C">
            <w:pPr>
              <w:pStyle w:val="ListParagraph"/>
              <w:numPr>
                <w:ilvl w:val="0"/>
                <w:numId w:val="32"/>
              </w:numPr>
              <w:spacing w:after="240"/>
              <w:jc w:val="both"/>
              <w:rPr>
                <w:rFonts w:ascii="Arial" w:hAnsi="Arial" w:cs="Arial"/>
                <w:bCs/>
                <w:lang w:val="es-ES"/>
              </w:rPr>
            </w:pPr>
            <w:r w:rsidRPr="000663F0">
              <w:rPr>
                <w:rFonts w:ascii="Arial" w:hAnsi="Arial" w:cs="Arial"/>
                <w:lang w:val="es-MX"/>
              </w:rPr>
              <w:t>Fortalecimiento y reestructuración de la CONASIDA (Comisión Nacional de Sida) para que pueda fungir como mecanismo coordinador y gestor de recursos financieros para OSC.</w:t>
            </w:r>
          </w:p>
          <w:p w14:paraId="4C8BC349" w14:textId="77777777" w:rsidR="008B2A96" w:rsidRDefault="008B2A96" w:rsidP="00DF682C">
            <w:pPr>
              <w:pStyle w:val="ListParagraph"/>
              <w:numPr>
                <w:ilvl w:val="0"/>
                <w:numId w:val="32"/>
              </w:numPr>
              <w:spacing w:after="240"/>
              <w:jc w:val="both"/>
              <w:rPr>
                <w:rFonts w:ascii="Arial" w:hAnsi="Arial" w:cs="Arial"/>
                <w:lang w:val="es-MX"/>
              </w:rPr>
            </w:pPr>
            <w:r w:rsidRPr="001A0D6D">
              <w:rPr>
                <w:rFonts w:ascii="Arial" w:hAnsi="Arial" w:cs="Arial"/>
                <w:lang w:val="es-MX"/>
              </w:rPr>
              <w:t>Desarrollo de políticas y normas para que el sector privado financie las OSC complementando el financiamiento público, incluidos incentivos a través de donaciones y exoneración de impuestos.</w:t>
            </w:r>
          </w:p>
          <w:p w14:paraId="28CF9C44" w14:textId="77777777" w:rsidR="008B2A96" w:rsidRDefault="008B2A96" w:rsidP="00DF682C">
            <w:pPr>
              <w:pStyle w:val="ListParagraph"/>
              <w:numPr>
                <w:ilvl w:val="0"/>
                <w:numId w:val="32"/>
              </w:numPr>
              <w:spacing w:after="240"/>
              <w:jc w:val="both"/>
              <w:rPr>
                <w:rFonts w:ascii="Arial" w:hAnsi="Arial" w:cs="Arial"/>
                <w:lang w:val="es-MX"/>
              </w:rPr>
            </w:pPr>
            <w:r w:rsidRPr="001A0D6D">
              <w:rPr>
                <w:rFonts w:ascii="Arial" w:hAnsi="Arial" w:cs="Arial"/>
                <w:lang w:val="es-MX"/>
              </w:rPr>
              <w:t>Mejorar la relación, comunicación y enlace con el Consejo Hondureño de la Empresa Privada, para explorar oportunidades de financiamiento privado y de proyectos conjuntos especialmente que contribuyan a disminuir la discriminación laboral.</w:t>
            </w:r>
          </w:p>
          <w:p w14:paraId="3FAAA0E3" w14:textId="77777777" w:rsidR="008B2A96" w:rsidRDefault="008B2A96" w:rsidP="00DF682C">
            <w:pPr>
              <w:pStyle w:val="ListParagraph"/>
              <w:numPr>
                <w:ilvl w:val="0"/>
                <w:numId w:val="32"/>
              </w:numPr>
              <w:spacing w:after="240"/>
              <w:jc w:val="both"/>
              <w:rPr>
                <w:rFonts w:ascii="Arial" w:hAnsi="Arial" w:cs="Arial"/>
                <w:lang w:val="es-MX"/>
              </w:rPr>
            </w:pPr>
            <w:r w:rsidRPr="001A0D6D">
              <w:rPr>
                <w:rFonts w:ascii="Arial" w:hAnsi="Arial" w:cs="Arial"/>
                <w:lang w:val="es-MX"/>
              </w:rPr>
              <w:t>Demandar las responsabilidades del gobierno en la prestación de servicios de salud y los servicios sociales en TB</w:t>
            </w:r>
            <w:r>
              <w:rPr>
                <w:rFonts w:ascii="Arial" w:hAnsi="Arial" w:cs="Arial"/>
                <w:lang w:val="es-MX"/>
              </w:rPr>
              <w:t xml:space="preserve"> y </w:t>
            </w:r>
            <w:r w:rsidRPr="001A0D6D">
              <w:rPr>
                <w:rFonts w:ascii="Arial" w:hAnsi="Arial" w:cs="Arial"/>
                <w:lang w:val="es-MX"/>
              </w:rPr>
              <w:t>VIH a través de un “Plan de Incidencia Política de la sociedad civil”.</w:t>
            </w:r>
          </w:p>
          <w:p w14:paraId="0FEB098C" w14:textId="77777777" w:rsidR="008B2A96" w:rsidRPr="001A0D6D" w:rsidRDefault="008B2A96" w:rsidP="00DF682C">
            <w:pPr>
              <w:pStyle w:val="ListParagraph"/>
              <w:numPr>
                <w:ilvl w:val="0"/>
                <w:numId w:val="32"/>
              </w:numPr>
              <w:spacing w:after="240"/>
              <w:jc w:val="both"/>
              <w:rPr>
                <w:rFonts w:ascii="Arial" w:hAnsi="Arial" w:cs="Arial"/>
                <w:lang w:val="es-MX"/>
              </w:rPr>
            </w:pPr>
            <w:r w:rsidRPr="001A0D6D">
              <w:rPr>
                <w:rFonts w:ascii="Arial" w:hAnsi="Arial" w:cs="Arial"/>
                <w:lang w:val="es-MX"/>
              </w:rPr>
              <w:t>Desarrollar un programa nacional de apoyo y sostenimiento institucional y operacional de las OSC con financiamiento público, privado, y externo.</w:t>
            </w:r>
          </w:p>
        </w:tc>
      </w:tr>
    </w:tbl>
    <w:p w14:paraId="1BB4C0A1" w14:textId="289BAB81" w:rsidR="005C09D5" w:rsidRDefault="005C09D5" w:rsidP="00DB15BF">
      <w:pPr>
        <w:rPr>
          <w:rFonts w:ascii="Arial" w:hAnsi="Arial" w:cs="Arial"/>
          <w:lang w:val="es-419"/>
        </w:rPr>
      </w:pPr>
    </w:p>
    <w:p w14:paraId="2ADC24EE" w14:textId="5F285854" w:rsidR="0048676F" w:rsidRDefault="002378F4" w:rsidP="0048676F">
      <w:pPr>
        <w:pStyle w:val="Heading1"/>
        <w:spacing w:before="0" w:after="240" w:line="240" w:lineRule="auto"/>
        <w:rPr>
          <w:rFonts w:ascii="Arial" w:hAnsi="Arial" w:cs="Arial"/>
          <w:sz w:val="22"/>
          <w:szCs w:val="22"/>
          <w:lang w:val="es-419"/>
        </w:rPr>
      </w:pPr>
      <w:bookmarkStart w:id="138" w:name="_Toc8905263"/>
      <w:r>
        <w:rPr>
          <w:rFonts w:ascii="Arial" w:hAnsi="Arial" w:cs="Arial"/>
          <w:sz w:val="22"/>
          <w:szCs w:val="22"/>
          <w:lang w:val="es-419"/>
        </w:rPr>
        <w:t>9</w:t>
      </w:r>
      <w:r w:rsidR="0048676F" w:rsidRPr="00DD37EC">
        <w:rPr>
          <w:rFonts w:ascii="Arial" w:hAnsi="Arial" w:cs="Arial"/>
          <w:sz w:val="22"/>
          <w:szCs w:val="22"/>
          <w:lang w:val="es-419"/>
        </w:rPr>
        <w:t xml:space="preserve">. </w:t>
      </w:r>
      <w:r w:rsidR="00E544BC">
        <w:rPr>
          <w:rFonts w:ascii="Arial" w:hAnsi="Arial" w:cs="Arial"/>
          <w:sz w:val="22"/>
          <w:szCs w:val="22"/>
          <w:lang w:val="es-419"/>
        </w:rPr>
        <w:t xml:space="preserve">Entorno </w:t>
      </w:r>
      <w:r w:rsidR="00E544BC" w:rsidRPr="00E544BC">
        <w:rPr>
          <w:rFonts w:ascii="Arial" w:hAnsi="Arial" w:cs="Arial"/>
          <w:sz w:val="22"/>
          <w:szCs w:val="22"/>
          <w:lang w:val="es-419"/>
        </w:rPr>
        <w:t>institucional</w:t>
      </w:r>
      <w:r w:rsidR="004F1CBE">
        <w:rPr>
          <w:rFonts w:ascii="Arial" w:hAnsi="Arial" w:cs="Arial"/>
          <w:sz w:val="22"/>
          <w:szCs w:val="22"/>
          <w:lang w:val="es-419"/>
        </w:rPr>
        <w:t>, político</w:t>
      </w:r>
      <w:r w:rsidR="00E544BC" w:rsidRPr="00E544BC">
        <w:rPr>
          <w:rFonts w:ascii="Arial" w:hAnsi="Arial" w:cs="Arial"/>
          <w:sz w:val="22"/>
          <w:szCs w:val="22"/>
          <w:lang w:val="es-419"/>
        </w:rPr>
        <w:t xml:space="preserve"> y de gobernanza</w:t>
      </w:r>
      <w:bookmarkEnd w:id="138"/>
    </w:p>
    <w:p w14:paraId="29D1758B" w14:textId="4DBFF3FF" w:rsidR="00BA24E4" w:rsidRPr="00836CA1" w:rsidRDefault="00BA24E4" w:rsidP="00836CA1">
      <w:pPr>
        <w:pStyle w:val="Heading2"/>
        <w:numPr>
          <w:ilvl w:val="1"/>
          <w:numId w:val="40"/>
        </w:numPr>
        <w:spacing w:before="0" w:after="240" w:line="240" w:lineRule="auto"/>
        <w:rPr>
          <w:rFonts w:ascii="Arial" w:hAnsi="Arial" w:cs="Arial"/>
          <w:sz w:val="22"/>
          <w:szCs w:val="22"/>
          <w:lang w:val="es-419"/>
        </w:rPr>
      </w:pPr>
      <w:bookmarkStart w:id="139" w:name="_Toc8905264"/>
      <w:r w:rsidRPr="00836CA1">
        <w:rPr>
          <w:rFonts w:ascii="Arial" w:hAnsi="Arial" w:cs="Arial"/>
          <w:sz w:val="22"/>
          <w:szCs w:val="22"/>
          <w:lang w:val="es-419"/>
        </w:rPr>
        <w:t>Entorno institucional</w:t>
      </w:r>
      <w:bookmarkEnd w:id="139"/>
    </w:p>
    <w:p w14:paraId="1E6616D3" w14:textId="77777777" w:rsidR="004F1CBE" w:rsidRDefault="004F1CBE" w:rsidP="004F1CBE">
      <w:pPr>
        <w:spacing w:after="240" w:line="240" w:lineRule="auto"/>
        <w:jc w:val="both"/>
        <w:rPr>
          <w:rFonts w:ascii="Arial" w:hAnsi="Arial" w:cs="Arial"/>
          <w:lang w:val="es-ES"/>
        </w:rPr>
      </w:pPr>
      <w:r>
        <w:rPr>
          <w:rFonts w:ascii="Arial" w:hAnsi="Arial" w:cs="Arial"/>
          <w:lang w:val="es-ES"/>
        </w:rPr>
        <w:t xml:space="preserve">Diversos actores intervienen en las respuestas nacionales contra el VIH y TB. En VIH, la </w:t>
      </w:r>
      <w:r w:rsidRPr="007B4CA8">
        <w:rPr>
          <w:rFonts w:ascii="Arial" w:hAnsi="Arial" w:cs="Arial"/>
          <w:lang w:val="es-ES"/>
        </w:rPr>
        <w:t>Comisión Nacional de SIDA (CONASIDA)</w:t>
      </w:r>
      <w:r>
        <w:rPr>
          <w:rFonts w:ascii="Arial" w:hAnsi="Arial" w:cs="Arial"/>
          <w:lang w:val="es-ES"/>
        </w:rPr>
        <w:t>,</w:t>
      </w:r>
      <w:r w:rsidRPr="007B4CA8">
        <w:rPr>
          <w:rFonts w:ascii="Arial" w:hAnsi="Arial" w:cs="Arial"/>
          <w:lang w:val="es-ES"/>
        </w:rPr>
        <w:t xml:space="preserve"> un ente descentralizado dentro del Despacho de Salud (SESAL)</w:t>
      </w:r>
      <w:r w:rsidRPr="00DD37EC">
        <w:rPr>
          <w:rStyle w:val="FootnoteReference"/>
          <w:rFonts w:ascii="Arial" w:hAnsi="Arial" w:cs="Arial"/>
          <w:lang w:val="es-ES"/>
        </w:rPr>
        <w:footnoteReference w:id="134"/>
      </w:r>
      <w:r w:rsidRPr="007B4CA8">
        <w:rPr>
          <w:rFonts w:ascii="Arial" w:hAnsi="Arial" w:cs="Arial"/>
          <w:lang w:val="es-ES"/>
        </w:rPr>
        <w:t xml:space="preserve">, </w:t>
      </w:r>
      <w:r>
        <w:rPr>
          <w:rFonts w:ascii="Arial" w:hAnsi="Arial" w:cs="Arial"/>
          <w:lang w:val="es-ES"/>
        </w:rPr>
        <w:t xml:space="preserve">es el más importante ya que actúa </w:t>
      </w:r>
      <w:r w:rsidRPr="007B4CA8">
        <w:rPr>
          <w:rFonts w:ascii="Arial" w:hAnsi="Arial" w:cs="Arial"/>
          <w:lang w:val="es-ES"/>
        </w:rPr>
        <w:t>como órgano superior multisectorial, gestor y coordinador intersectorial e interdisciplinario en la formulación de políticas generales en materia de VIH/Sida, responsable además de la gestión de recursos técnicos y financieros y en la formulación de estrategias generales para la promoción integral de la salud, protección, prevención, investigación, control, tratamiento, educación e información en materia de salud sexual y reproductiva, así como el VIH/SIDA.</w:t>
      </w:r>
      <w:r w:rsidRPr="00DD37EC">
        <w:rPr>
          <w:rStyle w:val="FootnoteReference"/>
          <w:rFonts w:ascii="Arial" w:hAnsi="Arial" w:cs="Arial"/>
          <w:lang w:val="es-ES"/>
        </w:rPr>
        <w:footnoteReference w:id="135"/>
      </w:r>
      <w:r w:rsidRPr="007B4CA8">
        <w:rPr>
          <w:rFonts w:ascii="Arial" w:hAnsi="Arial" w:cs="Arial"/>
          <w:lang w:val="es-ES"/>
        </w:rPr>
        <w:t xml:space="preserve"> </w:t>
      </w:r>
      <w:r>
        <w:rPr>
          <w:rFonts w:ascii="Arial" w:hAnsi="Arial" w:cs="Arial"/>
          <w:lang w:val="es-ES"/>
        </w:rPr>
        <w:t xml:space="preserve"> A pesar de su reconocimiento, l</w:t>
      </w:r>
      <w:r w:rsidRPr="007B4CA8">
        <w:rPr>
          <w:rFonts w:ascii="Arial" w:hAnsi="Arial" w:cs="Arial"/>
          <w:lang w:val="es-ES"/>
        </w:rPr>
        <w:t xml:space="preserve">a </w:t>
      </w:r>
      <w:r>
        <w:rPr>
          <w:rFonts w:ascii="Arial" w:hAnsi="Arial" w:cs="Arial"/>
          <w:lang w:val="es-ES"/>
        </w:rPr>
        <w:t>CONASIDA enfrenta retos en su funcionamiento por la falta de estructura organizacional y presupuesto para ejecutar sus funciones. Adicionalmente, la c</w:t>
      </w:r>
      <w:r w:rsidRPr="007B4CA8">
        <w:rPr>
          <w:rFonts w:ascii="Arial" w:hAnsi="Arial" w:cs="Arial"/>
          <w:lang w:val="es-ES"/>
        </w:rPr>
        <w:t xml:space="preserve">oordinación de CONASIDA rota cada seis meses entre SESAL y la Secretaría de Derechos Humanos, </w:t>
      </w:r>
      <w:r>
        <w:rPr>
          <w:rFonts w:ascii="Arial" w:hAnsi="Arial" w:cs="Arial"/>
          <w:lang w:val="es-ES"/>
        </w:rPr>
        <w:t>dificultando la</w:t>
      </w:r>
      <w:r w:rsidRPr="007B4CA8">
        <w:rPr>
          <w:rFonts w:ascii="Arial" w:hAnsi="Arial" w:cs="Arial"/>
          <w:lang w:val="es-ES"/>
        </w:rPr>
        <w:t xml:space="preserve"> continuidad y consistencia institucional.</w:t>
      </w:r>
    </w:p>
    <w:p w14:paraId="2D4B2952" w14:textId="0E534716" w:rsidR="00F022C8" w:rsidRDefault="004F1CBE" w:rsidP="00B04244">
      <w:pPr>
        <w:spacing w:after="240" w:line="240" w:lineRule="auto"/>
        <w:jc w:val="both"/>
        <w:rPr>
          <w:rFonts w:ascii="Arial" w:hAnsi="Arial" w:cs="Arial"/>
          <w:lang w:val="es-ES"/>
        </w:rPr>
      </w:pPr>
      <w:r>
        <w:rPr>
          <w:rFonts w:ascii="Arial" w:hAnsi="Arial" w:cs="Arial"/>
          <w:lang w:val="es-ES"/>
        </w:rPr>
        <w:t>Otra instancia de gran relevancia para la implementación y seguimiento de la Estrategia de la Sostenibilidad del VIH y la TB es la Secretaría de Coordinación General de Gobierno. Esta Secretaría fue creada en 2014 para favorecer la reforma y modernización del Estado a través de la planificación estratégica, coordinación de la formulación de políticas, alineamiento de planes institucionales, asignación de los recursos y seguimiento de la gestión.</w:t>
      </w:r>
      <w:r>
        <w:rPr>
          <w:rStyle w:val="FootnoteReference"/>
          <w:rFonts w:ascii="Arial" w:hAnsi="Arial" w:cs="Arial"/>
          <w:lang w:val="es-ES"/>
        </w:rPr>
        <w:footnoteReference w:id="136"/>
      </w:r>
      <w:r>
        <w:rPr>
          <w:rFonts w:ascii="Arial" w:hAnsi="Arial" w:cs="Arial"/>
          <w:lang w:val="es-ES"/>
        </w:rPr>
        <w:t xml:space="preserve">. </w:t>
      </w:r>
      <w:r w:rsidR="00F022C8" w:rsidRPr="00F022C8">
        <w:rPr>
          <w:rFonts w:ascii="Arial" w:hAnsi="Arial" w:cs="Arial"/>
          <w:lang w:val="es-ES"/>
        </w:rPr>
        <w:t xml:space="preserve">Debido a la alta jerarquía dentro del Gabinete Social y su seguimiento de indicadores a nivel país, se ha acordado que la </w:t>
      </w:r>
      <w:r w:rsidR="00982898">
        <w:rPr>
          <w:rFonts w:ascii="Arial" w:hAnsi="Arial" w:cs="Arial"/>
          <w:lang w:val="es-ES"/>
        </w:rPr>
        <w:t>SCGG</w:t>
      </w:r>
      <w:r w:rsidR="00F022C8" w:rsidRPr="00F022C8">
        <w:rPr>
          <w:rFonts w:ascii="Arial" w:hAnsi="Arial" w:cs="Arial"/>
          <w:lang w:val="es-ES"/>
        </w:rPr>
        <w:t xml:space="preserve"> monitoreará este Plan de Trabajo y organizará los grupos de trabajo para su seguimiento y ajustes necesarios.</w:t>
      </w:r>
    </w:p>
    <w:p w14:paraId="5E1AE8A4" w14:textId="392380DB" w:rsidR="00BA24E4" w:rsidRPr="00BA24E4" w:rsidRDefault="00BA24E4" w:rsidP="00836CA1">
      <w:pPr>
        <w:pStyle w:val="Heading2"/>
        <w:numPr>
          <w:ilvl w:val="1"/>
          <w:numId w:val="40"/>
        </w:numPr>
        <w:spacing w:before="0" w:after="240" w:line="240" w:lineRule="auto"/>
        <w:rPr>
          <w:rFonts w:ascii="Arial" w:hAnsi="Arial" w:cs="Arial"/>
          <w:sz w:val="22"/>
          <w:szCs w:val="22"/>
          <w:lang w:val="es-419"/>
        </w:rPr>
      </w:pPr>
      <w:bookmarkStart w:id="140" w:name="_Toc8905265"/>
      <w:r>
        <w:rPr>
          <w:rFonts w:ascii="Arial" w:hAnsi="Arial" w:cs="Arial"/>
          <w:sz w:val="22"/>
          <w:szCs w:val="22"/>
          <w:lang w:val="es-419"/>
        </w:rPr>
        <w:lastRenderedPageBreak/>
        <w:t>Entorno político y de gobernanza</w:t>
      </w:r>
      <w:bookmarkEnd w:id="140"/>
    </w:p>
    <w:p w14:paraId="1C4B49B4" w14:textId="12521530" w:rsidR="00AD747F" w:rsidRPr="00AD747F" w:rsidRDefault="00B04244" w:rsidP="00253373">
      <w:pPr>
        <w:spacing w:after="240" w:line="240" w:lineRule="auto"/>
        <w:contextualSpacing/>
        <w:jc w:val="both"/>
        <w:rPr>
          <w:rFonts w:ascii="Arial" w:hAnsi="Arial" w:cs="Arial"/>
          <w:lang w:val="es-DO"/>
        </w:rPr>
      </w:pPr>
      <w:r w:rsidRPr="00DD37EC">
        <w:rPr>
          <w:rFonts w:ascii="Arial" w:hAnsi="Arial" w:cs="Arial"/>
          <w:lang w:val="es-DO"/>
        </w:rPr>
        <w:t>Desde 2009 Honduras ha estado inmersa en un proceso de reforma del sector salud con el fin de fortalecer la función rectora de la SESAL y separar las funciones esenciales de financiamiento, aseguramiento y provisión de servicios. Como parte de la reforma, en años recientes se decidió eliminar la estructura programática de la SESAL, afectando directamente la gobernanza de los Programa de VIH y TB. Esta fragilidad ha dificultado la rendición de cuentas hacia el alcance de metas nacionales. Para liderar el proceso de reforma y solucionar este y algunos otros retos emergentes, la SESAL ha establecido una Comisión</w:t>
      </w:r>
      <w:r>
        <w:rPr>
          <w:rFonts w:ascii="Arial" w:hAnsi="Arial" w:cs="Arial"/>
          <w:lang w:val="es-DO"/>
        </w:rPr>
        <w:t xml:space="preserve"> Especial para la</w:t>
      </w:r>
      <w:r w:rsidRPr="00DD37EC">
        <w:rPr>
          <w:rFonts w:ascii="Arial" w:hAnsi="Arial" w:cs="Arial"/>
          <w:lang w:val="es-DO"/>
        </w:rPr>
        <w:t xml:space="preserve"> Transformación</w:t>
      </w:r>
      <w:r>
        <w:rPr>
          <w:rFonts w:ascii="Arial" w:hAnsi="Arial" w:cs="Arial"/>
          <w:lang w:val="es-DO"/>
        </w:rPr>
        <w:t xml:space="preserve"> del Sistema Nacional de Salud</w:t>
      </w:r>
      <w:r w:rsidRPr="00DD37EC">
        <w:rPr>
          <w:rFonts w:ascii="Arial" w:hAnsi="Arial" w:cs="Arial"/>
          <w:lang w:val="es-DO"/>
        </w:rPr>
        <w:t xml:space="preserve"> </w:t>
      </w:r>
      <w:r>
        <w:rPr>
          <w:rFonts w:ascii="Arial" w:hAnsi="Arial" w:cs="Arial"/>
          <w:lang w:val="es-DO"/>
        </w:rPr>
        <w:t>integrada por el Secretario de Estado en el Despacho de Salud</w:t>
      </w:r>
      <w:r w:rsidRPr="00DD37EC">
        <w:rPr>
          <w:rFonts w:ascii="Arial" w:hAnsi="Arial" w:cs="Arial"/>
          <w:lang w:val="es-DO"/>
        </w:rPr>
        <w:t xml:space="preserve"> y </w:t>
      </w:r>
      <w:r>
        <w:rPr>
          <w:rFonts w:ascii="Arial" w:hAnsi="Arial" w:cs="Arial"/>
          <w:lang w:val="es-DO"/>
        </w:rPr>
        <w:t xml:space="preserve">representantes </w:t>
      </w:r>
      <w:r w:rsidRPr="00DD37EC">
        <w:rPr>
          <w:rFonts w:ascii="Arial" w:hAnsi="Arial" w:cs="Arial"/>
          <w:lang w:val="es-DO"/>
        </w:rPr>
        <w:t xml:space="preserve">de la sociedad civil. A la fecha aún no se ha socializado un plan que defina el alcance y los aspectos específicos de la reforma. Sin embargo, </w:t>
      </w:r>
      <w:r>
        <w:rPr>
          <w:rFonts w:ascii="Arial" w:hAnsi="Arial" w:cs="Arial"/>
          <w:lang w:val="es-DO"/>
        </w:rPr>
        <w:t xml:space="preserve">se espera </w:t>
      </w:r>
      <w:r w:rsidRPr="00DD37EC">
        <w:rPr>
          <w:rFonts w:ascii="Arial" w:hAnsi="Arial" w:cs="Arial"/>
          <w:lang w:val="es-DO"/>
        </w:rPr>
        <w:t>que la reforma ten</w:t>
      </w:r>
      <w:r>
        <w:rPr>
          <w:rFonts w:ascii="Arial" w:hAnsi="Arial" w:cs="Arial"/>
          <w:lang w:val="es-DO"/>
        </w:rPr>
        <w:t>ga</w:t>
      </w:r>
      <w:r w:rsidRPr="00DD37EC">
        <w:rPr>
          <w:rFonts w:ascii="Arial" w:hAnsi="Arial" w:cs="Arial"/>
          <w:lang w:val="es-DO"/>
        </w:rPr>
        <w:t xml:space="preserve"> implicaciones significativas para la sostenibilidad de los programas nacionales del VIH y TB.</w:t>
      </w:r>
    </w:p>
    <w:p w14:paraId="214BAA5D" w14:textId="6ED61092" w:rsidR="00AD747F" w:rsidRPr="00253373" w:rsidRDefault="008B2A96" w:rsidP="00836CA1">
      <w:pPr>
        <w:pStyle w:val="Heading2"/>
        <w:numPr>
          <w:ilvl w:val="1"/>
          <w:numId w:val="40"/>
        </w:numPr>
        <w:spacing w:before="0" w:after="240" w:line="240" w:lineRule="auto"/>
        <w:rPr>
          <w:rFonts w:ascii="Arial" w:hAnsi="Arial" w:cs="Arial"/>
          <w:sz w:val="22"/>
          <w:szCs w:val="22"/>
          <w:lang w:val="es-419"/>
        </w:rPr>
      </w:pPr>
      <w:bookmarkStart w:id="141" w:name="_Toc8905266"/>
      <w:r w:rsidRPr="008B2A96">
        <w:rPr>
          <w:rFonts w:ascii="Arial" w:hAnsi="Arial" w:cs="Arial"/>
          <w:sz w:val="22"/>
          <w:szCs w:val="22"/>
          <w:lang w:val="es-419"/>
        </w:rPr>
        <w:t>Resumen de riesgos, su impacto</w:t>
      </w:r>
      <w:r w:rsidR="00301DAA">
        <w:rPr>
          <w:rFonts w:ascii="Arial" w:hAnsi="Arial" w:cs="Arial"/>
          <w:sz w:val="22"/>
          <w:szCs w:val="22"/>
          <w:lang w:val="es-419"/>
        </w:rPr>
        <w:t xml:space="preserve"> </w:t>
      </w:r>
      <w:r w:rsidRPr="008B2A96">
        <w:rPr>
          <w:rFonts w:ascii="Arial" w:hAnsi="Arial" w:cs="Arial"/>
          <w:sz w:val="22"/>
          <w:szCs w:val="22"/>
          <w:lang w:val="es-419"/>
        </w:rPr>
        <w:t>y soluciones potenciales</w:t>
      </w:r>
      <w:bookmarkEnd w:id="141"/>
    </w:p>
    <w:tbl>
      <w:tblPr>
        <w:tblStyle w:val="TableGrid"/>
        <w:tblW w:w="9355" w:type="dxa"/>
        <w:tblLayout w:type="fixed"/>
        <w:tblLook w:val="04A0" w:firstRow="1" w:lastRow="0" w:firstColumn="1" w:lastColumn="0" w:noHBand="0" w:noVBand="1"/>
      </w:tblPr>
      <w:tblGrid>
        <w:gridCol w:w="1536"/>
        <w:gridCol w:w="7819"/>
      </w:tblGrid>
      <w:tr w:rsidR="008B2A96" w:rsidRPr="00392E34" w14:paraId="62DB69AE" w14:textId="77777777" w:rsidTr="00DF682C">
        <w:trPr>
          <w:trHeight w:val="512"/>
        </w:trPr>
        <w:tc>
          <w:tcPr>
            <w:tcW w:w="1536" w:type="dxa"/>
            <w:shd w:val="clear" w:color="auto" w:fill="E7E6E6" w:themeFill="background2"/>
          </w:tcPr>
          <w:p w14:paraId="2D28904C" w14:textId="77777777" w:rsidR="008B2A96" w:rsidRPr="00DD37EC" w:rsidRDefault="008B2A96" w:rsidP="00DF682C">
            <w:pPr>
              <w:spacing w:after="240"/>
              <w:rPr>
                <w:rFonts w:ascii="Arial" w:hAnsi="Arial" w:cs="Arial"/>
                <w:b/>
                <w:lang w:val="es-MX"/>
              </w:rPr>
            </w:pPr>
            <w:r w:rsidRPr="00DD37EC">
              <w:rPr>
                <w:rFonts w:ascii="Arial" w:hAnsi="Arial" w:cs="Arial"/>
                <w:b/>
                <w:lang w:val="es-ES"/>
              </w:rPr>
              <w:t xml:space="preserve">RIESGO </w:t>
            </w:r>
            <w:r>
              <w:rPr>
                <w:rFonts w:ascii="Arial" w:hAnsi="Arial" w:cs="Arial"/>
                <w:b/>
                <w:lang w:val="es-ES"/>
              </w:rPr>
              <w:t>7</w:t>
            </w:r>
          </w:p>
        </w:tc>
        <w:tc>
          <w:tcPr>
            <w:tcW w:w="7819" w:type="dxa"/>
            <w:shd w:val="clear" w:color="auto" w:fill="E7E6E6" w:themeFill="background2"/>
          </w:tcPr>
          <w:p w14:paraId="08348B94" w14:textId="77777777" w:rsidR="008B2A96" w:rsidRPr="00DD37EC" w:rsidRDefault="008B2A96" w:rsidP="00DF682C">
            <w:pPr>
              <w:tabs>
                <w:tab w:val="left" w:pos="337"/>
                <w:tab w:val="left" w:pos="1486"/>
              </w:tabs>
              <w:spacing w:after="240"/>
              <w:rPr>
                <w:rFonts w:ascii="Arial" w:hAnsi="Arial" w:cs="Arial"/>
                <w:b/>
                <w:lang w:val="es-MX"/>
              </w:rPr>
            </w:pPr>
            <w:r w:rsidRPr="0053764B">
              <w:rPr>
                <w:rFonts w:ascii="Arial" w:hAnsi="Arial" w:cs="Arial"/>
                <w:b/>
                <w:lang w:val="es-MX"/>
              </w:rPr>
              <w:t>El incumplimiento en la rendición de cuentas que se vio acentuado por:</w:t>
            </w:r>
            <w:r>
              <w:rPr>
                <w:rFonts w:ascii="Arial" w:hAnsi="Arial" w:cs="Arial"/>
                <w:b/>
                <w:lang w:val="es-MX"/>
              </w:rPr>
              <w:t xml:space="preserve"> </w:t>
            </w:r>
            <w:r w:rsidRPr="0053764B">
              <w:rPr>
                <w:rFonts w:ascii="Arial" w:hAnsi="Arial" w:cs="Arial"/>
                <w:b/>
                <w:lang w:val="es-MX"/>
              </w:rPr>
              <w:t>(1) el proceso de transversalización de servicios de TB y VIH como parte de la reforma del sector salud;</w:t>
            </w:r>
            <w:r>
              <w:rPr>
                <w:rFonts w:ascii="Arial" w:hAnsi="Arial" w:cs="Arial"/>
                <w:b/>
                <w:lang w:val="es-MX"/>
              </w:rPr>
              <w:t xml:space="preserve"> </w:t>
            </w:r>
            <w:r w:rsidRPr="0053764B">
              <w:rPr>
                <w:rFonts w:ascii="Arial" w:hAnsi="Arial" w:cs="Arial"/>
                <w:b/>
                <w:lang w:val="es-MX"/>
              </w:rPr>
              <w:t>(2) la falta de un sistema de información integrado y funcional y (3) debilidades de planificación estratégica en el nivel subnacional.</w:t>
            </w:r>
          </w:p>
        </w:tc>
      </w:tr>
      <w:tr w:rsidR="008B2A96" w:rsidRPr="00392E34" w14:paraId="479A849E" w14:textId="77777777" w:rsidTr="00DF682C">
        <w:trPr>
          <w:trHeight w:val="620"/>
        </w:trPr>
        <w:tc>
          <w:tcPr>
            <w:tcW w:w="1536" w:type="dxa"/>
          </w:tcPr>
          <w:p w14:paraId="16722BE7" w14:textId="77777777" w:rsidR="008B2A96" w:rsidRPr="00DD37EC" w:rsidRDefault="008B2A96" w:rsidP="00DF682C">
            <w:pPr>
              <w:spacing w:after="240"/>
              <w:rPr>
                <w:rFonts w:ascii="Arial" w:hAnsi="Arial" w:cs="Arial"/>
                <w:b/>
                <w:lang w:val="es-MX"/>
              </w:rPr>
            </w:pPr>
            <w:r>
              <w:rPr>
                <w:rFonts w:ascii="Arial" w:hAnsi="Arial" w:cs="Arial"/>
                <w:b/>
                <w:lang w:val="es-ES"/>
              </w:rPr>
              <w:t>Descripción e Impacto</w:t>
            </w:r>
            <w:r w:rsidRPr="00DD37EC" w:rsidDel="00BE2517">
              <w:rPr>
                <w:rFonts w:ascii="Arial" w:hAnsi="Arial" w:cs="Arial"/>
                <w:b/>
                <w:lang w:val="es-ES"/>
              </w:rPr>
              <w:t xml:space="preserve"> </w:t>
            </w:r>
          </w:p>
        </w:tc>
        <w:tc>
          <w:tcPr>
            <w:tcW w:w="7819" w:type="dxa"/>
          </w:tcPr>
          <w:p w14:paraId="350B01C7" w14:textId="77777777" w:rsidR="008B2A96" w:rsidRPr="00A703A1" w:rsidRDefault="008B2A96" w:rsidP="00DF682C">
            <w:pPr>
              <w:spacing w:after="240"/>
              <w:rPr>
                <w:rFonts w:ascii="Arial" w:hAnsi="Arial" w:cs="Arial"/>
                <w:lang w:val="es-ES"/>
              </w:rPr>
            </w:pPr>
            <w:r w:rsidRPr="00A703A1">
              <w:rPr>
                <w:rFonts w:ascii="Arial" w:hAnsi="Arial" w:cs="Arial"/>
                <w:lang w:val="es-ES"/>
              </w:rPr>
              <w:t>Los cambios en el proceso del Desarrollo Organizacional (DO) de la SESAL y sus dependencias, especialmente con la desaparición de los Programas Nacionales de VIH y TB de la estructura organizacional de la SESAL, ha sido una desventaja para la adecuada rendición de cuentas, monitoreo y evaluación, y financiamiento de los servicios necesarios para la promoción, prevención, tratamiento y control de las enfermedades</w:t>
            </w:r>
          </w:p>
          <w:p w14:paraId="0250065D" w14:textId="77777777" w:rsidR="008B2A96" w:rsidRPr="00A703A1" w:rsidRDefault="008B2A96" w:rsidP="00DF682C">
            <w:pPr>
              <w:spacing w:after="240"/>
              <w:rPr>
                <w:rFonts w:ascii="Arial" w:hAnsi="Arial" w:cs="Arial"/>
                <w:lang w:val="es-ES"/>
              </w:rPr>
            </w:pPr>
            <w:r w:rsidRPr="00A703A1">
              <w:rPr>
                <w:rFonts w:ascii="Arial" w:hAnsi="Arial" w:cs="Arial"/>
                <w:lang w:val="es-ES"/>
              </w:rPr>
              <w:t xml:space="preserve">Durante el periodo 2017-2019, la Unidad de Gestión de la Información (UGI) ha implementado el </w:t>
            </w:r>
            <w:r w:rsidRPr="00A703A1">
              <w:rPr>
                <w:rFonts w:ascii="Arial" w:hAnsi="Arial" w:cs="Arial"/>
                <w:b/>
                <w:lang w:val="es-ES"/>
              </w:rPr>
              <w:t>“Proyecto Nacional de Fortalecimiento del Sistema de Información Integrado de Malaria, VIH y Tuberculosis en el Marco del Desarrollo del Sistema Integrado de Información en Salud (SIIS)”.</w:t>
            </w:r>
            <w:r w:rsidRPr="00A703A1">
              <w:rPr>
                <w:rFonts w:ascii="Arial" w:hAnsi="Arial" w:cs="Arial"/>
                <w:lang w:val="es-ES"/>
              </w:rPr>
              <w:t xml:space="preserve"> La implementación y funcionalidad del SIIS es necesaria para contar con una gestión basada procesos y resultados, y generar una cultura de rendición de cuentas.</w:t>
            </w:r>
          </w:p>
          <w:p w14:paraId="5310D3CF" w14:textId="77777777" w:rsidR="008B2A96" w:rsidRPr="00DD37EC" w:rsidRDefault="008B2A96" w:rsidP="00DF682C">
            <w:pPr>
              <w:spacing w:after="240"/>
              <w:rPr>
                <w:rFonts w:ascii="Arial" w:hAnsi="Arial" w:cs="Arial"/>
                <w:lang w:val="es-MX"/>
              </w:rPr>
            </w:pPr>
            <w:r w:rsidRPr="00A703A1">
              <w:rPr>
                <w:rFonts w:ascii="Arial" w:hAnsi="Arial" w:cs="Arial"/>
                <w:lang w:val="es-ES"/>
              </w:rPr>
              <w:t>Las necesidades en vigilancia de VIH y TB por la falta de datos para poder tener información subnacion</w:t>
            </w:r>
            <w:r>
              <w:rPr>
                <w:rFonts w:ascii="Arial" w:hAnsi="Arial" w:cs="Arial"/>
                <w:lang w:val="es-ES"/>
              </w:rPr>
              <w:t xml:space="preserve">al </w:t>
            </w:r>
            <w:r w:rsidRPr="00A703A1">
              <w:rPr>
                <w:rFonts w:ascii="Arial" w:hAnsi="Arial" w:cs="Arial"/>
                <w:lang w:val="es-ES"/>
              </w:rPr>
              <w:t>dificultan la definición de las necesidades de servicios que deben ser implementados en los niveles regionales y locales, desde la planificación estratégica</w:t>
            </w:r>
          </w:p>
        </w:tc>
      </w:tr>
      <w:tr w:rsidR="008B2A96" w:rsidRPr="00392E34" w14:paraId="0FB89BDA" w14:textId="77777777" w:rsidTr="00253373">
        <w:trPr>
          <w:trHeight w:val="980"/>
        </w:trPr>
        <w:tc>
          <w:tcPr>
            <w:tcW w:w="1536" w:type="dxa"/>
          </w:tcPr>
          <w:p w14:paraId="0DDE78C5" w14:textId="77777777" w:rsidR="008B2A96" w:rsidRPr="00DD37EC" w:rsidRDefault="008B2A96" w:rsidP="00DF682C">
            <w:pPr>
              <w:spacing w:after="240"/>
              <w:rPr>
                <w:rFonts w:ascii="Arial" w:hAnsi="Arial" w:cs="Arial"/>
                <w:b/>
                <w:lang w:val="es-MX"/>
              </w:rPr>
            </w:pPr>
            <w:r w:rsidRPr="00DD37EC">
              <w:rPr>
                <w:rFonts w:ascii="Arial" w:hAnsi="Arial" w:cs="Arial"/>
                <w:b/>
                <w:lang w:val="es-ES"/>
              </w:rPr>
              <w:t>Soluciones Potenciales</w:t>
            </w:r>
          </w:p>
        </w:tc>
        <w:tc>
          <w:tcPr>
            <w:tcW w:w="7819" w:type="dxa"/>
          </w:tcPr>
          <w:p w14:paraId="2ACBC91A" w14:textId="77777777" w:rsidR="008B2A96" w:rsidRPr="00C52B5C" w:rsidRDefault="008B2A96" w:rsidP="00DF682C">
            <w:pPr>
              <w:pStyle w:val="ListParagraph"/>
              <w:numPr>
                <w:ilvl w:val="0"/>
                <w:numId w:val="33"/>
              </w:numPr>
              <w:spacing w:after="240"/>
              <w:jc w:val="both"/>
              <w:rPr>
                <w:rFonts w:ascii="Arial" w:hAnsi="Arial" w:cs="Arial"/>
                <w:bCs/>
                <w:lang w:val="es-ES"/>
              </w:rPr>
            </w:pPr>
            <w:r w:rsidRPr="00C52B5C">
              <w:rPr>
                <w:rFonts w:ascii="Arial" w:hAnsi="Arial" w:cs="Arial"/>
                <w:lang w:val="es-ES"/>
              </w:rPr>
              <w:t>Reactivar instancias directas dentro de la SESAL responsables de la coordinación de las acciones en VIH y TB.</w:t>
            </w:r>
          </w:p>
          <w:p w14:paraId="66EEB260" w14:textId="795FD537" w:rsidR="008B2A96" w:rsidRPr="00434F22" w:rsidRDefault="008B2A96" w:rsidP="00DF682C">
            <w:pPr>
              <w:pStyle w:val="ListParagraph"/>
              <w:numPr>
                <w:ilvl w:val="0"/>
                <w:numId w:val="33"/>
              </w:numPr>
              <w:spacing w:after="240"/>
              <w:jc w:val="both"/>
              <w:rPr>
                <w:rFonts w:ascii="Arial" w:hAnsi="Arial" w:cs="Arial"/>
                <w:bCs/>
                <w:lang w:val="es-ES"/>
              </w:rPr>
            </w:pPr>
            <w:r w:rsidRPr="00434F22">
              <w:rPr>
                <w:rFonts w:ascii="Arial" w:hAnsi="Arial" w:cs="Arial"/>
                <w:lang w:val="es-ES"/>
              </w:rPr>
              <w:t>Establecer el monitoreo de la Estrategia de Sostenibilidad a través de la Secretaría de Coordinación</w:t>
            </w:r>
            <w:r w:rsidR="00982898">
              <w:rPr>
                <w:rFonts w:ascii="Arial" w:hAnsi="Arial" w:cs="Arial"/>
                <w:lang w:val="es-ES"/>
              </w:rPr>
              <w:t xml:space="preserve"> General</w:t>
            </w:r>
            <w:r w:rsidRPr="00434F22">
              <w:rPr>
                <w:rFonts w:ascii="Arial" w:hAnsi="Arial" w:cs="Arial"/>
                <w:lang w:val="es-ES"/>
              </w:rPr>
              <w:t xml:space="preserve"> de Gobierno. </w:t>
            </w:r>
          </w:p>
          <w:p w14:paraId="6E3DF519" w14:textId="77777777" w:rsidR="008B2A96" w:rsidRPr="00434F22" w:rsidRDefault="008B2A96" w:rsidP="00DF682C">
            <w:pPr>
              <w:pStyle w:val="ListParagraph"/>
              <w:numPr>
                <w:ilvl w:val="0"/>
                <w:numId w:val="33"/>
              </w:numPr>
              <w:spacing w:after="240"/>
              <w:jc w:val="both"/>
              <w:rPr>
                <w:rFonts w:ascii="Arial" w:hAnsi="Arial" w:cs="Arial"/>
                <w:bCs/>
                <w:lang w:val="es-ES"/>
              </w:rPr>
            </w:pPr>
            <w:r w:rsidRPr="00434F22">
              <w:rPr>
                <w:rFonts w:ascii="Arial" w:hAnsi="Arial" w:cs="Arial"/>
                <w:lang w:val="es-ES"/>
              </w:rPr>
              <w:t>Establecer marcos de desempeño para VIH y TB en el nivel regional, incluyendo las metas para lograr la Estrategia 90-90-90 por cada región del país.</w:t>
            </w:r>
          </w:p>
          <w:p w14:paraId="59F0B352" w14:textId="77777777" w:rsidR="008B2A96" w:rsidRPr="00434F22" w:rsidRDefault="008B2A96" w:rsidP="00DF682C">
            <w:pPr>
              <w:pStyle w:val="ListParagraph"/>
              <w:numPr>
                <w:ilvl w:val="0"/>
                <w:numId w:val="33"/>
              </w:numPr>
              <w:spacing w:after="240"/>
              <w:jc w:val="both"/>
              <w:rPr>
                <w:rFonts w:ascii="Arial" w:hAnsi="Arial" w:cs="Arial"/>
                <w:bCs/>
                <w:lang w:val="es-ES"/>
              </w:rPr>
            </w:pPr>
            <w:r w:rsidRPr="00434F22">
              <w:rPr>
                <w:rFonts w:ascii="Arial" w:hAnsi="Arial" w:cs="Arial"/>
                <w:lang w:val="es-ES"/>
              </w:rPr>
              <w:t>Disponibilidad pública de información sobre prestación de servicios de TB y VIH.</w:t>
            </w:r>
          </w:p>
          <w:p w14:paraId="021C38B8" w14:textId="77777777" w:rsidR="008B2A96" w:rsidRPr="00434F22" w:rsidRDefault="008B2A96" w:rsidP="00DF682C">
            <w:pPr>
              <w:pStyle w:val="ListParagraph"/>
              <w:numPr>
                <w:ilvl w:val="0"/>
                <w:numId w:val="33"/>
              </w:numPr>
              <w:spacing w:after="240"/>
              <w:jc w:val="both"/>
              <w:rPr>
                <w:rFonts w:ascii="Arial" w:hAnsi="Arial" w:cs="Arial"/>
                <w:bCs/>
                <w:lang w:val="es-ES"/>
              </w:rPr>
            </w:pPr>
            <w:r w:rsidRPr="00434F22">
              <w:rPr>
                <w:rFonts w:ascii="Arial" w:hAnsi="Arial" w:cs="Arial"/>
                <w:lang w:val="es-ES"/>
              </w:rPr>
              <w:lastRenderedPageBreak/>
              <w:t>Fortalecimiento del Sistema de Información Integrado en Salud en cumplimento de lo establecido por la SESAL para lograr su operatividad y uso continuo.</w:t>
            </w:r>
          </w:p>
        </w:tc>
      </w:tr>
    </w:tbl>
    <w:p w14:paraId="3BDEC719" w14:textId="0E4AC687" w:rsidR="00C263FF" w:rsidRPr="008B2A96" w:rsidRDefault="00C263FF" w:rsidP="00B23A0E">
      <w:pPr>
        <w:rPr>
          <w:rFonts w:ascii="Arial" w:hAnsi="Arial" w:cs="Arial"/>
          <w:lang w:val="es-MX"/>
        </w:rPr>
      </w:pPr>
    </w:p>
    <w:p w14:paraId="6BF11CFC" w14:textId="03C598C6" w:rsidR="00411F5B" w:rsidRPr="00FC4F2C" w:rsidRDefault="002378F4" w:rsidP="00FC4F2C">
      <w:pPr>
        <w:pStyle w:val="Heading1"/>
        <w:spacing w:before="0" w:after="240" w:line="240" w:lineRule="auto"/>
        <w:rPr>
          <w:rFonts w:ascii="Arial" w:hAnsi="Arial" w:cs="Arial"/>
          <w:sz w:val="22"/>
          <w:szCs w:val="22"/>
          <w:lang w:val="es-419"/>
        </w:rPr>
      </w:pPr>
      <w:bookmarkStart w:id="142" w:name="_Toc8905267"/>
      <w:r>
        <w:rPr>
          <w:rFonts w:ascii="Arial" w:hAnsi="Arial" w:cs="Arial"/>
          <w:sz w:val="22"/>
          <w:szCs w:val="22"/>
          <w:lang w:val="es-419"/>
        </w:rPr>
        <w:t>10</w:t>
      </w:r>
      <w:r w:rsidR="00F166A3" w:rsidRPr="00DD37EC">
        <w:rPr>
          <w:rFonts w:ascii="Arial" w:hAnsi="Arial" w:cs="Arial"/>
          <w:sz w:val="22"/>
          <w:szCs w:val="22"/>
          <w:lang w:val="es-419"/>
        </w:rPr>
        <w:t>. Conclusión</w:t>
      </w:r>
      <w:bookmarkEnd w:id="142"/>
      <w:r w:rsidR="00F166A3" w:rsidRPr="00DD37EC">
        <w:rPr>
          <w:rFonts w:ascii="Arial" w:hAnsi="Arial" w:cs="Arial"/>
          <w:sz w:val="22"/>
          <w:szCs w:val="22"/>
          <w:lang w:val="es-419"/>
        </w:rPr>
        <w:t xml:space="preserve"> </w:t>
      </w:r>
    </w:p>
    <w:p w14:paraId="09B7CE6C" w14:textId="7A5D1C55" w:rsidR="006B0F08" w:rsidRPr="00DD37EC" w:rsidRDefault="0014057B" w:rsidP="00DD37EC">
      <w:pPr>
        <w:spacing w:after="240" w:line="240" w:lineRule="auto"/>
        <w:jc w:val="both"/>
        <w:rPr>
          <w:rFonts w:ascii="Arial" w:hAnsi="Arial" w:cs="Arial"/>
          <w:lang w:val="es-419"/>
        </w:rPr>
      </w:pPr>
      <w:r w:rsidRPr="00DD37EC">
        <w:rPr>
          <w:rFonts w:ascii="Arial" w:hAnsi="Arial" w:cs="Arial"/>
          <w:lang w:val="es-419"/>
        </w:rPr>
        <w:t xml:space="preserve">Honduras </w:t>
      </w:r>
      <w:r w:rsidR="006B0F08" w:rsidRPr="00DD37EC">
        <w:rPr>
          <w:rFonts w:ascii="Arial" w:hAnsi="Arial" w:cs="Arial"/>
          <w:lang w:val="es-419"/>
        </w:rPr>
        <w:t xml:space="preserve">ha logrado avances considerables </w:t>
      </w:r>
      <w:r w:rsidR="006B0F08" w:rsidRPr="00D01BD5">
        <w:rPr>
          <w:rFonts w:ascii="Arial" w:hAnsi="Arial" w:cs="Arial"/>
          <w:lang w:val="es-419"/>
        </w:rPr>
        <w:t>en la última década</w:t>
      </w:r>
      <w:r w:rsidR="006B0F08" w:rsidRPr="00DD37EC">
        <w:rPr>
          <w:rFonts w:ascii="Arial" w:hAnsi="Arial" w:cs="Arial"/>
          <w:lang w:val="es-419"/>
        </w:rPr>
        <w:t xml:space="preserve"> y cuenta con muchas de las capacidades y recursos </w:t>
      </w:r>
      <w:r w:rsidR="006B0F08" w:rsidRPr="00612E59">
        <w:rPr>
          <w:rFonts w:ascii="Arial" w:hAnsi="Arial" w:cs="Arial"/>
          <w:lang w:val="es-419"/>
        </w:rPr>
        <w:t>necesarios para alcanzar el control epidemiológico del VIH (los objetivos del 90-90-90</w:t>
      </w:r>
      <w:r w:rsidRPr="00612E59">
        <w:rPr>
          <w:rFonts w:ascii="Arial" w:hAnsi="Arial" w:cs="Arial"/>
          <w:lang w:val="es-419"/>
        </w:rPr>
        <w:t xml:space="preserve"> y las metas del “Fin </w:t>
      </w:r>
      <w:r w:rsidR="00612E59" w:rsidRPr="00612E59">
        <w:rPr>
          <w:rFonts w:ascii="Arial" w:hAnsi="Arial" w:cs="Arial"/>
          <w:lang w:val="es-419"/>
        </w:rPr>
        <w:t>a</w:t>
      </w:r>
      <w:r w:rsidRPr="00612E59">
        <w:rPr>
          <w:rFonts w:ascii="Arial" w:hAnsi="Arial" w:cs="Arial"/>
          <w:lang w:val="es-419"/>
        </w:rPr>
        <w:t xml:space="preserve"> la TB”)</w:t>
      </w:r>
      <w:r w:rsidRPr="00DD37EC">
        <w:rPr>
          <w:rFonts w:ascii="Arial" w:hAnsi="Arial" w:cs="Arial"/>
          <w:lang w:val="es-419"/>
        </w:rPr>
        <w:t xml:space="preserve"> y </w:t>
      </w:r>
      <w:r w:rsidR="006B0F08" w:rsidRPr="00DD37EC">
        <w:rPr>
          <w:rFonts w:ascii="Arial" w:hAnsi="Arial" w:cs="Arial"/>
          <w:lang w:val="es-419"/>
        </w:rPr>
        <w:t xml:space="preserve">alcanzar su autosuficiencia financiera ante la salida gradual del apoyo de los donantes externos. </w:t>
      </w:r>
      <w:r w:rsidR="006B0F08" w:rsidRPr="00612E59">
        <w:rPr>
          <w:rFonts w:ascii="Arial" w:hAnsi="Arial" w:cs="Arial"/>
          <w:lang w:val="es-419"/>
        </w:rPr>
        <w:t xml:space="preserve">El </w:t>
      </w:r>
      <w:r w:rsidRPr="00612E59">
        <w:rPr>
          <w:rFonts w:ascii="Arial" w:hAnsi="Arial" w:cs="Arial"/>
          <w:lang w:val="es-419"/>
        </w:rPr>
        <w:t>PENSIDA IV y el PENTB</w:t>
      </w:r>
      <w:r w:rsidR="006B0F08" w:rsidRPr="00612E59">
        <w:rPr>
          <w:rFonts w:ascii="Arial" w:hAnsi="Arial" w:cs="Arial"/>
          <w:lang w:val="es-419"/>
        </w:rPr>
        <w:t xml:space="preserve"> propone</w:t>
      </w:r>
      <w:r w:rsidRPr="00612E59">
        <w:rPr>
          <w:rFonts w:ascii="Arial" w:hAnsi="Arial" w:cs="Arial"/>
          <w:lang w:val="es-419"/>
        </w:rPr>
        <w:t>n</w:t>
      </w:r>
      <w:r w:rsidR="006B0F08" w:rsidRPr="00612E59">
        <w:rPr>
          <w:rFonts w:ascii="Arial" w:hAnsi="Arial" w:cs="Arial"/>
          <w:lang w:val="es-419"/>
        </w:rPr>
        <w:t xml:space="preserve"> acciones concretas y una expansión mayor del financiamiento doméstico para el alcance de estas metas. De cara a estos ambiciosos planes, </w:t>
      </w:r>
      <w:r w:rsidRPr="00612E59">
        <w:rPr>
          <w:rFonts w:ascii="Arial" w:hAnsi="Arial" w:cs="Arial"/>
          <w:lang w:val="es-419"/>
        </w:rPr>
        <w:t>Honduras</w:t>
      </w:r>
      <w:r w:rsidR="006B0F08" w:rsidRPr="00612E59">
        <w:rPr>
          <w:rFonts w:ascii="Arial" w:hAnsi="Arial" w:cs="Arial"/>
          <w:lang w:val="es-419"/>
        </w:rPr>
        <w:t xml:space="preserve"> enfrenta una serie de riesgos y retos financieros y fiscales, de gobernanza e institucionales, de derechos humanos y programáticos. Además del difícil reto de crear un entorno político adecuado para la expansión y fortalecimiento de la</w:t>
      </w:r>
      <w:r w:rsidR="00612E59">
        <w:rPr>
          <w:rFonts w:ascii="Arial" w:hAnsi="Arial" w:cs="Arial"/>
          <w:lang w:val="es-419"/>
        </w:rPr>
        <w:t>s</w:t>
      </w:r>
      <w:r w:rsidR="006B0F08" w:rsidRPr="00612E59">
        <w:rPr>
          <w:rFonts w:ascii="Arial" w:hAnsi="Arial" w:cs="Arial"/>
          <w:lang w:val="es-419"/>
        </w:rPr>
        <w:t xml:space="preserve"> Respuesta</w:t>
      </w:r>
      <w:r w:rsidR="00612E59">
        <w:rPr>
          <w:rFonts w:ascii="Arial" w:hAnsi="Arial" w:cs="Arial"/>
          <w:lang w:val="es-419"/>
        </w:rPr>
        <w:t>s</w:t>
      </w:r>
      <w:r w:rsidR="006B0F08" w:rsidRPr="00612E59">
        <w:rPr>
          <w:rFonts w:ascii="Arial" w:hAnsi="Arial" w:cs="Arial"/>
          <w:lang w:val="es-419"/>
        </w:rPr>
        <w:t xml:space="preserve"> Nacional</w:t>
      </w:r>
      <w:r w:rsidR="00612E59">
        <w:rPr>
          <w:rFonts w:ascii="Arial" w:hAnsi="Arial" w:cs="Arial"/>
          <w:lang w:val="es-419"/>
        </w:rPr>
        <w:t>es</w:t>
      </w:r>
      <w:r w:rsidR="006B0F08" w:rsidRPr="00612E59">
        <w:rPr>
          <w:rFonts w:ascii="Arial" w:hAnsi="Arial" w:cs="Arial"/>
          <w:lang w:val="es-419"/>
        </w:rPr>
        <w:t>.</w:t>
      </w:r>
    </w:p>
    <w:p w14:paraId="45BC6756" w14:textId="4BCCE67C" w:rsidR="006B0F08" w:rsidRPr="00DD37EC" w:rsidRDefault="006B0F08" w:rsidP="00DD37EC">
      <w:pPr>
        <w:spacing w:after="240" w:line="240" w:lineRule="auto"/>
        <w:jc w:val="both"/>
        <w:rPr>
          <w:rFonts w:ascii="Arial" w:hAnsi="Arial" w:cs="Arial"/>
          <w:lang w:val="es-419"/>
        </w:rPr>
      </w:pPr>
      <w:r w:rsidRPr="00DD37EC">
        <w:rPr>
          <w:rFonts w:ascii="Arial" w:hAnsi="Arial" w:cs="Arial"/>
          <w:lang w:val="es-419"/>
        </w:rPr>
        <w:t>La revisión documental, junto con las entrevistas</w:t>
      </w:r>
      <w:r w:rsidR="00FF4178" w:rsidRPr="00DD37EC">
        <w:rPr>
          <w:rFonts w:ascii="Arial" w:hAnsi="Arial" w:cs="Arial"/>
          <w:lang w:val="es-419"/>
        </w:rPr>
        <w:t xml:space="preserve"> </w:t>
      </w:r>
      <w:r w:rsidRPr="00DD37EC">
        <w:rPr>
          <w:rFonts w:ascii="Arial" w:hAnsi="Arial" w:cs="Arial"/>
          <w:lang w:val="es-419"/>
        </w:rPr>
        <w:t>con u</w:t>
      </w:r>
      <w:r w:rsidR="00FF4178" w:rsidRPr="00DD37EC">
        <w:rPr>
          <w:rFonts w:ascii="Arial" w:hAnsi="Arial" w:cs="Arial"/>
          <w:lang w:val="es-419"/>
        </w:rPr>
        <w:t>na amplia gama</w:t>
      </w:r>
      <w:r w:rsidRPr="00DD37EC">
        <w:rPr>
          <w:rFonts w:ascii="Arial" w:hAnsi="Arial" w:cs="Arial"/>
          <w:lang w:val="es-419"/>
        </w:rPr>
        <w:t xml:space="preserve"> de actores clave, llevó a la identificación </w:t>
      </w:r>
      <w:r w:rsidR="00FF4178" w:rsidRPr="00DD37EC">
        <w:rPr>
          <w:rFonts w:ascii="Arial" w:hAnsi="Arial" w:cs="Arial"/>
          <w:lang w:val="es-419"/>
        </w:rPr>
        <w:t xml:space="preserve">preliminar </w:t>
      </w:r>
      <w:r w:rsidRPr="007D131B">
        <w:rPr>
          <w:rFonts w:ascii="Arial" w:hAnsi="Arial" w:cs="Arial"/>
          <w:lang w:val="es-419"/>
        </w:rPr>
        <w:t>de 1</w:t>
      </w:r>
      <w:r w:rsidR="00FF4178" w:rsidRPr="007D131B">
        <w:rPr>
          <w:rFonts w:ascii="Arial" w:hAnsi="Arial" w:cs="Arial"/>
          <w:lang w:val="es-419"/>
        </w:rPr>
        <w:t>9</w:t>
      </w:r>
      <w:r w:rsidRPr="007D131B">
        <w:rPr>
          <w:rFonts w:ascii="Arial" w:hAnsi="Arial" w:cs="Arial"/>
          <w:lang w:val="es-419"/>
        </w:rPr>
        <w:t xml:space="preserve"> riesgos</w:t>
      </w:r>
      <w:r w:rsidRPr="00DD37EC">
        <w:rPr>
          <w:rFonts w:ascii="Arial" w:hAnsi="Arial" w:cs="Arial"/>
          <w:lang w:val="es-419"/>
        </w:rPr>
        <w:t>, sostenibilidad de la</w:t>
      </w:r>
      <w:r w:rsidR="008548A4">
        <w:rPr>
          <w:rFonts w:ascii="Arial" w:hAnsi="Arial" w:cs="Arial"/>
          <w:lang w:val="es-419"/>
        </w:rPr>
        <w:t>s Respuestas Nacionales</w:t>
      </w:r>
      <w:r w:rsidRPr="00DD37EC">
        <w:rPr>
          <w:rFonts w:ascii="Arial" w:hAnsi="Arial" w:cs="Arial"/>
          <w:lang w:val="es-419"/>
        </w:rPr>
        <w:t xml:space="preserve">. </w:t>
      </w:r>
      <w:r w:rsidR="00FF4178" w:rsidRPr="00DD37EC">
        <w:rPr>
          <w:rFonts w:ascii="Arial" w:hAnsi="Arial" w:cs="Arial"/>
          <w:lang w:val="es-419"/>
        </w:rPr>
        <w:t xml:space="preserve">Con base en la experiencia internacional de Pharos, se </w:t>
      </w:r>
      <w:r w:rsidR="00AC1F77">
        <w:rPr>
          <w:rFonts w:ascii="Arial" w:hAnsi="Arial" w:cs="Arial"/>
          <w:lang w:val="es-419"/>
        </w:rPr>
        <w:t>decidió enfocar el análisis</w:t>
      </w:r>
      <w:r w:rsidRPr="00DD37EC">
        <w:rPr>
          <w:rFonts w:ascii="Arial" w:hAnsi="Arial" w:cs="Arial"/>
          <w:lang w:val="es-419"/>
        </w:rPr>
        <w:t xml:space="preserve"> en las actividades que responden a los </w:t>
      </w:r>
      <w:r w:rsidR="00FF4178" w:rsidRPr="00DD37EC">
        <w:rPr>
          <w:rFonts w:ascii="Arial" w:hAnsi="Arial" w:cs="Arial"/>
          <w:lang w:val="es-419"/>
        </w:rPr>
        <w:t>6</w:t>
      </w:r>
      <w:r w:rsidRPr="00DD37EC">
        <w:rPr>
          <w:rFonts w:ascii="Arial" w:hAnsi="Arial" w:cs="Arial"/>
          <w:lang w:val="es-419"/>
        </w:rPr>
        <w:t xml:space="preserve"> riesgos de la más alta importancia</w:t>
      </w:r>
      <w:r w:rsidR="003D4013" w:rsidRPr="00DD37EC">
        <w:rPr>
          <w:rFonts w:ascii="Arial" w:hAnsi="Arial" w:cs="Arial"/>
          <w:lang w:val="es-419"/>
        </w:rPr>
        <w:t xml:space="preserve"> de acuerdo a la priorización realizada por el país con el apoyo y asesoría de los consultores</w:t>
      </w:r>
      <w:r w:rsidR="00FF4178" w:rsidRPr="00DD37EC">
        <w:rPr>
          <w:rFonts w:ascii="Arial" w:hAnsi="Arial" w:cs="Arial"/>
          <w:lang w:val="es-419"/>
        </w:rPr>
        <w:t>. Esta focalización del análisis permiti</w:t>
      </w:r>
      <w:r w:rsidR="006C4B3D">
        <w:rPr>
          <w:rFonts w:ascii="Arial" w:hAnsi="Arial" w:cs="Arial"/>
          <w:lang w:val="es-419"/>
        </w:rPr>
        <w:t>ó</w:t>
      </w:r>
      <w:r w:rsidR="00FF4178" w:rsidRPr="00DD37EC">
        <w:rPr>
          <w:rFonts w:ascii="Arial" w:hAnsi="Arial" w:cs="Arial"/>
          <w:lang w:val="es-419"/>
        </w:rPr>
        <w:t xml:space="preserve"> generar un</w:t>
      </w:r>
      <w:r w:rsidR="005C5EBE">
        <w:rPr>
          <w:rFonts w:ascii="Arial" w:hAnsi="Arial" w:cs="Arial"/>
          <w:lang w:val="es-419"/>
        </w:rPr>
        <w:t xml:space="preserve"> diagnóstico y</w:t>
      </w:r>
      <w:r w:rsidR="00FF4178" w:rsidRPr="00DD37EC">
        <w:rPr>
          <w:rFonts w:ascii="Arial" w:hAnsi="Arial" w:cs="Arial"/>
          <w:lang w:val="es-419"/>
        </w:rPr>
        <w:t xml:space="preserve"> plan más detallado de las áreas claves</w:t>
      </w:r>
      <w:r w:rsidR="005C5EBE">
        <w:rPr>
          <w:rFonts w:ascii="Arial" w:hAnsi="Arial" w:cs="Arial"/>
          <w:lang w:val="es-419"/>
        </w:rPr>
        <w:t>.</w:t>
      </w:r>
    </w:p>
    <w:p w14:paraId="220FE782" w14:textId="77777777" w:rsidR="005C5EBE" w:rsidRDefault="003D4013" w:rsidP="00DD37EC">
      <w:pPr>
        <w:spacing w:after="240" w:line="240" w:lineRule="auto"/>
        <w:jc w:val="both"/>
        <w:rPr>
          <w:rFonts w:ascii="Arial" w:hAnsi="Arial" w:cs="Arial"/>
          <w:lang w:val="es-419"/>
        </w:rPr>
      </w:pPr>
      <w:r w:rsidRPr="00DD37EC">
        <w:rPr>
          <w:rFonts w:ascii="Arial" w:hAnsi="Arial" w:cs="Arial"/>
          <w:lang w:val="es-419"/>
        </w:rPr>
        <w:t>A finales del mes de enero se llev</w:t>
      </w:r>
      <w:r w:rsidR="00402CE7">
        <w:rPr>
          <w:rFonts w:ascii="Arial" w:hAnsi="Arial" w:cs="Arial"/>
          <w:lang w:val="es-419"/>
        </w:rPr>
        <w:t>ó</w:t>
      </w:r>
      <w:r w:rsidRPr="00DD37EC">
        <w:rPr>
          <w:rFonts w:ascii="Arial" w:hAnsi="Arial" w:cs="Arial"/>
          <w:lang w:val="es-419"/>
        </w:rPr>
        <w:t xml:space="preserve"> a cabo la segunda misión en Honduras en donde se condu</w:t>
      </w:r>
      <w:r w:rsidR="00402CE7">
        <w:rPr>
          <w:rFonts w:ascii="Arial" w:hAnsi="Arial" w:cs="Arial"/>
          <w:lang w:val="es-419"/>
        </w:rPr>
        <w:t>jeron</w:t>
      </w:r>
      <w:r w:rsidRPr="00DD37EC">
        <w:rPr>
          <w:rFonts w:ascii="Arial" w:hAnsi="Arial" w:cs="Arial"/>
          <w:lang w:val="es-419"/>
        </w:rPr>
        <w:t xml:space="preserve"> </w:t>
      </w:r>
      <w:r w:rsidR="00402CE7">
        <w:rPr>
          <w:rFonts w:ascii="Arial" w:hAnsi="Arial" w:cs="Arial"/>
          <w:lang w:val="es-419"/>
        </w:rPr>
        <w:t xml:space="preserve">tres </w:t>
      </w:r>
      <w:r w:rsidRPr="00DD37EC">
        <w:rPr>
          <w:rFonts w:ascii="Arial" w:hAnsi="Arial" w:cs="Arial"/>
          <w:lang w:val="es-419"/>
        </w:rPr>
        <w:t xml:space="preserve">talleres de sociedad civil </w:t>
      </w:r>
      <w:r w:rsidR="00612E59">
        <w:rPr>
          <w:rFonts w:ascii="Arial" w:hAnsi="Arial" w:cs="Arial"/>
          <w:lang w:val="es-419"/>
        </w:rPr>
        <w:t xml:space="preserve">(La Ceiba, San Pedro Sula y Tegucigalpa) </w:t>
      </w:r>
      <w:r w:rsidRPr="00DD37EC">
        <w:rPr>
          <w:rFonts w:ascii="Arial" w:hAnsi="Arial" w:cs="Arial"/>
          <w:lang w:val="es-419"/>
        </w:rPr>
        <w:t>y un taller intersectorial. Con la información que se recopil</w:t>
      </w:r>
      <w:r w:rsidR="00402CE7">
        <w:rPr>
          <w:rFonts w:ascii="Arial" w:hAnsi="Arial" w:cs="Arial"/>
          <w:lang w:val="es-419"/>
        </w:rPr>
        <w:t xml:space="preserve">ó </w:t>
      </w:r>
      <w:r w:rsidRPr="00DD37EC">
        <w:rPr>
          <w:rFonts w:ascii="Arial" w:hAnsi="Arial" w:cs="Arial"/>
          <w:lang w:val="es-419"/>
        </w:rPr>
        <w:t>durante esta semana se desarroll</w:t>
      </w:r>
      <w:r w:rsidR="00402CE7">
        <w:rPr>
          <w:rFonts w:ascii="Arial" w:hAnsi="Arial" w:cs="Arial"/>
          <w:lang w:val="es-419"/>
        </w:rPr>
        <w:t xml:space="preserve">ó un </w:t>
      </w:r>
      <w:r w:rsidRPr="00DD37EC">
        <w:rPr>
          <w:rFonts w:ascii="Arial" w:hAnsi="Arial" w:cs="Arial"/>
          <w:lang w:val="es-419"/>
        </w:rPr>
        <w:t xml:space="preserve">Planes de sostenibilidad para </w:t>
      </w:r>
      <w:r w:rsidR="00402CE7">
        <w:rPr>
          <w:rFonts w:ascii="Arial" w:hAnsi="Arial" w:cs="Arial"/>
          <w:lang w:val="es-419"/>
        </w:rPr>
        <w:t xml:space="preserve">el </w:t>
      </w:r>
      <w:r w:rsidRPr="00DD37EC">
        <w:rPr>
          <w:rFonts w:ascii="Arial" w:hAnsi="Arial" w:cs="Arial"/>
          <w:lang w:val="es-419"/>
        </w:rPr>
        <w:t xml:space="preserve">VIH y </w:t>
      </w:r>
      <w:r w:rsidR="00402CE7">
        <w:rPr>
          <w:rFonts w:ascii="Arial" w:hAnsi="Arial" w:cs="Arial"/>
          <w:lang w:val="es-419"/>
        </w:rPr>
        <w:t xml:space="preserve">la </w:t>
      </w:r>
      <w:r w:rsidRPr="00DD37EC">
        <w:rPr>
          <w:rFonts w:ascii="Arial" w:hAnsi="Arial" w:cs="Arial"/>
          <w:lang w:val="es-419"/>
        </w:rPr>
        <w:t xml:space="preserve">TB </w:t>
      </w:r>
      <w:r w:rsidR="00402CE7">
        <w:rPr>
          <w:rFonts w:ascii="Arial" w:hAnsi="Arial" w:cs="Arial"/>
          <w:lang w:val="es-419"/>
        </w:rPr>
        <w:t>los cuales se</w:t>
      </w:r>
      <w:r w:rsidRPr="00DD37EC">
        <w:rPr>
          <w:rFonts w:ascii="Arial" w:hAnsi="Arial" w:cs="Arial"/>
          <w:lang w:val="es-419"/>
        </w:rPr>
        <w:t xml:space="preserve"> somet</w:t>
      </w:r>
      <w:r w:rsidR="00402CE7">
        <w:rPr>
          <w:rFonts w:ascii="Arial" w:hAnsi="Arial" w:cs="Arial"/>
          <w:lang w:val="es-419"/>
        </w:rPr>
        <w:t>ieron</w:t>
      </w:r>
      <w:r w:rsidRPr="00DD37EC">
        <w:rPr>
          <w:rFonts w:ascii="Arial" w:hAnsi="Arial" w:cs="Arial"/>
          <w:lang w:val="es-419"/>
        </w:rPr>
        <w:t xml:space="preserve"> a revisión y aprobación de los miembros del Comité de Sostenibilidad y Transición SESAL-MCP.</w:t>
      </w:r>
      <w:r w:rsidR="005726AA" w:rsidRPr="00DD37EC">
        <w:rPr>
          <w:rFonts w:ascii="Arial" w:hAnsi="Arial" w:cs="Arial"/>
          <w:lang w:val="es-419"/>
        </w:rPr>
        <w:t xml:space="preserve"> </w:t>
      </w:r>
    </w:p>
    <w:p w14:paraId="595EB09F" w14:textId="53DBCF91" w:rsidR="005C5EBE" w:rsidRDefault="00381A87" w:rsidP="00DD37EC">
      <w:pPr>
        <w:spacing w:after="240" w:line="240" w:lineRule="auto"/>
        <w:jc w:val="both"/>
        <w:rPr>
          <w:rFonts w:ascii="Arial" w:hAnsi="Arial" w:cs="Arial"/>
          <w:lang w:val="es-419"/>
        </w:rPr>
      </w:pPr>
      <w:r>
        <w:rPr>
          <w:rFonts w:ascii="Arial" w:hAnsi="Arial" w:cs="Arial"/>
          <w:lang w:val="es-419"/>
        </w:rPr>
        <w:t>En conjunto este informe, junto con el Reporte de OSC, recolecta la información que documenta las recomendaciones incluidas en la Estrategia de la Sostenibilidad de las Respuestas al VIH y la TB. De impulsarse la implementación y monitoreo continuo de la Estrategia Honduras podrá reforzar sus Respuestas para poder alcanzar las metas propuestas y así aspirar a la reducción de la transmisión de las enfermedades y eventual eliminación de las epidemias.</w:t>
      </w:r>
    </w:p>
    <w:p w14:paraId="7E1952E7" w14:textId="77777777" w:rsidR="004C0C04" w:rsidRPr="00DD37EC" w:rsidRDefault="004C0C04" w:rsidP="00DD37EC">
      <w:pPr>
        <w:spacing w:after="240" w:line="240" w:lineRule="auto"/>
        <w:jc w:val="both"/>
        <w:rPr>
          <w:rFonts w:ascii="Arial" w:hAnsi="Arial" w:cs="Arial"/>
          <w:lang w:val="es-419"/>
        </w:rPr>
      </w:pPr>
    </w:p>
    <w:p w14:paraId="6487309E" w14:textId="7662DD79" w:rsidR="00411F5B" w:rsidRPr="00DD37EC" w:rsidRDefault="00411F5B" w:rsidP="00DD37EC">
      <w:pPr>
        <w:spacing w:after="240" w:line="240" w:lineRule="auto"/>
        <w:rPr>
          <w:rFonts w:ascii="Arial" w:hAnsi="Arial" w:cs="Arial"/>
          <w:lang w:val="es-419"/>
        </w:rPr>
      </w:pPr>
    </w:p>
    <w:p w14:paraId="49D7592D" w14:textId="28A094A1" w:rsidR="00411F5B" w:rsidRPr="00DD37EC" w:rsidRDefault="00411F5B" w:rsidP="00DD37EC">
      <w:pPr>
        <w:spacing w:after="240" w:line="240" w:lineRule="auto"/>
        <w:rPr>
          <w:rFonts w:ascii="Arial" w:hAnsi="Arial" w:cs="Arial"/>
          <w:lang w:val="es-419"/>
        </w:rPr>
      </w:pPr>
    </w:p>
    <w:p w14:paraId="3372B1D1" w14:textId="24904161" w:rsidR="00411F5B" w:rsidRPr="00DD37EC" w:rsidRDefault="00411F5B" w:rsidP="00DD37EC">
      <w:pPr>
        <w:spacing w:after="240" w:line="240" w:lineRule="auto"/>
        <w:rPr>
          <w:rFonts w:ascii="Arial" w:hAnsi="Arial" w:cs="Arial"/>
          <w:lang w:val="es-419"/>
        </w:rPr>
      </w:pPr>
    </w:p>
    <w:p w14:paraId="4D28FEA7" w14:textId="21DBE824" w:rsidR="00411F5B" w:rsidRPr="00DD37EC" w:rsidRDefault="00411F5B" w:rsidP="00DD37EC">
      <w:pPr>
        <w:spacing w:after="240" w:line="240" w:lineRule="auto"/>
        <w:rPr>
          <w:rFonts w:ascii="Arial" w:hAnsi="Arial" w:cs="Arial"/>
          <w:lang w:val="es-419"/>
        </w:rPr>
      </w:pPr>
    </w:p>
    <w:p w14:paraId="0C656F18" w14:textId="0475D5B7" w:rsidR="00411F5B" w:rsidRPr="00DD37EC" w:rsidRDefault="00411F5B" w:rsidP="00DD37EC">
      <w:pPr>
        <w:spacing w:after="240" w:line="240" w:lineRule="auto"/>
        <w:rPr>
          <w:rFonts w:ascii="Arial" w:hAnsi="Arial" w:cs="Arial"/>
          <w:lang w:val="es-419"/>
        </w:rPr>
      </w:pPr>
    </w:p>
    <w:p w14:paraId="37947A37" w14:textId="0DEDF624" w:rsidR="00411F5B" w:rsidRPr="00DD37EC" w:rsidRDefault="00411F5B" w:rsidP="00DD37EC">
      <w:pPr>
        <w:spacing w:after="240" w:line="240" w:lineRule="auto"/>
        <w:rPr>
          <w:rFonts w:ascii="Arial" w:hAnsi="Arial" w:cs="Arial"/>
          <w:lang w:val="es-419"/>
        </w:rPr>
      </w:pPr>
    </w:p>
    <w:p w14:paraId="58275746" w14:textId="77777777" w:rsidR="00C621E2" w:rsidRPr="00DD37EC" w:rsidRDefault="00C621E2" w:rsidP="00DD37EC">
      <w:pPr>
        <w:spacing w:after="240" w:line="240" w:lineRule="auto"/>
        <w:rPr>
          <w:rFonts w:ascii="Arial" w:hAnsi="Arial" w:cs="Arial"/>
          <w:lang w:val="es-419"/>
        </w:rPr>
      </w:pPr>
    </w:p>
    <w:p w14:paraId="2E2DFE56" w14:textId="1F4EFC06" w:rsidR="00F166A3" w:rsidRPr="006068F2" w:rsidRDefault="001754BA" w:rsidP="00DD37EC">
      <w:pPr>
        <w:pStyle w:val="Heading1"/>
        <w:spacing w:before="0" w:after="240" w:line="240" w:lineRule="auto"/>
        <w:rPr>
          <w:rFonts w:ascii="Arial" w:hAnsi="Arial" w:cs="Arial"/>
          <w:sz w:val="22"/>
          <w:szCs w:val="22"/>
        </w:rPr>
      </w:pPr>
      <w:bookmarkStart w:id="143" w:name="_Toc8905268"/>
      <w:r w:rsidRPr="006068F2">
        <w:rPr>
          <w:rFonts w:ascii="Arial" w:hAnsi="Arial" w:cs="Arial"/>
          <w:sz w:val="22"/>
          <w:szCs w:val="22"/>
        </w:rPr>
        <w:lastRenderedPageBreak/>
        <w:t>1</w:t>
      </w:r>
      <w:r w:rsidR="005C5F15" w:rsidRPr="006068F2">
        <w:rPr>
          <w:rFonts w:ascii="Arial" w:hAnsi="Arial" w:cs="Arial"/>
          <w:sz w:val="22"/>
          <w:szCs w:val="22"/>
        </w:rPr>
        <w:t>1</w:t>
      </w:r>
      <w:r w:rsidRPr="006068F2">
        <w:rPr>
          <w:rFonts w:ascii="Arial" w:hAnsi="Arial" w:cs="Arial"/>
          <w:sz w:val="22"/>
          <w:szCs w:val="22"/>
        </w:rPr>
        <w:t>. Bibliografía</w:t>
      </w:r>
      <w:bookmarkEnd w:id="143"/>
    </w:p>
    <w:p w14:paraId="7C57CAB4" w14:textId="148E1381" w:rsidR="00B90D20" w:rsidRPr="00C036E9" w:rsidRDefault="00B90D20" w:rsidP="00DB15BF">
      <w:pPr>
        <w:pStyle w:val="FootnoteText"/>
        <w:rPr>
          <w:rFonts w:ascii="Arial" w:hAnsi="Arial" w:cs="Arial"/>
          <w:i/>
          <w:sz w:val="22"/>
          <w:szCs w:val="22"/>
        </w:rPr>
      </w:pPr>
      <w:r w:rsidRPr="00C036E9">
        <w:rPr>
          <w:rFonts w:ascii="Arial" w:hAnsi="Arial" w:cs="Arial"/>
          <w:sz w:val="22"/>
          <w:szCs w:val="22"/>
        </w:rPr>
        <w:t>APMG HEALTH. (2018)</w:t>
      </w:r>
      <w:r>
        <w:rPr>
          <w:rFonts w:ascii="Arial" w:hAnsi="Arial" w:cs="Arial"/>
          <w:sz w:val="22"/>
          <w:szCs w:val="22"/>
        </w:rPr>
        <w:t>.</w:t>
      </w:r>
      <w:r w:rsidRPr="00C036E9">
        <w:rPr>
          <w:rFonts w:ascii="Arial" w:hAnsi="Arial" w:cs="Arial"/>
          <w:sz w:val="22"/>
          <w:szCs w:val="22"/>
        </w:rPr>
        <w:t xml:space="preserve"> </w:t>
      </w:r>
      <w:r w:rsidRPr="00C036E9">
        <w:rPr>
          <w:rFonts w:ascii="Arial" w:hAnsi="Arial" w:cs="Arial"/>
          <w:i/>
          <w:sz w:val="22"/>
          <w:szCs w:val="22"/>
        </w:rPr>
        <w:t>Focused Evaluation for Tuberculosis Type 1: Honduras (Draft 1).</w:t>
      </w:r>
    </w:p>
    <w:p w14:paraId="2708B82B" w14:textId="77777777" w:rsidR="00B90D20" w:rsidRPr="00C036E9" w:rsidRDefault="00B90D20" w:rsidP="00DB15BF">
      <w:pPr>
        <w:pStyle w:val="FootnoteText"/>
        <w:rPr>
          <w:rFonts w:ascii="Arial" w:hAnsi="Arial" w:cs="Arial"/>
          <w:sz w:val="22"/>
          <w:szCs w:val="22"/>
        </w:rPr>
      </w:pPr>
    </w:p>
    <w:p w14:paraId="3392C583" w14:textId="3AFC9616" w:rsidR="008E39DB" w:rsidRPr="005A3360" w:rsidRDefault="008E39DB" w:rsidP="00DB15BF">
      <w:pPr>
        <w:pStyle w:val="FootnoteText"/>
        <w:rPr>
          <w:rFonts w:ascii="Arial" w:hAnsi="Arial" w:cs="Arial"/>
          <w:sz w:val="22"/>
          <w:szCs w:val="22"/>
        </w:rPr>
      </w:pPr>
      <w:r w:rsidRPr="008E39DB">
        <w:rPr>
          <w:rFonts w:ascii="Arial" w:hAnsi="Arial" w:cs="Arial"/>
          <w:sz w:val="22"/>
          <w:szCs w:val="22"/>
          <w:lang w:val="es-MX"/>
        </w:rPr>
        <w:t xml:space="preserve">Banco Mundial. (2015). Honduras: Estudio de Gasto Público Social y sus Instituciones. </w:t>
      </w:r>
      <w:hyperlink r:id="rId33" w:history="1">
        <w:r w:rsidRPr="005A3360">
          <w:rPr>
            <w:rStyle w:val="Hyperlink"/>
            <w:rFonts w:ascii="Arial" w:hAnsi="Arial" w:cs="Arial"/>
            <w:sz w:val="22"/>
            <w:szCs w:val="22"/>
          </w:rPr>
          <w:t>http://documents.worldbank.org/curated/en/647631467999733480/pdf/95648-SPANISH-PER-P133348-PUBLIC-Box393197B-SSEIR-Honduras-Espanol.pdf</w:t>
        </w:r>
      </w:hyperlink>
    </w:p>
    <w:p w14:paraId="461CAD8B" w14:textId="77777777" w:rsidR="008E39DB" w:rsidRPr="005A3360" w:rsidRDefault="008E39DB" w:rsidP="00DB15BF">
      <w:pPr>
        <w:pStyle w:val="FootnoteText"/>
        <w:rPr>
          <w:rFonts w:ascii="Arial" w:hAnsi="Arial" w:cs="Arial"/>
          <w:sz w:val="22"/>
          <w:szCs w:val="22"/>
        </w:rPr>
      </w:pPr>
    </w:p>
    <w:p w14:paraId="006B7F64" w14:textId="5BC8708D" w:rsidR="00DB15BF" w:rsidRPr="00DB15BF" w:rsidRDefault="00DB15BF" w:rsidP="00DB15BF">
      <w:pPr>
        <w:pStyle w:val="FootnoteText"/>
        <w:rPr>
          <w:rStyle w:val="Hyperlink"/>
          <w:rFonts w:ascii="Arial" w:hAnsi="Arial" w:cs="Arial"/>
          <w:sz w:val="22"/>
          <w:szCs w:val="22"/>
        </w:rPr>
      </w:pPr>
      <w:r w:rsidRPr="00DB15BF">
        <w:rPr>
          <w:rFonts w:ascii="Arial" w:hAnsi="Arial" w:cs="Arial"/>
          <w:sz w:val="22"/>
          <w:szCs w:val="22"/>
          <w:lang w:val="es-MX"/>
        </w:rPr>
        <w:t xml:space="preserve">Banco Mundial. (2017). Honduras Country Profile. </w:t>
      </w:r>
      <w:hyperlink r:id="rId34" w:history="1">
        <w:r w:rsidRPr="00DB15BF">
          <w:rPr>
            <w:rStyle w:val="Hyperlink"/>
            <w:rFonts w:ascii="Arial" w:hAnsi="Arial" w:cs="Arial"/>
            <w:sz w:val="22"/>
            <w:szCs w:val="22"/>
          </w:rPr>
          <w:t>http://www.worldbank.org/en/country/honduras/overview</w:t>
        </w:r>
      </w:hyperlink>
      <w:hyperlink r:id="rId35" w:history="1">
        <w:r w:rsidRPr="00DB15BF">
          <w:rPr>
            <w:rStyle w:val="Hyperlink"/>
            <w:rFonts w:ascii="Arial" w:hAnsi="Arial" w:cs="Arial"/>
            <w:sz w:val="22"/>
            <w:szCs w:val="22"/>
          </w:rPr>
          <w:t>http://databank.worldbank.org/data/views/reports/reportwidget.aspx?Report_Name=CountryProfile&amp;Id=b450fd57&amp;tbar=y&amp;dd=y&amp;inf=n&amp;zm=n&amp;country=HND</w:t>
        </w:r>
      </w:hyperlink>
    </w:p>
    <w:p w14:paraId="3702C82A" w14:textId="77777777" w:rsidR="00DB15BF" w:rsidRPr="00DB15BF" w:rsidRDefault="00DB15BF" w:rsidP="00DB15BF">
      <w:pPr>
        <w:pStyle w:val="FootnoteText"/>
        <w:rPr>
          <w:rFonts w:ascii="Arial" w:hAnsi="Arial" w:cs="Arial"/>
          <w:sz w:val="22"/>
          <w:szCs w:val="22"/>
        </w:rPr>
      </w:pPr>
    </w:p>
    <w:p w14:paraId="00C5CCE1" w14:textId="77777777" w:rsidR="00DB15BF" w:rsidRPr="00DB15BF" w:rsidRDefault="00DB15BF" w:rsidP="00DB15BF">
      <w:pPr>
        <w:rPr>
          <w:rFonts w:ascii="Arial" w:hAnsi="Arial" w:cs="Arial"/>
        </w:rPr>
      </w:pPr>
      <w:r w:rsidRPr="00DB15BF">
        <w:rPr>
          <w:rFonts w:ascii="Arial" w:hAnsi="Arial" w:cs="Arial"/>
        </w:rPr>
        <w:t xml:space="preserve">Banco Mundial. (2017). Worldwide Governance Indicators. </w:t>
      </w:r>
    </w:p>
    <w:p w14:paraId="3F51759B" w14:textId="77777777" w:rsidR="00DB15BF" w:rsidRPr="00DB15BF" w:rsidRDefault="00DB15BF" w:rsidP="00DB15BF">
      <w:pPr>
        <w:rPr>
          <w:rFonts w:ascii="Arial" w:hAnsi="Arial" w:cs="Arial"/>
          <w:lang w:val="es-DO"/>
        </w:rPr>
      </w:pPr>
      <w:r w:rsidRPr="00DB15BF">
        <w:rPr>
          <w:rFonts w:ascii="Arial" w:hAnsi="Arial" w:cs="Arial"/>
          <w:lang w:val="fr-FR"/>
        </w:rPr>
        <w:t xml:space="preserve">Carmenate-Milián, L., et al. </w:t>
      </w:r>
      <w:r w:rsidRPr="00DB15BF">
        <w:rPr>
          <w:rFonts w:ascii="Arial" w:hAnsi="Arial" w:cs="Arial"/>
          <w:lang w:val="es-DO"/>
        </w:rPr>
        <w:t xml:space="preserve">(2016). </w:t>
      </w:r>
      <w:r w:rsidRPr="00DB15BF">
        <w:rPr>
          <w:rFonts w:ascii="Arial" w:hAnsi="Arial" w:cs="Arial"/>
          <w:i/>
          <w:lang w:val="es-DO"/>
        </w:rPr>
        <w:t>Situación del Sistema de Salud en Honduras y el Nuevo Modelo de Salud Propuesto</w:t>
      </w:r>
      <w:r w:rsidRPr="00DB15BF">
        <w:rPr>
          <w:rFonts w:ascii="Arial" w:hAnsi="Arial" w:cs="Arial"/>
          <w:lang w:val="es-DO"/>
        </w:rPr>
        <w:t xml:space="preserve">. ARCHIVOS DE MEDICINA ISSN 1698-9465. Vol. 12 No. 4: 10. </w:t>
      </w:r>
    </w:p>
    <w:p w14:paraId="3319990C" w14:textId="77777777" w:rsidR="00DB15BF" w:rsidRPr="00DB15BF" w:rsidRDefault="00DB15BF" w:rsidP="00DB15BF">
      <w:pPr>
        <w:rPr>
          <w:rFonts w:ascii="Arial" w:hAnsi="Arial" w:cs="Arial"/>
          <w:lang w:val="es-MX"/>
        </w:rPr>
      </w:pPr>
      <w:r w:rsidRPr="00DB15BF">
        <w:rPr>
          <w:rFonts w:ascii="Arial" w:hAnsi="Arial" w:cs="Arial"/>
          <w:lang w:val="es-MX"/>
        </w:rPr>
        <w:t>Casa Alianza (2018). Observatorio de Derechos de los Niños, Niñas, y Jóvenes en Honduras. http://casa-alianza.org.hn/index.php/observatorio</w:t>
      </w:r>
    </w:p>
    <w:p w14:paraId="78112936" w14:textId="77777777" w:rsidR="00DB15BF" w:rsidRPr="00DB15BF" w:rsidRDefault="00DB15BF" w:rsidP="00DB15BF">
      <w:pPr>
        <w:rPr>
          <w:rFonts w:ascii="Arial" w:hAnsi="Arial" w:cs="Arial"/>
          <w:lang w:val="es-MX"/>
        </w:rPr>
      </w:pPr>
      <w:r w:rsidRPr="00DB15BF">
        <w:rPr>
          <w:rFonts w:ascii="Arial" w:hAnsi="Arial" w:cs="Arial"/>
          <w:lang w:val="es-MX"/>
        </w:rPr>
        <w:t xml:space="preserve">Centro por la Justicia y el Derecho Internacional. (2018). </w:t>
      </w:r>
      <w:r w:rsidRPr="00DB15BF">
        <w:rPr>
          <w:rFonts w:ascii="Arial" w:hAnsi="Arial" w:cs="Arial"/>
          <w:i/>
          <w:lang w:val="es-MX"/>
        </w:rPr>
        <w:t>Honduras: Organizaciones pedimos garantías para ejercer el derecho a defender derechos humanos</w:t>
      </w:r>
      <w:r w:rsidRPr="00DB15BF">
        <w:rPr>
          <w:rFonts w:ascii="Arial" w:hAnsi="Arial" w:cs="Arial"/>
          <w:lang w:val="es-MX"/>
        </w:rPr>
        <w:t>. https://www.cejil.org/es/honduras-organizaciones-pedimos-garantias-ejercer-derecho-defender-derechos-humanos</w:t>
      </w:r>
    </w:p>
    <w:p w14:paraId="4567043D" w14:textId="77777777" w:rsidR="00DB15BF" w:rsidRPr="00DB15BF" w:rsidRDefault="00DB15BF" w:rsidP="00DB15BF">
      <w:pPr>
        <w:rPr>
          <w:rFonts w:ascii="Arial" w:hAnsi="Arial" w:cs="Arial"/>
          <w:lang w:val="es-419"/>
        </w:rPr>
      </w:pPr>
      <w:r w:rsidRPr="00DB15BF">
        <w:rPr>
          <w:rFonts w:ascii="Arial" w:hAnsi="Arial" w:cs="Arial"/>
          <w:lang w:val="es-419"/>
        </w:rPr>
        <w:t xml:space="preserve">Comisión Interamericana de Derechos Humanos. (2018). </w:t>
      </w:r>
      <w:r w:rsidRPr="00DB15BF">
        <w:rPr>
          <w:rFonts w:ascii="Arial" w:hAnsi="Arial" w:cs="Arial"/>
          <w:i/>
          <w:lang w:val="es-419"/>
        </w:rPr>
        <w:t>Observaciones Preliminares de la Visita de la CIDH a Honduras</w:t>
      </w:r>
      <w:r w:rsidRPr="00DB15BF">
        <w:rPr>
          <w:rFonts w:ascii="Arial" w:hAnsi="Arial" w:cs="Arial"/>
          <w:lang w:val="es-419"/>
        </w:rPr>
        <w:t>. https://www.oas.org/es/cidh/prensa/comunicados/2018/ObsPrelHnd.pdf</w:t>
      </w:r>
    </w:p>
    <w:p w14:paraId="1C1A694F" w14:textId="77777777" w:rsidR="00DB15BF" w:rsidRPr="00DB15BF" w:rsidRDefault="00DB15BF" w:rsidP="00DB15BF">
      <w:pPr>
        <w:rPr>
          <w:rFonts w:ascii="Arial" w:hAnsi="Arial" w:cs="Arial"/>
          <w:i/>
          <w:lang w:val="es-419"/>
        </w:rPr>
      </w:pPr>
      <w:r w:rsidRPr="00DB15BF">
        <w:rPr>
          <w:rFonts w:ascii="Arial" w:hAnsi="Arial" w:cs="Arial"/>
          <w:lang w:val="es-419"/>
        </w:rPr>
        <w:t xml:space="preserve">Comisión Interamericana de Derechos Humanos. (2015). </w:t>
      </w:r>
      <w:r w:rsidRPr="00DB15BF">
        <w:rPr>
          <w:rFonts w:ascii="Arial" w:hAnsi="Arial" w:cs="Arial"/>
          <w:i/>
          <w:lang w:val="es-419"/>
        </w:rPr>
        <w:t>Situación de derechos humanos en Honduras. http://www.oas.org/es/cidh/informes/pdfs/honduras-es-2015.pdf</w:t>
      </w:r>
    </w:p>
    <w:p w14:paraId="3C46CAAD" w14:textId="77777777" w:rsidR="00DB15BF" w:rsidRPr="00DB15BF" w:rsidRDefault="00DB15BF" w:rsidP="00DB15BF">
      <w:pPr>
        <w:pStyle w:val="3vff3xh4yd"/>
        <w:shd w:val="clear" w:color="auto" w:fill="FFFFFF"/>
        <w:spacing w:before="0" w:beforeAutospacing="0" w:after="0" w:afterAutospacing="0"/>
        <w:rPr>
          <w:rFonts w:ascii="Arial" w:hAnsi="Arial" w:cs="Arial"/>
          <w:bCs/>
          <w:sz w:val="22"/>
          <w:szCs w:val="22"/>
          <w:lang w:val="es-419"/>
        </w:rPr>
      </w:pPr>
      <w:r w:rsidRPr="00DB15BF">
        <w:rPr>
          <w:rFonts w:ascii="Arial" w:hAnsi="Arial" w:cs="Arial"/>
          <w:bCs/>
          <w:sz w:val="22"/>
          <w:szCs w:val="22"/>
          <w:lang w:val="es-419"/>
        </w:rPr>
        <w:t xml:space="preserve">Comisión Nacional de SIDA. (2014). </w:t>
      </w:r>
      <w:r w:rsidRPr="00DB15BF">
        <w:rPr>
          <w:rFonts w:ascii="Arial" w:hAnsi="Arial" w:cs="Arial"/>
          <w:bCs/>
          <w:i/>
          <w:sz w:val="22"/>
          <w:szCs w:val="22"/>
          <w:lang w:val="es-419"/>
        </w:rPr>
        <w:t>Plan Estratégico Nacional de Respuesta al VIH Y SIDA en Honduras (PENSIDA IV) 2015-2019</w:t>
      </w:r>
      <w:r w:rsidRPr="00DB15BF">
        <w:rPr>
          <w:rFonts w:ascii="Arial" w:hAnsi="Arial" w:cs="Arial"/>
          <w:bCs/>
          <w:sz w:val="22"/>
          <w:szCs w:val="22"/>
          <w:lang w:val="es-419"/>
        </w:rPr>
        <w:t>.</w:t>
      </w:r>
    </w:p>
    <w:p w14:paraId="02DA1390" w14:textId="77777777" w:rsidR="00DB15BF" w:rsidRPr="00DB15BF" w:rsidRDefault="00DB15BF" w:rsidP="00DB15BF">
      <w:pPr>
        <w:pStyle w:val="3vff3xh4yd"/>
        <w:shd w:val="clear" w:color="auto" w:fill="FFFFFF"/>
        <w:spacing w:before="0" w:beforeAutospacing="0" w:after="0" w:afterAutospacing="0"/>
        <w:rPr>
          <w:rFonts w:ascii="Arial" w:hAnsi="Arial" w:cs="Arial"/>
          <w:bCs/>
          <w:sz w:val="22"/>
          <w:szCs w:val="22"/>
          <w:lang w:val="es-419"/>
        </w:rPr>
      </w:pPr>
    </w:p>
    <w:p w14:paraId="032D1E15" w14:textId="77777777" w:rsidR="00DB15BF" w:rsidRPr="00DB15BF" w:rsidRDefault="00DB15BF" w:rsidP="00DB15BF">
      <w:pPr>
        <w:rPr>
          <w:rFonts w:ascii="Arial" w:hAnsi="Arial" w:cs="Arial"/>
          <w:lang w:val="es-DO"/>
        </w:rPr>
      </w:pPr>
      <w:r w:rsidRPr="00DB15BF">
        <w:rPr>
          <w:rFonts w:ascii="Arial" w:hAnsi="Arial" w:cs="Arial"/>
          <w:lang w:val="es-DO"/>
        </w:rPr>
        <w:t xml:space="preserve">Comisión Nacional de SIDA. (2003). </w:t>
      </w:r>
      <w:r w:rsidRPr="00DB15BF">
        <w:rPr>
          <w:rFonts w:ascii="Arial" w:hAnsi="Arial" w:cs="Arial"/>
          <w:i/>
          <w:lang w:val="es-DO"/>
        </w:rPr>
        <w:t>Ley Orgánica de CONASIDA, Decreto 97-2003: Artículos 1, 2</w:t>
      </w:r>
      <w:r w:rsidRPr="00DB15BF">
        <w:rPr>
          <w:rFonts w:ascii="Arial" w:hAnsi="Arial" w:cs="Arial"/>
          <w:lang w:val="es-DO"/>
        </w:rPr>
        <w:t>. http://congresonacional.hn/wp-content/uploads/2017/10/200397.pdf</w:t>
      </w:r>
    </w:p>
    <w:p w14:paraId="74E7C9E5" w14:textId="22AC5CE9" w:rsidR="00DB15BF" w:rsidRPr="00DB15BF" w:rsidRDefault="00DB15BF" w:rsidP="00DB15BF">
      <w:pPr>
        <w:rPr>
          <w:rFonts w:ascii="Arial" w:hAnsi="Arial" w:cs="Arial"/>
          <w:lang w:val="es-DO"/>
        </w:rPr>
      </w:pPr>
      <w:r w:rsidRPr="00DB15BF">
        <w:rPr>
          <w:rFonts w:ascii="Arial" w:hAnsi="Arial" w:cs="Arial"/>
          <w:lang w:val="es-DO"/>
        </w:rPr>
        <w:t xml:space="preserve">Comisión Nacional de los Derechos Humanos. (1995). </w:t>
      </w:r>
      <w:r w:rsidRPr="00DB15BF">
        <w:rPr>
          <w:rFonts w:ascii="Arial" w:hAnsi="Arial" w:cs="Arial"/>
          <w:i/>
          <w:lang w:val="es-419"/>
        </w:rPr>
        <w:t xml:space="preserve">Ley Orgánica del Comisionado Nacional de los Derechos Humanos: Artículos 1, 4, 16. </w:t>
      </w:r>
      <w:r w:rsidRPr="00DB15BF">
        <w:rPr>
          <w:rFonts w:ascii="Arial" w:hAnsi="Arial" w:cs="Arial"/>
          <w:lang w:val="es-419"/>
        </w:rPr>
        <w:t>https://portalunico.iaip.gob.hn/portal/ver_documento.php?uid=OTI5MDM4OTM0NzYzNDg3MTI0NjE5ODcyMzQy</w:t>
      </w:r>
      <w:r w:rsidRPr="00DB15BF">
        <w:rPr>
          <w:rFonts w:ascii="Arial" w:hAnsi="Arial" w:cs="Arial"/>
          <w:lang w:val="es-DO"/>
        </w:rPr>
        <w:t>.</w:t>
      </w:r>
    </w:p>
    <w:p w14:paraId="7B3944DA" w14:textId="77777777" w:rsidR="00DB15BF" w:rsidRPr="00DB15BF" w:rsidRDefault="00DB15BF" w:rsidP="00DB15BF">
      <w:pPr>
        <w:tabs>
          <w:tab w:val="left" w:pos="900"/>
        </w:tabs>
        <w:rPr>
          <w:rFonts w:ascii="Arial" w:hAnsi="Arial" w:cs="Arial"/>
          <w:lang w:val="es-419"/>
        </w:rPr>
      </w:pPr>
      <w:r w:rsidRPr="00DB15BF">
        <w:rPr>
          <w:rFonts w:ascii="Arial" w:hAnsi="Arial" w:cs="Arial"/>
          <w:lang w:val="es-419"/>
        </w:rPr>
        <w:t>Decreto. (2011</w:t>
      </w:r>
      <w:r w:rsidRPr="00DB15BF">
        <w:rPr>
          <w:rFonts w:ascii="Arial" w:hAnsi="Arial" w:cs="Arial"/>
          <w:i/>
          <w:lang w:val="es-419"/>
        </w:rPr>
        <w:t xml:space="preserve">). </w:t>
      </w:r>
      <w:r w:rsidRPr="00DB15BF">
        <w:rPr>
          <w:rFonts w:ascii="Arial" w:hAnsi="Arial" w:cs="Arial"/>
          <w:i/>
          <w:lang w:val="es-ES"/>
        </w:rPr>
        <w:t>Ley Especial de Fomento para las Organizaciones No-Gubernamentales de Desarrollo, Decreto 32/2011</w:t>
      </w:r>
      <w:r w:rsidRPr="00DB15BF">
        <w:rPr>
          <w:rFonts w:ascii="Arial" w:hAnsi="Arial" w:cs="Arial"/>
          <w:lang w:val="es-ES"/>
        </w:rPr>
        <w:t>. http://www.poderjudicial.gob.hn/CEDIJ/Leyes/Documents/Ley%20Especial%20de%20Fomento%20para%20las%20ONGD%20(1,9mb).PDF</w:t>
      </w:r>
    </w:p>
    <w:p w14:paraId="3C06A78E" w14:textId="4975276B" w:rsidR="00DB6F06" w:rsidRPr="00C036E9" w:rsidRDefault="00DB15BF" w:rsidP="00DB15BF">
      <w:pPr>
        <w:rPr>
          <w:rFonts w:ascii="Arial" w:hAnsi="Arial" w:cs="Arial"/>
        </w:rPr>
      </w:pPr>
      <w:r w:rsidRPr="00DB15BF">
        <w:rPr>
          <w:rFonts w:ascii="Arial" w:hAnsi="Arial" w:cs="Arial"/>
          <w:lang w:val="es-419"/>
        </w:rPr>
        <w:t xml:space="preserve">Fondo Mundial. (2018). </w:t>
      </w:r>
      <w:r w:rsidRPr="00DB15BF">
        <w:rPr>
          <w:rFonts w:ascii="Arial" w:hAnsi="Arial" w:cs="Arial"/>
          <w:i/>
          <w:lang w:val="es-419"/>
        </w:rPr>
        <w:t xml:space="preserve">Evaluación de línea base Honduras: Ampliación de programas para reducir los obstáculos relacionados con los derechos humanos a los servicios de VIH. </w:t>
      </w:r>
      <w:r w:rsidR="00DB6F06" w:rsidRPr="00C036E9">
        <w:rPr>
          <w:rFonts w:ascii="Arial" w:hAnsi="Arial" w:cs="Arial"/>
        </w:rPr>
        <w:t xml:space="preserve">Fondo Mundial. (2017). </w:t>
      </w:r>
      <w:r w:rsidR="00DB6F06" w:rsidRPr="00CC6368">
        <w:rPr>
          <w:rFonts w:ascii="Arial" w:hAnsi="Arial" w:cs="Arial"/>
        </w:rPr>
        <w:t xml:space="preserve">Grant Performance Report: Strengthening the National Response for Health Protection and Promotion in HIV/AIDS with an emphasis on OVC, Honduras. </w:t>
      </w:r>
      <w:r w:rsidR="00DB6F06" w:rsidRPr="00CC6368">
        <w:rPr>
          <w:rFonts w:ascii="Arial" w:hAnsi="Arial" w:cs="Arial"/>
        </w:rPr>
        <w:lastRenderedPageBreak/>
        <w:t>https://www.theglobalfund.org/en/portfolio/country/grant/?k=1085237c-9423-4465-aea5-e8c69103ede0&amp;grant=HND-H-CHF</w:t>
      </w:r>
    </w:p>
    <w:p w14:paraId="05BE181D" w14:textId="2074CDC4" w:rsidR="00DB15BF" w:rsidRPr="00DB15BF" w:rsidRDefault="00DB15BF" w:rsidP="00DB15BF">
      <w:pPr>
        <w:rPr>
          <w:rFonts w:ascii="Arial" w:hAnsi="Arial" w:cs="Arial"/>
          <w:lang w:val="es-419"/>
        </w:rPr>
      </w:pPr>
      <w:r w:rsidRPr="00DB15BF">
        <w:rPr>
          <w:rFonts w:ascii="Arial" w:hAnsi="Arial" w:cs="Arial"/>
          <w:lang w:val="es-DO"/>
        </w:rPr>
        <w:t xml:space="preserve">Fondo Mundial. (2017). </w:t>
      </w:r>
      <w:r w:rsidRPr="00DB15BF">
        <w:rPr>
          <w:rFonts w:ascii="Arial" w:hAnsi="Arial" w:cs="Arial"/>
          <w:i/>
          <w:lang w:val="es-DO"/>
        </w:rPr>
        <w:t>Informe de indicadores de impacto 2017</w:t>
      </w:r>
      <w:r w:rsidRPr="00DB15BF">
        <w:rPr>
          <w:rFonts w:ascii="Arial" w:hAnsi="Arial" w:cs="Arial"/>
          <w:lang w:val="es-DO"/>
        </w:rPr>
        <w:t xml:space="preserve">. Subvención Conjunto integrado de servicios de ITS y VIH para poblaciones clave y vulnerable de Honduras. </w:t>
      </w:r>
    </w:p>
    <w:p w14:paraId="68AFD504" w14:textId="77777777" w:rsidR="00DB15BF" w:rsidRPr="00DB15BF" w:rsidRDefault="00DB15BF" w:rsidP="00DB15BF">
      <w:pPr>
        <w:rPr>
          <w:rFonts w:ascii="Arial" w:hAnsi="Arial" w:cs="Arial"/>
          <w:lang w:val="es-419"/>
        </w:rPr>
      </w:pPr>
      <w:r w:rsidRPr="00DB15BF">
        <w:rPr>
          <w:rFonts w:ascii="Arial" w:hAnsi="Arial" w:cs="Arial"/>
          <w:lang w:val="es-419"/>
        </w:rPr>
        <w:t xml:space="preserve">Fondo Mundial. (2018). </w:t>
      </w:r>
      <w:r w:rsidRPr="00DB15BF">
        <w:rPr>
          <w:rFonts w:ascii="Arial" w:hAnsi="Arial" w:cs="Arial"/>
          <w:i/>
          <w:lang w:val="es-419"/>
        </w:rPr>
        <w:t>Informe de rendimiento de la subvención: Fortalecimiento de la respuesta nacional para la protección y promoción de la salud en el VIH / SIDA con énfasis en los huérfanos y los niños vulnerables</w:t>
      </w:r>
      <w:r w:rsidRPr="00DB15BF">
        <w:rPr>
          <w:rFonts w:ascii="Arial" w:hAnsi="Arial" w:cs="Arial"/>
          <w:lang w:val="es-419"/>
        </w:rPr>
        <w:t>. https://www.theglobalfund.org/en/portfolio/country/grant/?k=1085237c-9423-4465-aea5-e8c69103ede0&amp;grant=HND-H-CHF</w:t>
      </w:r>
    </w:p>
    <w:p w14:paraId="3C8BFB68" w14:textId="77777777" w:rsidR="00DB15BF" w:rsidRPr="00DB15BF" w:rsidRDefault="00DB15BF" w:rsidP="00DB15BF">
      <w:pPr>
        <w:rPr>
          <w:rFonts w:ascii="Arial" w:hAnsi="Arial" w:cs="Arial"/>
          <w:i/>
          <w:lang w:val="es-419"/>
        </w:rPr>
      </w:pPr>
      <w:r w:rsidRPr="00DB15BF">
        <w:rPr>
          <w:rFonts w:ascii="Arial" w:hAnsi="Arial" w:cs="Arial"/>
          <w:lang w:val="es-419"/>
        </w:rPr>
        <w:t xml:space="preserve">Fondo Mundial. (2018). </w:t>
      </w:r>
      <w:r w:rsidRPr="00DB15BF">
        <w:rPr>
          <w:rFonts w:ascii="Arial" w:hAnsi="Arial" w:cs="Arial"/>
          <w:i/>
          <w:lang w:val="es-419"/>
        </w:rPr>
        <w:t xml:space="preserve">Inversiones hasta la fecha, Honduras. </w:t>
      </w:r>
      <w:r w:rsidRPr="00DB15BF">
        <w:rPr>
          <w:rFonts w:ascii="Arial" w:hAnsi="Arial" w:cs="Arial"/>
          <w:lang w:val="es-419"/>
        </w:rPr>
        <w:t>https://www.theglobalfund.org/en/portfolio/country/?loc=HND&amp;k=38565614-b542-4558-96f5-6c0ab3e36f97</w:t>
      </w:r>
    </w:p>
    <w:p w14:paraId="61388F68" w14:textId="77777777" w:rsidR="00DB15BF" w:rsidRPr="00DB15BF" w:rsidRDefault="00DB15BF" w:rsidP="00DB15BF">
      <w:pPr>
        <w:rPr>
          <w:rFonts w:ascii="Arial" w:hAnsi="Arial" w:cs="Arial"/>
          <w:lang w:val="es-MX"/>
        </w:rPr>
      </w:pPr>
      <w:r w:rsidRPr="00DB15BF">
        <w:rPr>
          <w:rFonts w:ascii="Arial" w:hAnsi="Arial" w:cs="Arial"/>
          <w:lang w:val="es-MX"/>
        </w:rPr>
        <w:t xml:space="preserve">Fondo Mundial. (2015). </w:t>
      </w:r>
      <w:r w:rsidRPr="00DB15BF">
        <w:rPr>
          <w:rFonts w:ascii="Arial" w:hAnsi="Arial" w:cs="Arial"/>
          <w:i/>
          <w:lang w:val="es-MX"/>
        </w:rPr>
        <w:t>Nota Conceptual VIH 2016-2019, Honduras.</w:t>
      </w:r>
      <w:r w:rsidRPr="00DB15BF">
        <w:rPr>
          <w:rFonts w:ascii="Arial" w:hAnsi="Arial" w:cs="Arial"/>
          <w:lang w:val="es-MX"/>
        </w:rPr>
        <w:t xml:space="preserve"> </w:t>
      </w:r>
    </w:p>
    <w:p w14:paraId="51E285B0" w14:textId="77777777" w:rsidR="00DB15BF" w:rsidRPr="00DB15BF" w:rsidRDefault="00DB15BF" w:rsidP="00DB15BF">
      <w:pPr>
        <w:rPr>
          <w:rFonts w:ascii="Arial" w:hAnsi="Arial" w:cs="Arial"/>
          <w:lang w:val="es-MX"/>
        </w:rPr>
      </w:pPr>
      <w:r w:rsidRPr="00DB15BF">
        <w:rPr>
          <w:rFonts w:ascii="Arial" w:hAnsi="Arial" w:cs="Arial"/>
          <w:lang w:val="es-MX"/>
        </w:rPr>
        <w:t xml:space="preserve">Fundación Huésped. (2018). </w:t>
      </w:r>
      <w:r w:rsidRPr="00DB15BF">
        <w:rPr>
          <w:rFonts w:ascii="Arial" w:hAnsi="Arial" w:cs="Arial"/>
          <w:lang w:val="es-US"/>
        </w:rPr>
        <w:t>https://www.huesped.org.ar/</w:t>
      </w:r>
      <w:r w:rsidRPr="00DB15BF">
        <w:rPr>
          <w:rFonts w:ascii="Arial" w:hAnsi="Arial" w:cs="Arial"/>
          <w:lang w:val="es-MX"/>
        </w:rPr>
        <w:t xml:space="preserve"> </w:t>
      </w:r>
    </w:p>
    <w:p w14:paraId="7A2F82E8" w14:textId="77777777" w:rsidR="00DB15BF" w:rsidRPr="00DB15BF" w:rsidRDefault="00DB15BF" w:rsidP="00DB15BF">
      <w:pPr>
        <w:pStyle w:val="FootnoteText"/>
        <w:rPr>
          <w:rFonts w:ascii="Arial" w:hAnsi="Arial" w:cs="Arial"/>
          <w:sz w:val="22"/>
          <w:szCs w:val="22"/>
          <w:lang w:val="es-419"/>
        </w:rPr>
      </w:pPr>
      <w:r w:rsidRPr="00DB15BF">
        <w:rPr>
          <w:rFonts w:ascii="Arial" w:hAnsi="Arial" w:cs="Arial"/>
          <w:sz w:val="22"/>
          <w:szCs w:val="22"/>
          <w:lang w:val="es-419"/>
        </w:rPr>
        <w:t xml:space="preserve">Gobierno de Argentina. (2018). </w:t>
      </w:r>
      <w:r w:rsidRPr="00DB15BF">
        <w:rPr>
          <w:rFonts w:ascii="Arial" w:hAnsi="Arial" w:cs="Arial"/>
          <w:i/>
          <w:sz w:val="22"/>
          <w:szCs w:val="22"/>
          <w:lang w:val="es-419"/>
        </w:rPr>
        <w:t>Promoción de los Derechos Humanos</w:t>
      </w:r>
      <w:r w:rsidRPr="00DB15BF">
        <w:rPr>
          <w:rFonts w:ascii="Arial" w:hAnsi="Arial" w:cs="Arial"/>
          <w:sz w:val="22"/>
          <w:szCs w:val="22"/>
          <w:lang w:val="es-419"/>
        </w:rPr>
        <w:t>. https://www.argentina.gob.ar/derechoshumanos/promocion</w:t>
      </w:r>
    </w:p>
    <w:p w14:paraId="0BBDF38C" w14:textId="77777777" w:rsidR="00DB15BF" w:rsidRPr="00DB15BF" w:rsidRDefault="00DB15BF" w:rsidP="00DB15BF">
      <w:pPr>
        <w:pStyle w:val="FootnoteText"/>
        <w:rPr>
          <w:rFonts w:ascii="Arial" w:hAnsi="Arial" w:cs="Arial"/>
          <w:sz w:val="22"/>
          <w:szCs w:val="22"/>
          <w:lang w:val="es-419"/>
        </w:rPr>
      </w:pPr>
    </w:p>
    <w:p w14:paraId="1134FFAE" w14:textId="77777777" w:rsidR="00DB15BF" w:rsidRPr="00DB15BF" w:rsidRDefault="00DB15BF" w:rsidP="00DB15BF">
      <w:pPr>
        <w:pStyle w:val="FootnoteText"/>
        <w:rPr>
          <w:rFonts w:ascii="Arial" w:hAnsi="Arial" w:cs="Arial"/>
          <w:sz w:val="22"/>
          <w:szCs w:val="22"/>
          <w:lang w:val="es-DO"/>
        </w:rPr>
      </w:pPr>
      <w:r w:rsidRPr="00DB15BF">
        <w:rPr>
          <w:rFonts w:ascii="Arial" w:hAnsi="Arial" w:cs="Arial"/>
          <w:sz w:val="22"/>
          <w:szCs w:val="22"/>
          <w:lang w:val="es-DO"/>
        </w:rPr>
        <w:t xml:space="preserve">Gonzalez, R. A., Ciudad, J. M., et. al. (2014). </w:t>
      </w:r>
      <w:r w:rsidRPr="00DB15BF">
        <w:rPr>
          <w:rFonts w:ascii="Arial" w:hAnsi="Arial" w:cs="Arial"/>
          <w:i/>
          <w:sz w:val="22"/>
          <w:szCs w:val="22"/>
          <w:lang w:val="es-DO"/>
        </w:rPr>
        <w:t>Informe Ejecutivo: Índice de Estigma en Personas que Viven con VIH, Honduras 2014</w:t>
      </w:r>
      <w:r w:rsidRPr="00DB15BF">
        <w:rPr>
          <w:rFonts w:ascii="Arial" w:hAnsi="Arial" w:cs="Arial"/>
          <w:sz w:val="22"/>
          <w:szCs w:val="22"/>
          <w:lang w:val="es-DO"/>
        </w:rPr>
        <w:t>. http://www.stigmaindex.org/sites/default/files/reports/Honduras%20Informe%20Ejecutivo%20PDF.pdf</w:t>
      </w:r>
    </w:p>
    <w:p w14:paraId="39416411" w14:textId="77777777" w:rsidR="00DB15BF" w:rsidRPr="00DB15BF" w:rsidRDefault="00DB15BF" w:rsidP="00DB15BF">
      <w:pPr>
        <w:pStyle w:val="FootnoteText"/>
        <w:rPr>
          <w:rFonts w:ascii="Arial" w:hAnsi="Arial" w:cs="Arial"/>
          <w:sz w:val="22"/>
          <w:szCs w:val="22"/>
          <w:lang w:val="es-MX"/>
        </w:rPr>
      </w:pPr>
    </w:p>
    <w:p w14:paraId="1CA8C050" w14:textId="2E76065E" w:rsidR="00DB15BF" w:rsidRPr="00DB15BF" w:rsidRDefault="00DB15BF" w:rsidP="00DB15BF">
      <w:pPr>
        <w:pStyle w:val="FootnoteText"/>
        <w:rPr>
          <w:rFonts w:ascii="Arial" w:hAnsi="Arial" w:cs="Arial"/>
          <w:sz w:val="22"/>
          <w:szCs w:val="22"/>
          <w:lang w:val="es-MX"/>
        </w:rPr>
      </w:pPr>
      <w:r w:rsidRPr="00DB15BF">
        <w:rPr>
          <w:rFonts w:ascii="Arial" w:hAnsi="Arial" w:cs="Arial"/>
          <w:sz w:val="22"/>
          <w:szCs w:val="22"/>
        </w:rPr>
        <w:t xml:space="preserve">Heller, P. (2005). </w:t>
      </w:r>
      <w:r w:rsidRPr="00DB15BF">
        <w:rPr>
          <w:rFonts w:ascii="Arial" w:hAnsi="Arial" w:cs="Arial"/>
          <w:i/>
          <w:sz w:val="22"/>
          <w:szCs w:val="22"/>
        </w:rPr>
        <w:t>Understanding fiscal space</w:t>
      </w:r>
      <w:r w:rsidRPr="00DB15BF">
        <w:rPr>
          <w:rFonts w:ascii="Arial" w:hAnsi="Arial" w:cs="Arial"/>
          <w:sz w:val="22"/>
          <w:szCs w:val="22"/>
        </w:rPr>
        <w:t xml:space="preserve">. International Monetary Fund. Policy Discussion. </w:t>
      </w:r>
      <w:r w:rsidRPr="00DB15BF">
        <w:rPr>
          <w:rFonts w:ascii="Arial" w:hAnsi="Arial" w:cs="Arial"/>
          <w:sz w:val="22"/>
          <w:szCs w:val="22"/>
          <w:lang w:val="es-MX"/>
        </w:rPr>
        <w:t>Papers (PDP 05/04).</w:t>
      </w:r>
      <w:r w:rsidRPr="00DB15BF">
        <w:rPr>
          <w:rFonts w:ascii="Arial" w:hAnsi="Arial" w:cs="Arial"/>
          <w:sz w:val="22"/>
          <w:szCs w:val="22"/>
          <w:lang w:val="es-MX"/>
        </w:rPr>
        <w:cr/>
      </w:r>
    </w:p>
    <w:p w14:paraId="10E67244" w14:textId="77777777" w:rsidR="00DB15BF" w:rsidRPr="00DB15BF" w:rsidRDefault="00DB15BF" w:rsidP="00DB15BF">
      <w:pPr>
        <w:pStyle w:val="FootnoteText"/>
        <w:rPr>
          <w:rFonts w:ascii="Arial" w:hAnsi="Arial" w:cs="Arial"/>
          <w:sz w:val="22"/>
          <w:szCs w:val="22"/>
          <w:lang w:val="es-DO"/>
        </w:rPr>
      </w:pPr>
      <w:r w:rsidRPr="00DB15BF">
        <w:rPr>
          <w:rFonts w:ascii="Arial" w:hAnsi="Arial" w:cs="Arial"/>
          <w:sz w:val="22"/>
          <w:szCs w:val="22"/>
          <w:lang w:val="es-DO"/>
        </w:rPr>
        <w:t>Honduras (2017): Estudio TRaC de monitoreo de comportamientos sexuales saludables entre HSH en las ciudades de Tegucigalpa, San Pedro Sula y La Ceiba.</w:t>
      </w:r>
    </w:p>
    <w:p w14:paraId="73BA4CD4" w14:textId="77777777" w:rsidR="00DB15BF" w:rsidRPr="00DB15BF" w:rsidRDefault="00DB15BF" w:rsidP="00DB15BF">
      <w:pPr>
        <w:pStyle w:val="FootnoteText"/>
        <w:rPr>
          <w:rFonts w:ascii="Arial" w:hAnsi="Arial" w:cs="Arial"/>
          <w:sz w:val="22"/>
          <w:szCs w:val="22"/>
          <w:lang w:val="es-419"/>
        </w:rPr>
      </w:pPr>
    </w:p>
    <w:p w14:paraId="4D224EB6" w14:textId="77777777" w:rsidR="00DB15BF" w:rsidRPr="00DB15BF" w:rsidRDefault="00DB15BF" w:rsidP="00DB15BF">
      <w:pPr>
        <w:pStyle w:val="FootnoteText"/>
        <w:rPr>
          <w:rFonts w:ascii="Arial" w:hAnsi="Arial" w:cs="Arial"/>
          <w:sz w:val="22"/>
          <w:szCs w:val="22"/>
          <w:lang w:val="es-419"/>
        </w:rPr>
      </w:pPr>
      <w:r w:rsidRPr="00DB15BF">
        <w:rPr>
          <w:rFonts w:ascii="Arial" w:hAnsi="Arial" w:cs="Arial"/>
          <w:sz w:val="22"/>
          <w:szCs w:val="22"/>
        </w:rPr>
        <w:t xml:space="preserve">Human Rights Watch. (2018). </w:t>
      </w:r>
      <w:r w:rsidRPr="00DB15BF">
        <w:rPr>
          <w:rFonts w:ascii="Arial" w:hAnsi="Arial" w:cs="Arial"/>
          <w:i/>
          <w:sz w:val="22"/>
          <w:szCs w:val="22"/>
        </w:rPr>
        <w:t>Honduras: Eventos de 2017.</w:t>
      </w:r>
      <w:r w:rsidRPr="00DB15BF">
        <w:rPr>
          <w:rFonts w:ascii="Arial" w:hAnsi="Arial" w:cs="Arial"/>
          <w:sz w:val="22"/>
          <w:szCs w:val="22"/>
        </w:rPr>
        <w:t xml:space="preserve"> </w:t>
      </w:r>
      <w:hyperlink r:id="rId36" w:history="1">
        <w:r w:rsidRPr="00DB15BF">
          <w:rPr>
            <w:rStyle w:val="Hyperlink"/>
            <w:rFonts w:ascii="Arial" w:hAnsi="Arial" w:cs="Arial"/>
            <w:sz w:val="22"/>
            <w:szCs w:val="22"/>
            <w:lang w:val="es-419"/>
          </w:rPr>
          <w:t>https://www.hrw.org/es/world-report/2018/country-chapters/313309</w:t>
        </w:r>
      </w:hyperlink>
    </w:p>
    <w:p w14:paraId="383272F6" w14:textId="77777777" w:rsidR="00DB15BF" w:rsidRPr="00DB15BF" w:rsidRDefault="00DB15BF" w:rsidP="00DB15BF">
      <w:pPr>
        <w:pStyle w:val="FootnoteText"/>
        <w:rPr>
          <w:rFonts w:ascii="Arial" w:hAnsi="Arial" w:cs="Arial"/>
          <w:sz w:val="22"/>
          <w:szCs w:val="22"/>
          <w:lang w:val="es-419"/>
        </w:rPr>
      </w:pPr>
    </w:p>
    <w:p w14:paraId="02710EDA" w14:textId="77777777" w:rsidR="00DB15BF" w:rsidRPr="00DB15BF" w:rsidRDefault="00DB15BF" w:rsidP="00DB15BF">
      <w:pPr>
        <w:rPr>
          <w:rFonts w:ascii="Arial" w:hAnsi="Arial" w:cs="Arial"/>
          <w:lang w:val="es-MX"/>
        </w:rPr>
      </w:pPr>
      <w:r w:rsidRPr="00DB15BF">
        <w:rPr>
          <w:rFonts w:ascii="Arial" w:hAnsi="Arial" w:cs="Arial"/>
          <w:lang w:val="es-DO"/>
        </w:rPr>
        <w:t xml:space="preserve">Instituto de Acceso a la Información Pública. (2015). </w:t>
      </w:r>
      <w:r w:rsidRPr="00DB15BF">
        <w:rPr>
          <w:rFonts w:ascii="Arial" w:hAnsi="Arial" w:cs="Arial"/>
          <w:i/>
          <w:lang w:val="es-DO"/>
        </w:rPr>
        <w:t>Portal único de transparencia</w:t>
      </w:r>
      <w:r w:rsidRPr="00DB15BF">
        <w:rPr>
          <w:rFonts w:ascii="Arial" w:hAnsi="Arial" w:cs="Arial"/>
          <w:lang w:val="es-DO"/>
        </w:rPr>
        <w:t>. Secretaria de Salud. https://portalunico.iaip.gob.hn/</w:t>
      </w:r>
    </w:p>
    <w:p w14:paraId="46537F9C" w14:textId="77777777" w:rsidR="00DB15BF" w:rsidRPr="00DB15BF" w:rsidRDefault="00DB15BF" w:rsidP="00DB15BF">
      <w:pPr>
        <w:rPr>
          <w:rFonts w:ascii="Arial" w:hAnsi="Arial" w:cs="Arial"/>
          <w:lang w:val="fr-FR"/>
        </w:rPr>
      </w:pPr>
      <w:r w:rsidRPr="00DB15BF">
        <w:rPr>
          <w:rFonts w:ascii="Arial" w:hAnsi="Arial" w:cs="Arial"/>
        </w:rPr>
        <w:t xml:space="preserve">International Monetary Fund. (2018). </w:t>
      </w:r>
      <w:r w:rsidRPr="00DB15BF">
        <w:rPr>
          <w:rFonts w:ascii="Arial" w:hAnsi="Arial" w:cs="Arial"/>
          <w:i/>
        </w:rPr>
        <w:t xml:space="preserve">IMF Country Report No. 18/206. </w:t>
      </w:r>
      <w:r w:rsidRPr="00DB15BF">
        <w:rPr>
          <w:rFonts w:ascii="Arial" w:hAnsi="Arial" w:cs="Arial"/>
          <w:i/>
          <w:lang w:val="fr-FR"/>
        </w:rPr>
        <w:t>2018 Article IV Consultation.</w:t>
      </w:r>
      <w:r w:rsidRPr="00DB15BF">
        <w:rPr>
          <w:rFonts w:ascii="Arial" w:hAnsi="Arial" w:cs="Arial"/>
          <w:lang w:val="fr-FR"/>
        </w:rPr>
        <w:t xml:space="preserve"> https://www.imf.org/en/Publications/CR/Issues/2018/07/03/Honduras-2018-Article-IV-Consultation-Press-Release-Staff-Report-and-Statement-by-the-46047</w:t>
      </w:r>
    </w:p>
    <w:p w14:paraId="0C536948" w14:textId="77777777" w:rsidR="00DB15BF" w:rsidRPr="00DB15BF" w:rsidRDefault="00DB15BF" w:rsidP="00DB15BF">
      <w:pPr>
        <w:rPr>
          <w:rFonts w:ascii="Arial" w:hAnsi="Arial" w:cs="Arial"/>
          <w:lang w:val="es-MX"/>
        </w:rPr>
      </w:pPr>
      <w:r w:rsidRPr="00DB15BF">
        <w:rPr>
          <w:rFonts w:ascii="Arial" w:hAnsi="Arial" w:cs="Arial"/>
          <w:lang w:val="es-MX"/>
        </w:rPr>
        <w:t xml:space="preserve">Mans Unides. (2016). </w:t>
      </w:r>
      <w:r w:rsidRPr="00DB15BF">
        <w:rPr>
          <w:rFonts w:ascii="Arial" w:hAnsi="Arial" w:cs="Arial"/>
          <w:i/>
          <w:lang w:val="es-MX"/>
        </w:rPr>
        <w:t>La violencia de género en Honduras.</w:t>
      </w:r>
      <w:r w:rsidRPr="00DB15BF">
        <w:rPr>
          <w:rFonts w:ascii="Arial" w:hAnsi="Arial" w:cs="Arial"/>
          <w:lang w:val="es-MX"/>
        </w:rPr>
        <w:t xml:space="preserve"> https://mansunides.org/es/violencia-genero-honduras</w:t>
      </w:r>
    </w:p>
    <w:p w14:paraId="76FA9EF5" w14:textId="77777777" w:rsidR="00DB15BF" w:rsidRPr="00BB4640" w:rsidRDefault="00DB15BF" w:rsidP="00DB15BF">
      <w:pPr>
        <w:pStyle w:val="FootnoteText"/>
        <w:rPr>
          <w:rFonts w:ascii="Arial" w:hAnsi="Arial" w:cs="Arial"/>
          <w:sz w:val="22"/>
          <w:szCs w:val="22"/>
        </w:rPr>
      </w:pPr>
      <w:r w:rsidRPr="00DB15BF">
        <w:rPr>
          <w:rFonts w:ascii="Arial" w:hAnsi="Arial" w:cs="Arial"/>
          <w:sz w:val="22"/>
          <w:szCs w:val="22"/>
          <w:lang w:val="es-DO"/>
        </w:rPr>
        <w:t xml:space="preserve">Naciones Unidas para el Desarrollo, Argentina. (2013). </w:t>
      </w:r>
      <w:r w:rsidRPr="00DB15BF">
        <w:rPr>
          <w:rFonts w:ascii="Arial" w:hAnsi="Arial" w:cs="Arial"/>
          <w:i/>
          <w:sz w:val="22"/>
          <w:szCs w:val="22"/>
          <w:lang w:val="es-DO"/>
        </w:rPr>
        <w:t>Guía de implementación: Consultorios amigables para la diversidad sexual.</w:t>
      </w:r>
      <w:r w:rsidRPr="00DB15BF">
        <w:rPr>
          <w:rFonts w:ascii="Arial" w:hAnsi="Arial" w:cs="Arial"/>
          <w:sz w:val="22"/>
          <w:szCs w:val="22"/>
          <w:lang w:val="es-DO"/>
        </w:rPr>
        <w:t xml:space="preserve"> </w:t>
      </w:r>
      <w:hyperlink r:id="rId37" w:history="1">
        <w:r w:rsidRPr="00BB4640">
          <w:rPr>
            <w:rStyle w:val="Hyperlink"/>
            <w:rFonts w:ascii="Arial" w:hAnsi="Arial" w:cs="Arial"/>
            <w:sz w:val="22"/>
            <w:szCs w:val="22"/>
          </w:rPr>
          <w:t>http://www.msal.gob.ar/images/stories/bes/graficos/0000000323cnt-2014-01_guia-implementacion-consultorios-amigables.pdf</w:t>
        </w:r>
      </w:hyperlink>
    </w:p>
    <w:p w14:paraId="07B118DD" w14:textId="77777777" w:rsidR="00DB15BF" w:rsidRPr="00BB4640" w:rsidRDefault="00DB15BF" w:rsidP="00DB15BF">
      <w:pPr>
        <w:pStyle w:val="FootnoteText"/>
        <w:rPr>
          <w:rFonts w:ascii="Arial" w:hAnsi="Arial" w:cs="Arial"/>
          <w:sz w:val="22"/>
          <w:szCs w:val="22"/>
        </w:rPr>
      </w:pPr>
    </w:p>
    <w:p w14:paraId="30139381" w14:textId="77777777" w:rsidR="00DB15BF" w:rsidRPr="00DB15BF" w:rsidRDefault="00DB15BF" w:rsidP="00DB15BF">
      <w:pPr>
        <w:pStyle w:val="FootnoteText"/>
        <w:rPr>
          <w:rFonts w:ascii="Arial" w:hAnsi="Arial" w:cs="Arial"/>
          <w:sz w:val="22"/>
          <w:szCs w:val="22"/>
          <w:lang w:val="es-DO"/>
        </w:rPr>
      </w:pPr>
      <w:r w:rsidRPr="00DB15BF">
        <w:rPr>
          <w:rFonts w:ascii="Arial" w:hAnsi="Arial" w:cs="Arial"/>
          <w:sz w:val="22"/>
          <w:szCs w:val="22"/>
          <w:lang w:val="es-DO"/>
        </w:rPr>
        <w:t xml:space="preserve">OECD. (2014). </w:t>
      </w:r>
      <w:r w:rsidRPr="00DB15BF">
        <w:rPr>
          <w:rFonts w:ascii="Arial" w:hAnsi="Arial" w:cs="Arial"/>
          <w:i/>
          <w:sz w:val="22"/>
          <w:szCs w:val="22"/>
          <w:lang w:val="es-DO"/>
        </w:rPr>
        <w:t xml:space="preserve">Honduras. </w:t>
      </w:r>
      <w:hyperlink r:id="rId38" w:history="1">
        <w:r w:rsidRPr="00DB15BF">
          <w:rPr>
            <w:rStyle w:val="Hyperlink"/>
            <w:rFonts w:ascii="Arial" w:hAnsi="Arial" w:cs="Arial"/>
            <w:sz w:val="22"/>
            <w:szCs w:val="22"/>
            <w:lang w:val="es-DO"/>
          </w:rPr>
          <w:t>http://www.oecd.org/countries/honduras/</w:t>
        </w:r>
      </w:hyperlink>
    </w:p>
    <w:p w14:paraId="7A0E7EB2" w14:textId="77777777" w:rsidR="00DB15BF" w:rsidRPr="00DB15BF" w:rsidRDefault="00DB15BF" w:rsidP="00DB15BF">
      <w:pPr>
        <w:pStyle w:val="FootnoteText"/>
        <w:rPr>
          <w:rFonts w:ascii="Arial" w:hAnsi="Arial" w:cs="Arial"/>
          <w:sz w:val="22"/>
          <w:szCs w:val="22"/>
          <w:lang w:val="es-DO"/>
        </w:rPr>
      </w:pPr>
    </w:p>
    <w:p w14:paraId="191F73C5" w14:textId="77777777" w:rsidR="00DB15BF" w:rsidRPr="00DB15BF" w:rsidRDefault="00DB15BF" w:rsidP="00DB15BF">
      <w:pPr>
        <w:pStyle w:val="FootnoteText"/>
        <w:rPr>
          <w:rFonts w:ascii="Arial" w:hAnsi="Arial" w:cs="Arial"/>
          <w:sz w:val="22"/>
          <w:szCs w:val="22"/>
        </w:rPr>
      </w:pPr>
      <w:r w:rsidRPr="00DB15BF">
        <w:rPr>
          <w:rFonts w:ascii="Arial" w:hAnsi="Arial" w:cs="Arial"/>
          <w:sz w:val="22"/>
          <w:szCs w:val="22"/>
        </w:rPr>
        <w:lastRenderedPageBreak/>
        <w:t xml:space="preserve">OMS. (2011-2016). </w:t>
      </w:r>
      <w:r w:rsidRPr="00DB15BF">
        <w:rPr>
          <w:rFonts w:ascii="Arial" w:hAnsi="Arial" w:cs="Arial"/>
          <w:i/>
          <w:sz w:val="22"/>
          <w:szCs w:val="22"/>
        </w:rPr>
        <w:t>Global Health Expenditure Dataset</w:t>
      </w:r>
      <w:r w:rsidRPr="00DB15BF">
        <w:rPr>
          <w:rFonts w:ascii="Arial" w:hAnsi="Arial" w:cs="Arial"/>
          <w:sz w:val="22"/>
          <w:szCs w:val="22"/>
        </w:rPr>
        <w:t>. http://apps.who.int/nha/database/Select/Indicators/en</w:t>
      </w:r>
    </w:p>
    <w:p w14:paraId="66A8FED7" w14:textId="77777777" w:rsidR="00DB15BF" w:rsidRPr="00DB15BF" w:rsidRDefault="00DB15BF" w:rsidP="00DB15BF">
      <w:pPr>
        <w:pStyle w:val="FootnoteText"/>
        <w:rPr>
          <w:rFonts w:ascii="Arial" w:hAnsi="Arial" w:cs="Arial"/>
          <w:sz w:val="22"/>
          <w:szCs w:val="22"/>
        </w:rPr>
      </w:pPr>
    </w:p>
    <w:p w14:paraId="7C4579BC" w14:textId="77777777" w:rsidR="00DB15BF" w:rsidRPr="00DB15BF" w:rsidRDefault="00DB15BF" w:rsidP="00DB15BF">
      <w:pPr>
        <w:pStyle w:val="FootnoteText"/>
        <w:rPr>
          <w:rFonts w:ascii="Arial" w:hAnsi="Arial" w:cs="Arial"/>
          <w:sz w:val="22"/>
          <w:szCs w:val="22"/>
          <w:lang w:val="fr-FR"/>
        </w:rPr>
      </w:pPr>
      <w:r w:rsidRPr="00DB15BF">
        <w:rPr>
          <w:rFonts w:ascii="Arial" w:hAnsi="Arial" w:cs="Arial"/>
          <w:sz w:val="22"/>
          <w:szCs w:val="22"/>
          <w:lang w:val="es-DO"/>
        </w:rPr>
        <w:t xml:space="preserve">Oficina de Alto Comisionado de las Naciones Unidas para los Derechos Humanos. </w:t>
      </w:r>
      <w:r w:rsidRPr="00DB15BF">
        <w:rPr>
          <w:rFonts w:ascii="Arial" w:hAnsi="Arial" w:cs="Arial"/>
          <w:sz w:val="22"/>
          <w:szCs w:val="22"/>
          <w:lang w:val="fr-FR"/>
        </w:rPr>
        <w:t xml:space="preserve">(2014). </w:t>
      </w:r>
      <w:r w:rsidRPr="00DB15BF">
        <w:rPr>
          <w:rFonts w:ascii="Arial" w:hAnsi="Arial" w:cs="Arial"/>
          <w:i/>
          <w:sz w:val="22"/>
          <w:szCs w:val="22"/>
          <w:lang w:val="fr-FR"/>
        </w:rPr>
        <w:t>VIH/SIDA</w:t>
      </w:r>
      <w:r w:rsidRPr="00DB15BF">
        <w:rPr>
          <w:rFonts w:ascii="Arial" w:hAnsi="Arial" w:cs="Arial"/>
          <w:sz w:val="22"/>
          <w:szCs w:val="22"/>
          <w:lang w:val="fr-FR"/>
        </w:rPr>
        <w:t>. https://www.ohchr.org/Documents/Issues/Women/WRGS/SexualHealth/INFO_HIV_WEB_SP.pdf</w:t>
      </w:r>
    </w:p>
    <w:p w14:paraId="37CED0A5" w14:textId="77777777" w:rsidR="00DB15BF" w:rsidRPr="00DB15BF" w:rsidRDefault="00DB15BF" w:rsidP="00DB15BF">
      <w:pPr>
        <w:pStyle w:val="FootnoteText"/>
        <w:rPr>
          <w:rFonts w:ascii="Arial" w:hAnsi="Arial" w:cs="Arial"/>
          <w:sz w:val="22"/>
          <w:szCs w:val="22"/>
          <w:lang w:val="es-419"/>
        </w:rPr>
      </w:pPr>
      <w:r w:rsidRPr="00DB15BF">
        <w:rPr>
          <w:rFonts w:ascii="Arial" w:hAnsi="Arial" w:cs="Arial"/>
          <w:sz w:val="22"/>
          <w:szCs w:val="22"/>
          <w:lang w:val="es-DO"/>
        </w:rPr>
        <w:t xml:space="preserve">Oficina de Alto Comisionado de las Naciones Unidas para los Derechos Humanos. (2017). </w:t>
      </w:r>
      <w:r w:rsidRPr="00DB15BF">
        <w:rPr>
          <w:rFonts w:ascii="Arial" w:hAnsi="Arial" w:cs="Arial"/>
          <w:i/>
          <w:sz w:val="22"/>
          <w:szCs w:val="22"/>
          <w:lang w:val="es-419"/>
        </w:rPr>
        <w:t>Informe anual del Alto Comisionado de las Naciones Unidas para los Derechos Humanos sobre la situación de los derechos humanos en Honduras.</w:t>
      </w:r>
      <w:r w:rsidRPr="00DB15BF">
        <w:rPr>
          <w:rFonts w:ascii="Arial" w:hAnsi="Arial" w:cs="Arial"/>
          <w:sz w:val="22"/>
          <w:szCs w:val="22"/>
          <w:lang w:val="es-419"/>
        </w:rPr>
        <w:t xml:space="preserve"> </w:t>
      </w:r>
      <w:hyperlink r:id="rId39" w:history="1">
        <w:r w:rsidRPr="00DB15BF">
          <w:rPr>
            <w:rStyle w:val="Hyperlink"/>
            <w:rFonts w:ascii="Arial" w:hAnsi="Arial" w:cs="Arial"/>
            <w:sz w:val="22"/>
            <w:szCs w:val="22"/>
            <w:lang w:val="es-419"/>
          </w:rPr>
          <w:t>https://www.refworld.org.es/pdfid/5afca8974.pdf</w:t>
        </w:r>
      </w:hyperlink>
    </w:p>
    <w:p w14:paraId="14272EA6" w14:textId="77777777" w:rsidR="00DB15BF" w:rsidRPr="00DB15BF" w:rsidRDefault="00DB15BF" w:rsidP="00DB15BF">
      <w:pPr>
        <w:pStyle w:val="FootnoteText"/>
        <w:rPr>
          <w:rFonts w:ascii="Arial" w:hAnsi="Arial" w:cs="Arial"/>
          <w:sz w:val="22"/>
          <w:szCs w:val="22"/>
          <w:lang w:val="es-419"/>
        </w:rPr>
      </w:pPr>
    </w:p>
    <w:p w14:paraId="31BA5D40" w14:textId="1985E10F" w:rsidR="00003AF6" w:rsidRPr="00980FA1" w:rsidRDefault="00003AF6" w:rsidP="00DB15BF">
      <w:pPr>
        <w:rPr>
          <w:rFonts w:ascii="Arial" w:hAnsi="Arial" w:cs="Arial"/>
          <w:lang w:val="es-MX"/>
        </w:rPr>
      </w:pPr>
      <w:r w:rsidRPr="00003AF6">
        <w:rPr>
          <w:rFonts w:ascii="Arial" w:hAnsi="Arial" w:cs="Arial"/>
          <w:lang w:val="es-MX"/>
        </w:rPr>
        <w:t xml:space="preserve">Organización Mundial de la Salud (2015). </w:t>
      </w:r>
      <w:r w:rsidRPr="00980FA1">
        <w:rPr>
          <w:rFonts w:ascii="Arial" w:hAnsi="Arial" w:cs="Arial"/>
          <w:lang w:val="es-MX"/>
        </w:rPr>
        <w:t>Informe Global Aids Response Progress Reporting (GARPR) 2015.</w:t>
      </w:r>
    </w:p>
    <w:p w14:paraId="3E354E94" w14:textId="2247A60F" w:rsidR="00DB15BF" w:rsidRPr="00DB15BF" w:rsidRDefault="00DB15BF" w:rsidP="00DB15BF">
      <w:pPr>
        <w:rPr>
          <w:rFonts w:ascii="Arial" w:hAnsi="Arial" w:cs="Arial"/>
          <w:lang w:val="es-MX"/>
        </w:rPr>
      </w:pPr>
      <w:r w:rsidRPr="00DB15BF">
        <w:rPr>
          <w:rFonts w:ascii="Arial" w:hAnsi="Arial" w:cs="Arial"/>
          <w:lang w:val="es-MX"/>
        </w:rPr>
        <w:t xml:space="preserve">ONUSIDA. (2013). </w:t>
      </w:r>
      <w:r w:rsidRPr="00DB15BF">
        <w:rPr>
          <w:rFonts w:ascii="Arial" w:hAnsi="Arial" w:cs="Arial"/>
          <w:i/>
          <w:lang w:val="es-MX"/>
        </w:rPr>
        <w:t>Caso de Inversión, Honduras</w:t>
      </w:r>
      <w:r w:rsidRPr="00DB15BF">
        <w:rPr>
          <w:rFonts w:ascii="Arial" w:hAnsi="Arial" w:cs="Arial"/>
          <w:lang w:val="es-MX"/>
        </w:rPr>
        <w:t xml:space="preserve">. </w:t>
      </w:r>
    </w:p>
    <w:p w14:paraId="1E14470E" w14:textId="77777777" w:rsidR="00DB15BF" w:rsidRPr="00DB15BF" w:rsidRDefault="00DB15BF" w:rsidP="00DB15BF">
      <w:pPr>
        <w:rPr>
          <w:rFonts w:ascii="Arial" w:hAnsi="Arial" w:cs="Arial"/>
        </w:rPr>
      </w:pPr>
      <w:r w:rsidRPr="00DB15BF">
        <w:rPr>
          <w:rFonts w:ascii="Arial" w:hAnsi="Arial" w:cs="Arial"/>
        </w:rPr>
        <w:t>ONUSIDA. (2017). Ending AIDS: Progress Towards the 90-90-90 Targets. http://www.unaids.org/sites/default/files/media_asset/Global_AIDS_update_2017_en.pdf</w:t>
      </w:r>
    </w:p>
    <w:p w14:paraId="0AF69BE9" w14:textId="77777777" w:rsidR="00DB15BF" w:rsidRPr="00DB15BF" w:rsidRDefault="00DB15BF" w:rsidP="00DB15BF">
      <w:pPr>
        <w:rPr>
          <w:rFonts w:ascii="Arial" w:hAnsi="Arial" w:cs="Arial"/>
          <w:lang w:val="es-419"/>
        </w:rPr>
      </w:pPr>
      <w:r w:rsidRPr="00DB15BF">
        <w:rPr>
          <w:rFonts w:ascii="Arial" w:hAnsi="Arial" w:cs="Arial"/>
          <w:lang w:val="es-419"/>
        </w:rPr>
        <w:t xml:space="preserve">ONUSIDA. (2013). </w:t>
      </w:r>
      <w:r w:rsidRPr="00DB15BF">
        <w:rPr>
          <w:rFonts w:ascii="Arial" w:hAnsi="Arial" w:cs="Arial"/>
          <w:i/>
          <w:lang w:val="es-419"/>
        </w:rPr>
        <w:t>Evaluación de PENSIDA III.</w:t>
      </w:r>
      <w:r w:rsidRPr="00DB15BF">
        <w:rPr>
          <w:rFonts w:ascii="Arial" w:hAnsi="Arial" w:cs="Arial"/>
          <w:lang w:val="es-419"/>
        </w:rPr>
        <w:t xml:space="preserve"> https://issuu.com/lisamariesheran/docs/pensida_final</w:t>
      </w:r>
    </w:p>
    <w:p w14:paraId="31C7F97C" w14:textId="77777777" w:rsidR="00DB15BF" w:rsidRPr="00DB15BF" w:rsidRDefault="00DB15BF" w:rsidP="00DB15BF">
      <w:pPr>
        <w:rPr>
          <w:rFonts w:ascii="Arial" w:hAnsi="Arial" w:cs="Arial"/>
          <w:lang w:val="es-419"/>
        </w:rPr>
      </w:pPr>
      <w:r w:rsidRPr="00DB15BF">
        <w:rPr>
          <w:rFonts w:ascii="Arial" w:hAnsi="Arial" w:cs="Arial"/>
          <w:lang w:val="es-419"/>
        </w:rPr>
        <w:t xml:space="preserve">ONUSIDA. (2017). </w:t>
      </w:r>
      <w:r w:rsidRPr="00DB15BF">
        <w:rPr>
          <w:rFonts w:ascii="Arial" w:hAnsi="Arial" w:cs="Arial"/>
          <w:i/>
          <w:lang w:val="es-419"/>
        </w:rPr>
        <w:t>Honduras Reporte</w:t>
      </w:r>
      <w:r w:rsidRPr="00DB15BF">
        <w:rPr>
          <w:rFonts w:ascii="Arial" w:hAnsi="Arial" w:cs="Arial"/>
          <w:lang w:val="es-419"/>
        </w:rPr>
        <w:t xml:space="preserve">. </w:t>
      </w:r>
    </w:p>
    <w:p w14:paraId="5FBADA98" w14:textId="77777777" w:rsidR="00DB15BF" w:rsidRPr="00DB15BF" w:rsidRDefault="00DB15BF" w:rsidP="00DB15BF">
      <w:pPr>
        <w:rPr>
          <w:rFonts w:ascii="Arial" w:hAnsi="Arial" w:cs="Arial"/>
          <w:lang w:val="es-MX"/>
        </w:rPr>
      </w:pPr>
      <w:r w:rsidRPr="00DB15BF">
        <w:rPr>
          <w:rFonts w:ascii="Arial" w:hAnsi="Arial" w:cs="Arial"/>
          <w:lang w:val="es-MX"/>
        </w:rPr>
        <w:t xml:space="preserve">ONUSIDA. (2017). Honduras Factsheet. </w:t>
      </w:r>
    </w:p>
    <w:p w14:paraId="1E60DD2D" w14:textId="77777777" w:rsidR="00DB15BF" w:rsidRPr="00DB15BF" w:rsidRDefault="00DB15BF" w:rsidP="00DB15BF">
      <w:pPr>
        <w:rPr>
          <w:rFonts w:ascii="Arial" w:hAnsi="Arial" w:cs="Arial"/>
          <w:bCs/>
          <w:lang w:val="es-419"/>
        </w:rPr>
      </w:pPr>
      <w:r w:rsidRPr="00DB15BF">
        <w:rPr>
          <w:rFonts w:ascii="Arial" w:hAnsi="Arial" w:cs="Arial"/>
          <w:lang w:val="es-DO"/>
        </w:rPr>
        <w:t>OPS, Honduras.</w:t>
      </w:r>
      <w:r w:rsidRPr="00DB15BF">
        <w:rPr>
          <w:rFonts w:ascii="Arial" w:hAnsi="Arial" w:cs="Arial"/>
          <w:i/>
          <w:lang w:val="es-DO"/>
        </w:rPr>
        <w:t xml:space="preserve"> </w:t>
      </w:r>
      <w:r w:rsidRPr="00DB15BF">
        <w:rPr>
          <w:rFonts w:ascii="Arial" w:hAnsi="Arial" w:cs="Arial"/>
          <w:bCs/>
          <w:i/>
          <w:lang w:val="es-419"/>
        </w:rPr>
        <w:t xml:space="preserve">Panel de expertos revisa y actualiza la Lista Nacional de Medicamentos. </w:t>
      </w:r>
      <w:r w:rsidRPr="00DB15BF">
        <w:rPr>
          <w:rFonts w:ascii="Arial" w:hAnsi="Arial" w:cs="Arial"/>
          <w:bCs/>
          <w:lang w:val="es-419"/>
        </w:rPr>
        <w:t>https://www.paho.org/hon/index.php?option=com_content&amp;view=article&amp;id=1095:medicamentos-esenciales&amp;Itemid=226</w:t>
      </w:r>
    </w:p>
    <w:p w14:paraId="0511C6AA" w14:textId="52BAD8EA" w:rsidR="00DB15BF" w:rsidRDefault="00DB15BF" w:rsidP="00DB15BF">
      <w:pPr>
        <w:rPr>
          <w:rFonts w:ascii="Arial" w:hAnsi="Arial" w:cs="Arial"/>
          <w:lang w:val="es-DO"/>
        </w:rPr>
      </w:pPr>
      <w:r w:rsidRPr="00DB15BF">
        <w:rPr>
          <w:rFonts w:ascii="Arial" w:hAnsi="Arial" w:cs="Arial"/>
          <w:lang w:val="es-DO"/>
        </w:rPr>
        <w:t xml:space="preserve">Organización Panamericana de la Salud/Organización Mundial de la Salud (OPS/OMS). (2009). </w:t>
      </w:r>
      <w:r w:rsidRPr="00DB15BF">
        <w:rPr>
          <w:rFonts w:ascii="Arial" w:hAnsi="Arial" w:cs="Arial"/>
          <w:i/>
          <w:lang w:val="es-DO"/>
        </w:rPr>
        <w:t>Perfil de los sistemas de salud Honduras. Monitoreo y análisis de los procesos de cambio y reforma</w:t>
      </w:r>
      <w:r w:rsidRPr="00DB15BF">
        <w:rPr>
          <w:rFonts w:ascii="Arial" w:hAnsi="Arial" w:cs="Arial"/>
          <w:lang w:val="es-DO"/>
        </w:rPr>
        <w:t>. Washington, DC.</w:t>
      </w:r>
    </w:p>
    <w:p w14:paraId="6520755A" w14:textId="681761F0" w:rsidR="005C2BF7" w:rsidRDefault="005C2BF7" w:rsidP="005C2BF7">
      <w:pPr>
        <w:pStyle w:val="FootnoteText"/>
        <w:rPr>
          <w:rFonts w:ascii="Arial" w:hAnsi="Arial" w:cs="Arial"/>
          <w:sz w:val="22"/>
          <w:szCs w:val="22"/>
          <w:lang w:val="es-DO"/>
        </w:rPr>
      </w:pPr>
      <w:r w:rsidRPr="00A31555">
        <w:rPr>
          <w:rFonts w:ascii="Arial" w:hAnsi="Arial" w:cs="Arial"/>
          <w:sz w:val="22"/>
          <w:szCs w:val="22"/>
          <w:lang w:val="es-DO"/>
        </w:rPr>
        <w:t>Organización Panamericana de la Salud/Organización Mundial de la Salud (OPS/OMS)</w:t>
      </w:r>
      <w:r>
        <w:rPr>
          <w:rFonts w:ascii="Arial" w:hAnsi="Arial" w:cs="Arial"/>
          <w:sz w:val="22"/>
          <w:szCs w:val="22"/>
          <w:lang w:val="es-DO"/>
        </w:rPr>
        <w:t xml:space="preserve">. (2018). </w:t>
      </w:r>
      <w:r w:rsidRPr="000631E5">
        <w:rPr>
          <w:rFonts w:ascii="Arial" w:hAnsi="Arial" w:cs="Arial"/>
          <w:i/>
          <w:sz w:val="22"/>
          <w:szCs w:val="22"/>
          <w:lang w:val="es-DO"/>
        </w:rPr>
        <w:t>Tuberculosis en las Américas 2018</w:t>
      </w:r>
      <w:r>
        <w:rPr>
          <w:rFonts w:ascii="Arial" w:hAnsi="Arial" w:cs="Arial"/>
          <w:sz w:val="22"/>
          <w:szCs w:val="22"/>
          <w:lang w:val="es-DO"/>
        </w:rPr>
        <w:t>.</w:t>
      </w:r>
    </w:p>
    <w:p w14:paraId="64152554" w14:textId="77777777" w:rsidR="005C2BF7" w:rsidRPr="005C2BF7" w:rsidRDefault="005C2BF7" w:rsidP="00C036E9">
      <w:pPr>
        <w:pStyle w:val="FootnoteText"/>
        <w:rPr>
          <w:rFonts w:ascii="Arial" w:hAnsi="Arial" w:cs="Arial"/>
          <w:lang w:val="es-DO"/>
        </w:rPr>
      </w:pPr>
    </w:p>
    <w:p w14:paraId="5C80C309" w14:textId="77777777" w:rsidR="00592AEF" w:rsidRPr="00C407E5" w:rsidRDefault="00592AEF" w:rsidP="00592AEF">
      <w:pPr>
        <w:pStyle w:val="FootnoteText"/>
        <w:rPr>
          <w:rFonts w:ascii="Arial" w:hAnsi="Arial" w:cs="Arial"/>
          <w:i/>
          <w:sz w:val="22"/>
          <w:szCs w:val="22"/>
          <w:lang w:val="es-419"/>
        </w:rPr>
      </w:pPr>
      <w:r w:rsidRPr="00B44C74">
        <w:rPr>
          <w:rFonts w:ascii="Arial" w:hAnsi="Arial" w:cs="Arial"/>
          <w:sz w:val="22"/>
          <w:szCs w:val="22"/>
          <w:lang w:val="es-DO"/>
        </w:rPr>
        <w:t xml:space="preserve">PEPFAR. (2017). </w:t>
      </w:r>
      <w:r w:rsidRPr="00B44C74">
        <w:rPr>
          <w:rFonts w:ascii="Arial" w:hAnsi="Arial" w:cs="Arial"/>
          <w:i/>
          <w:sz w:val="22"/>
          <w:szCs w:val="22"/>
          <w:lang w:val="es-DO"/>
        </w:rPr>
        <w:t xml:space="preserve">Central America 2017 Regional Operational Plan (ROP) and Strategic Direction Summary. </w:t>
      </w:r>
      <w:hyperlink r:id="rId40" w:history="1">
        <w:r w:rsidRPr="00371CB4">
          <w:rPr>
            <w:rStyle w:val="Hyperlink"/>
            <w:rFonts w:ascii="Arial" w:hAnsi="Arial" w:cs="Arial"/>
            <w:sz w:val="22"/>
            <w:szCs w:val="22"/>
            <w:lang w:val="es-419"/>
          </w:rPr>
          <w:t>https://www.pepfar.gov/documents/organization/285842.pdf</w:t>
        </w:r>
      </w:hyperlink>
    </w:p>
    <w:p w14:paraId="5BEE3554" w14:textId="77777777" w:rsidR="00592AEF" w:rsidRDefault="00592AEF" w:rsidP="00DB15BF">
      <w:pPr>
        <w:pStyle w:val="FootnoteText"/>
        <w:rPr>
          <w:rFonts w:ascii="Arial" w:hAnsi="Arial" w:cs="Arial"/>
          <w:sz w:val="22"/>
          <w:szCs w:val="22"/>
          <w:lang w:val="es-419"/>
        </w:rPr>
      </w:pPr>
    </w:p>
    <w:p w14:paraId="15FF2DE5" w14:textId="770A29B0" w:rsidR="00DB15BF" w:rsidRPr="00DB15BF" w:rsidRDefault="00DB15BF" w:rsidP="00DB15BF">
      <w:pPr>
        <w:pStyle w:val="FootnoteText"/>
        <w:rPr>
          <w:rFonts w:ascii="Arial" w:hAnsi="Arial" w:cs="Arial"/>
          <w:sz w:val="22"/>
          <w:szCs w:val="22"/>
          <w:lang w:val="es-419"/>
        </w:rPr>
      </w:pPr>
      <w:r w:rsidRPr="00DB15BF">
        <w:rPr>
          <w:rFonts w:ascii="Arial" w:hAnsi="Arial" w:cs="Arial"/>
          <w:sz w:val="22"/>
          <w:szCs w:val="22"/>
          <w:lang w:val="es-419"/>
        </w:rPr>
        <w:t xml:space="preserve">PEPFAR. (2012). </w:t>
      </w:r>
      <w:r w:rsidRPr="00DB15BF">
        <w:rPr>
          <w:rFonts w:ascii="Arial" w:hAnsi="Arial" w:cs="Arial"/>
          <w:i/>
          <w:sz w:val="22"/>
          <w:szCs w:val="22"/>
          <w:lang w:val="es-419"/>
        </w:rPr>
        <w:t>Encuesta Centroamericana de Vigilancia de Comportamiento Sexual y Prevalencias de VIH/ITS en poblaciones clave en Honduras, 2012 (ECVC).</w:t>
      </w:r>
      <w:r w:rsidRPr="00DB15BF">
        <w:rPr>
          <w:rFonts w:ascii="Arial" w:hAnsi="Arial" w:cs="Arial"/>
          <w:sz w:val="22"/>
          <w:szCs w:val="22"/>
          <w:lang w:val="es-419"/>
        </w:rPr>
        <w:t xml:space="preserve"> http://www.aidsinfoonline.org/kpatlas/document/HND/HND_2012_Results_Summary_PSE_FSW_MSM_TG.pdf</w:t>
      </w:r>
    </w:p>
    <w:p w14:paraId="79905E43" w14:textId="77777777" w:rsidR="00DB15BF" w:rsidRPr="00DB15BF" w:rsidRDefault="00DB15BF" w:rsidP="00DB15BF">
      <w:pPr>
        <w:pStyle w:val="FootnoteText"/>
        <w:rPr>
          <w:rFonts w:ascii="Arial" w:hAnsi="Arial" w:cs="Arial"/>
          <w:sz w:val="22"/>
          <w:szCs w:val="22"/>
          <w:lang w:val="es-419"/>
        </w:rPr>
      </w:pPr>
    </w:p>
    <w:p w14:paraId="327D39C2" w14:textId="77777777" w:rsidR="00DB15BF" w:rsidRPr="00371CB4" w:rsidRDefault="00DB15BF" w:rsidP="00DB15BF">
      <w:pPr>
        <w:pStyle w:val="FootnoteText"/>
        <w:rPr>
          <w:rFonts w:ascii="Arial" w:hAnsi="Arial" w:cs="Arial"/>
          <w:sz w:val="22"/>
          <w:szCs w:val="22"/>
        </w:rPr>
      </w:pPr>
      <w:r w:rsidRPr="00DB15BF">
        <w:rPr>
          <w:rFonts w:ascii="Arial" w:hAnsi="Arial" w:cs="Arial"/>
          <w:sz w:val="22"/>
          <w:szCs w:val="22"/>
          <w:lang w:val="es-419"/>
        </w:rPr>
        <w:t xml:space="preserve">Proceso Digital. (2018). </w:t>
      </w:r>
      <w:r w:rsidRPr="00DB15BF">
        <w:rPr>
          <w:rFonts w:ascii="Arial" w:hAnsi="Arial" w:cs="Arial"/>
          <w:i/>
          <w:sz w:val="22"/>
          <w:szCs w:val="22"/>
          <w:lang w:val="es-419"/>
        </w:rPr>
        <w:t>Impuesto al alcohol genera polémica en Honduras.</w:t>
      </w:r>
      <w:r w:rsidRPr="00DB15BF">
        <w:rPr>
          <w:rFonts w:ascii="Arial" w:hAnsi="Arial" w:cs="Arial"/>
          <w:sz w:val="22"/>
          <w:szCs w:val="22"/>
          <w:lang w:val="es-419"/>
        </w:rPr>
        <w:t xml:space="preserve"> </w:t>
      </w:r>
      <w:hyperlink r:id="rId41" w:history="1">
        <w:r w:rsidRPr="00371CB4">
          <w:rPr>
            <w:rStyle w:val="Hyperlink"/>
            <w:rFonts w:ascii="Arial" w:hAnsi="Arial" w:cs="Arial"/>
            <w:sz w:val="22"/>
            <w:szCs w:val="22"/>
          </w:rPr>
          <w:t>http://proceso.hn/nacionales/9-nacionales/impuesto-al-alcohol-genera-polemica-en-honduras.html</w:t>
        </w:r>
      </w:hyperlink>
    </w:p>
    <w:p w14:paraId="091DA66A" w14:textId="77777777" w:rsidR="00DB15BF" w:rsidRPr="00371CB4" w:rsidRDefault="00DB15BF" w:rsidP="00DB15BF">
      <w:pPr>
        <w:pStyle w:val="FootnoteText"/>
        <w:rPr>
          <w:rFonts w:ascii="Arial" w:hAnsi="Arial" w:cs="Arial"/>
          <w:sz w:val="22"/>
          <w:szCs w:val="22"/>
        </w:rPr>
      </w:pPr>
    </w:p>
    <w:p w14:paraId="514B6C02" w14:textId="79A96489" w:rsidR="0089220E" w:rsidRPr="00C036E9" w:rsidRDefault="0089220E" w:rsidP="00DB15BF">
      <w:pPr>
        <w:pStyle w:val="FootnoteText"/>
        <w:rPr>
          <w:rFonts w:ascii="Arial" w:hAnsi="Arial" w:cs="Arial"/>
          <w:sz w:val="22"/>
          <w:szCs w:val="22"/>
          <w:lang w:val="es-DO"/>
        </w:rPr>
      </w:pPr>
      <w:bookmarkStart w:id="144" w:name="_Hlk535424620"/>
      <w:r w:rsidRPr="00C036E9">
        <w:rPr>
          <w:rFonts w:ascii="Arial" w:hAnsi="Arial" w:cs="Arial"/>
          <w:sz w:val="22"/>
          <w:szCs w:val="22"/>
          <w:lang w:val="es-DO"/>
        </w:rPr>
        <w:t xml:space="preserve">Programa de las Naciones Unidas para el Desarrollo. (2015). </w:t>
      </w:r>
      <w:r w:rsidRPr="00C036E9">
        <w:rPr>
          <w:rFonts w:ascii="Arial" w:hAnsi="Arial" w:cs="Arial"/>
          <w:i/>
          <w:sz w:val="22"/>
          <w:szCs w:val="22"/>
          <w:lang w:val="es-DO"/>
        </w:rPr>
        <w:t>Índice sobre Desarrollo Humano 2015</w:t>
      </w:r>
      <w:r w:rsidRPr="00C036E9">
        <w:rPr>
          <w:rFonts w:ascii="Arial" w:hAnsi="Arial" w:cs="Arial"/>
          <w:sz w:val="22"/>
          <w:szCs w:val="22"/>
          <w:lang w:val="es-DO"/>
        </w:rPr>
        <w:t>.</w:t>
      </w:r>
    </w:p>
    <w:bookmarkEnd w:id="144"/>
    <w:p w14:paraId="7282C830" w14:textId="77777777" w:rsidR="0089220E" w:rsidRDefault="0089220E" w:rsidP="00DB15BF">
      <w:pPr>
        <w:pStyle w:val="FootnoteText"/>
        <w:rPr>
          <w:rFonts w:ascii="Arial" w:hAnsi="Arial" w:cs="Arial"/>
          <w:sz w:val="22"/>
          <w:szCs w:val="22"/>
          <w:lang w:val="es-419"/>
        </w:rPr>
      </w:pPr>
    </w:p>
    <w:p w14:paraId="5185E94D" w14:textId="3C02C4FA" w:rsidR="00DB15BF" w:rsidRPr="00DB15BF" w:rsidRDefault="00DB15BF" w:rsidP="00DB15BF">
      <w:pPr>
        <w:pStyle w:val="FootnoteText"/>
        <w:rPr>
          <w:rFonts w:ascii="Arial" w:hAnsi="Arial" w:cs="Arial"/>
          <w:sz w:val="22"/>
          <w:szCs w:val="22"/>
          <w:lang w:val="es-DO"/>
        </w:rPr>
      </w:pPr>
      <w:r w:rsidRPr="00DB15BF">
        <w:rPr>
          <w:rFonts w:ascii="Arial" w:hAnsi="Arial" w:cs="Arial"/>
          <w:sz w:val="22"/>
          <w:szCs w:val="22"/>
          <w:lang w:val="es-419"/>
        </w:rPr>
        <w:t xml:space="preserve">Programa Impactos. </w:t>
      </w:r>
      <w:r w:rsidRPr="00DB15BF">
        <w:rPr>
          <w:rFonts w:ascii="Arial" w:hAnsi="Arial" w:cs="Arial"/>
          <w:sz w:val="22"/>
          <w:szCs w:val="22"/>
          <w:lang w:val="es-DO"/>
        </w:rPr>
        <w:t xml:space="preserve">(2013). </w:t>
      </w:r>
      <w:r w:rsidRPr="00DB15BF">
        <w:rPr>
          <w:rFonts w:ascii="Arial" w:hAnsi="Arial" w:cs="Arial"/>
          <w:i/>
          <w:sz w:val="22"/>
          <w:szCs w:val="22"/>
          <w:lang w:val="es-DO"/>
        </w:rPr>
        <w:t>Proyecto Investigación sobre la capacidad de gestión y eficiencia de las Fiscalía Especial de Derechos Humanos</w:t>
      </w:r>
      <w:r w:rsidRPr="00DB15BF">
        <w:rPr>
          <w:rFonts w:ascii="Arial" w:hAnsi="Arial" w:cs="Arial"/>
          <w:sz w:val="22"/>
          <w:szCs w:val="22"/>
          <w:lang w:val="es-DO"/>
        </w:rPr>
        <w:t>. http://programaimpactos.org/toolkit/documentos_creados_por_OSCs/CPRG/Inv.%20%20Capacidad%20de%20Gestion%20y%20Eficiencia%20%20Fiscalia%20Especial%20de%20DDHH.pdf</w:t>
      </w:r>
    </w:p>
    <w:p w14:paraId="1954230A" w14:textId="77777777" w:rsidR="00DB15BF" w:rsidRPr="00DB15BF" w:rsidRDefault="00DB15BF" w:rsidP="00DB15BF">
      <w:pPr>
        <w:pStyle w:val="FootnoteText"/>
        <w:rPr>
          <w:rFonts w:ascii="Arial" w:hAnsi="Arial" w:cs="Arial"/>
          <w:sz w:val="22"/>
          <w:szCs w:val="22"/>
          <w:lang w:val="es-DO"/>
        </w:rPr>
      </w:pPr>
    </w:p>
    <w:p w14:paraId="482AB714" w14:textId="5EA3EBBB" w:rsidR="00265F66" w:rsidRPr="00B44C74" w:rsidRDefault="00DB15BF" w:rsidP="00DB15BF">
      <w:pPr>
        <w:pStyle w:val="FootnoteText"/>
        <w:rPr>
          <w:rStyle w:val="Hyperlink"/>
          <w:rFonts w:ascii="Arial" w:hAnsi="Arial" w:cs="Arial"/>
          <w:sz w:val="22"/>
          <w:szCs w:val="22"/>
        </w:rPr>
      </w:pPr>
      <w:r w:rsidRPr="00DB15BF">
        <w:rPr>
          <w:rFonts w:ascii="Arial" w:eastAsia="Times New Roman" w:hAnsi="Arial" w:cs="Arial"/>
          <w:sz w:val="22"/>
          <w:szCs w:val="22"/>
          <w:lang w:val="es-ES"/>
        </w:rPr>
        <w:lastRenderedPageBreak/>
        <w:t xml:space="preserve">Red de Trabajadoras Sexuales de América Latina y el Caribe (REDTRASEX), Akahatá - Equipo de trabajo en sexualidades y géneros, Heartland Alliance for Human Needs &amp; Human Rights. (2017). </w:t>
      </w:r>
      <w:r w:rsidRPr="00DB15BF">
        <w:rPr>
          <w:rFonts w:ascii="Arial" w:eastAsia="Times New Roman" w:hAnsi="Arial" w:cs="Arial"/>
          <w:i/>
          <w:sz w:val="22"/>
          <w:szCs w:val="22"/>
          <w:lang w:val="es-ES"/>
        </w:rPr>
        <w:t>Situación de los Derechos Humanos de las Trabajadoras Sexuales en Honduras,</w:t>
      </w:r>
      <w:r w:rsidRPr="00DB15BF">
        <w:rPr>
          <w:rFonts w:ascii="Arial" w:eastAsia="Times New Roman" w:hAnsi="Arial" w:cs="Arial"/>
          <w:sz w:val="22"/>
          <w:szCs w:val="22"/>
          <w:lang w:val="es-ES"/>
        </w:rPr>
        <w:t xml:space="preserve"> </w:t>
      </w:r>
      <w:r w:rsidRPr="00DB15BF">
        <w:rPr>
          <w:rFonts w:ascii="Arial" w:eastAsia="Times New Roman" w:hAnsi="Arial" w:cs="Arial"/>
          <w:i/>
          <w:sz w:val="22"/>
          <w:szCs w:val="22"/>
          <w:lang w:val="es-ES"/>
        </w:rPr>
        <w:t xml:space="preserve">Información adicional presentada al Grupo de Trabajo Comité de Derechos Humanos. </w:t>
      </w:r>
      <w:hyperlink r:id="rId42" w:history="1">
        <w:r w:rsidRPr="00371CB4">
          <w:rPr>
            <w:rStyle w:val="Hyperlink"/>
            <w:rFonts w:ascii="Arial" w:hAnsi="Arial" w:cs="Arial"/>
            <w:sz w:val="22"/>
            <w:szCs w:val="22"/>
          </w:rPr>
          <w:t>https://tbinternet.ohchr.org/Treaties/CCPR/Shared%20Documents/HND/INT_CCPR_CSS_HND_27561_S.pdf</w:t>
        </w:r>
      </w:hyperlink>
    </w:p>
    <w:p w14:paraId="51975866" w14:textId="77777777" w:rsidR="00371CB4" w:rsidRPr="00371CB4" w:rsidRDefault="00371CB4" w:rsidP="00DB15BF">
      <w:pPr>
        <w:pStyle w:val="FootnoteText"/>
        <w:rPr>
          <w:rFonts w:ascii="Arial" w:hAnsi="Arial" w:cs="Arial"/>
          <w:sz w:val="22"/>
          <w:szCs w:val="22"/>
        </w:rPr>
      </w:pPr>
    </w:p>
    <w:p w14:paraId="719F8AED" w14:textId="77777777" w:rsidR="00265F66" w:rsidRPr="00C036E9" w:rsidRDefault="00265F66" w:rsidP="00DB15BF">
      <w:pPr>
        <w:pStyle w:val="FootnoteText"/>
        <w:rPr>
          <w:rFonts w:ascii="Arial" w:hAnsi="Arial" w:cs="Arial"/>
          <w:sz w:val="22"/>
          <w:szCs w:val="22"/>
          <w:lang w:val="es-MX"/>
        </w:rPr>
      </w:pPr>
      <w:r w:rsidRPr="00C036E9">
        <w:rPr>
          <w:rFonts w:ascii="Arial" w:hAnsi="Arial" w:cs="Arial"/>
          <w:sz w:val="22"/>
          <w:szCs w:val="22"/>
        </w:rPr>
        <w:t xml:space="preserve">Roberts, M. J., Berman, P., Hsiao, W. (2008). Getting Health Reform Right: A Guide to Improving Performance and Equity. </w:t>
      </w:r>
      <w:r w:rsidRPr="00C036E9">
        <w:rPr>
          <w:rFonts w:ascii="Arial" w:hAnsi="Arial" w:cs="Arial"/>
          <w:sz w:val="22"/>
          <w:szCs w:val="22"/>
          <w:lang w:val="es-MX"/>
        </w:rPr>
        <w:t>Oxford University Press (1716).</w:t>
      </w:r>
    </w:p>
    <w:p w14:paraId="2053D950" w14:textId="77777777" w:rsidR="00265F66" w:rsidRDefault="00265F66" w:rsidP="00DB15BF">
      <w:pPr>
        <w:pStyle w:val="FootnoteText"/>
        <w:rPr>
          <w:rFonts w:ascii="Arial" w:hAnsi="Arial" w:cs="Arial"/>
          <w:sz w:val="22"/>
          <w:szCs w:val="22"/>
          <w:lang w:val="es-MX"/>
        </w:rPr>
      </w:pPr>
    </w:p>
    <w:p w14:paraId="1147F77B" w14:textId="0D54B050" w:rsidR="00B65D4E" w:rsidRDefault="00536E76" w:rsidP="00DB15BF">
      <w:pPr>
        <w:pStyle w:val="FootnoteText"/>
        <w:rPr>
          <w:rFonts w:ascii="Arial" w:hAnsi="Arial" w:cs="Arial"/>
          <w:sz w:val="22"/>
          <w:szCs w:val="22"/>
          <w:lang w:val="es-DO"/>
        </w:rPr>
      </w:pPr>
      <w:r w:rsidRPr="009C2266">
        <w:rPr>
          <w:rFonts w:ascii="Arial" w:hAnsi="Arial" w:cs="Arial"/>
          <w:sz w:val="22"/>
          <w:szCs w:val="22"/>
          <w:lang w:val="es-DO"/>
        </w:rPr>
        <w:t>Secretaría</w:t>
      </w:r>
      <w:r>
        <w:rPr>
          <w:rFonts w:ascii="Arial" w:hAnsi="Arial" w:cs="Arial"/>
          <w:sz w:val="22"/>
          <w:szCs w:val="22"/>
          <w:lang w:val="es-DO"/>
        </w:rPr>
        <w:t xml:space="preserve"> </w:t>
      </w:r>
      <w:r w:rsidR="00DB15BF" w:rsidRPr="00DB15BF">
        <w:rPr>
          <w:rFonts w:ascii="Arial" w:hAnsi="Arial" w:cs="Arial"/>
          <w:sz w:val="22"/>
          <w:szCs w:val="22"/>
          <w:lang w:val="es-DO"/>
        </w:rPr>
        <w:t xml:space="preserve">de Coordinación General de Gobierno. (2017) Decretos y Acuerdos Ejecutivos, septiembre 2017. </w:t>
      </w:r>
      <w:r w:rsidR="00DB15BF" w:rsidRPr="00DB15BF">
        <w:rPr>
          <w:rFonts w:ascii="Arial" w:hAnsi="Arial" w:cs="Arial"/>
          <w:i/>
          <w:sz w:val="22"/>
          <w:szCs w:val="22"/>
          <w:lang w:val="es-DO"/>
        </w:rPr>
        <w:t>Decreto PCM-055-2017, articulo 2</w:t>
      </w:r>
      <w:r w:rsidR="00DB15BF" w:rsidRPr="00DB15BF">
        <w:rPr>
          <w:rFonts w:ascii="Arial" w:hAnsi="Arial" w:cs="Arial"/>
          <w:sz w:val="22"/>
          <w:szCs w:val="22"/>
          <w:lang w:val="es-DO"/>
        </w:rPr>
        <w:t>.</w:t>
      </w:r>
    </w:p>
    <w:p w14:paraId="5B750721" w14:textId="77777777" w:rsidR="00536E76" w:rsidRPr="00C639B0" w:rsidRDefault="00536E76" w:rsidP="00536E76">
      <w:pPr>
        <w:pStyle w:val="FootnoteText"/>
        <w:rPr>
          <w:rFonts w:ascii="Arial" w:hAnsi="Arial" w:cs="Arial"/>
          <w:i/>
          <w:sz w:val="22"/>
          <w:szCs w:val="22"/>
          <w:lang w:val="es-DO"/>
        </w:rPr>
      </w:pPr>
      <w:r w:rsidRPr="009C2266">
        <w:rPr>
          <w:rFonts w:ascii="Arial" w:hAnsi="Arial" w:cs="Arial"/>
          <w:sz w:val="22"/>
          <w:szCs w:val="22"/>
          <w:lang w:val="es-DO"/>
        </w:rPr>
        <w:t>Secretaría</w:t>
      </w:r>
      <w:r>
        <w:rPr>
          <w:rFonts w:ascii="Arial" w:hAnsi="Arial" w:cs="Arial"/>
          <w:sz w:val="22"/>
          <w:szCs w:val="22"/>
          <w:lang w:val="es-DO"/>
        </w:rPr>
        <w:t xml:space="preserve"> de Finanzas. (2019). </w:t>
      </w:r>
      <w:r w:rsidRPr="00C639B0">
        <w:rPr>
          <w:rFonts w:ascii="Arial" w:hAnsi="Arial" w:cs="Arial"/>
          <w:i/>
          <w:sz w:val="22"/>
          <w:szCs w:val="22"/>
          <w:lang w:val="es-DO"/>
        </w:rPr>
        <w:t xml:space="preserve">Presupuesto de Ingresos por Rubro Detallado, </w:t>
      </w:r>
      <w:r>
        <w:rPr>
          <w:rFonts w:ascii="Arial" w:hAnsi="Arial" w:cs="Arial"/>
          <w:i/>
          <w:sz w:val="22"/>
          <w:szCs w:val="22"/>
          <w:lang w:val="es-DO"/>
        </w:rPr>
        <w:t>C</w:t>
      </w:r>
      <w:r w:rsidRPr="00C639B0">
        <w:rPr>
          <w:rFonts w:ascii="Arial" w:hAnsi="Arial" w:cs="Arial"/>
          <w:i/>
          <w:sz w:val="22"/>
          <w:szCs w:val="22"/>
          <w:lang w:val="es-DO"/>
        </w:rPr>
        <w:t xml:space="preserve">omparativo por </w:t>
      </w:r>
      <w:r>
        <w:rPr>
          <w:rFonts w:ascii="Arial" w:hAnsi="Arial" w:cs="Arial"/>
          <w:i/>
          <w:sz w:val="22"/>
          <w:szCs w:val="22"/>
          <w:lang w:val="es-DO"/>
        </w:rPr>
        <w:t>E</w:t>
      </w:r>
      <w:r w:rsidRPr="00C639B0">
        <w:rPr>
          <w:rFonts w:ascii="Arial" w:hAnsi="Arial" w:cs="Arial"/>
          <w:i/>
          <w:sz w:val="22"/>
          <w:szCs w:val="22"/>
          <w:lang w:val="es-DO"/>
        </w:rPr>
        <w:t xml:space="preserve">jercicio. </w:t>
      </w:r>
    </w:p>
    <w:p w14:paraId="43FCFCA4" w14:textId="77777777" w:rsidR="00536E76" w:rsidRDefault="00536E76" w:rsidP="00DB15BF">
      <w:pPr>
        <w:pStyle w:val="FootnoteText"/>
        <w:rPr>
          <w:rFonts w:ascii="Arial" w:hAnsi="Arial" w:cs="Arial"/>
          <w:sz w:val="22"/>
          <w:szCs w:val="22"/>
          <w:lang w:val="es-DO"/>
        </w:rPr>
      </w:pPr>
    </w:p>
    <w:p w14:paraId="52B06DEF" w14:textId="6A31C51B" w:rsidR="00B65D4E" w:rsidRDefault="00B65D4E" w:rsidP="009D2DC8">
      <w:pPr>
        <w:pStyle w:val="FootnoteText"/>
        <w:rPr>
          <w:rFonts w:ascii="Arial" w:hAnsi="Arial" w:cs="Arial"/>
          <w:sz w:val="22"/>
          <w:szCs w:val="22"/>
          <w:lang w:val="es-DO"/>
        </w:rPr>
      </w:pPr>
      <w:r w:rsidRPr="00DB15BF">
        <w:rPr>
          <w:rFonts w:ascii="Arial" w:hAnsi="Arial" w:cs="Arial"/>
          <w:sz w:val="22"/>
          <w:szCs w:val="22"/>
          <w:lang w:val="es-DO"/>
        </w:rPr>
        <w:t xml:space="preserve">Secretaría de Salud de Honduras, Departamento de ITS/VIH/Sida. (2014). </w:t>
      </w:r>
      <w:r w:rsidRPr="00DB15BF">
        <w:rPr>
          <w:rFonts w:ascii="Arial" w:hAnsi="Arial" w:cs="Arial"/>
          <w:i/>
          <w:sz w:val="22"/>
          <w:szCs w:val="22"/>
          <w:lang w:val="es-DO"/>
        </w:rPr>
        <w:t>Estimación y proyección de casos VIH fundamentadas en el modelo Spectrum</w:t>
      </w:r>
      <w:r w:rsidRPr="00DB15BF">
        <w:rPr>
          <w:rFonts w:ascii="Arial" w:hAnsi="Arial" w:cs="Arial"/>
          <w:sz w:val="22"/>
          <w:szCs w:val="22"/>
          <w:lang w:val="es-DO"/>
        </w:rPr>
        <w:t>. Versión 31 de marzo de 2014 (PJNZ).</w:t>
      </w:r>
    </w:p>
    <w:p w14:paraId="0FFFF629" w14:textId="011B84A5" w:rsidR="009D2DC8" w:rsidRPr="00C036E9" w:rsidRDefault="00536E76" w:rsidP="009D2DC8">
      <w:pPr>
        <w:pStyle w:val="FootnoteText"/>
        <w:rPr>
          <w:rFonts w:ascii="Arial" w:hAnsi="Arial" w:cs="Arial"/>
          <w:sz w:val="22"/>
          <w:szCs w:val="22"/>
          <w:lang w:val="es-DO"/>
        </w:rPr>
      </w:pPr>
      <w:r w:rsidRPr="009C2266">
        <w:rPr>
          <w:rFonts w:ascii="Arial" w:hAnsi="Arial" w:cs="Arial"/>
          <w:sz w:val="22"/>
          <w:szCs w:val="22"/>
          <w:lang w:val="es-DO"/>
        </w:rPr>
        <w:t>Secretaría</w:t>
      </w:r>
      <w:r>
        <w:rPr>
          <w:rFonts w:ascii="Arial" w:hAnsi="Arial" w:cs="Arial"/>
          <w:sz w:val="22"/>
          <w:szCs w:val="22"/>
          <w:lang w:val="es-DO"/>
        </w:rPr>
        <w:t xml:space="preserve"> </w:t>
      </w:r>
      <w:r w:rsidR="009D2DC8" w:rsidRPr="00C036E9">
        <w:rPr>
          <w:rFonts w:ascii="Arial" w:hAnsi="Arial" w:cs="Arial"/>
          <w:sz w:val="22"/>
          <w:szCs w:val="22"/>
          <w:lang w:val="es-DO"/>
        </w:rPr>
        <w:t xml:space="preserve">de Salud de Honduras. (2018). </w:t>
      </w:r>
      <w:r w:rsidR="009D2DC8" w:rsidRPr="00C036E9">
        <w:rPr>
          <w:rFonts w:ascii="Arial" w:hAnsi="Arial" w:cs="Arial"/>
          <w:i/>
          <w:sz w:val="22"/>
          <w:szCs w:val="22"/>
          <w:lang w:val="es-DO"/>
        </w:rPr>
        <w:t>Informe Situación Epidemiológica y Programática de la Tuberculosis en Honduras 2017.</w:t>
      </w:r>
      <w:r w:rsidR="009D2DC8" w:rsidRPr="00C036E9">
        <w:rPr>
          <w:rFonts w:ascii="Arial" w:hAnsi="Arial" w:cs="Arial"/>
          <w:sz w:val="22"/>
          <w:szCs w:val="22"/>
          <w:lang w:val="es-DO"/>
        </w:rPr>
        <w:t xml:space="preserve"> </w:t>
      </w:r>
    </w:p>
    <w:p w14:paraId="5FAD220B" w14:textId="77777777" w:rsidR="009D2DC8" w:rsidRDefault="009D2DC8" w:rsidP="00DB15BF">
      <w:pPr>
        <w:pStyle w:val="FootnoteText"/>
        <w:rPr>
          <w:rFonts w:ascii="Arial" w:hAnsi="Arial" w:cs="Arial"/>
          <w:sz w:val="22"/>
          <w:szCs w:val="22"/>
          <w:lang w:val="es-DO"/>
        </w:rPr>
      </w:pPr>
    </w:p>
    <w:p w14:paraId="4FD056D2" w14:textId="126385B6" w:rsidR="00DB15BF" w:rsidRPr="00DB15BF" w:rsidRDefault="00536E76" w:rsidP="00DB15BF">
      <w:pPr>
        <w:pStyle w:val="FootnoteText"/>
        <w:rPr>
          <w:rFonts w:ascii="Arial" w:hAnsi="Arial" w:cs="Arial"/>
          <w:i/>
          <w:sz w:val="22"/>
          <w:szCs w:val="22"/>
          <w:lang w:val="es-DO"/>
        </w:rPr>
      </w:pPr>
      <w:r w:rsidRPr="009C2266">
        <w:rPr>
          <w:rFonts w:ascii="Arial" w:hAnsi="Arial" w:cs="Arial"/>
          <w:sz w:val="22"/>
          <w:szCs w:val="22"/>
          <w:lang w:val="es-DO"/>
        </w:rPr>
        <w:t>Secretaría</w:t>
      </w:r>
      <w:r>
        <w:rPr>
          <w:rFonts w:ascii="Arial" w:hAnsi="Arial" w:cs="Arial"/>
          <w:sz w:val="22"/>
          <w:szCs w:val="22"/>
          <w:lang w:val="es-DO"/>
        </w:rPr>
        <w:t xml:space="preserve"> </w:t>
      </w:r>
      <w:r w:rsidR="00DB15BF" w:rsidRPr="00DB15BF">
        <w:rPr>
          <w:rFonts w:ascii="Arial" w:hAnsi="Arial" w:cs="Arial"/>
          <w:sz w:val="22"/>
          <w:szCs w:val="22"/>
          <w:lang w:val="es-DO"/>
        </w:rPr>
        <w:t xml:space="preserve">de Salud de Honduras. La Unidad de Logística de Medicamentos, Insumos y Equipamiento (ULMIE) 2017-2018. (2018). </w:t>
      </w:r>
      <w:r w:rsidR="00DB15BF" w:rsidRPr="00DB15BF">
        <w:rPr>
          <w:rFonts w:ascii="Arial" w:hAnsi="Arial" w:cs="Arial"/>
          <w:i/>
          <w:sz w:val="22"/>
          <w:szCs w:val="22"/>
          <w:lang w:val="es-DO"/>
        </w:rPr>
        <w:t xml:space="preserve">Análisis de existencia y disponibilidad de ARV. </w:t>
      </w:r>
    </w:p>
    <w:p w14:paraId="58B1E241" w14:textId="67CC5946" w:rsidR="005836E4" w:rsidRPr="00371CB4" w:rsidRDefault="00536E76" w:rsidP="00C036E9">
      <w:pPr>
        <w:rPr>
          <w:rFonts w:ascii="Arial" w:hAnsi="Arial" w:cs="Arial"/>
        </w:rPr>
      </w:pPr>
      <w:r w:rsidRPr="009C2266">
        <w:rPr>
          <w:rFonts w:ascii="Arial" w:hAnsi="Arial" w:cs="Arial"/>
          <w:lang w:val="es-DO"/>
        </w:rPr>
        <w:t>Secretaría</w:t>
      </w:r>
      <w:r>
        <w:rPr>
          <w:rFonts w:ascii="Arial" w:hAnsi="Arial" w:cs="Arial"/>
          <w:lang w:val="es-DO"/>
        </w:rPr>
        <w:t xml:space="preserve"> </w:t>
      </w:r>
      <w:r w:rsidR="005836E4" w:rsidRPr="00DB15BF">
        <w:rPr>
          <w:rFonts w:ascii="Arial" w:hAnsi="Arial" w:cs="Arial"/>
          <w:lang w:val="es-DO"/>
        </w:rPr>
        <w:t xml:space="preserve">de Salud de Honduras, PEPFAR. (2016). </w:t>
      </w:r>
      <w:r w:rsidR="005836E4" w:rsidRPr="00DB15BF">
        <w:rPr>
          <w:rFonts w:ascii="Arial" w:hAnsi="Arial" w:cs="Arial"/>
          <w:i/>
          <w:lang w:val="es-DO"/>
        </w:rPr>
        <w:t xml:space="preserve">Estudio de Medición del Gasto en </w:t>
      </w:r>
      <w:r w:rsidR="005836E4">
        <w:rPr>
          <w:rFonts w:ascii="Arial" w:hAnsi="Arial" w:cs="Arial"/>
          <w:i/>
          <w:lang w:val="es-DO"/>
        </w:rPr>
        <w:t>SIDA</w:t>
      </w:r>
      <w:r w:rsidR="005836E4" w:rsidRPr="00DB15BF">
        <w:rPr>
          <w:rFonts w:ascii="Arial" w:hAnsi="Arial" w:cs="Arial"/>
          <w:i/>
          <w:lang w:val="es-DO"/>
        </w:rPr>
        <w:t xml:space="preserve"> (MEGAS), Honduras. </w:t>
      </w:r>
      <w:hyperlink r:id="rId43" w:history="1">
        <w:r w:rsidR="005836E4" w:rsidRPr="00371CB4">
          <w:rPr>
            <w:rStyle w:val="Hyperlink"/>
            <w:rFonts w:ascii="Arial" w:hAnsi="Arial" w:cs="Arial"/>
          </w:rPr>
          <w:t>http://www.unaids.org/sites/default/files/media/documents/NASA_Honduras_2016_es.pdf</w:t>
        </w:r>
      </w:hyperlink>
    </w:p>
    <w:p w14:paraId="6D4742D8" w14:textId="17C0DAE9" w:rsidR="00BD1CB3" w:rsidRPr="00C036E9" w:rsidRDefault="00536E76" w:rsidP="00BD1CB3">
      <w:pPr>
        <w:pStyle w:val="FootnoteText"/>
        <w:rPr>
          <w:rFonts w:ascii="Arial" w:hAnsi="Arial" w:cs="Arial"/>
          <w:sz w:val="22"/>
          <w:szCs w:val="22"/>
          <w:lang w:val="es-DO"/>
        </w:rPr>
      </w:pPr>
      <w:r w:rsidRPr="009C2266">
        <w:rPr>
          <w:rFonts w:ascii="Arial" w:hAnsi="Arial" w:cs="Arial"/>
          <w:sz w:val="22"/>
          <w:szCs w:val="22"/>
          <w:lang w:val="es-DO"/>
        </w:rPr>
        <w:t>Secretaría</w:t>
      </w:r>
      <w:r>
        <w:rPr>
          <w:rFonts w:ascii="Arial" w:hAnsi="Arial" w:cs="Arial"/>
          <w:sz w:val="22"/>
          <w:szCs w:val="22"/>
          <w:lang w:val="es-DO"/>
        </w:rPr>
        <w:t xml:space="preserve"> </w:t>
      </w:r>
      <w:r w:rsidR="00BD1CB3" w:rsidRPr="00C036E9">
        <w:rPr>
          <w:rFonts w:ascii="Arial" w:hAnsi="Arial" w:cs="Arial"/>
          <w:sz w:val="22"/>
          <w:szCs w:val="22"/>
          <w:lang w:val="es-DO"/>
        </w:rPr>
        <w:t xml:space="preserve">de Salud de Honduras. (2016). </w:t>
      </w:r>
      <w:r w:rsidR="00BD1CB3" w:rsidRPr="00C036E9">
        <w:rPr>
          <w:rFonts w:ascii="Arial" w:hAnsi="Arial" w:cs="Arial"/>
          <w:i/>
          <w:sz w:val="22"/>
          <w:szCs w:val="22"/>
          <w:lang w:val="es-DO"/>
        </w:rPr>
        <w:t>Plan Estratégico de Respuesta Nacional para la Prevención y Control de la Tuberculosis (PENTB) en Honduras 2016-2020.</w:t>
      </w:r>
    </w:p>
    <w:p w14:paraId="4FF10B31" w14:textId="77777777" w:rsidR="00BD1CB3" w:rsidRDefault="00BD1CB3" w:rsidP="00DB15BF">
      <w:pPr>
        <w:pStyle w:val="FootnoteText"/>
        <w:rPr>
          <w:rFonts w:ascii="Arial" w:hAnsi="Arial" w:cs="Arial"/>
          <w:sz w:val="22"/>
          <w:szCs w:val="22"/>
          <w:lang w:val="es-DO"/>
        </w:rPr>
      </w:pPr>
    </w:p>
    <w:p w14:paraId="35B4BDBE" w14:textId="0F0D55FC" w:rsidR="00DB15BF" w:rsidRPr="00DB15BF" w:rsidRDefault="00536E76" w:rsidP="00DB15BF">
      <w:pPr>
        <w:pStyle w:val="FootnoteText"/>
        <w:rPr>
          <w:rFonts w:ascii="Arial" w:hAnsi="Arial" w:cs="Arial"/>
          <w:sz w:val="22"/>
          <w:szCs w:val="22"/>
          <w:lang w:val="es-DO"/>
        </w:rPr>
      </w:pPr>
      <w:r w:rsidRPr="009C2266">
        <w:rPr>
          <w:rFonts w:ascii="Arial" w:hAnsi="Arial" w:cs="Arial"/>
          <w:sz w:val="22"/>
          <w:szCs w:val="22"/>
          <w:lang w:val="es-DO"/>
        </w:rPr>
        <w:t>Secretaría</w:t>
      </w:r>
      <w:r>
        <w:rPr>
          <w:rFonts w:ascii="Arial" w:hAnsi="Arial" w:cs="Arial"/>
          <w:sz w:val="22"/>
          <w:szCs w:val="22"/>
          <w:lang w:val="es-DO"/>
        </w:rPr>
        <w:t xml:space="preserve"> </w:t>
      </w:r>
      <w:r w:rsidR="00DB15BF" w:rsidRPr="00DB15BF">
        <w:rPr>
          <w:rFonts w:ascii="Arial" w:hAnsi="Arial" w:cs="Arial"/>
          <w:sz w:val="22"/>
          <w:szCs w:val="22"/>
          <w:lang w:val="es-DO"/>
        </w:rPr>
        <w:t xml:space="preserve">de Salud de Honduras. (2015). </w:t>
      </w:r>
      <w:r w:rsidR="00DB15BF" w:rsidRPr="00DB15BF">
        <w:rPr>
          <w:rFonts w:ascii="Arial" w:hAnsi="Arial" w:cs="Arial"/>
          <w:i/>
          <w:sz w:val="22"/>
          <w:szCs w:val="22"/>
          <w:lang w:val="es-DO"/>
        </w:rPr>
        <w:t>Resultados del Informe Nacional de Progreso de la Respuesta contra el VIH y el Sida</w:t>
      </w:r>
      <w:r w:rsidR="00DB15BF" w:rsidRPr="00DB15BF">
        <w:rPr>
          <w:rFonts w:ascii="Arial" w:hAnsi="Arial" w:cs="Arial"/>
          <w:sz w:val="22"/>
          <w:szCs w:val="22"/>
          <w:lang w:val="es-DO"/>
        </w:rPr>
        <w:t xml:space="preserve">. </w:t>
      </w:r>
    </w:p>
    <w:p w14:paraId="5C7162BE" w14:textId="736DE6A8" w:rsidR="00081170" w:rsidRPr="00C036E9" w:rsidRDefault="00536E76" w:rsidP="00DB15BF">
      <w:pPr>
        <w:rPr>
          <w:rFonts w:ascii="Arial" w:hAnsi="Arial" w:cs="Arial"/>
          <w:i/>
          <w:lang w:val="es-419"/>
        </w:rPr>
      </w:pPr>
      <w:r w:rsidRPr="009C2266">
        <w:rPr>
          <w:rFonts w:ascii="Arial" w:hAnsi="Arial" w:cs="Arial"/>
          <w:lang w:val="es-DO"/>
        </w:rPr>
        <w:t>Secretaría</w:t>
      </w:r>
      <w:r>
        <w:rPr>
          <w:rFonts w:ascii="Arial" w:hAnsi="Arial" w:cs="Arial"/>
          <w:lang w:val="es-DO"/>
        </w:rPr>
        <w:t xml:space="preserve"> </w:t>
      </w:r>
      <w:r w:rsidR="00081170" w:rsidRPr="00A31555">
        <w:rPr>
          <w:rFonts w:ascii="Arial" w:hAnsi="Arial" w:cs="Arial"/>
          <w:lang w:val="es-DO"/>
        </w:rPr>
        <w:t xml:space="preserve">de Salud de Honduras. </w:t>
      </w:r>
      <w:r w:rsidR="00081170" w:rsidRPr="00C036E9">
        <w:rPr>
          <w:rFonts w:ascii="Arial" w:hAnsi="Arial" w:cs="Arial"/>
          <w:lang w:val="es-419"/>
        </w:rPr>
        <w:t xml:space="preserve">(2018). </w:t>
      </w:r>
      <w:r w:rsidR="00081170" w:rsidRPr="00A31555">
        <w:rPr>
          <w:rFonts w:ascii="Arial" w:hAnsi="Arial" w:cs="Arial"/>
          <w:i/>
          <w:lang w:val="es-419"/>
        </w:rPr>
        <w:t>Subsistema de Información de TB 2017/UGI/UVS.</w:t>
      </w:r>
    </w:p>
    <w:p w14:paraId="64255A41" w14:textId="49DDC8E9" w:rsidR="00DB15BF" w:rsidRPr="00DB15BF" w:rsidRDefault="00DB15BF" w:rsidP="00DB15BF">
      <w:pPr>
        <w:rPr>
          <w:rFonts w:ascii="Arial" w:hAnsi="Arial" w:cs="Arial"/>
        </w:rPr>
      </w:pPr>
      <w:r w:rsidRPr="00DB15BF">
        <w:rPr>
          <w:rFonts w:ascii="Arial" w:hAnsi="Arial" w:cs="Arial"/>
        </w:rPr>
        <w:t xml:space="preserve">STOP TB. (2017). </w:t>
      </w:r>
      <w:r w:rsidRPr="00DB15BF">
        <w:rPr>
          <w:rFonts w:ascii="Arial" w:hAnsi="Arial" w:cs="Arial"/>
          <w:i/>
        </w:rPr>
        <w:t>Honduras Dashboard.</w:t>
      </w:r>
      <w:r w:rsidRPr="00DB15BF">
        <w:rPr>
          <w:rFonts w:ascii="Arial" w:hAnsi="Arial" w:cs="Arial"/>
        </w:rPr>
        <w:t xml:space="preserve"> http://www.stoptb.org/resources/cd/HND_Dashboard.html</w:t>
      </w:r>
    </w:p>
    <w:p w14:paraId="75BCCF3B" w14:textId="0287275C" w:rsidR="00C87890" w:rsidRPr="00C036E9" w:rsidRDefault="00C87890" w:rsidP="00DB15BF">
      <w:pPr>
        <w:rPr>
          <w:rFonts w:ascii="Arial" w:hAnsi="Arial" w:cs="Arial"/>
        </w:rPr>
      </w:pPr>
      <w:r w:rsidRPr="009E71E1">
        <w:rPr>
          <w:rFonts w:ascii="Arial" w:hAnsi="Arial" w:cs="Arial"/>
        </w:rPr>
        <w:t xml:space="preserve">UNAIDS. (2018). </w:t>
      </w:r>
      <w:r w:rsidRPr="009E71E1">
        <w:rPr>
          <w:rFonts w:ascii="Arial" w:hAnsi="Arial" w:cs="Arial"/>
          <w:i/>
        </w:rPr>
        <w:t>UNAIDS Data 2018</w:t>
      </w:r>
      <w:r w:rsidRPr="009E71E1">
        <w:rPr>
          <w:rFonts w:ascii="Arial" w:hAnsi="Arial" w:cs="Arial"/>
        </w:rPr>
        <w:t xml:space="preserve">. </w:t>
      </w:r>
      <w:r w:rsidRPr="009E71E1">
        <w:rPr>
          <w:rFonts w:ascii="Arial" w:hAnsi="Arial" w:cs="Arial"/>
          <w:color w:val="000000"/>
        </w:rPr>
        <w:t>http://www.unaids.org/sites/default/files/media_asset/unaids-data-2018_en.pdf</w:t>
      </w:r>
    </w:p>
    <w:p w14:paraId="08045020" w14:textId="766AAEB2" w:rsidR="00DB15BF" w:rsidRPr="00DB15BF" w:rsidRDefault="00DB15BF" w:rsidP="00DB15BF">
      <w:pPr>
        <w:rPr>
          <w:rFonts w:ascii="Arial" w:hAnsi="Arial" w:cs="Arial"/>
          <w:lang w:val="es-DO"/>
        </w:rPr>
      </w:pPr>
      <w:r w:rsidRPr="00DB15BF">
        <w:rPr>
          <w:rFonts w:ascii="Arial" w:hAnsi="Arial" w:cs="Arial"/>
          <w:lang w:val="es-DO"/>
        </w:rPr>
        <w:t xml:space="preserve">Universidad Nacional Autónoma de Honduras. (2018). </w:t>
      </w:r>
      <w:r w:rsidRPr="00DB15BF">
        <w:rPr>
          <w:rFonts w:ascii="Arial" w:hAnsi="Arial" w:cs="Arial"/>
          <w:i/>
          <w:lang w:val="es-DO"/>
        </w:rPr>
        <w:t>Instituto Universitario en Democracia, Paz, y Seguridad</w:t>
      </w:r>
      <w:r w:rsidRPr="00DB15BF">
        <w:rPr>
          <w:rFonts w:ascii="Arial" w:hAnsi="Arial" w:cs="Arial"/>
          <w:lang w:val="es-DO"/>
        </w:rPr>
        <w:t xml:space="preserve">. </w:t>
      </w:r>
      <w:r w:rsidRPr="00DB15BF">
        <w:rPr>
          <w:rFonts w:ascii="Arial" w:hAnsi="Arial" w:cs="Arial"/>
          <w:lang w:val="es-ES"/>
        </w:rPr>
        <w:t>https://iudpas.unah.edu.hn/</w:t>
      </w:r>
    </w:p>
    <w:p w14:paraId="12442BD6" w14:textId="57B67684" w:rsidR="003939DB" w:rsidRPr="00DB15BF" w:rsidRDefault="003939DB" w:rsidP="00DD37EC">
      <w:pPr>
        <w:pStyle w:val="Heading2"/>
        <w:spacing w:before="0" w:after="240" w:line="240" w:lineRule="auto"/>
        <w:rPr>
          <w:rFonts w:ascii="Arial" w:hAnsi="Arial" w:cs="Arial"/>
          <w:sz w:val="22"/>
          <w:szCs w:val="22"/>
          <w:lang w:val="es-DO"/>
        </w:rPr>
      </w:pPr>
    </w:p>
    <w:p w14:paraId="0DED81E5" w14:textId="6B9CDCCB" w:rsidR="00CF7C75" w:rsidRPr="00DD37EC" w:rsidRDefault="00CF7C75" w:rsidP="00DD37EC">
      <w:pPr>
        <w:spacing w:after="240" w:line="240" w:lineRule="auto"/>
        <w:rPr>
          <w:rFonts w:ascii="Arial" w:hAnsi="Arial" w:cs="Arial"/>
          <w:lang w:val="es-419"/>
        </w:rPr>
      </w:pPr>
    </w:p>
    <w:p w14:paraId="7BCF5732" w14:textId="5C511851" w:rsidR="00CF7C75" w:rsidRPr="00DD37EC" w:rsidRDefault="00CF7C75" w:rsidP="00DD37EC">
      <w:pPr>
        <w:spacing w:after="240" w:line="240" w:lineRule="auto"/>
        <w:rPr>
          <w:rFonts w:ascii="Arial" w:hAnsi="Arial" w:cs="Arial"/>
          <w:lang w:val="es-419"/>
        </w:rPr>
      </w:pPr>
    </w:p>
    <w:p w14:paraId="2E1EBEB5" w14:textId="6C86F314" w:rsidR="00CF7C75" w:rsidRPr="00DD37EC" w:rsidRDefault="00CF7C75" w:rsidP="00DD37EC">
      <w:pPr>
        <w:spacing w:after="240" w:line="240" w:lineRule="auto"/>
        <w:rPr>
          <w:rFonts w:ascii="Arial" w:hAnsi="Arial" w:cs="Arial"/>
          <w:lang w:val="es-419"/>
        </w:rPr>
      </w:pPr>
    </w:p>
    <w:p w14:paraId="1028317E" w14:textId="70FF5F8D" w:rsidR="00CF7C75" w:rsidRPr="00DD37EC" w:rsidRDefault="00CF7C75" w:rsidP="00DD37EC">
      <w:pPr>
        <w:spacing w:after="240" w:line="240" w:lineRule="auto"/>
        <w:rPr>
          <w:rFonts w:ascii="Arial" w:hAnsi="Arial" w:cs="Arial"/>
          <w:lang w:val="es-419"/>
        </w:rPr>
      </w:pPr>
    </w:p>
    <w:p w14:paraId="7451758E" w14:textId="7417D0BA" w:rsidR="00957CBC" w:rsidRDefault="00957CBC" w:rsidP="00DD37EC">
      <w:pPr>
        <w:spacing w:after="240" w:line="240" w:lineRule="auto"/>
        <w:rPr>
          <w:rFonts w:ascii="Arial" w:hAnsi="Arial" w:cs="Arial"/>
          <w:lang w:val="es-419"/>
        </w:rPr>
      </w:pPr>
    </w:p>
    <w:p w14:paraId="667D56FE" w14:textId="17178E1D" w:rsidR="003841DA" w:rsidRPr="003841DA" w:rsidRDefault="00CF7C75" w:rsidP="003841DA">
      <w:pPr>
        <w:pStyle w:val="Heading1"/>
        <w:spacing w:before="0" w:after="240" w:line="240" w:lineRule="auto"/>
        <w:rPr>
          <w:rFonts w:ascii="Arial" w:hAnsi="Arial" w:cs="Arial"/>
          <w:sz w:val="22"/>
          <w:szCs w:val="22"/>
          <w:lang w:val="es-419"/>
        </w:rPr>
      </w:pPr>
      <w:bookmarkStart w:id="145" w:name="_Toc8905269"/>
      <w:r w:rsidRPr="00DD37EC">
        <w:rPr>
          <w:rFonts w:ascii="Arial" w:hAnsi="Arial" w:cs="Arial"/>
          <w:sz w:val="22"/>
          <w:szCs w:val="22"/>
          <w:lang w:val="es-419"/>
        </w:rPr>
        <w:lastRenderedPageBreak/>
        <w:t>1</w:t>
      </w:r>
      <w:r w:rsidR="00704F8C">
        <w:rPr>
          <w:rFonts w:ascii="Arial" w:hAnsi="Arial" w:cs="Arial"/>
          <w:sz w:val="22"/>
          <w:szCs w:val="22"/>
          <w:lang w:val="es-419"/>
        </w:rPr>
        <w:t>2</w:t>
      </w:r>
      <w:r w:rsidRPr="00DD37EC">
        <w:rPr>
          <w:rFonts w:ascii="Arial" w:hAnsi="Arial" w:cs="Arial"/>
          <w:sz w:val="22"/>
          <w:szCs w:val="22"/>
          <w:lang w:val="es-419"/>
        </w:rPr>
        <w:t>. Anexo</w:t>
      </w:r>
      <w:r w:rsidR="00704F8C">
        <w:rPr>
          <w:rFonts w:ascii="Arial" w:hAnsi="Arial" w:cs="Arial"/>
          <w:sz w:val="22"/>
          <w:szCs w:val="22"/>
          <w:lang w:val="es-419"/>
        </w:rPr>
        <w:t>s</w:t>
      </w:r>
      <w:bookmarkEnd w:id="145"/>
    </w:p>
    <w:tbl>
      <w:tblPr>
        <w:tblStyle w:val="TableGrid"/>
        <w:tblW w:w="5000" w:type="pct"/>
        <w:tblLook w:val="04A0" w:firstRow="1" w:lastRow="0" w:firstColumn="1" w:lastColumn="0" w:noHBand="0" w:noVBand="1"/>
      </w:tblPr>
      <w:tblGrid>
        <w:gridCol w:w="4504"/>
        <w:gridCol w:w="5460"/>
      </w:tblGrid>
      <w:tr w:rsidR="003841DA" w:rsidRPr="00392E34" w14:paraId="40C191B0" w14:textId="77777777" w:rsidTr="00485DF1">
        <w:trPr>
          <w:tblHeader/>
        </w:trPr>
        <w:tc>
          <w:tcPr>
            <w:tcW w:w="5000" w:type="pct"/>
            <w:gridSpan w:val="2"/>
            <w:tcBorders>
              <w:top w:val="nil"/>
              <w:left w:val="nil"/>
              <w:bottom w:val="single" w:sz="4" w:space="0" w:color="auto"/>
              <w:right w:val="nil"/>
            </w:tcBorders>
            <w:shd w:val="clear" w:color="auto" w:fill="auto"/>
          </w:tcPr>
          <w:p w14:paraId="5EFD9171" w14:textId="6A482DFE" w:rsidR="003841DA" w:rsidRPr="00086C1A" w:rsidRDefault="00B523B7" w:rsidP="00957CBC">
            <w:pPr>
              <w:pStyle w:val="Heading4"/>
              <w:outlineLvl w:val="3"/>
              <w:rPr>
                <w:rStyle w:val="IntenseReference"/>
                <w:rFonts w:ascii="Arial" w:hAnsi="Arial" w:cs="Arial"/>
                <w:i w:val="0"/>
                <w:lang w:val="es-419"/>
              </w:rPr>
            </w:pPr>
            <w:bookmarkStart w:id="146" w:name="_Toc520400781"/>
            <w:bookmarkStart w:id="147" w:name="_Toc523859954"/>
            <w:r w:rsidRPr="00086C1A">
              <w:rPr>
                <w:rStyle w:val="IntenseReference"/>
                <w:rFonts w:ascii="Arial" w:hAnsi="Arial" w:cs="Arial"/>
                <w:i w:val="0"/>
                <w:lang w:val="es-419"/>
              </w:rPr>
              <w:t>anexo 1</w:t>
            </w:r>
            <w:r w:rsidR="003841DA" w:rsidRPr="00086C1A">
              <w:rPr>
                <w:rStyle w:val="IntenseReference"/>
                <w:rFonts w:ascii="Arial" w:hAnsi="Arial" w:cs="Arial"/>
                <w:i w:val="0"/>
                <w:lang w:val="es-419"/>
              </w:rPr>
              <w:t>. Instituciones representadas y personas entrevistadas durante el estudio</w:t>
            </w:r>
            <w:bookmarkEnd w:id="146"/>
            <w:bookmarkEnd w:id="147"/>
          </w:p>
        </w:tc>
      </w:tr>
      <w:tr w:rsidR="003841DA" w:rsidRPr="009669F9" w14:paraId="6092E447" w14:textId="77777777" w:rsidTr="00485DF1">
        <w:trPr>
          <w:tblHeader/>
        </w:trPr>
        <w:tc>
          <w:tcPr>
            <w:tcW w:w="2260" w:type="pct"/>
            <w:tcBorders>
              <w:top w:val="single" w:sz="4" w:space="0" w:color="auto"/>
            </w:tcBorders>
            <w:shd w:val="clear" w:color="auto" w:fill="002060"/>
          </w:tcPr>
          <w:p w14:paraId="5CFEED85" w14:textId="77777777" w:rsidR="003841DA" w:rsidRPr="00A428FD" w:rsidRDefault="003841DA" w:rsidP="00485DF1">
            <w:pPr>
              <w:pStyle w:val="TextoTablaIzquierda"/>
              <w:rPr>
                <w:rFonts w:asciiTheme="minorHAnsi" w:hAnsiTheme="minorHAnsi" w:cstheme="minorHAnsi"/>
                <w:b/>
                <w:color w:val="E7E6E6" w:themeColor="background2"/>
                <w:sz w:val="22"/>
                <w:szCs w:val="22"/>
              </w:rPr>
            </w:pPr>
            <w:r w:rsidRPr="00A428FD">
              <w:rPr>
                <w:rFonts w:asciiTheme="minorHAnsi" w:hAnsiTheme="minorHAnsi" w:cstheme="minorHAnsi"/>
                <w:b/>
                <w:color w:val="E7E6E6" w:themeColor="background2"/>
                <w:sz w:val="22"/>
                <w:szCs w:val="22"/>
              </w:rPr>
              <w:t>Institución</w:t>
            </w:r>
          </w:p>
        </w:tc>
        <w:tc>
          <w:tcPr>
            <w:tcW w:w="2740" w:type="pct"/>
            <w:tcBorders>
              <w:top w:val="single" w:sz="4" w:space="0" w:color="auto"/>
            </w:tcBorders>
            <w:shd w:val="clear" w:color="auto" w:fill="002060"/>
          </w:tcPr>
          <w:p w14:paraId="3AEAE653" w14:textId="77777777" w:rsidR="003841DA" w:rsidRPr="00E044D3" w:rsidRDefault="003841DA" w:rsidP="00485DF1">
            <w:pPr>
              <w:pStyle w:val="TextoTablaIzquierda"/>
              <w:rPr>
                <w:rFonts w:asciiTheme="minorHAnsi" w:hAnsiTheme="minorHAnsi" w:cstheme="minorHAnsi"/>
                <w:b/>
                <w:color w:val="E7E6E6" w:themeColor="background2"/>
                <w:sz w:val="22"/>
                <w:szCs w:val="22"/>
              </w:rPr>
            </w:pPr>
            <w:r w:rsidRPr="00E044D3">
              <w:rPr>
                <w:rFonts w:asciiTheme="minorHAnsi" w:hAnsiTheme="minorHAnsi" w:cstheme="minorHAnsi"/>
                <w:b/>
                <w:color w:val="E7E6E6" w:themeColor="background2"/>
                <w:sz w:val="22"/>
                <w:szCs w:val="22"/>
              </w:rPr>
              <w:t>Persona entrevistada</w:t>
            </w:r>
          </w:p>
        </w:tc>
      </w:tr>
      <w:tr w:rsidR="003841DA" w:rsidRPr="009669F9" w14:paraId="54347F5F" w14:textId="77777777" w:rsidTr="00485DF1">
        <w:tc>
          <w:tcPr>
            <w:tcW w:w="5000" w:type="pct"/>
            <w:gridSpan w:val="2"/>
            <w:shd w:val="clear" w:color="auto" w:fill="E7E6E6" w:themeFill="background2"/>
          </w:tcPr>
          <w:p w14:paraId="7E4C67BB" w14:textId="77777777" w:rsidR="003841DA" w:rsidRPr="009840B8" w:rsidRDefault="003841DA" w:rsidP="00485DF1">
            <w:pPr>
              <w:pStyle w:val="TextoTablaIzquierda"/>
              <w:rPr>
                <w:rFonts w:asciiTheme="minorHAnsi" w:hAnsiTheme="minorHAnsi" w:cstheme="minorHAnsi"/>
                <w:b/>
                <w:i/>
                <w:sz w:val="22"/>
                <w:szCs w:val="22"/>
              </w:rPr>
            </w:pPr>
            <w:r w:rsidRPr="009840B8">
              <w:rPr>
                <w:rFonts w:asciiTheme="minorHAnsi" w:hAnsiTheme="minorHAnsi" w:cstheme="minorHAnsi"/>
                <w:b/>
                <w:i/>
                <w:sz w:val="22"/>
                <w:szCs w:val="22"/>
              </w:rPr>
              <w:t>Sector p</w:t>
            </w:r>
            <w:r w:rsidRPr="009840B8">
              <w:rPr>
                <w:rFonts w:asciiTheme="minorHAnsi" w:hAnsiTheme="minorHAnsi" w:cstheme="minorHAnsi"/>
                <w:b/>
                <w:i/>
                <w:sz w:val="22"/>
                <w:szCs w:val="22"/>
                <w:lang w:val="es-MX"/>
              </w:rPr>
              <w:t>ú</w:t>
            </w:r>
            <w:r w:rsidRPr="009840B8">
              <w:rPr>
                <w:rFonts w:asciiTheme="minorHAnsi" w:hAnsiTheme="minorHAnsi" w:cstheme="minorHAnsi"/>
                <w:b/>
                <w:i/>
                <w:sz w:val="22"/>
                <w:szCs w:val="22"/>
              </w:rPr>
              <w:t>blico</w:t>
            </w:r>
          </w:p>
        </w:tc>
      </w:tr>
      <w:tr w:rsidR="003841DA" w:rsidRPr="00392E34" w14:paraId="3859B9B3" w14:textId="77777777" w:rsidTr="00485DF1">
        <w:tc>
          <w:tcPr>
            <w:tcW w:w="2260" w:type="pct"/>
          </w:tcPr>
          <w:p w14:paraId="7D0744E3" w14:textId="77777777" w:rsidR="003841DA" w:rsidRPr="009840B8" w:rsidRDefault="003841DA" w:rsidP="00485DF1">
            <w:pPr>
              <w:pStyle w:val="TextoTablaIzquierda"/>
              <w:rPr>
                <w:rFonts w:asciiTheme="minorHAnsi" w:hAnsiTheme="minorHAnsi" w:cstheme="minorHAnsi"/>
                <w:sz w:val="20"/>
                <w:szCs w:val="20"/>
              </w:rPr>
            </w:pPr>
            <w:r w:rsidRPr="009840B8">
              <w:rPr>
                <w:rFonts w:asciiTheme="minorHAnsi" w:hAnsiTheme="minorHAnsi" w:cstheme="minorHAnsi"/>
                <w:sz w:val="20"/>
                <w:szCs w:val="20"/>
              </w:rPr>
              <w:t>SESAL (</w:t>
            </w:r>
            <w:r w:rsidRPr="009840B8">
              <w:rPr>
                <w:rFonts w:asciiTheme="minorHAnsi" w:hAnsiTheme="minorHAnsi" w:cstheme="minorHAnsi"/>
                <w:sz w:val="20"/>
                <w:szCs w:val="20"/>
                <w:lang w:val="es-MX"/>
              </w:rPr>
              <w:t>Viceministros de Redes y Proyectos, Departamento financiero, Unidad de Gestión de Información, Unidad de Logística y Medicamento, Insumos y Equipamiento</w:t>
            </w:r>
          </w:p>
        </w:tc>
        <w:tc>
          <w:tcPr>
            <w:tcW w:w="2740" w:type="pct"/>
          </w:tcPr>
          <w:p w14:paraId="1AEAAF74" w14:textId="77777777" w:rsidR="003841DA" w:rsidRPr="00B75190" w:rsidRDefault="003841DA" w:rsidP="00485DF1">
            <w:pPr>
              <w:pStyle w:val="TextoTablaIzquierda"/>
              <w:rPr>
                <w:rFonts w:asciiTheme="minorHAnsi" w:hAnsiTheme="minorHAnsi" w:cstheme="minorHAnsi"/>
                <w:sz w:val="20"/>
                <w:szCs w:val="20"/>
              </w:rPr>
            </w:pPr>
            <w:r w:rsidRPr="00B75190">
              <w:rPr>
                <w:rFonts w:asciiTheme="minorHAnsi" w:hAnsiTheme="minorHAnsi" w:cstheme="minorHAnsi"/>
                <w:sz w:val="20"/>
                <w:szCs w:val="20"/>
              </w:rPr>
              <w:t xml:space="preserve">Dra. Norma Artiles, Punto focal del TB; </w:t>
            </w:r>
            <w:r w:rsidRPr="00B75190">
              <w:rPr>
                <w:rFonts w:asciiTheme="minorHAnsi" w:hAnsiTheme="minorHAnsi" w:cstheme="minorHAnsi"/>
                <w:sz w:val="20"/>
                <w:szCs w:val="20"/>
                <w:lang w:val="es-419"/>
              </w:rPr>
              <w:t>Octavio Sánchez Midence, Ministro; Alex Valladeres, Director de departamento financiero; Mariana Godoy; Ing, Jose Pereira, y Dr. Billy Gonzalez de UGI; Dra. Sandra Lorenzana, Punto focal del VIH; Dra. Norma Artiles, Punto focal del TB</w:t>
            </w:r>
          </w:p>
        </w:tc>
      </w:tr>
      <w:tr w:rsidR="003841DA" w:rsidRPr="00B44C74" w14:paraId="4DDA64EB" w14:textId="77777777" w:rsidTr="00485DF1">
        <w:tc>
          <w:tcPr>
            <w:tcW w:w="2260" w:type="pct"/>
          </w:tcPr>
          <w:p w14:paraId="6535E995" w14:textId="7F3E1842" w:rsidR="003841DA" w:rsidRPr="009840B8" w:rsidRDefault="003841DA" w:rsidP="00485DF1">
            <w:pPr>
              <w:pStyle w:val="TextoTablaIzquierda"/>
              <w:rPr>
                <w:rFonts w:asciiTheme="minorHAnsi" w:hAnsiTheme="minorHAnsi" w:cstheme="minorHAnsi"/>
                <w:sz w:val="20"/>
                <w:szCs w:val="20"/>
              </w:rPr>
            </w:pPr>
            <w:r w:rsidRPr="009840B8">
              <w:rPr>
                <w:rFonts w:asciiTheme="minorHAnsi" w:hAnsiTheme="minorHAnsi" w:cstheme="minorHAnsi"/>
                <w:sz w:val="20"/>
                <w:szCs w:val="20"/>
              </w:rPr>
              <w:t xml:space="preserve">Secretaría de Coordinación </w:t>
            </w:r>
            <w:r w:rsidR="00982898">
              <w:rPr>
                <w:rFonts w:asciiTheme="minorHAnsi" w:hAnsiTheme="minorHAnsi" w:cstheme="minorHAnsi"/>
                <w:sz w:val="20"/>
                <w:szCs w:val="20"/>
              </w:rPr>
              <w:t xml:space="preserve">General </w:t>
            </w:r>
            <w:r w:rsidRPr="009840B8">
              <w:rPr>
                <w:rFonts w:asciiTheme="minorHAnsi" w:hAnsiTheme="minorHAnsi" w:cstheme="minorHAnsi"/>
                <w:sz w:val="20"/>
                <w:szCs w:val="20"/>
              </w:rPr>
              <w:t>de Gobierno</w:t>
            </w:r>
          </w:p>
        </w:tc>
        <w:tc>
          <w:tcPr>
            <w:tcW w:w="2740" w:type="pct"/>
          </w:tcPr>
          <w:p w14:paraId="604EE600" w14:textId="1CCBD17C" w:rsidR="003841DA" w:rsidRPr="00B75190" w:rsidRDefault="00A428FD" w:rsidP="00485DF1">
            <w:pPr>
              <w:pStyle w:val="TextoTablaIzquierda"/>
              <w:rPr>
                <w:rFonts w:asciiTheme="minorHAnsi" w:hAnsiTheme="minorHAnsi" w:cstheme="minorHAnsi"/>
                <w:sz w:val="20"/>
                <w:szCs w:val="20"/>
              </w:rPr>
            </w:pPr>
            <w:r>
              <w:rPr>
                <w:rFonts w:asciiTheme="minorHAnsi" w:hAnsiTheme="minorHAnsi" w:cstheme="minorHAnsi"/>
                <w:sz w:val="20"/>
                <w:szCs w:val="20"/>
              </w:rPr>
              <w:t>Lic. Zoyla Cruz, Gabriel Brito</w:t>
            </w:r>
          </w:p>
        </w:tc>
      </w:tr>
      <w:tr w:rsidR="003841DA" w:rsidRPr="001C1D37" w14:paraId="262602E5" w14:textId="77777777" w:rsidTr="00485DF1">
        <w:tc>
          <w:tcPr>
            <w:tcW w:w="2260" w:type="pct"/>
          </w:tcPr>
          <w:p w14:paraId="4E5E59D2" w14:textId="77777777" w:rsidR="003841DA" w:rsidRPr="00DF043A" w:rsidRDefault="003841DA" w:rsidP="00485DF1">
            <w:pPr>
              <w:pStyle w:val="TextoTablaIzquierda"/>
              <w:rPr>
                <w:rFonts w:asciiTheme="minorHAnsi" w:hAnsiTheme="minorHAnsi" w:cstheme="minorHAnsi"/>
                <w:sz w:val="20"/>
                <w:szCs w:val="20"/>
              </w:rPr>
            </w:pPr>
            <w:r w:rsidRPr="00DF043A">
              <w:rPr>
                <w:rFonts w:asciiTheme="minorHAnsi" w:hAnsiTheme="minorHAnsi" w:cstheme="minorHAnsi"/>
                <w:sz w:val="20"/>
                <w:szCs w:val="20"/>
              </w:rPr>
              <w:t>Secretaría de Finanzas</w:t>
            </w:r>
          </w:p>
        </w:tc>
        <w:tc>
          <w:tcPr>
            <w:tcW w:w="2740" w:type="pct"/>
          </w:tcPr>
          <w:p w14:paraId="14A8ADF3" w14:textId="77777777" w:rsidR="003841DA" w:rsidRPr="00B75190" w:rsidRDefault="003841DA" w:rsidP="00485DF1">
            <w:pPr>
              <w:pStyle w:val="TextoTablaIzquierda"/>
              <w:rPr>
                <w:rFonts w:asciiTheme="minorHAnsi" w:hAnsiTheme="minorHAnsi" w:cstheme="minorHAnsi"/>
                <w:sz w:val="20"/>
                <w:szCs w:val="20"/>
              </w:rPr>
            </w:pPr>
            <w:r w:rsidRPr="00B75190">
              <w:rPr>
                <w:rFonts w:asciiTheme="minorHAnsi" w:hAnsiTheme="minorHAnsi" w:cstheme="minorHAnsi"/>
                <w:sz w:val="20"/>
                <w:szCs w:val="20"/>
              </w:rPr>
              <w:t>Loyda Navas</w:t>
            </w:r>
          </w:p>
        </w:tc>
      </w:tr>
      <w:tr w:rsidR="003841DA" w:rsidRPr="001C1D37" w14:paraId="410F9638" w14:textId="77777777" w:rsidTr="00485DF1">
        <w:tc>
          <w:tcPr>
            <w:tcW w:w="2260" w:type="pct"/>
          </w:tcPr>
          <w:p w14:paraId="1B49C6D6" w14:textId="77777777" w:rsidR="003841DA" w:rsidRPr="009840B8" w:rsidRDefault="003841DA" w:rsidP="00485DF1">
            <w:pPr>
              <w:pStyle w:val="TextoTablaIzquierda"/>
              <w:rPr>
                <w:rFonts w:asciiTheme="minorHAnsi" w:hAnsiTheme="minorHAnsi" w:cstheme="minorHAnsi"/>
                <w:sz w:val="20"/>
                <w:szCs w:val="20"/>
              </w:rPr>
            </w:pPr>
            <w:r w:rsidRPr="009840B8">
              <w:rPr>
                <w:rFonts w:asciiTheme="minorHAnsi" w:hAnsiTheme="minorHAnsi" w:cstheme="minorHAnsi"/>
                <w:sz w:val="20"/>
                <w:szCs w:val="20"/>
              </w:rPr>
              <w:t>Secretaría de Derechos Humanos</w:t>
            </w:r>
          </w:p>
        </w:tc>
        <w:tc>
          <w:tcPr>
            <w:tcW w:w="2740" w:type="pct"/>
          </w:tcPr>
          <w:p w14:paraId="785DC9B1" w14:textId="77777777" w:rsidR="003841DA" w:rsidRPr="00B75190" w:rsidRDefault="003841DA" w:rsidP="00485DF1">
            <w:pPr>
              <w:pStyle w:val="TextoTablaIzquierda"/>
              <w:rPr>
                <w:rFonts w:asciiTheme="minorHAnsi" w:hAnsiTheme="minorHAnsi" w:cstheme="minorHAnsi"/>
                <w:sz w:val="20"/>
                <w:szCs w:val="20"/>
              </w:rPr>
            </w:pPr>
            <w:r w:rsidRPr="00B75190">
              <w:rPr>
                <w:rFonts w:asciiTheme="minorHAnsi" w:hAnsiTheme="minorHAnsi" w:cstheme="minorHAnsi"/>
                <w:sz w:val="20"/>
                <w:szCs w:val="20"/>
              </w:rPr>
              <w:t>Karla Cueva, la Secretaria de DDHH; Lic. Jackeline Anchecta, viceministra; Mercedes Gomez</w:t>
            </w:r>
          </w:p>
        </w:tc>
      </w:tr>
      <w:tr w:rsidR="003841DA" w:rsidRPr="001C1D37" w14:paraId="7BF85DE5" w14:textId="77777777" w:rsidTr="00485DF1">
        <w:tc>
          <w:tcPr>
            <w:tcW w:w="2260" w:type="pct"/>
          </w:tcPr>
          <w:p w14:paraId="0E02B332" w14:textId="77777777" w:rsidR="003841DA" w:rsidRPr="009840B8" w:rsidRDefault="003841DA" w:rsidP="00485DF1">
            <w:pPr>
              <w:pStyle w:val="TextoTablaIzquierda"/>
              <w:rPr>
                <w:rFonts w:asciiTheme="minorHAnsi" w:hAnsiTheme="minorHAnsi" w:cstheme="minorHAnsi"/>
                <w:sz w:val="20"/>
                <w:szCs w:val="20"/>
              </w:rPr>
            </w:pPr>
            <w:r w:rsidRPr="009840B8">
              <w:rPr>
                <w:rFonts w:asciiTheme="minorHAnsi" w:hAnsiTheme="minorHAnsi" w:cstheme="minorHAnsi"/>
                <w:sz w:val="20"/>
                <w:szCs w:val="20"/>
              </w:rPr>
              <w:t>CONADEH</w:t>
            </w:r>
          </w:p>
        </w:tc>
        <w:tc>
          <w:tcPr>
            <w:tcW w:w="2740" w:type="pct"/>
          </w:tcPr>
          <w:p w14:paraId="18A13845" w14:textId="77777777" w:rsidR="003841DA" w:rsidRPr="00B75190" w:rsidRDefault="003841DA" w:rsidP="00485DF1">
            <w:pPr>
              <w:pStyle w:val="TextoTablaIzquierda"/>
              <w:rPr>
                <w:rFonts w:asciiTheme="minorHAnsi" w:hAnsiTheme="minorHAnsi" w:cstheme="minorHAnsi"/>
                <w:sz w:val="20"/>
                <w:szCs w:val="20"/>
              </w:rPr>
            </w:pPr>
          </w:p>
        </w:tc>
      </w:tr>
      <w:tr w:rsidR="00A81FED" w:rsidRPr="001C1D37" w14:paraId="400E5ED8" w14:textId="77777777" w:rsidTr="00485DF1">
        <w:tc>
          <w:tcPr>
            <w:tcW w:w="2260" w:type="pct"/>
          </w:tcPr>
          <w:p w14:paraId="5A78A26D" w14:textId="636B2EE4" w:rsidR="00A81FED" w:rsidRPr="009840B8" w:rsidRDefault="00A81FED" w:rsidP="00485DF1">
            <w:pPr>
              <w:pStyle w:val="TextoTablaIzquierda"/>
              <w:rPr>
                <w:rFonts w:asciiTheme="minorHAnsi" w:hAnsiTheme="minorHAnsi" w:cstheme="minorHAnsi"/>
                <w:sz w:val="20"/>
                <w:szCs w:val="20"/>
              </w:rPr>
            </w:pPr>
            <w:r>
              <w:rPr>
                <w:rFonts w:asciiTheme="minorHAnsi" w:hAnsiTheme="minorHAnsi" w:cstheme="minorHAnsi"/>
                <w:sz w:val="20"/>
                <w:szCs w:val="20"/>
              </w:rPr>
              <w:t>Punto focal de VIH</w:t>
            </w:r>
          </w:p>
        </w:tc>
        <w:tc>
          <w:tcPr>
            <w:tcW w:w="2740" w:type="pct"/>
          </w:tcPr>
          <w:p w14:paraId="60FC09BC" w14:textId="463CD352" w:rsidR="00A81FED" w:rsidRPr="00B75190" w:rsidRDefault="00471414" w:rsidP="00485DF1">
            <w:pPr>
              <w:pStyle w:val="TextoTablaIzquierda"/>
              <w:rPr>
                <w:rFonts w:asciiTheme="minorHAnsi" w:hAnsiTheme="minorHAnsi" w:cstheme="minorHAnsi"/>
                <w:sz w:val="20"/>
                <w:szCs w:val="20"/>
              </w:rPr>
            </w:pPr>
            <w:r>
              <w:rPr>
                <w:rFonts w:asciiTheme="minorHAnsi" w:hAnsiTheme="minorHAnsi" w:cstheme="minorHAnsi"/>
                <w:sz w:val="20"/>
                <w:szCs w:val="20"/>
              </w:rPr>
              <w:t>Dra. Sandra Lorenzana</w:t>
            </w:r>
          </w:p>
        </w:tc>
      </w:tr>
      <w:tr w:rsidR="003841DA" w:rsidRPr="001C1D37" w14:paraId="3F1953BF" w14:textId="77777777" w:rsidTr="00485DF1">
        <w:tc>
          <w:tcPr>
            <w:tcW w:w="2260" w:type="pct"/>
          </w:tcPr>
          <w:p w14:paraId="02370831" w14:textId="77777777" w:rsidR="003841DA" w:rsidRPr="009840B8" w:rsidRDefault="003841DA" w:rsidP="00485DF1">
            <w:pPr>
              <w:pStyle w:val="TextoTablaIzquierda"/>
              <w:rPr>
                <w:rFonts w:asciiTheme="minorHAnsi" w:hAnsiTheme="minorHAnsi" w:cstheme="minorHAnsi"/>
                <w:sz w:val="20"/>
                <w:szCs w:val="20"/>
              </w:rPr>
            </w:pPr>
            <w:r w:rsidRPr="009840B8">
              <w:rPr>
                <w:rFonts w:asciiTheme="minorHAnsi" w:hAnsiTheme="minorHAnsi" w:cstheme="minorHAnsi"/>
                <w:sz w:val="20"/>
                <w:szCs w:val="20"/>
              </w:rPr>
              <w:t>Punto focal de TB</w:t>
            </w:r>
          </w:p>
        </w:tc>
        <w:tc>
          <w:tcPr>
            <w:tcW w:w="2740" w:type="pct"/>
          </w:tcPr>
          <w:p w14:paraId="1441E5CB" w14:textId="4D8324D0" w:rsidR="003841DA" w:rsidRPr="00B75190" w:rsidRDefault="00471414" w:rsidP="00485DF1">
            <w:pPr>
              <w:pStyle w:val="TextoTablaIzquierda"/>
              <w:rPr>
                <w:rFonts w:asciiTheme="minorHAnsi" w:hAnsiTheme="minorHAnsi" w:cstheme="minorHAnsi"/>
                <w:sz w:val="20"/>
                <w:szCs w:val="20"/>
              </w:rPr>
            </w:pPr>
            <w:r>
              <w:rPr>
                <w:rFonts w:asciiTheme="minorHAnsi" w:hAnsiTheme="minorHAnsi" w:cstheme="minorHAnsi"/>
                <w:sz w:val="20"/>
                <w:szCs w:val="20"/>
              </w:rPr>
              <w:t>Dra. Norma Artiles</w:t>
            </w:r>
          </w:p>
        </w:tc>
      </w:tr>
      <w:tr w:rsidR="003841DA" w:rsidRPr="001D262D" w14:paraId="7CC70AAC" w14:textId="77777777" w:rsidTr="00485DF1">
        <w:tc>
          <w:tcPr>
            <w:tcW w:w="2260" w:type="pct"/>
          </w:tcPr>
          <w:p w14:paraId="49AE9D4E" w14:textId="545896E0" w:rsidR="003841DA" w:rsidRPr="009840B8" w:rsidRDefault="001D262D" w:rsidP="00485DF1">
            <w:pPr>
              <w:pStyle w:val="TextoTablaIzquierda"/>
              <w:rPr>
                <w:rFonts w:asciiTheme="minorHAnsi" w:hAnsiTheme="minorHAnsi" w:cstheme="minorHAnsi"/>
                <w:sz w:val="20"/>
                <w:szCs w:val="20"/>
              </w:rPr>
            </w:pPr>
            <w:r>
              <w:rPr>
                <w:rFonts w:asciiTheme="minorHAnsi" w:hAnsiTheme="minorHAnsi" w:cstheme="minorHAnsi"/>
                <w:sz w:val="20"/>
                <w:szCs w:val="20"/>
              </w:rPr>
              <w:t>Subsecretaría</w:t>
            </w:r>
            <w:r w:rsidR="003841DA" w:rsidRPr="009840B8">
              <w:rPr>
                <w:rFonts w:asciiTheme="minorHAnsi" w:hAnsiTheme="minorHAnsi" w:cstheme="minorHAnsi"/>
                <w:sz w:val="20"/>
                <w:szCs w:val="20"/>
              </w:rPr>
              <w:t xml:space="preserve"> de </w:t>
            </w:r>
            <w:r>
              <w:rPr>
                <w:rFonts w:asciiTheme="minorHAnsi" w:hAnsiTheme="minorHAnsi" w:cstheme="minorHAnsi"/>
                <w:sz w:val="20"/>
                <w:szCs w:val="20"/>
              </w:rPr>
              <w:t>Políticas de</w:t>
            </w:r>
            <w:r w:rsidR="003841DA" w:rsidRPr="009840B8">
              <w:rPr>
                <w:rFonts w:asciiTheme="minorHAnsi" w:hAnsiTheme="minorHAnsi" w:cstheme="minorHAnsi"/>
                <w:sz w:val="20"/>
                <w:szCs w:val="20"/>
              </w:rPr>
              <w:t xml:space="preserve"> Inclusión Social</w:t>
            </w:r>
          </w:p>
        </w:tc>
        <w:tc>
          <w:tcPr>
            <w:tcW w:w="2740" w:type="pct"/>
          </w:tcPr>
          <w:p w14:paraId="4AD587C9" w14:textId="0AA118A2" w:rsidR="003841DA" w:rsidRPr="001D262D" w:rsidRDefault="001D262D" w:rsidP="00485DF1">
            <w:pPr>
              <w:pStyle w:val="TextoTablaIzquierda"/>
              <w:rPr>
                <w:rFonts w:asciiTheme="minorHAnsi" w:hAnsiTheme="minorHAnsi" w:cstheme="minorHAnsi"/>
                <w:sz w:val="20"/>
                <w:szCs w:val="20"/>
                <w:lang w:val="en-US"/>
              </w:rPr>
            </w:pPr>
            <w:r w:rsidRPr="001D262D">
              <w:rPr>
                <w:rFonts w:asciiTheme="minorHAnsi" w:hAnsiTheme="minorHAnsi" w:cstheme="minorHAnsi"/>
                <w:sz w:val="20"/>
                <w:szCs w:val="20"/>
                <w:lang w:val="en-US"/>
              </w:rPr>
              <w:t>Lic. Doris Mayell Mendoza Past</w:t>
            </w:r>
            <w:r>
              <w:rPr>
                <w:rFonts w:asciiTheme="minorHAnsi" w:hAnsiTheme="minorHAnsi" w:cstheme="minorHAnsi"/>
                <w:sz w:val="20"/>
                <w:szCs w:val="20"/>
                <w:lang w:val="en-US"/>
              </w:rPr>
              <w:t>or</w:t>
            </w:r>
          </w:p>
        </w:tc>
      </w:tr>
      <w:tr w:rsidR="003841DA" w:rsidRPr="000013AF" w14:paraId="6B8B914B" w14:textId="77777777" w:rsidTr="00485DF1">
        <w:tc>
          <w:tcPr>
            <w:tcW w:w="2260" w:type="pct"/>
          </w:tcPr>
          <w:p w14:paraId="7AF174D2" w14:textId="77777777" w:rsidR="003841DA" w:rsidRPr="009840B8" w:rsidRDefault="003841DA" w:rsidP="00485DF1">
            <w:pPr>
              <w:pStyle w:val="TextoTablaIzquierda"/>
              <w:rPr>
                <w:rFonts w:asciiTheme="minorHAnsi" w:hAnsiTheme="minorHAnsi" w:cstheme="minorHAnsi"/>
                <w:sz w:val="20"/>
                <w:szCs w:val="20"/>
              </w:rPr>
            </w:pPr>
            <w:r>
              <w:rPr>
                <w:rFonts w:asciiTheme="minorHAnsi" w:hAnsiTheme="minorHAnsi" w:cstheme="minorHAnsi"/>
                <w:sz w:val="20"/>
                <w:szCs w:val="20"/>
              </w:rPr>
              <w:t>IHSS</w:t>
            </w:r>
          </w:p>
        </w:tc>
        <w:tc>
          <w:tcPr>
            <w:tcW w:w="2740" w:type="pct"/>
          </w:tcPr>
          <w:p w14:paraId="1C1BA4BC" w14:textId="77777777" w:rsidR="003841DA" w:rsidRPr="00B75190" w:rsidRDefault="003841DA" w:rsidP="00485DF1">
            <w:pPr>
              <w:pStyle w:val="TextoTablaIzquierda"/>
              <w:rPr>
                <w:rFonts w:asciiTheme="minorHAnsi" w:hAnsiTheme="minorHAnsi" w:cstheme="minorHAnsi"/>
                <w:sz w:val="20"/>
                <w:szCs w:val="20"/>
              </w:rPr>
            </w:pPr>
            <w:r w:rsidRPr="00B75190">
              <w:rPr>
                <w:rFonts w:asciiTheme="minorHAnsi" w:hAnsiTheme="minorHAnsi" w:cstheme="minorHAnsi"/>
                <w:sz w:val="20"/>
                <w:szCs w:val="20"/>
              </w:rPr>
              <w:t>Dra. Bessy Alvarado, Dra. Adriana Arita, Dra. Miriam Chavez</w:t>
            </w:r>
          </w:p>
        </w:tc>
      </w:tr>
      <w:tr w:rsidR="003841DA" w:rsidRPr="009840B8" w14:paraId="31E49A42" w14:textId="77777777" w:rsidTr="00485DF1">
        <w:tc>
          <w:tcPr>
            <w:tcW w:w="5000" w:type="pct"/>
            <w:gridSpan w:val="2"/>
            <w:shd w:val="clear" w:color="auto" w:fill="E7E6E6" w:themeFill="background2"/>
          </w:tcPr>
          <w:p w14:paraId="6451D1A5" w14:textId="77777777" w:rsidR="003841DA" w:rsidRPr="009840B8" w:rsidRDefault="003841DA" w:rsidP="00485DF1">
            <w:pPr>
              <w:pStyle w:val="TextoTablaIzquierda"/>
              <w:rPr>
                <w:rFonts w:asciiTheme="minorHAnsi" w:hAnsiTheme="minorHAnsi" w:cstheme="minorHAnsi"/>
                <w:sz w:val="22"/>
                <w:szCs w:val="22"/>
                <w:lang w:val="en-US"/>
              </w:rPr>
            </w:pPr>
            <w:r w:rsidRPr="009840B8">
              <w:rPr>
                <w:rFonts w:asciiTheme="minorHAnsi" w:hAnsiTheme="minorHAnsi" w:cstheme="minorHAnsi"/>
                <w:b/>
                <w:i/>
                <w:sz w:val="22"/>
                <w:szCs w:val="22"/>
                <w:lang w:val="en-US"/>
              </w:rPr>
              <w:t>Receptor Principal VIH</w:t>
            </w:r>
            <w:r>
              <w:rPr>
                <w:rFonts w:asciiTheme="minorHAnsi" w:hAnsiTheme="minorHAnsi" w:cstheme="minorHAnsi"/>
                <w:sz w:val="22"/>
                <w:szCs w:val="22"/>
                <w:lang w:val="en-US"/>
              </w:rPr>
              <w:t xml:space="preserve"> </w:t>
            </w:r>
          </w:p>
        </w:tc>
      </w:tr>
      <w:tr w:rsidR="003841DA" w:rsidRPr="00392E34" w14:paraId="3A728473" w14:textId="77777777" w:rsidTr="00485DF1">
        <w:tc>
          <w:tcPr>
            <w:tcW w:w="2260" w:type="pct"/>
          </w:tcPr>
          <w:p w14:paraId="29FE9E5C" w14:textId="77777777" w:rsidR="003841DA" w:rsidRPr="009840B8" w:rsidRDefault="003841DA" w:rsidP="00485DF1">
            <w:pPr>
              <w:pStyle w:val="TextoTablaIzquierda"/>
              <w:rPr>
                <w:rFonts w:asciiTheme="minorHAnsi" w:hAnsiTheme="minorHAnsi" w:cstheme="minorHAnsi"/>
                <w:b/>
                <w:i/>
                <w:sz w:val="22"/>
                <w:szCs w:val="22"/>
                <w:lang w:val="en-US"/>
              </w:rPr>
            </w:pPr>
            <w:r w:rsidRPr="00DD320B">
              <w:rPr>
                <w:rFonts w:asciiTheme="minorHAnsi" w:hAnsiTheme="minorHAnsi" w:cstheme="minorHAnsi"/>
                <w:sz w:val="20"/>
                <w:szCs w:val="20"/>
                <w:lang w:val="en-US"/>
              </w:rPr>
              <w:t>Cooperative Housing Foundation (Global Communities)</w:t>
            </w:r>
          </w:p>
        </w:tc>
        <w:tc>
          <w:tcPr>
            <w:tcW w:w="2740" w:type="pct"/>
          </w:tcPr>
          <w:p w14:paraId="280DF4BB" w14:textId="77777777" w:rsidR="003841DA" w:rsidRPr="00B75190" w:rsidRDefault="003841DA" w:rsidP="00485DF1">
            <w:pPr>
              <w:pStyle w:val="TextoTablaIzquierda"/>
              <w:rPr>
                <w:rFonts w:asciiTheme="minorHAnsi" w:hAnsiTheme="minorHAnsi" w:cstheme="minorHAnsi"/>
                <w:sz w:val="20"/>
                <w:szCs w:val="20"/>
                <w:lang w:val="es-419"/>
              </w:rPr>
            </w:pPr>
            <w:r w:rsidRPr="00B75190">
              <w:rPr>
                <w:rFonts w:asciiTheme="minorHAnsi" w:hAnsiTheme="minorHAnsi" w:cstheme="minorHAnsi"/>
                <w:sz w:val="20"/>
                <w:szCs w:val="20"/>
                <w:lang w:val="es-419"/>
              </w:rPr>
              <w:t>Dr. Mario Cooper/Eva Karina Mejía</w:t>
            </w:r>
          </w:p>
        </w:tc>
      </w:tr>
      <w:tr w:rsidR="003841DA" w:rsidRPr="009840B8" w14:paraId="543AEA5A" w14:textId="77777777" w:rsidTr="00485DF1">
        <w:tc>
          <w:tcPr>
            <w:tcW w:w="5000" w:type="pct"/>
            <w:gridSpan w:val="2"/>
            <w:shd w:val="clear" w:color="auto" w:fill="E7E6E6" w:themeFill="background2"/>
          </w:tcPr>
          <w:p w14:paraId="564FF370" w14:textId="77777777" w:rsidR="003841DA" w:rsidRPr="009840B8" w:rsidRDefault="003841DA" w:rsidP="00485DF1">
            <w:pPr>
              <w:pStyle w:val="TextoTablaIzquierda"/>
              <w:rPr>
                <w:rFonts w:asciiTheme="minorHAnsi" w:hAnsiTheme="minorHAnsi" w:cstheme="minorHAnsi"/>
                <w:sz w:val="22"/>
                <w:szCs w:val="22"/>
                <w:lang w:val="es-419"/>
              </w:rPr>
            </w:pPr>
            <w:r w:rsidRPr="00E044D3">
              <w:rPr>
                <w:rFonts w:asciiTheme="minorHAnsi" w:hAnsiTheme="minorHAnsi" w:cstheme="minorHAnsi"/>
                <w:b/>
                <w:i/>
                <w:sz w:val="22"/>
                <w:szCs w:val="22"/>
                <w:lang w:val="es-419"/>
              </w:rPr>
              <w:t>Receptor Principal TB</w:t>
            </w:r>
          </w:p>
        </w:tc>
      </w:tr>
      <w:tr w:rsidR="003841DA" w:rsidRPr="00392E34" w14:paraId="7451B577" w14:textId="77777777" w:rsidTr="00485DF1">
        <w:tc>
          <w:tcPr>
            <w:tcW w:w="2260" w:type="pct"/>
          </w:tcPr>
          <w:p w14:paraId="733D504A" w14:textId="77777777" w:rsidR="003841DA" w:rsidRPr="00E044D3" w:rsidRDefault="003841DA" w:rsidP="00485DF1">
            <w:pPr>
              <w:pStyle w:val="TextoTablaIzquierda"/>
              <w:rPr>
                <w:rFonts w:asciiTheme="minorHAnsi" w:hAnsiTheme="minorHAnsi" w:cstheme="minorHAnsi"/>
                <w:b/>
                <w:i/>
                <w:sz w:val="22"/>
                <w:szCs w:val="22"/>
                <w:lang w:val="es-419"/>
              </w:rPr>
            </w:pPr>
            <w:r w:rsidRPr="00DD320B">
              <w:rPr>
                <w:rFonts w:asciiTheme="minorHAnsi" w:hAnsiTheme="minorHAnsi" w:cstheme="minorHAnsi"/>
                <w:sz w:val="20"/>
                <w:szCs w:val="20"/>
                <w:lang w:val="es-419"/>
              </w:rPr>
              <w:t>UAFCE, SESAL</w:t>
            </w:r>
          </w:p>
        </w:tc>
        <w:tc>
          <w:tcPr>
            <w:tcW w:w="2740" w:type="pct"/>
          </w:tcPr>
          <w:p w14:paraId="123E1FAC" w14:textId="77777777" w:rsidR="003841DA" w:rsidRPr="000013AF" w:rsidRDefault="003841DA" w:rsidP="00485DF1">
            <w:pPr>
              <w:pStyle w:val="TextoTablaIzquierda"/>
              <w:rPr>
                <w:rFonts w:asciiTheme="minorHAnsi" w:hAnsiTheme="minorHAnsi" w:cstheme="minorHAnsi"/>
                <w:sz w:val="20"/>
                <w:szCs w:val="20"/>
                <w:lang w:val="es-419"/>
              </w:rPr>
            </w:pPr>
            <w:r w:rsidRPr="000013AF">
              <w:rPr>
                <w:rFonts w:asciiTheme="minorHAnsi" w:hAnsiTheme="minorHAnsi" w:cstheme="minorHAnsi"/>
                <w:sz w:val="20"/>
                <w:szCs w:val="20"/>
                <w:lang w:val="es-419"/>
              </w:rPr>
              <w:t>Dra. Mirna Moreno, Directora de la UAFCE</w:t>
            </w:r>
          </w:p>
        </w:tc>
      </w:tr>
      <w:tr w:rsidR="003841DA" w:rsidRPr="009840B8" w14:paraId="388C2B1B" w14:textId="77777777" w:rsidTr="00485DF1">
        <w:tc>
          <w:tcPr>
            <w:tcW w:w="5000" w:type="pct"/>
            <w:gridSpan w:val="2"/>
            <w:shd w:val="clear" w:color="auto" w:fill="E7E6E6" w:themeFill="background2"/>
          </w:tcPr>
          <w:p w14:paraId="7DAB87F8" w14:textId="77777777" w:rsidR="003841DA" w:rsidRPr="009840B8" w:rsidRDefault="003841DA" w:rsidP="00485DF1">
            <w:pPr>
              <w:pStyle w:val="TextoTablaIzquierda"/>
              <w:rPr>
                <w:rFonts w:asciiTheme="minorHAnsi" w:hAnsiTheme="minorHAnsi" w:cstheme="minorHAnsi"/>
                <w:sz w:val="22"/>
                <w:szCs w:val="22"/>
                <w:lang w:val="es-419"/>
              </w:rPr>
            </w:pPr>
            <w:r w:rsidRPr="00E044D3">
              <w:rPr>
                <w:rFonts w:asciiTheme="minorHAnsi" w:hAnsiTheme="minorHAnsi" w:cstheme="minorHAnsi"/>
                <w:b/>
                <w:i/>
                <w:sz w:val="22"/>
                <w:szCs w:val="22"/>
                <w:lang w:val="es-419"/>
              </w:rPr>
              <w:t>Cooperación Internacional</w:t>
            </w:r>
          </w:p>
        </w:tc>
      </w:tr>
      <w:tr w:rsidR="003841DA" w:rsidRPr="00A6745D" w14:paraId="25ED748D" w14:textId="77777777" w:rsidTr="00485DF1">
        <w:tc>
          <w:tcPr>
            <w:tcW w:w="2260" w:type="pct"/>
          </w:tcPr>
          <w:p w14:paraId="745E87F1" w14:textId="77777777" w:rsidR="003841DA" w:rsidRPr="00DD320B" w:rsidRDefault="003841DA" w:rsidP="00485DF1">
            <w:pPr>
              <w:pStyle w:val="TextoTablaIzquierda"/>
              <w:rPr>
                <w:rFonts w:asciiTheme="minorHAnsi" w:hAnsiTheme="minorHAnsi" w:cstheme="minorHAnsi"/>
                <w:sz w:val="20"/>
                <w:szCs w:val="20"/>
                <w:lang w:val="es-419"/>
              </w:rPr>
            </w:pPr>
            <w:r w:rsidRPr="00DD320B">
              <w:rPr>
                <w:rFonts w:asciiTheme="minorHAnsi" w:hAnsiTheme="minorHAnsi" w:cstheme="minorHAnsi"/>
                <w:sz w:val="20"/>
                <w:szCs w:val="20"/>
                <w:lang w:val="es-419"/>
              </w:rPr>
              <w:t xml:space="preserve">Fondo Mundial </w:t>
            </w:r>
          </w:p>
        </w:tc>
        <w:tc>
          <w:tcPr>
            <w:tcW w:w="2740" w:type="pct"/>
          </w:tcPr>
          <w:p w14:paraId="69922049" w14:textId="4BAD83EC" w:rsidR="003841DA" w:rsidRPr="00A6745D" w:rsidRDefault="00A6745D" w:rsidP="00485DF1">
            <w:pPr>
              <w:pStyle w:val="TextoTablaIzquierda"/>
              <w:rPr>
                <w:rFonts w:asciiTheme="minorHAnsi" w:hAnsiTheme="minorHAnsi" w:cstheme="minorHAnsi"/>
                <w:sz w:val="20"/>
                <w:szCs w:val="20"/>
                <w:lang w:val="es-MX"/>
              </w:rPr>
            </w:pPr>
            <w:r w:rsidRPr="00A6745D">
              <w:rPr>
                <w:rFonts w:asciiTheme="minorHAnsi" w:hAnsiTheme="minorHAnsi" w:cstheme="minorHAnsi"/>
                <w:sz w:val="20"/>
                <w:szCs w:val="20"/>
                <w:lang w:val="es-MX"/>
              </w:rPr>
              <w:t>Paul Bonilla, Delphine De Quina, R</w:t>
            </w:r>
            <w:r>
              <w:rPr>
                <w:rFonts w:asciiTheme="minorHAnsi" w:hAnsiTheme="minorHAnsi" w:cstheme="minorHAnsi"/>
                <w:sz w:val="20"/>
                <w:szCs w:val="20"/>
                <w:lang w:val="es-MX"/>
              </w:rPr>
              <w:t>ene Bangert</w:t>
            </w:r>
          </w:p>
        </w:tc>
      </w:tr>
      <w:tr w:rsidR="003841DA" w:rsidRPr="00392E34" w14:paraId="4946CAF9" w14:textId="77777777" w:rsidTr="00485DF1">
        <w:tc>
          <w:tcPr>
            <w:tcW w:w="2260" w:type="pct"/>
          </w:tcPr>
          <w:p w14:paraId="219D0B82" w14:textId="6E405A0F" w:rsidR="003841DA" w:rsidRPr="00DD320B" w:rsidRDefault="003841DA" w:rsidP="00485DF1">
            <w:pPr>
              <w:pStyle w:val="TextoTablaIzquierda"/>
              <w:rPr>
                <w:rFonts w:asciiTheme="minorHAnsi" w:hAnsiTheme="minorHAnsi" w:cstheme="minorHAnsi"/>
                <w:sz w:val="20"/>
                <w:szCs w:val="20"/>
                <w:lang w:val="es-419"/>
              </w:rPr>
            </w:pPr>
            <w:r w:rsidRPr="00DD320B">
              <w:rPr>
                <w:rFonts w:asciiTheme="minorHAnsi" w:hAnsiTheme="minorHAnsi" w:cstheme="minorHAnsi"/>
                <w:sz w:val="20"/>
                <w:szCs w:val="20"/>
                <w:lang w:val="es-419"/>
              </w:rPr>
              <w:t>CDC/PEPFAR y USAID</w:t>
            </w:r>
          </w:p>
        </w:tc>
        <w:tc>
          <w:tcPr>
            <w:tcW w:w="2740" w:type="pct"/>
          </w:tcPr>
          <w:p w14:paraId="20CF3C3E" w14:textId="77777777" w:rsidR="003841DA" w:rsidRPr="00B75190" w:rsidRDefault="003841DA" w:rsidP="00485DF1">
            <w:pPr>
              <w:pStyle w:val="TextoTablaIzquierda"/>
              <w:rPr>
                <w:rFonts w:asciiTheme="minorHAnsi" w:hAnsiTheme="minorHAnsi" w:cstheme="minorHAnsi"/>
                <w:sz w:val="20"/>
                <w:szCs w:val="20"/>
                <w:lang w:val="es-419"/>
              </w:rPr>
            </w:pPr>
            <w:r w:rsidRPr="00B75190">
              <w:rPr>
                <w:rFonts w:asciiTheme="minorHAnsi" w:hAnsiTheme="minorHAnsi" w:cstheme="minorHAnsi"/>
                <w:sz w:val="20"/>
                <w:szCs w:val="20"/>
                <w:lang w:val="es-419"/>
              </w:rPr>
              <w:t>Nasim Farch, Representante de USAID</w:t>
            </w:r>
          </w:p>
        </w:tc>
      </w:tr>
      <w:tr w:rsidR="003841DA" w:rsidRPr="00E17B3B" w14:paraId="3B3F403D" w14:textId="77777777" w:rsidTr="00485DF1">
        <w:tc>
          <w:tcPr>
            <w:tcW w:w="2260" w:type="pct"/>
          </w:tcPr>
          <w:p w14:paraId="3BE591FE" w14:textId="7E1B094A" w:rsidR="003841DA" w:rsidRPr="00DD320B" w:rsidRDefault="003841DA" w:rsidP="00485DF1">
            <w:pPr>
              <w:pStyle w:val="TextoTablaIzquierda"/>
              <w:rPr>
                <w:rFonts w:asciiTheme="minorHAnsi" w:hAnsiTheme="minorHAnsi" w:cstheme="minorHAnsi"/>
                <w:sz w:val="20"/>
                <w:szCs w:val="20"/>
                <w:lang w:val="es-419"/>
              </w:rPr>
            </w:pPr>
            <w:r w:rsidRPr="00DD320B">
              <w:rPr>
                <w:rFonts w:asciiTheme="minorHAnsi" w:hAnsiTheme="minorHAnsi" w:cstheme="minorHAnsi"/>
                <w:sz w:val="20"/>
                <w:szCs w:val="20"/>
                <w:lang w:val="es-419"/>
              </w:rPr>
              <w:t>OPS</w:t>
            </w:r>
          </w:p>
        </w:tc>
        <w:tc>
          <w:tcPr>
            <w:tcW w:w="2740" w:type="pct"/>
          </w:tcPr>
          <w:p w14:paraId="711E8773" w14:textId="77777777" w:rsidR="003841DA" w:rsidRPr="00B75190" w:rsidRDefault="003841DA" w:rsidP="00485DF1">
            <w:pPr>
              <w:rPr>
                <w:rFonts w:cstheme="minorHAnsi"/>
                <w:sz w:val="20"/>
                <w:szCs w:val="20"/>
                <w:lang w:val="es-419"/>
              </w:rPr>
            </w:pPr>
            <w:r w:rsidRPr="00B75190">
              <w:rPr>
                <w:rFonts w:cstheme="minorHAnsi"/>
                <w:sz w:val="20"/>
                <w:szCs w:val="20"/>
                <w:lang w:val="es-419"/>
              </w:rPr>
              <w:t>Piedad Huerta, Representante de OPS/OMS</w:t>
            </w:r>
            <w:r>
              <w:rPr>
                <w:rFonts w:cstheme="minorHAnsi"/>
                <w:sz w:val="20"/>
                <w:szCs w:val="20"/>
                <w:lang w:val="es-419"/>
              </w:rPr>
              <w:t xml:space="preserve">; </w:t>
            </w:r>
            <w:r w:rsidRPr="00B75190">
              <w:rPr>
                <w:rFonts w:cstheme="minorHAnsi"/>
                <w:sz w:val="20"/>
                <w:szCs w:val="20"/>
                <w:lang w:val="es-419"/>
              </w:rPr>
              <w:t>Lic. Validia, experto en sostenibilidad</w:t>
            </w:r>
          </w:p>
        </w:tc>
      </w:tr>
      <w:tr w:rsidR="003841DA" w:rsidRPr="009840B8" w14:paraId="46345B81" w14:textId="77777777" w:rsidTr="00485DF1">
        <w:tc>
          <w:tcPr>
            <w:tcW w:w="2260" w:type="pct"/>
          </w:tcPr>
          <w:p w14:paraId="082CD79D" w14:textId="77777777" w:rsidR="003841DA" w:rsidRPr="00DD320B" w:rsidRDefault="003841DA" w:rsidP="00485DF1">
            <w:pPr>
              <w:pStyle w:val="TextoTablaIzquierda"/>
              <w:rPr>
                <w:rFonts w:asciiTheme="minorHAnsi" w:hAnsiTheme="minorHAnsi" w:cstheme="minorHAnsi"/>
                <w:sz w:val="20"/>
                <w:szCs w:val="20"/>
                <w:lang w:val="es-419"/>
              </w:rPr>
            </w:pPr>
            <w:r>
              <w:rPr>
                <w:rFonts w:asciiTheme="minorHAnsi" w:hAnsiTheme="minorHAnsi" w:cstheme="minorHAnsi"/>
                <w:sz w:val="20"/>
                <w:szCs w:val="20"/>
                <w:lang w:val="es-419"/>
              </w:rPr>
              <w:t>ONUSIDA</w:t>
            </w:r>
          </w:p>
        </w:tc>
        <w:tc>
          <w:tcPr>
            <w:tcW w:w="2740" w:type="pct"/>
          </w:tcPr>
          <w:p w14:paraId="3B585151" w14:textId="77777777" w:rsidR="003841DA" w:rsidRPr="00B75190" w:rsidRDefault="003841DA" w:rsidP="00485DF1">
            <w:pPr>
              <w:pStyle w:val="TextoTablaIzquierda"/>
              <w:rPr>
                <w:rFonts w:asciiTheme="minorHAnsi" w:hAnsiTheme="minorHAnsi" w:cstheme="minorHAnsi"/>
                <w:sz w:val="20"/>
                <w:szCs w:val="20"/>
                <w:lang w:val="es-419"/>
              </w:rPr>
            </w:pPr>
            <w:r w:rsidRPr="00B75190">
              <w:rPr>
                <w:rFonts w:asciiTheme="minorHAnsi" w:hAnsiTheme="minorHAnsi" w:cstheme="minorHAnsi"/>
                <w:sz w:val="20"/>
                <w:szCs w:val="20"/>
                <w:lang w:val="es-419"/>
              </w:rPr>
              <w:t>Alejandra Corao, representante</w:t>
            </w:r>
          </w:p>
        </w:tc>
      </w:tr>
      <w:tr w:rsidR="003841DA" w:rsidRPr="009840B8" w14:paraId="648AB6FB" w14:textId="77777777" w:rsidTr="00485DF1">
        <w:trPr>
          <w:trHeight w:val="56"/>
        </w:trPr>
        <w:tc>
          <w:tcPr>
            <w:tcW w:w="2260" w:type="pct"/>
          </w:tcPr>
          <w:p w14:paraId="61A73DDA" w14:textId="77777777" w:rsidR="003841DA" w:rsidRDefault="003841DA" w:rsidP="00485DF1">
            <w:pPr>
              <w:pStyle w:val="TextoTablaIzquierda"/>
              <w:rPr>
                <w:rFonts w:asciiTheme="minorHAnsi" w:hAnsiTheme="minorHAnsi" w:cstheme="minorHAnsi"/>
                <w:sz w:val="20"/>
                <w:szCs w:val="20"/>
                <w:lang w:val="es-419"/>
              </w:rPr>
            </w:pPr>
            <w:r>
              <w:rPr>
                <w:rFonts w:asciiTheme="minorHAnsi" w:hAnsiTheme="minorHAnsi" w:cstheme="minorHAnsi"/>
                <w:sz w:val="20"/>
                <w:szCs w:val="20"/>
                <w:lang w:val="es-419"/>
              </w:rPr>
              <w:t>PNUD</w:t>
            </w:r>
          </w:p>
        </w:tc>
        <w:tc>
          <w:tcPr>
            <w:tcW w:w="2740" w:type="pct"/>
          </w:tcPr>
          <w:p w14:paraId="67FCB3CD" w14:textId="77777777" w:rsidR="003841DA" w:rsidRPr="00B75190" w:rsidRDefault="003841DA" w:rsidP="00485DF1">
            <w:pPr>
              <w:pStyle w:val="TextoTablaIzquierda"/>
              <w:rPr>
                <w:rFonts w:asciiTheme="minorHAnsi" w:hAnsiTheme="minorHAnsi" w:cstheme="minorHAnsi"/>
                <w:sz w:val="20"/>
                <w:szCs w:val="20"/>
                <w:lang w:val="es-419"/>
              </w:rPr>
            </w:pPr>
            <w:r w:rsidRPr="00B75190">
              <w:rPr>
                <w:rFonts w:asciiTheme="minorHAnsi" w:hAnsiTheme="minorHAnsi" w:cstheme="minorHAnsi"/>
                <w:sz w:val="20"/>
                <w:szCs w:val="20"/>
                <w:lang w:val="es-419"/>
              </w:rPr>
              <w:t>Igor Garafullic, Representante</w:t>
            </w:r>
          </w:p>
        </w:tc>
      </w:tr>
      <w:tr w:rsidR="003841DA" w:rsidRPr="00392E34" w14:paraId="4BA4CA75" w14:textId="77777777" w:rsidTr="00485DF1">
        <w:tc>
          <w:tcPr>
            <w:tcW w:w="2260" w:type="pct"/>
          </w:tcPr>
          <w:p w14:paraId="389AB086" w14:textId="77777777" w:rsidR="003841DA" w:rsidRDefault="003841DA" w:rsidP="00485DF1">
            <w:pPr>
              <w:pStyle w:val="TextoTablaIzquierda"/>
              <w:rPr>
                <w:rFonts w:asciiTheme="minorHAnsi" w:hAnsiTheme="minorHAnsi" w:cstheme="minorHAnsi"/>
                <w:sz w:val="20"/>
                <w:szCs w:val="20"/>
                <w:lang w:val="es-419"/>
              </w:rPr>
            </w:pPr>
            <w:r>
              <w:rPr>
                <w:rFonts w:asciiTheme="minorHAnsi" w:hAnsiTheme="minorHAnsi" w:cstheme="minorHAnsi"/>
                <w:sz w:val="20"/>
                <w:szCs w:val="20"/>
                <w:lang w:val="es-419"/>
              </w:rPr>
              <w:t xml:space="preserve">Plan Internacional </w:t>
            </w:r>
          </w:p>
        </w:tc>
        <w:tc>
          <w:tcPr>
            <w:tcW w:w="2740" w:type="pct"/>
          </w:tcPr>
          <w:p w14:paraId="2172C964" w14:textId="77777777" w:rsidR="003841DA" w:rsidRPr="00B75190" w:rsidRDefault="003841DA" w:rsidP="00485DF1">
            <w:pPr>
              <w:pStyle w:val="TextoTablaIzquierda"/>
              <w:rPr>
                <w:rFonts w:asciiTheme="minorHAnsi" w:hAnsiTheme="minorHAnsi" w:cstheme="minorHAnsi"/>
                <w:sz w:val="20"/>
                <w:szCs w:val="20"/>
                <w:lang w:val="es-419"/>
              </w:rPr>
            </w:pPr>
            <w:r w:rsidRPr="00B75190">
              <w:rPr>
                <w:rFonts w:asciiTheme="minorHAnsi" w:hAnsiTheme="minorHAnsi" w:cstheme="minorHAnsi"/>
                <w:sz w:val="20"/>
                <w:szCs w:val="20"/>
                <w:lang w:val="es-419"/>
              </w:rPr>
              <w:t>Eduardo Retes, Coordinador del Proyecto Plan Internacional</w:t>
            </w:r>
          </w:p>
        </w:tc>
      </w:tr>
      <w:tr w:rsidR="003841DA" w:rsidRPr="009840B8" w14:paraId="3CD22305" w14:textId="77777777" w:rsidTr="00485DF1">
        <w:tc>
          <w:tcPr>
            <w:tcW w:w="5000" w:type="pct"/>
            <w:gridSpan w:val="2"/>
            <w:shd w:val="clear" w:color="auto" w:fill="E7E6E6" w:themeFill="background2"/>
          </w:tcPr>
          <w:p w14:paraId="0BF7CF23" w14:textId="77777777" w:rsidR="003841DA" w:rsidRPr="00DD320B" w:rsidRDefault="003841DA" w:rsidP="00485DF1">
            <w:pPr>
              <w:pStyle w:val="TextoTablaIzquierda"/>
              <w:rPr>
                <w:rFonts w:asciiTheme="minorHAnsi" w:hAnsiTheme="minorHAnsi" w:cstheme="minorHAnsi"/>
                <w:b/>
                <w:i/>
                <w:sz w:val="22"/>
                <w:szCs w:val="22"/>
                <w:lang w:val="es-419"/>
              </w:rPr>
            </w:pPr>
            <w:r w:rsidRPr="00DD320B">
              <w:rPr>
                <w:rFonts w:asciiTheme="minorHAnsi" w:hAnsiTheme="minorHAnsi" w:cstheme="minorHAnsi"/>
                <w:b/>
                <w:i/>
                <w:sz w:val="22"/>
                <w:szCs w:val="22"/>
                <w:lang w:val="es-419"/>
              </w:rPr>
              <w:t xml:space="preserve">Sociedad civil </w:t>
            </w:r>
          </w:p>
        </w:tc>
      </w:tr>
      <w:tr w:rsidR="003841DA" w:rsidRPr="009840B8" w14:paraId="471427AD" w14:textId="77777777" w:rsidTr="00485DF1">
        <w:tc>
          <w:tcPr>
            <w:tcW w:w="2260" w:type="pct"/>
          </w:tcPr>
          <w:p w14:paraId="64963E39" w14:textId="77777777" w:rsidR="003841DA" w:rsidRPr="00CA2725" w:rsidRDefault="003841DA" w:rsidP="00485DF1">
            <w:pPr>
              <w:pStyle w:val="TextoTablaIzquierda"/>
              <w:rPr>
                <w:rFonts w:asciiTheme="minorHAnsi" w:hAnsiTheme="minorHAnsi" w:cstheme="minorHAnsi"/>
                <w:sz w:val="20"/>
                <w:szCs w:val="20"/>
                <w:lang w:val="es-419"/>
              </w:rPr>
            </w:pPr>
            <w:r w:rsidRPr="00CA2725">
              <w:rPr>
                <w:rFonts w:asciiTheme="minorHAnsi" w:hAnsiTheme="minorHAnsi" w:cstheme="minorHAnsi"/>
                <w:sz w:val="20"/>
                <w:szCs w:val="20"/>
                <w:lang w:val="es-419"/>
              </w:rPr>
              <w:t>ASONAPVSIDAH</w:t>
            </w:r>
          </w:p>
        </w:tc>
        <w:tc>
          <w:tcPr>
            <w:tcW w:w="2740" w:type="pct"/>
          </w:tcPr>
          <w:p w14:paraId="72DDEE84" w14:textId="085355BE" w:rsidR="003841DA" w:rsidRPr="009840B8" w:rsidRDefault="003841DA" w:rsidP="00485DF1">
            <w:pPr>
              <w:pStyle w:val="TextoTablaIzquierda"/>
              <w:rPr>
                <w:rFonts w:asciiTheme="minorHAnsi" w:hAnsiTheme="minorHAnsi" w:cstheme="minorHAnsi"/>
                <w:sz w:val="22"/>
                <w:szCs w:val="22"/>
                <w:lang w:val="es-419"/>
              </w:rPr>
            </w:pPr>
          </w:p>
        </w:tc>
      </w:tr>
      <w:tr w:rsidR="003841DA" w:rsidRPr="009840B8" w14:paraId="35F21F98" w14:textId="77777777" w:rsidTr="00485DF1">
        <w:tc>
          <w:tcPr>
            <w:tcW w:w="2260" w:type="pct"/>
          </w:tcPr>
          <w:p w14:paraId="6B42FD13" w14:textId="77777777" w:rsidR="003841DA" w:rsidRPr="00CA2725" w:rsidRDefault="003841DA" w:rsidP="00485DF1">
            <w:pPr>
              <w:pStyle w:val="TextoTablaIzquierda"/>
              <w:rPr>
                <w:rFonts w:asciiTheme="minorHAnsi" w:hAnsiTheme="minorHAnsi" w:cstheme="minorHAnsi"/>
                <w:sz w:val="20"/>
                <w:szCs w:val="20"/>
                <w:lang w:val="es-419"/>
              </w:rPr>
            </w:pPr>
            <w:r w:rsidRPr="00CA2725">
              <w:rPr>
                <w:rFonts w:asciiTheme="minorHAnsi" w:hAnsiTheme="minorHAnsi" w:cstheme="minorHAnsi"/>
                <w:sz w:val="20"/>
                <w:szCs w:val="20"/>
                <w:lang w:val="es-419"/>
              </w:rPr>
              <w:t xml:space="preserve">Asociación KUKULCAN </w:t>
            </w:r>
          </w:p>
        </w:tc>
        <w:tc>
          <w:tcPr>
            <w:tcW w:w="2740" w:type="pct"/>
          </w:tcPr>
          <w:p w14:paraId="03F3AAF5" w14:textId="000D11B3" w:rsidR="003841DA" w:rsidRPr="00B75190" w:rsidRDefault="003841DA" w:rsidP="00485DF1">
            <w:pPr>
              <w:pStyle w:val="TextoTablaIzquierda"/>
              <w:rPr>
                <w:rFonts w:asciiTheme="minorHAnsi" w:hAnsiTheme="minorHAnsi" w:cstheme="minorHAnsi"/>
                <w:sz w:val="20"/>
                <w:szCs w:val="20"/>
                <w:lang w:val="es-419"/>
              </w:rPr>
            </w:pPr>
          </w:p>
        </w:tc>
      </w:tr>
      <w:tr w:rsidR="003841DA" w:rsidRPr="009840B8" w14:paraId="4CC34F20" w14:textId="77777777" w:rsidTr="00485DF1">
        <w:tc>
          <w:tcPr>
            <w:tcW w:w="2260" w:type="pct"/>
          </w:tcPr>
          <w:p w14:paraId="24B2D29A" w14:textId="77777777" w:rsidR="003841DA" w:rsidRPr="00CA2725" w:rsidRDefault="003841DA" w:rsidP="00485DF1">
            <w:pPr>
              <w:pStyle w:val="TextoTablaIzquierda"/>
              <w:rPr>
                <w:rFonts w:asciiTheme="minorHAnsi" w:hAnsiTheme="minorHAnsi" w:cstheme="minorHAnsi"/>
                <w:sz w:val="20"/>
                <w:szCs w:val="20"/>
                <w:lang w:val="es-419"/>
              </w:rPr>
            </w:pPr>
            <w:r w:rsidRPr="00CA2725">
              <w:rPr>
                <w:rFonts w:asciiTheme="minorHAnsi" w:hAnsiTheme="minorHAnsi" w:cstheme="minorHAnsi"/>
                <w:sz w:val="20"/>
                <w:szCs w:val="20"/>
                <w:lang w:val="es-419"/>
              </w:rPr>
              <w:t>Asociación Colectivo Violeta</w:t>
            </w:r>
          </w:p>
        </w:tc>
        <w:tc>
          <w:tcPr>
            <w:tcW w:w="2740" w:type="pct"/>
          </w:tcPr>
          <w:p w14:paraId="7B462340" w14:textId="106CB1EF" w:rsidR="003841DA" w:rsidRPr="00B75190" w:rsidRDefault="003841DA" w:rsidP="00485DF1">
            <w:pPr>
              <w:pStyle w:val="TextoTablaIzquierda"/>
              <w:rPr>
                <w:rFonts w:asciiTheme="minorHAnsi" w:hAnsiTheme="minorHAnsi" w:cstheme="minorHAnsi"/>
                <w:sz w:val="20"/>
                <w:szCs w:val="20"/>
                <w:lang w:val="es-419"/>
              </w:rPr>
            </w:pPr>
          </w:p>
        </w:tc>
      </w:tr>
      <w:tr w:rsidR="003841DA" w:rsidRPr="009840B8" w14:paraId="229335D8" w14:textId="77777777" w:rsidTr="00485DF1">
        <w:tc>
          <w:tcPr>
            <w:tcW w:w="2260" w:type="pct"/>
          </w:tcPr>
          <w:p w14:paraId="7BBF68A5" w14:textId="77777777" w:rsidR="003841DA" w:rsidRPr="00CA2725" w:rsidRDefault="003841DA" w:rsidP="00485DF1">
            <w:pPr>
              <w:pStyle w:val="TextoTablaIzquierda"/>
              <w:rPr>
                <w:rFonts w:asciiTheme="minorHAnsi" w:hAnsiTheme="minorHAnsi" w:cstheme="minorHAnsi"/>
                <w:sz w:val="20"/>
                <w:szCs w:val="20"/>
                <w:lang w:val="es-419"/>
              </w:rPr>
            </w:pPr>
            <w:r w:rsidRPr="00CA2725">
              <w:rPr>
                <w:rFonts w:asciiTheme="minorHAnsi" w:hAnsiTheme="minorHAnsi" w:cstheme="minorHAnsi"/>
                <w:sz w:val="20"/>
                <w:szCs w:val="20"/>
                <w:lang w:val="es-419"/>
              </w:rPr>
              <w:t>Colectivo Unidad Color Rosa</w:t>
            </w:r>
          </w:p>
        </w:tc>
        <w:tc>
          <w:tcPr>
            <w:tcW w:w="2740" w:type="pct"/>
          </w:tcPr>
          <w:p w14:paraId="791E82F7" w14:textId="34F2D041" w:rsidR="003841DA" w:rsidRPr="00B75190" w:rsidRDefault="003841DA" w:rsidP="00485DF1">
            <w:pPr>
              <w:pStyle w:val="TextoTablaIzquierda"/>
              <w:rPr>
                <w:rFonts w:asciiTheme="minorHAnsi" w:hAnsiTheme="minorHAnsi" w:cstheme="minorHAnsi"/>
                <w:sz w:val="20"/>
                <w:szCs w:val="20"/>
                <w:lang w:val="es-419"/>
              </w:rPr>
            </w:pPr>
          </w:p>
        </w:tc>
      </w:tr>
      <w:tr w:rsidR="003841DA" w:rsidRPr="009840B8" w14:paraId="5581BD42" w14:textId="77777777" w:rsidTr="00485DF1">
        <w:tc>
          <w:tcPr>
            <w:tcW w:w="2260" w:type="pct"/>
          </w:tcPr>
          <w:p w14:paraId="0485598B" w14:textId="77777777" w:rsidR="003841DA" w:rsidRPr="00CA2725" w:rsidRDefault="003841DA" w:rsidP="00485DF1">
            <w:pPr>
              <w:pStyle w:val="TextoTablaIzquierda"/>
              <w:rPr>
                <w:rFonts w:asciiTheme="minorHAnsi" w:hAnsiTheme="minorHAnsi" w:cstheme="minorHAnsi"/>
                <w:sz w:val="20"/>
                <w:szCs w:val="20"/>
                <w:lang w:val="es-419"/>
              </w:rPr>
            </w:pPr>
            <w:r w:rsidRPr="00CA2725">
              <w:rPr>
                <w:rFonts w:asciiTheme="minorHAnsi" w:hAnsiTheme="minorHAnsi" w:cstheme="minorHAnsi"/>
                <w:sz w:val="20"/>
                <w:szCs w:val="20"/>
                <w:lang w:val="es-419"/>
              </w:rPr>
              <w:t>Fundación Llaves </w:t>
            </w:r>
          </w:p>
        </w:tc>
        <w:tc>
          <w:tcPr>
            <w:tcW w:w="2740" w:type="pct"/>
          </w:tcPr>
          <w:p w14:paraId="0AC8D435" w14:textId="622C181C" w:rsidR="003841DA" w:rsidRPr="009840B8" w:rsidRDefault="003841DA" w:rsidP="00485DF1">
            <w:pPr>
              <w:pStyle w:val="TextoTablaIzquierda"/>
              <w:rPr>
                <w:rFonts w:asciiTheme="minorHAnsi" w:hAnsiTheme="minorHAnsi" w:cstheme="minorHAnsi"/>
                <w:sz w:val="22"/>
                <w:szCs w:val="22"/>
                <w:lang w:val="es-419"/>
              </w:rPr>
            </w:pPr>
          </w:p>
        </w:tc>
      </w:tr>
      <w:tr w:rsidR="003841DA" w:rsidRPr="009840B8" w14:paraId="2B5676E3" w14:textId="77777777" w:rsidTr="00485DF1">
        <w:tc>
          <w:tcPr>
            <w:tcW w:w="2260" w:type="pct"/>
          </w:tcPr>
          <w:p w14:paraId="6D467C2B" w14:textId="77777777" w:rsidR="003841DA" w:rsidRPr="00CA2725" w:rsidRDefault="003841DA" w:rsidP="00485DF1">
            <w:pPr>
              <w:pStyle w:val="TextoTablaIzquierda"/>
              <w:rPr>
                <w:rFonts w:asciiTheme="minorHAnsi" w:hAnsiTheme="minorHAnsi" w:cstheme="minorHAnsi"/>
                <w:sz w:val="20"/>
                <w:szCs w:val="20"/>
                <w:lang w:val="es-419"/>
              </w:rPr>
            </w:pPr>
            <w:r w:rsidRPr="00CA2725">
              <w:rPr>
                <w:rFonts w:asciiTheme="minorHAnsi" w:hAnsiTheme="minorHAnsi" w:cstheme="minorHAnsi"/>
                <w:sz w:val="20"/>
                <w:szCs w:val="20"/>
                <w:lang w:val="es-419"/>
              </w:rPr>
              <w:t>Coalición Sociedad civil TB</w:t>
            </w:r>
          </w:p>
        </w:tc>
        <w:tc>
          <w:tcPr>
            <w:tcW w:w="2740" w:type="pct"/>
          </w:tcPr>
          <w:p w14:paraId="44166CBD" w14:textId="50A5D146" w:rsidR="003841DA" w:rsidRPr="009840B8" w:rsidRDefault="003841DA" w:rsidP="00485DF1">
            <w:pPr>
              <w:pStyle w:val="TextoTablaIzquierda"/>
              <w:rPr>
                <w:rFonts w:asciiTheme="minorHAnsi" w:hAnsiTheme="minorHAnsi" w:cstheme="minorHAnsi"/>
                <w:sz w:val="22"/>
                <w:szCs w:val="22"/>
                <w:lang w:val="es-419"/>
              </w:rPr>
            </w:pPr>
          </w:p>
        </w:tc>
      </w:tr>
      <w:tr w:rsidR="003841DA" w:rsidRPr="009840B8" w14:paraId="4B3D6D08" w14:textId="77777777" w:rsidTr="00485DF1">
        <w:tc>
          <w:tcPr>
            <w:tcW w:w="2260" w:type="pct"/>
          </w:tcPr>
          <w:p w14:paraId="2F1BAF58" w14:textId="77777777" w:rsidR="003841DA" w:rsidRPr="00CA2725" w:rsidRDefault="003841DA" w:rsidP="00485DF1">
            <w:pPr>
              <w:pStyle w:val="TextoTablaIzquierda"/>
              <w:rPr>
                <w:rFonts w:asciiTheme="minorHAnsi" w:hAnsiTheme="minorHAnsi" w:cstheme="minorHAnsi"/>
                <w:sz w:val="20"/>
                <w:szCs w:val="20"/>
                <w:lang w:val="es-419"/>
              </w:rPr>
            </w:pPr>
            <w:r w:rsidRPr="00CA2725">
              <w:rPr>
                <w:rFonts w:asciiTheme="minorHAnsi" w:hAnsiTheme="minorHAnsi" w:cstheme="minorHAnsi"/>
                <w:sz w:val="20"/>
                <w:szCs w:val="20"/>
                <w:lang w:val="es-419"/>
              </w:rPr>
              <w:t>Red Trans de Tegucigalpa</w:t>
            </w:r>
          </w:p>
        </w:tc>
        <w:tc>
          <w:tcPr>
            <w:tcW w:w="2740" w:type="pct"/>
          </w:tcPr>
          <w:p w14:paraId="54228461" w14:textId="045A41E0" w:rsidR="003841DA" w:rsidRPr="009840B8" w:rsidRDefault="003841DA" w:rsidP="00485DF1">
            <w:pPr>
              <w:pStyle w:val="TextoTablaIzquierda"/>
              <w:rPr>
                <w:rFonts w:asciiTheme="minorHAnsi" w:hAnsiTheme="minorHAnsi" w:cstheme="minorHAnsi"/>
                <w:sz w:val="22"/>
                <w:szCs w:val="22"/>
                <w:lang w:val="es-419"/>
              </w:rPr>
            </w:pPr>
          </w:p>
        </w:tc>
      </w:tr>
      <w:tr w:rsidR="003841DA" w:rsidRPr="00392E34" w14:paraId="363B5A67" w14:textId="77777777" w:rsidTr="00485DF1">
        <w:tc>
          <w:tcPr>
            <w:tcW w:w="2260" w:type="pct"/>
          </w:tcPr>
          <w:p w14:paraId="0E8CA60C" w14:textId="77777777" w:rsidR="003841DA" w:rsidRPr="00CA2725" w:rsidRDefault="003841DA" w:rsidP="00485DF1">
            <w:pPr>
              <w:pStyle w:val="TextoTablaIzquierda"/>
              <w:rPr>
                <w:rFonts w:asciiTheme="minorHAnsi" w:hAnsiTheme="minorHAnsi" w:cstheme="minorHAnsi"/>
                <w:sz w:val="20"/>
                <w:szCs w:val="20"/>
                <w:lang w:val="es-419"/>
              </w:rPr>
            </w:pPr>
            <w:r w:rsidRPr="00CA2725">
              <w:rPr>
                <w:rFonts w:asciiTheme="minorHAnsi" w:hAnsiTheme="minorHAnsi" w:cstheme="minorHAnsi"/>
                <w:sz w:val="20"/>
                <w:szCs w:val="20"/>
                <w:lang w:val="es-419"/>
              </w:rPr>
              <w:t>Centro de Prevención y Educación en Sexualidad (CEPRES) – desapareció</w:t>
            </w:r>
          </w:p>
        </w:tc>
        <w:tc>
          <w:tcPr>
            <w:tcW w:w="2740" w:type="pct"/>
          </w:tcPr>
          <w:p w14:paraId="44CAE18B" w14:textId="77777777" w:rsidR="003841DA" w:rsidRPr="009840B8" w:rsidRDefault="003841DA" w:rsidP="00485DF1">
            <w:pPr>
              <w:pStyle w:val="TextoTablaIzquierda"/>
              <w:rPr>
                <w:rFonts w:asciiTheme="minorHAnsi" w:hAnsiTheme="minorHAnsi" w:cstheme="minorHAnsi"/>
                <w:sz w:val="22"/>
                <w:szCs w:val="22"/>
                <w:lang w:val="es-419"/>
              </w:rPr>
            </w:pPr>
          </w:p>
        </w:tc>
      </w:tr>
      <w:tr w:rsidR="003841DA" w:rsidRPr="00392E34" w14:paraId="67B4B674" w14:textId="77777777" w:rsidTr="00485DF1">
        <w:tc>
          <w:tcPr>
            <w:tcW w:w="2260" w:type="pct"/>
          </w:tcPr>
          <w:p w14:paraId="1E07F125" w14:textId="77777777" w:rsidR="003841DA" w:rsidRPr="00CA2725" w:rsidRDefault="003841DA" w:rsidP="00485DF1">
            <w:pPr>
              <w:pStyle w:val="TextoTablaIzquierda"/>
              <w:rPr>
                <w:rFonts w:asciiTheme="minorHAnsi" w:hAnsiTheme="minorHAnsi" w:cstheme="minorHAnsi"/>
                <w:sz w:val="20"/>
                <w:szCs w:val="20"/>
                <w:lang w:val="es-419"/>
              </w:rPr>
            </w:pPr>
            <w:r w:rsidRPr="00CA2725">
              <w:rPr>
                <w:rFonts w:asciiTheme="minorHAnsi" w:hAnsiTheme="minorHAnsi" w:cstheme="minorHAnsi"/>
                <w:sz w:val="20"/>
                <w:szCs w:val="20"/>
                <w:lang w:val="es-419"/>
              </w:rPr>
              <w:t>Centro de Derechos de Mujeres</w:t>
            </w:r>
          </w:p>
        </w:tc>
        <w:tc>
          <w:tcPr>
            <w:tcW w:w="2740" w:type="pct"/>
          </w:tcPr>
          <w:p w14:paraId="31BAD61C" w14:textId="77777777" w:rsidR="003841DA" w:rsidRPr="009840B8" w:rsidRDefault="003841DA" w:rsidP="00485DF1">
            <w:pPr>
              <w:pStyle w:val="TextoTablaIzquierda"/>
              <w:rPr>
                <w:rFonts w:asciiTheme="minorHAnsi" w:hAnsiTheme="minorHAnsi" w:cstheme="minorHAnsi"/>
                <w:sz w:val="22"/>
                <w:szCs w:val="22"/>
                <w:lang w:val="es-419"/>
              </w:rPr>
            </w:pPr>
          </w:p>
        </w:tc>
      </w:tr>
      <w:tr w:rsidR="003841DA" w:rsidRPr="009840B8" w14:paraId="6232C0BC" w14:textId="77777777" w:rsidTr="00485DF1">
        <w:tc>
          <w:tcPr>
            <w:tcW w:w="2260" w:type="pct"/>
          </w:tcPr>
          <w:p w14:paraId="1AC86885" w14:textId="77777777" w:rsidR="003841DA" w:rsidRPr="00CA2725" w:rsidRDefault="003841DA" w:rsidP="00485DF1">
            <w:pPr>
              <w:pStyle w:val="TextoTablaIzquierda"/>
              <w:rPr>
                <w:rFonts w:asciiTheme="minorHAnsi" w:hAnsiTheme="minorHAnsi" w:cstheme="minorHAnsi"/>
                <w:sz w:val="20"/>
                <w:szCs w:val="20"/>
                <w:lang w:val="es-419"/>
              </w:rPr>
            </w:pPr>
            <w:r w:rsidRPr="00CA2725">
              <w:rPr>
                <w:rFonts w:asciiTheme="minorHAnsi" w:hAnsiTheme="minorHAnsi" w:cstheme="minorHAnsi"/>
                <w:sz w:val="20"/>
                <w:szCs w:val="20"/>
                <w:lang w:val="es-419"/>
              </w:rPr>
              <w:t>FOROSIDA</w:t>
            </w:r>
          </w:p>
        </w:tc>
        <w:tc>
          <w:tcPr>
            <w:tcW w:w="2740" w:type="pct"/>
          </w:tcPr>
          <w:p w14:paraId="155E6AC5" w14:textId="05241F0D" w:rsidR="003841DA" w:rsidRPr="009840B8" w:rsidRDefault="003841DA" w:rsidP="00485DF1">
            <w:pPr>
              <w:pStyle w:val="TextoTablaIzquierda"/>
              <w:rPr>
                <w:rFonts w:asciiTheme="minorHAnsi" w:hAnsiTheme="minorHAnsi" w:cstheme="minorHAnsi"/>
                <w:sz w:val="22"/>
                <w:szCs w:val="22"/>
                <w:lang w:val="es-419"/>
              </w:rPr>
            </w:pPr>
          </w:p>
        </w:tc>
      </w:tr>
      <w:tr w:rsidR="003841DA" w:rsidRPr="009840B8" w14:paraId="64DCF733" w14:textId="77777777" w:rsidTr="00485DF1">
        <w:tc>
          <w:tcPr>
            <w:tcW w:w="5000" w:type="pct"/>
            <w:gridSpan w:val="2"/>
            <w:shd w:val="clear" w:color="auto" w:fill="E7E6E6" w:themeFill="background2"/>
          </w:tcPr>
          <w:p w14:paraId="5018DCD7" w14:textId="77777777" w:rsidR="003841DA" w:rsidRPr="009840B8" w:rsidRDefault="003841DA" w:rsidP="00485DF1">
            <w:pPr>
              <w:pStyle w:val="TextoTablaIzquierda"/>
              <w:rPr>
                <w:rFonts w:asciiTheme="minorHAnsi" w:hAnsiTheme="minorHAnsi" w:cstheme="minorHAnsi"/>
                <w:sz w:val="22"/>
                <w:szCs w:val="22"/>
                <w:lang w:val="es-419"/>
              </w:rPr>
            </w:pPr>
            <w:bookmarkStart w:id="148" w:name="_Hlk532480681"/>
            <w:r w:rsidRPr="00DD320B">
              <w:rPr>
                <w:rFonts w:asciiTheme="minorHAnsi" w:hAnsiTheme="minorHAnsi" w:cstheme="minorHAnsi"/>
                <w:b/>
                <w:i/>
                <w:sz w:val="22"/>
                <w:szCs w:val="22"/>
                <w:lang w:val="es-419"/>
              </w:rPr>
              <w:lastRenderedPageBreak/>
              <w:t>Entidades de coordinación</w:t>
            </w:r>
          </w:p>
        </w:tc>
      </w:tr>
      <w:tr w:rsidR="003841DA" w:rsidRPr="009840B8" w14:paraId="72850F13" w14:textId="77777777" w:rsidTr="00485DF1">
        <w:tc>
          <w:tcPr>
            <w:tcW w:w="2260" w:type="pct"/>
          </w:tcPr>
          <w:p w14:paraId="0C044A3B" w14:textId="77777777" w:rsidR="003841DA" w:rsidRPr="00CA2725" w:rsidRDefault="003841DA" w:rsidP="00485DF1">
            <w:pPr>
              <w:pStyle w:val="TextoTablaIzquierda"/>
              <w:rPr>
                <w:rFonts w:asciiTheme="minorHAnsi" w:hAnsiTheme="minorHAnsi" w:cstheme="minorHAnsi"/>
                <w:sz w:val="20"/>
                <w:szCs w:val="20"/>
                <w:lang w:val="es-419"/>
              </w:rPr>
            </w:pPr>
            <w:r w:rsidRPr="00CA2725">
              <w:rPr>
                <w:rFonts w:asciiTheme="minorHAnsi" w:hAnsiTheme="minorHAnsi" w:cstheme="minorHAnsi"/>
                <w:sz w:val="20"/>
                <w:szCs w:val="20"/>
                <w:lang w:val="es-419"/>
              </w:rPr>
              <w:t>CONASIDA</w:t>
            </w:r>
          </w:p>
        </w:tc>
        <w:tc>
          <w:tcPr>
            <w:tcW w:w="2740" w:type="pct"/>
          </w:tcPr>
          <w:p w14:paraId="1BA05FB9" w14:textId="230B120E" w:rsidR="003841DA" w:rsidRPr="00B75190" w:rsidRDefault="00CD4EB5" w:rsidP="00485DF1">
            <w:pPr>
              <w:pStyle w:val="TextoTablaIzquierda"/>
              <w:rPr>
                <w:rFonts w:asciiTheme="minorHAnsi" w:hAnsiTheme="minorHAnsi" w:cstheme="minorHAnsi"/>
                <w:sz w:val="20"/>
                <w:szCs w:val="20"/>
                <w:lang w:val="es-419"/>
              </w:rPr>
            </w:pPr>
            <w:r>
              <w:rPr>
                <w:rFonts w:asciiTheme="minorHAnsi" w:hAnsiTheme="minorHAnsi" w:cstheme="minorHAnsi"/>
                <w:sz w:val="20"/>
                <w:szCs w:val="20"/>
                <w:lang w:val="es-419"/>
              </w:rPr>
              <w:t>Dra. Elvia Ard</w:t>
            </w:r>
            <w:r w:rsidR="00F022C8">
              <w:rPr>
                <w:rFonts w:asciiTheme="minorHAnsi" w:hAnsiTheme="minorHAnsi" w:cstheme="minorHAnsi"/>
                <w:sz w:val="20"/>
                <w:szCs w:val="20"/>
                <w:lang w:val="es-419"/>
              </w:rPr>
              <w:t>ó</w:t>
            </w:r>
            <w:r>
              <w:rPr>
                <w:rFonts w:asciiTheme="minorHAnsi" w:hAnsiTheme="minorHAnsi" w:cstheme="minorHAnsi"/>
                <w:sz w:val="20"/>
                <w:szCs w:val="20"/>
                <w:lang w:val="es-419"/>
              </w:rPr>
              <w:t>n</w:t>
            </w:r>
          </w:p>
        </w:tc>
      </w:tr>
      <w:tr w:rsidR="003841DA" w:rsidRPr="00392E34" w14:paraId="152DC6ED" w14:textId="77777777" w:rsidTr="00485DF1">
        <w:tc>
          <w:tcPr>
            <w:tcW w:w="2260" w:type="pct"/>
          </w:tcPr>
          <w:p w14:paraId="75A0480E" w14:textId="77777777" w:rsidR="003841DA" w:rsidRPr="00CA2725" w:rsidRDefault="003841DA" w:rsidP="00485DF1">
            <w:pPr>
              <w:pStyle w:val="TextoTablaIzquierda"/>
              <w:rPr>
                <w:rFonts w:asciiTheme="minorHAnsi" w:hAnsiTheme="minorHAnsi" w:cstheme="minorHAnsi"/>
                <w:sz w:val="20"/>
                <w:szCs w:val="20"/>
                <w:lang w:val="es-419"/>
              </w:rPr>
            </w:pPr>
            <w:r w:rsidRPr="00CA2725">
              <w:rPr>
                <w:rFonts w:asciiTheme="minorHAnsi" w:hAnsiTheme="minorHAnsi" w:cstheme="minorHAnsi"/>
                <w:sz w:val="20"/>
                <w:szCs w:val="20"/>
                <w:lang w:val="es-419"/>
              </w:rPr>
              <w:t>Comisión de Sostenibilidad del MCP-SESAL</w:t>
            </w:r>
          </w:p>
        </w:tc>
        <w:tc>
          <w:tcPr>
            <w:tcW w:w="2740" w:type="pct"/>
          </w:tcPr>
          <w:p w14:paraId="20F9408B" w14:textId="75F0974F" w:rsidR="003841DA" w:rsidRPr="00B75190" w:rsidRDefault="003841DA" w:rsidP="00485DF1">
            <w:pPr>
              <w:pStyle w:val="TextoTablaIzquierda"/>
              <w:rPr>
                <w:rFonts w:asciiTheme="minorHAnsi" w:hAnsiTheme="minorHAnsi" w:cstheme="minorHAnsi"/>
                <w:sz w:val="20"/>
                <w:szCs w:val="20"/>
                <w:lang w:val="es-419"/>
              </w:rPr>
            </w:pPr>
          </w:p>
        </w:tc>
      </w:tr>
      <w:bookmarkEnd w:id="148"/>
      <w:tr w:rsidR="003841DA" w:rsidRPr="009840B8" w14:paraId="545B48A0" w14:textId="77777777" w:rsidTr="00485DF1">
        <w:tc>
          <w:tcPr>
            <w:tcW w:w="2260" w:type="pct"/>
          </w:tcPr>
          <w:p w14:paraId="18352EF1" w14:textId="77777777" w:rsidR="003841DA" w:rsidRPr="00CA2725" w:rsidRDefault="003841DA" w:rsidP="00485DF1">
            <w:pPr>
              <w:pStyle w:val="TextoTablaIzquierda"/>
              <w:rPr>
                <w:rFonts w:asciiTheme="minorHAnsi" w:hAnsiTheme="minorHAnsi" w:cstheme="minorHAnsi"/>
                <w:sz w:val="20"/>
                <w:szCs w:val="20"/>
                <w:lang w:val="es-419"/>
              </w:rPr>
            </w:pPr>
            <w:r w:rsidRPr="00CA2725">
              <w:rPr>
                <w:rFonts w:asciiTheme="minorHAnsi" w:hAnsiTheme="minorHAnsi" w:cstheme="minorHAnsi"/>
                <w:sz w:val="20"/>
                <w:szCs w:val="20"/>
                <w:lang w:val="es-419"/>
              </w:rPr>
              <w:t xml:space="preserve">Asamblea del MCP </w:t>
            </w:r>
          </w:p>
        </w:tc>
        <w:tc>
          <w:tcPr>
            <w:tcW w:w="2740" w:type="pct"/>
          </w:tcPr>
          <w:p w14:paraId="4B5699E8" w14:textId="77777777" w:rsidR="003841DA" w:rsidRPr="00B75190" w:rsidRDefault="003841DA" w:rsidP="00485DF1">
            <w:pPr>
              <w:pStyle w:val="TextoTablaIzquierda"/>
              <w:rPr>
                <w:rFonts w:asciiTheme="minorHAnsi" w:hAnsiTheme="minorHAnsi" w:cstheme="minorHAnsi"/>
                <w:sz w:val="20"/>
                <w:szCs w:val="20"/>
                <w:lang w:val="es-419"/>
              </w:rPr>
            </w:pPr>
            <w:r w:rsidRPr="00B75190">
              <w:rPr>
                <w:rFonts w:asciiTheme="minorHAnsi" w:hAnsiTheme="minorHAnsi" w:cstheme="minorHAnsi"/>
                <w:sz w:val="20"/>
                <w:szCs w:val="20"/>
                <w:lang w:val="es-419"/>
              </w:rPr>
              <w:t>Cinthya Valladares, Sec. Técnica</w:t>
            </w:r>
          </w:p>
        </w:tc>
      </w:tr>
      <w:tr w:rsidR="003841DA" w:rsidRPr="009840B8" w14:paraId="463F49D5" w14:textId="77777777" w:rsidTr="00485DF1">
        <w:tc>
          <w:tcPr>
            <w:tcW w:w="5000" w:type="pct"/>
            <w:gridSpan w:val="2"/>
            <w:shd w:val="clear" w:color="auto" w:fill="E7E6E6" w:themeFill="background2"/>
          </w:tcPr>
          <w:p w14:paraId="4CFDF8D1" w14:textId="77777777" w:rsidR="003841DA" w:rsidRPr="00B75190" w:rsidRDefault="003841DA" w:rsidP="00485DF1">
            <w:pPr>
              <w:pStyle w:val="TextoTablaIzquierda"/>
              <w:rPr>
                <w:rFonts w:asciiTheme="minorHAnsi" w:hAnsiTheme="minorHAnsi" w:cstheme="minorHAnsi"/>
                <w:b/>
                <w:i/>
                <w:sz w:val="22"/>
                <w:szCs w:val="22"/>
                <w:lang w:val="es-419"/>
              </w:rPr>
            </w:pPr>
            <w:r w:rsidRPr="00B75190">
              <w:rPr>
                <w:rFonts w:asciiTheme="minorHAnsi" w:hAnsiTheme="minorHAnsi" w:cstheme="minorHAnsi"/>
                <w:b/>
                <w:i/>
                <w:sz w:val="22"/>
                <w:szCs w:val="22"/>
                <w:lang w:val="es-419"/>
              </w:rPr>
              <w:t>Visitas del campo</w:t>
            </w:r>
          </w:p>
        </w:tc>
      </w:tr>
      <w:tr w:rsidR="003841DA" w:rsidRPr="00392E34" w14:paraId="380C0EDA" w14:textId="77777777" w:rsidTr="00485DF1">
        <w:tc>
          <w:tcPr>
            <w:tcW w:w="2260" w:type="pct"/>
          </w:tcPr>
          <w:p w14:paraId="05005D67" w14:textId="77777777" w:rsidR="003841DA" w:rsidRPr="00CA2725" w:rsidRDefault="003841DA" w:rsidP="00485DF1">
            <w:pPr>
              <w:pStyle w:val="TextoTablaIzquierda"/>
              <w:rPr>
                <w:rFonts w:asciiTheme="minorHAnsi" w:hAnsiTheme="minorHAnsi" w:cstheme="minorHAnsi"/>
                <w:sz w:val="20"/>
                <w:szCs w:val="20"/>
                <w:lang w:val="es-419"/>
              </w:rPr>
            </w:pPr>
            <w:r w:rsidRPr="00CA2725">
              <w:rPr>
                <w:rFonts w:asciiTheme="minorHAnsi" w:hAnsiTheme="minorHAnsi" w:cstheme="minorHAnsi"/>
                <w:sz w:val="20"/>
                <w:szCs w:val="20"/>
                <w:lang w:val="es-419"/>
              </w:rPr>
              <w:t xml:space="preserve">Centro de Salud Alonso Suazo </w:t>
            </w:r>
          </w:p>
        </w:tc>
        <w:tc>
          <w:tcPr>
            <w:tcW w:w="2740" w:type="pct"/>
          </w:tcPr>
          <w:p w14:paraId="7A0BF6E8" w14:textId="77777777" w:rsidR="003841DA" w:rsidRPr="009840B8" w:rsidRDefault="003841DA" w:rsidP="00485DF1">
            <w:pPr>
              <w:pStyle w:val="TextoTablaIzquierda"/>
              <w:rPr>
                <w:rFonts w:asciiTheme="minorHAnsi" w:hAnsiTheme="minorHAnsi" w:cstheme="minorHAnsi"/>
                <w:sz w:val="22"/>
                <w:szCs w:val="22"/>
                <w:lang w:val="es-419"/>
              </w:rPr>
            </w:pPr>
          </w:p>
        </w:tc>
      </w:tr>
    </w:tbl>
    <w:p w14:paraId="5A6F4D01" w14:textId="2B658EB0" w:rsidR="007B426C" w:rsidRDefault="007B426C" w:rsidP="00DD37EC">
      <w:pPr>
        <w:spacing w:after="240" w:line="240" w:lineRule="auto"/>
        <w:rPr>
          <w:rFonts w:ascii="Arial" w:hAnsi="Arial" w:cs="Arial"/>
          <w:lang w:val="es-419"/>
        </w:rPr>
      </w:pPr>
    </w:p>
    <w:p w14:paraId="73E7CF90" w14:textId="4F835290" w:rsidR="007933F9" w:rsidRPr="006068F2" w:rsidRDefault="007933F9" w:rsidP="00E2152A">
      <w:pPr>
        <w:pStyle w:val="Heading4"/>
        <w:spacing w:line="240" w:lineRule="auto"/>
        <w:rPr>
          <w:rStyle w:val="IntenseReference"/>
          <w:rFonts w:ascii="Arial" w:hAnsi="Arial" w:cs="Arial"/>
          <w:b w:val="0"/>
          <w:bCs w:val="0"/>
          <w:smallCaps w:val="0"/>
          <w:lang w:val="es-MX"/>
        </w:rPr>
      </w:pPr>
      <w:bookmarkStart w:id="149" w:name="_Hlk535502161"/>
      <w:r w:rsidRPr="00E2152A">
        <w:rPr>
          <w:rStyle w:val="IntenseReference"/>
          <w:rFonts w:ascii="Arial" w:hAnsi="Arial" w:cs="Arial"/>
          <w:i w:val="0"/>
          <w:lang w:val="es-419"/>
        </w:rPr>
        <w:t>Anexo 2</w:t>
      </w:r>
      <w:r w:rsidR="007F4C34" w:rsidRPr="00E2152A">
        <w:rPr>
          <w:rStyle w:val="IntenseReference"/>
          <w:rFonts w:ascii="Arial" w:hAnsi="Arial" w:cs="Arial"/>
          <w:i w:val="0"/>
          <w:lang w:val="es-419"/>
        </w:rPr>
        <w:t>. Riesgos detectados por dimensión de sostenibilidad</w:t>
      </w:r>
    </w:p>
    <w:tbl>
      <w:tblPr>
        <w:tblW w:w="9350" w:type="dxa"/>
        <w:tblLook w:val="04A0" w:firstRow="1" w:lastRow="0" w:firstColumn="1" w:lastColumn="0" w:noHBand="0" w:noVBand="1"/>
      </w:tblPr>
      <w:tblGrid>
        <w:gridCol w:w="3355"/>
        <w:gridCol w:w="1669"/>
        <w:gridCol w:w="1523"/>
        <w:gridCol w:w="1413"/>
        <w:gridCol w:w="1390"/>
      </w:tblGrid>
      <w:tr w:rsidR="007F4C34" w:rsidRPr="00DD37EC" w14:paraId="63412596" w14:textId="77777777" w:rsidTr="00167C47">
        <w:trPr>
          <w:trHeight w:hRule="exact" w:val="1090"/>
        </w:trPr>
        <w:tc>
          <w:tcPr>
            <w:tcW w:w="3355" w:type="dxa"/>
            <w:tcBorders>
              <w:top w:val="single" w:sz="4" w:space="0" w:color="auto"/>
              <w:left w:val="single" w:sz="4" w:space="0" w:color="auto"/>
              <w:bottom w:val="single" w:sz="4" w:space="0" w:color="auto"/>
              <w:right w:val="single" w:sz="4" w:space="0" w:color="auto"/>
            </w:tcBorders>
            <w:shd w:val="clear" w:color="auto" w:fill="1F3864" w:themeFill="accent1" w:themeFillShade="80"/>
            <w:noWrap/>
            <w:vAlign w:val="center"/>
            <w:hideMark/>
          </w:tcPr>
          <w:p w14:paraId="1B036DC2" w14:textId="77777777" w:rsidR="007F4C34" w:rsidRPr="00C629BE" w:rsidRDefault="007F4C34" w:rsidP="00167C47">
            <w:pPr>
              <w:spacing w:after="240" w:line="240" w:lineRule="auto"/>
              <w:rPr>
                <w:rFonts w:ascii="Arial" w:eastAsia="Times New Roman" w:hAnsi="Arial" w:cs="Arial"/>
                <w:b/>
                <w:color w:val="FFFFFF" w:themeColor="background1"/>
                <w:sz w:val="18"/>
                <w:szCs w:val="18"/>
                <w:lang w:val="es-MX"/>
              </w:rPr>
            </w:pPr>
          </w:p>
        </w:tc>
        <w:tc>
          <w:tcPr>
            <w:tcW w:w="1669" w:type="dxa"/>
            <w:tcBorders>
              <w:top w:val="single" w:sz="4" w:space="0" w:color="auto"/>
              <w:left w:val="nil"/>
              <w:bottom w:val="single" w:sz="4" w:space="0" w:color="auto"/>
              <w:right w:val="single" w:sz="4" w:space="0" w:color="auto"/>
            </w:tcBorders>
            <w:shd w:val="clear" w:color="auto" w:fill="1F3864" w:themeFill="accent1" w:themeFillShade="80"/>
            <w:hideMark/>
          </w:tcPr>
          <w:p w14:paraId="6D96683E" w14:textId="77777777" w:rsidR="007F4C34" w:rsidRPr="00C629BE" w:rsidRDefault="007F4C34" w:rsidP="00167C47">
            <w:pPr>
              <w:spacing w:after="240" w:line="240" w:lineRule="auto"/>
              <w:jc w:val="center"/>
              <w:rPr>
                <w:rFonts w:ascii="Arial" w:eastAsia="Times New Roman" w:hAnsi="Arial" w:cs="Arial"/>
                <w:b/>
                <w:color w:val="FFFFFF" w:themeColor="background1"/>
                <w:sz w:val="18"/>
                <w:szCs w:val="18"/>
                <w:lang w:val="es-MX"/>
              </w:rPr>
            </w:pPr>
            <w:r w:rsidRPr="00C629BE">
              <w:rPr>
                <w:rFonts w:ascii="Arial" w:eastAsia="Times New Roman" w:hAnsi="Arial" w:cs="Arial"/>
                <w:b/>
                <w:color w:val="FFFFFF" w:themeColor="background1"/>
                <w:sz w:val="18"/>
                <w:szCs w:val="18"/>
                <w:lang w:val="es-MX"/>
              </w:rPr>
              <w:t xml:space="preserve">Severidad en el control de la epidemia </w:t>
            </w:r>
            <w:r w:rsidRPr="00C629BE">
              <w:rPr>
                <w:rFonts w:ascii="Arial" w:hAnsi="Arial" w:cs="Arial"/>
                <w:b/>
                <w:sz w:val="18"/>
                <w:szCs w:val="18"/>
                <w:lang w:val="es-MX"/>
              </w:rPr>
              <w:t>(0=nula, 1=baja, 2=media, 3=alta)</w:t>
            </w:r>
          </w:p>
        </w:tc>
        <w:tc>
          <w:tcPr>
            <w:tcW w:w="1523" w:type="dxa"/>
            <w:tcBorders>
              <w:top w:val="single" w:sz="4" w:space="0" w:color="auto"/>
              <w:left w:val="nil"/>
              <w:bottom w:val="single" w:sz="4" w:space="0" w:color="auto"/>
              <w:right w:val="single" w:sz="4" w:space="0" w:color="auto"/>
            </w:tcBorders>
            <w:shd w:val="clear" w:color="auto" w:fill="1F3864" w:themeFill="accent1" w:themeFillShade="80"/>
            <w:hideMark/>
          </w:tcPr>
          <w:p w14:paraId="3E29F847" w14:textId="77777777" w:rsidR="007F4C34" w:rsidRPr="00C629BE" w:rsidRDefault="007F4C34" w:rsidP="00167C47">
            <w:pPr>
              <w:spacing w:after="240" w:line="240" w:lineRule="auto"/>
              <w:jc w:val="center"/>
              <w:rPr>
                <w:rFonts w:ascii="Arial" w:eastAsia="Times New Roman" w:hAnsi="Arial" w:cs="Arial"/>
                <w:b/>
                <w:color w:val="FFFFFF" w:themeColor="background1"/>
                <w:sz w:val="18"/>
                <w:szCs w:val="18"/>
              </w:rPr>
            </w:pPr>
            <w:r w:rsidRPr="00C629BE">
              <w:rPr>
                <w:rFonts w:ascii="Arial" w:eastAsia="Times New Roman" w:hAnsi="Arial" w:cs="Arial"/>
                <w:b/>
                <w:color w:val="FFFFFF" w:themeColor="background1"/>
                <w:sz w:val="18"/>
                <w:szCs w:val="18"/>
              </w:rPr>
              <w:t>Urgencia de los riesgos (3=2019, 2=2020-2021, 1=2022-2023)</w:t>
            </w:r>
          </w:p>
        </w:tc>
        <w:tc>
          <w:tcPr>
            <w:tcW w:w="1413" w:type="dxa"/>
            <w:tcBorders>
              <w:top w:val="single" w:sz="4" w:space="0" w:color="auto"/>
              <w:left w:val="nil"/>
              <w:bottom w:val="single" w:sz="4" w:space="0" w:color="auto"/>
              <w:right w:val="single" w:sz="4" w:space="0" w:color="auto"/>
            </w:tcBorders>
            <w:shd w:val="clear" w:color="auto" w:fill="1F3864" w:themeFill="accent1" w:themeFillShade="80"/>
            <w:hideMark/>
          </w:tcPr>
          <w:p w14:paraId="6B26890B" w14:textId="77777777" w:rsidR="007F4C34" w:rsidRPr="00C629BE" w:rsidRDefault="007F4C34" w:rsidP="00167C47">
            <w:pPr>
              <w:spacing w:after="240" w:line="240" w:lineRule="auto"/>
              <w:jc w:val="center"/>
              <w:rPr>
                <w:rFonts w:ascii="Arial" w:eastAsia="Times New Roman" w:hAnsi="Arial" w:cs="Arial"/>
                <w:b/>
                <w:color w:val="FFFFFF" w:themeColor="background1"/>
                <w:sz w:val="18"/>
                <w:szCs w:val="18"/>
              </w:rPr>
            </w:pPr>
            <w:r w:rsidRPr="00C629BE">
              <w:rPr>
                <w:rFonts w:ascii="Arial" w:eastAsia="Times New Roman" w:hAnsi="Arial" w:cs="Arial"/>
                <w:b/>
                <w:color w:val="FFFFFF" w:themeColor="background1"/>
                <w:sz w:val="18"/>
                <w:szCs w:val="18"/>
              </w:rPr>
              <w:t>Ranking Subsección</w:t>
            </w:r>
          </w:p>
        </w:tc>
        <w:tc>
          <w:tcPr>
            <w:tcW w:w="1390" w:type="dxa"/>
            <w:tcBorders>
              <w:top w:val="single" w:sz="4" w:space="0" w:color="auto"/>
              <w:left w:val="nil"/>
              <w:bottom w:val="single" w:sz="4" w:space="0" w:color="auto"/>
              <w:right w:val="single" w:sz="4" w:space="0" w:color="auto"/>
            </w:tcBorders>
            <w:shd w:val="clear" w:color="auto" w:fill="1F3864" w:themeFill="accent1" w:themeFillShade="80"/>
            <w:hideMark/>
          </w:tcPr>
          <w:p w14:paraId="40644F40" w14:textId="77777777" w:rsidR="007F4C34" w:rsidRPr="00C629BE" w:rsidRDefault="007F4C34" w:rsidP="00167C47">
            <w:pPr>
              <w:spacing w:after="240" w:line="240" w:lineRule="auto"/>
              <w:jc w:val="center"/>
              <w:rPr>
                <w:rFonts w:ascii="Arial" w:eastAsia="Times New Roman" w:hAnsi="Arial" w:cs="Arial"/>
                <w:b/>
                <w:color w:val="FFFFFF" w:themeColor="background1"/>
                <w:sz w:val="18"/>
                <w:szCs w:val="18"/>
              </w:rPr>
            </w:pPr>
            <w:r w:rsidRPr="00C629BE">
              <w:rPr>
                <w:rFonts w:ascii="Arial" w:eastAsia="Times New Roman" w:hAnsi="Arial" w:cs="Arial"/>
                <w:b/>
                <w:color w:val="FFFFFF" w:themeColor="background1"/>
                <w:sz w:val="18"/>
                <w:szCs w:val="18"/>
              </w:rPr>
              <w:t>Ranking General</w:t>
            </w:r>
          </w:p>
        </w:tc>
      </w:tr>
      <w:tr w:rsidR="007F4C34" w:rsidRPr="00DD37EC" w14:paraId="594823BF" w14:textId="77777777" w:rsidTr="00167C47">
        <w:trPr>
          <w:trHeight w:hRule="exact" w:val="226"/>
        </w:trPr>
        <w:tc>
          <w:tcPr>
            <w:tcW w:w="9350" w:type="dxa"/>
            <w:gridSpan w:val="5"/>
            <w:tcBorders>
              <w:top w:val="nil"/>
              <w:left w:val="single" w:sz="4" w:space="0" w:color="auto"/>
              <w:bottom w:val="single" w:sz="4" w:space="0" w:color="auto"/>
              <w:right w:val="single" w:sz="4" w:space="0" w:color="auto"/>
            </w:tcBorders>
            <w:shd w:val="clear" w:color="000000" w:fill="D9D9D9"/>
            <w:noWrap/>
            <w:vAlign w:val="bottom"/>
          </w:tcPr>
          <w:p w14:paraId="554BD571" w14:textId="77777777" w:rsidR="007F4C34" w:rsidRPr="00C629BE" w:rsidRDefault="007F4C34" w:rsidP="00167C47">
            <w:pPr>
              <w:spacing w:after="240" w:line="240" w:lineRule="auto"/>
              <w:rPr>
                <w:rFonts w:ascii="Arial" w:eastAsia="Times New Roman" w:hAnsi="Arial" w:cs="Arial"/>
                <w:b/>
                <w:bCs/>
                <w:color w:val="000000"/>
                <w:sz w:val="18"/>
                <w:szCs w:val="18"/>
              </w:rPr>
            </w:pPr>
            <w:r w:rsidRPr="00C629BE">
              <w:rPr>
                <w:rFonts w:ascii="Arial" w:eastAsia="Times New Roman" w:hAnsi="Arial" w:cs="Arial"/>
                <w:b/>
                <w:bCs/>
                <w:color w:val="000000"/>
                <w:sz w:val="18"/>
                <w:szCs w:val="18"/>
              </w:rPr>
              <w:t>Provisión de servicios</w:t>
            </w:r>
          </w:p>
        </w:tc>
      </w:tr>
      <w:tr w:rsidR="007F4C34" w:rsidRPr="00DD37EC" w14:paraId="104B9895" w14:textId="77777777" w:rsidTr="00167C47">
        <w:trPr>
          <w:trHeight w:hRule="exact" w:val="1152"/>
        </w:trPr>
        <w:tc>
          <w:tcPr>
            <w:tcW w:w="3355" w:type="dxa"/>
            <w:tcBorders>
              <w:top w:val="nil"/>
              <w:left w:val="single" w:sz="4" w:space="0" w:color="auto"/>
              <w:bottom w:val="single" w:sz="4" w:space="0" w:color="auto"/>
              <w:right w:val="single" w:sz="4" w:space="0" w:color="auto"/>
            </w:tcBorders>
            <w:shd w:val="clear" w:color="auto" w:fill="auto"/>
            <w:noWrap/>
          </w:tcPr>
          <w:p w14:paraId="3F902C1B" w14:textId="77777777" w:rsidR="007F4C34" w:rsidRPr="00C629BE" w:rsidRDefault="007F4C34" w:rsidP="00167C47">
            <w:pPr>
              <w:spacing w:after="240" w:line="240" w:lineRule="auto"/>
              <w:rPr>
                <w:rFonts w:ascii="Arial" w:eastAsia="Times New Roman" w:hAnsi="Arial" w:cs="Arial"/>
                <w:b/>
                <w:bCs/>
                <w:color w:val="000000"/>
                <w:sz w:val="18"/>
                <w:szCs w:val="18"/>
                <w:lang w:val="es-MX"/>
              </w:rPr>
            </w:pPr>
            <w:r w:rsidRPr="00C629BE">
              <w:rPr>
                <w:rFonts w:ascii="Arial" w:eastAsia="Times New Roman" w:hAnsi="Arial" w:cs="Arial"/>
                <w:color w:val="000000"/>
                <w:sz w:val="18"/>
                <w:szCs w:val="18"/>
                <w:lang w:val="es-MX"/>
              </w:rPr>
              <w:t>Los recursos humanos en locales y centrales poseen contratación irregular y alta rotación poniendo en riesgo la capacidad técnica y operativa de las intervenciones</w:t>
            </w:r>
            <w:r>
              <w:rPr>
                <w:rFonts w:ascii="Arial" w:eastAsia="Times New Roman" w:hAnsi="Arial" w:cs="Arial"/>
                <w:color w:val="000000"/>
                <w:sz w:val="18"/>
                <w:szCs w:val="18"/>
                <w:lang w:val="es-MX"/>
              </w:rPr>
              <w:t>.</w:t>
            </w:r>
          </w:p>
        </w:tc>
        <w:tc>
          <w:tcPr>
            <w:tcW w:w="1669" w:type="dxa"/>
            <w:tcBorders>
              <w:top w:val="nil"/>
              <w:left w:val="single" w:sz="4" w:space="0" w:color="auto"/>
              <w:bottom w:val="single" w:sz="4" w:space="0" w:color="auto"/>
              <w:right w:val="single" w:sz="4" w:space="0" w:color="auto"/>
            </w:tcBorders>
            <w:shd w:val="clear" w:color="auto" w:fill="FF0000"/>
            <w:vAlign w:val="center"/>
          </w:tcPr>
          <w:p w14:paraId="18F8D9DC" w14:textId="77777777" w:rsidR="007F4C34" w:rsidRPr="004F56A9" w:rsidRDefault="007F4C34" w:rsidP="00167C47">
            <w:pPr>
              <w:spacing w:after="240" w:line="240" w:lineRule="auto"/>
              <w:jc w:val="center"/>
              <w:rPr>
                <w:rFonts w:ascii="Arial" w:eastAsia="Times New Roman" w:hAnsi="Arial" w:cs="Arial"/>
                <w:color w:val="000000"/>
                <w:sz w:val="18"/>
                <w:szCs w:val="18"/>
                <w:lang w:val="es-MX"/>
              </w:rPr>
            </w:pPr>
          </w:p>
          <w:p w14:paraId="1DCA7C6E" w14:textId="77777777" w:rsidR="007F4C34" w:rsidRPr="00C629BE" w:rsidRDefault="007F4C34" w:rsidP="00167C47">
            <w:pPr>
              <w:spacing w:after="240" w:line="240" w:lineRule="auto"/>
              <w:jc w:val="center"/>
              <w:rPr>
                <w:rFonts w:ascii="Arial" w:eastAsia="Times New Roman" w:hAnsi="Arial" w:cs="Arial"/>
                <w:color w:val="000000"/>
                <w:sz w:val="18"/>
                <w:szCs w:val="18"/>
              </w:rPr>
            </w:pPr>
            <w:r w:rsidRPr="00C629BE">
              <w:rPr>
                <w:rFonts w:ascii="Arial" w:eastAsia="Times New Roman" w:hAnsi="Arial" w:cs="Arial"/>
                <w:color w:val="000000"/>
                <w:sz w:val="18"/>
                <w:szCs w:val="18"/>
              </w:rPr>
              <w:t>2.67</w:t>
            </w:r>
          </w:p>
          <w:p w14:paraId="7C144194" w14:textId="77777777" w:rsidR="007F4C34" w:rsidRPr="00C629BE" w:rsidRDefault="007F4C34" w:rsidP="00167C47">
            <w:pPr>
              <w:spacing w:after="240" w:line="240" w:lineRule="auto"/>
              <w:jc w:val="center"/>
              <w:rPr>
                <w:rFonts w:ascii="Arial" w:eastAsia="Times New Roman" w:hAnsi="Arial" w:cs="Arial"/>
                <w:color w:val="000000"/>
                <w:sz w:val="18"/>
                <w:szCs w:val="18"/>
              </w:rPr>
            </w:pPr>
          </w:p>
          <w:p w14:paraId="3024BEC2" w14:textId="77777777" w:rsidR="007F4C34" w:rsidRPr="00C629BE" w:rsidRDefault="007F4C34" w:rsidP="00167C47">
            <w:pPr>
              <w:spacing w:after="240" w:line="240" w:lineRule="auto"/>
              <w:rPr>
                <w:rFonts w:ascii="Arial" w:eastAsia="Times New Roman" w:hAnsi="Arial" w:cs="Arial"/>
                <w:b/>
                <w:bCs/>
                <w:color w:val="000000"/>
                <w:sz w:val="18"/>
                <w:szCs w:val="18"/>
              </w:rPr>
            </w:pPr>
          </w:p>
        </w:tc>
        <w:tc>
          <w:tcPr>
            <w:tcW w:w="1523" w:type="dxa"/>
            <w:tcBorders>
              <w:top w:val="nil"/>
              <w:left w:val="single" w:sz="4" w:space="0" w:color="auto"/>
              <w:bottom w:val="single" w:sz="4" w:space="0" w:color="auto"/>
              <w:right w:val="single" w:sz="4" w:space="0" w:color="auto"/>
            </w:tcBorders>
            <w:shd w:val="clear" w:color="auto" w:fill="FF0000"/>
            <w:vAlign w:val="center"/>
          </w:tcPr>
          <w:p w14:paraId="0CB6D2D9" w14:textId="77777777" w:rsidR="007F4C34" w:rsidRDefault="007F4C34" w:rsidP="00167C47">
            <w:pPr>
              <w:spacing w:after="240" w:line="240" w:lineRule="auto"/>
              <w:jc w:val="center"/>
              <w:rPr>
                <w:rFonts w:ascii="Arial" w:eastAsia="Times New Roman" w:hAnsi="Arial" w:cs="Arial"/>
                <w:color w:val="000000"/>
                <w:sz w:val="18"/>
                <w:szCs w:val="18"/>
              </w:rPr>
            </w:pPr>
          </w:p>
          <w:p w14:paraId="5CC3956A" w14:textId="77777777" w:rsidR="007F4C34" w:rsidRPr="00C629BE" w:rsidRDefault="007F4C34" w:rsidP="00167C47">
            <w:pPr>
              <w:spacing w:after="240" w:line="240" w:lineRule="auto"/>
              <w:jc w:val="center"/>
              <w:rPr>
                <w:rFonts w:ascii="Arial" w:eastAsia="Times New Roman" w:hAnsi="Arial" w:cs="Arial"/>
                <w:color w:val="000000"/>
                <w:sz w:val="18"/>
                <w:szCs w:val="18"/>
              </w:rPr>
            </w:pPr>
            <w:r w:rsidRPr="00C629BE">
              <w:rPr>
                <w:rFonts w:ascii="Arial" w:eastAsia="Times New Roman" w:hAnsi="Arial" w:cs="Arial"/>
                <w:color w:val="000000"/>
                <w:sz w:val="18"/>
                <w:szCs w:val="18"/>
              </w:rPr>
              <w:t>2.94</w:t>
            </w:r>
          </w:p>
          <w:p w14:paraId="5647E164" w14:textId="77777777" w:rsidR="007F4C34" w:rsidRPr="00C629BE" w:rsidRDefault="007F4C34" w:rsidP="00167C47">
            <w:pPr>
              <w:spacing w:after="240" w:line="240" w:lineRule="auto"/>
              <w:jc w:val="center"/>
              <w:rPr>
                <w:rFonts w:ascii="Arial" w:eastAsia="Times New Roman" w:hAnsi="Arial" w:cs="Arial"/>
                <w:color w:val="000000"/>
                <w:sz w:val="18"/>
                <w:szCs w:val="18"/>
              </w:rPr>
            </w:pPr>
          </w:p>
          <w:p w14:paraId="1E9EAA06" w14:textId="77777777" w:rsidR="007F4C34" w:rsidRPr="00C629BE" w:rsidRDefault="007F4C34" w:rsidP="00167C47">
            <w:pPr>
              <w:spacing w:after="240" w:line="240" w:lineRule="auto"/>
              <w:rPr>
                <w:rFonts w:ascii="Arial" w:eastAsia="Times New Roman" w:hAnsi="Arial" w:cs="Arial"/>
                <w:b/>
                <w:bCs/>
                <w:color w:val="000000"/>
                <w:sz w:val="18"/>
                <w:szCs w:val="18"/>
              </w:rPr>
            </w:pPr>
          </w:p>
        </w:tc>
        <w:tc>
          <w:tcPr>
            <w:tcW w:w="1413" w:type="dxa"/>
            <w:tcBorders>
              <w:top w:val="nil"/>
              <w:left w:val="single" w:sz="4" w:space="0" w:color="auto"/>
              <w:bottom w:val="single" w:sz="4" w:space="0" w:color="auto"/>
              <w:right w:val="single" w:sz="4" w:space="0" w:color="auto"/>
            </w:tcBorders>
            <w:shd w:val="clear" w:color="auto" w:fill="FFFF00"/>
            <w:vAlign w:val="center"/>
          </w:tcPr>
          <w:p w14:paraId="47ED62D9" w14:textId="77777777" w:rsidR="007F4C34" w:rsidRDefault="007F4C34" w:rsidP="00167C47">
            <w:pPr>
              <w:spacing w:after="240" w:line="240" w:lineRule="auto"/>
              <w:jc w:val="center"/>
              <w:rPr>
                <w:rFonts w:ascii="Arial" w:eastAsia="Times New Roman" w:hAnsi="Arial" w:cs="Arial"/>
                <w:color w:val="000000"/>
                <w:sz w:val="18"/>
                <w:szCs w:val="18"/>
              </w:rPr>
            </w:pPr>
          </w:p>
          <w:p w14:paraId="78F60149" w14:textId="77777777" w:rsidR="007F4C34" w:rsidRPr="00C629BE" w:rsidRDefault="007F4C34" w:rsidP="00167C47">
            <w:pPr>
              <w:spacing w:after="240" w:line="240" w:lineRule="auto"/>
              <w:jc w:val="center"/>
              <w:rPr>
                <w:rFonts w:ascii="Arial" w:eastAsia="Times New Roman" w:hAnsi="Arial" w:cs="Arial"/>
                <w:color w:val="000000"/>
                <w:sz w:val="18"/>
                <w:szCs w:val="18"/>
              </w:rPr>
            </w:pPr>
            <w:r w:rsidRPr="00C629BE">
              <w:rPr>
                <w:rFonts w:ascii="Arial" w:eastAsia="Times New Roman" w:hAnsi="Arial" w:cs="Arial"/>
                <w:color w:val="000000"/>
                <w:sz w:val="18"/>
                <w:szCs w:val="18"/>
              </w:rPr>
              <w:t>3</w:t>
            </w:r>
          </w:p>
          <w:p w14:paraId="109C4149" w14:textId="77777777" w:rsidR="007F4C34" w:rsidRPr="00C629BE" w:rsidRDefault="007F4C34" w:rsidP="00167C47">
            <w:pPr>
              <w:spacing w:after="240" w:line="240" w:lineRule="auto"/>
              <w:jc w:val="center"/>
              <w:rPr>
                <w:rFonts w:ascii="Arial" w:eastAsia="Times New Roman" w:hAnsi="Arial" w:cs="Arial"/>
                <w:color w:val="000000"/>
                <w:sz w:val="18"/>
                <w:szCs w:val="18"/>
              </w:rPr>
            </w:pPr>
          </w:p>
          <w:p w14:paraId="5581596C" w14:textId="77777777" w:rsidR="007F4C34" w:rsidRPr="00C629BE" w:rsidRDefault="007F4C34" w:rsidP="00167C47">
            <w:pPr>
              <w:spacing w:after="240" w:line="240" w:lineRule="auto"/>
              <w:rPr>
                <w:rFonts w:ascii="Arial" w:eastAsia="Times New Roman" w:hAnsi="Arial" w:cs="Arial"/>
                <w:b/>
                <w:bCs/>
                <w:color w:val="000000"/>
                <w:sz w:val="18"/>
                <w:szCs w:val="18"/>
              </w:rPr>
            </w:pPr>
          </w:p>
        </w:tc>
        <w:tc>
          <w:tcPr>
            <w:tcW w:w="1390" w:type="dxa"/>
            <w:tcBorders>
              <w:top w:val="nil"/>
              <w:left w:val="single" w:sz="4" w:space="0" w:color="auto"/>
              <w:bottom w:val="single" w:sz="4" w:space="0" w:color="auto"/>
              <w:right w:val="single" w:sz="4" w:space="0" w:color="auto"/>
            </w:tcBorders>
            <w:shd w:val="clear" w:color="auto" w:fill="FF0000"/>
            <w:vAlign w:val="center"/>
          </w:tcPr>
          <w:p w14:paraId="5E505E26" w14:textId="77777777" w:rsidR="007F4C34" w:rsidRDefault="007F4C34" w:rsidP="00167C47">
            <w:pPr>
              <w:spacing w:after="240" w:line="240" w:lineRule="auto"/>
              <w:jc w:val="center"/>
              <w:rPr>
                <w:rFonts w:ascii="Arial" w:eastAsia="Times New Roman" w:hAnsi="Arial" w:cs="Arial"/>
                <w:color w:val="000000"/>
                <w:sz w:val="18"/>
                <w:szCs w:val="18"/>
              </w:rPr>
            </w:pPr>
          </w:p>
          <w:p w14:paraId="4C38B072" w14:textId="77777777" w:rsidR="007F4C34" w:rsidRPr="00C629BE" w:rsidRDefault="007F4C34" w:rsidP="00167C47">
            <w:pPr>
              <w:spacing w:after="240" w:line="240" w:lineRule="auto"/>
              <w:jc w:val="center"/>
              <w:rPr>
                <w:rFonts w:ascii="Arial" w:eastAsia="Times New Roman" w:hAnsi="Arial" w:cs="Arial"/>
                <w:color w:val="000000"/>
                <w:sz w:val="18"/>
                <w:szCs w:val="18"/>
              </w:rPr>
            </w:pPr>
            <w:r w:rsidRPr="00C629BE">
              <w:rPr>
                <w:rFonts w:ascii="Arial" w:eastAsia="Times New Roman" w:hAnsi="Arial" w:cs="Arial"/>
                <w:color w:val="000000"/>
                <w:sz w:val="18"/>
                <w:szCs w:val="18"/>
              </w:rPr>
              <w:t>1</w:t>
            </w:r>
          </w:p>
          <w:p w14:paraId="35D5DAAF" w14:textId="77777777" w:rsidR="007F4C34" w:rsidRPr="00C629BE" w:rsidRDefault="007F4C34" w:rsidP="00167C47">
            <w:pPr>
              <w:spacing w:after="240" w:line="240" w:lineRule="auto"/>
              <w:jc w:val="center"/>
              <w:rPr>
                <w:rFonts w:ascii="Arial" w:eastAsia="Times New Roman" w:hAnsi="Arial" w:cs="Arial"/>
                <w:color w:val="000000"/>
                <w:sz w:val="18"/>
                <w:szCs w:val="18"/>
              </w:rPr>
            </w:pPr>
          </w:p>
          <w:p w14:paraId="68333A2C" w14:textId="77777777" w:rsidR="007F4C34" w:rsidRPr="00C629BE" w:rsidRDefault="007F4C34" w:rsidP="00167C47">
            <w:pPr>
              <w:spacing w:after="240" w:line="240" w:lineRule="auto"/>
              <w:rPr>
                <w:rFonts w:ascii="Arial" w:eastAsia="Times New Roman" w:hAnsi="Arial" w:cs="Arial"/>
                <w:b/>
                <w:bCs/>
                <w:color w:val="000000"/>
                <w:sz w:val="18"/>
                <w:szCs w:val="18"/>
              </w:rPr>
            </w:pPr>
          </w:p>
        </w:tc>
      </w:tr>
      <w:tr w:rsidR="007F4C34" w:rsidRPr="00DD37EC" w14:paraId="5C29451C" w14:textId="77777777" w:rsidTr="00167C47">
        <w:trPr>
          <w:trHeight w:hRule="exact" w:val="919"/>
        </w:trPr>
        <w:tc>
          <w:tcPr>
            <w:tcW w:w="3355" w:type="dxa"/>
            <w:tcBorders>
              <w:top w:val="nil"/>
              <w:left w:val="single" w:sz="4" w:space="0" w:color="auto"/>
              <w:bottom w:val="single" w:sz="4" w:space="0" w:color="auto"/>
              <w:right w:val="single" w:sz="4" w:space="0" w:color="auto"/>
            </w:tcBorders>
            <w:shd w:val="clear" w:color="auto" w:fill="auto"/>
            <w:noWrap/>
            <w:vAlign w:val="bottom"/>
          </w:tcPr>
          <w:p w14:paraId="3F294380" w14:textId="77777777" w:rsidR="007F4C34" w:rsidRPr="00C629BE" w:rsidRDefault="007F4C34" w:rsidP="00167C47">
            <w:pPr>
              <w:spacing w:after="240" w:line="240" w:lineRule="auto"/>
              <w:rPr>
                <w:rFonts w:ascii="Arial" w:eastAsia="Times New Roman" w:hAnsi="Arial" w:cs="Arial"/>
                <w:b/>
                <w:bCs/>
                <w:color w:val="000000"/>
                <w:sz w:val="18"/>
                <w:szCs w:val="18"/>
                <w:lang w:val="es-MX"/>
              </w:rPr>
            </w:pPr>
            <w:r w:rsidRPr="00C629BE">
              <w:rPr>
                <w:rFonts w:ascii="Arial" w:eastAsia="Times New Roman" w:hAnsi="Arial" w:cs="Arial"/>
                <w:color w:val="000000"/>
                <w:sz w:val="18"/>
                <w:szCs w:val="18"/>
                <w:lang w:val="es-MX"/>
              </w:rPr>
              <w:t>La promoción, prevención comunitaria y navegación para población clave se realiza por OSCs a través de proyectos de cooperación.</w:t>
            </w:r>
          </w:p>
        </w:tc>
        <w:tc>
          <w:tcPr>
            <w:tcW w:w="1669" w:type="dxa"/>
            <w:tcBorders>
              <w:top w:val="nil"/>
              <w:left w:val="single" w:sz="4" w:space="0" w:color="auto"/>
              <w:bottom w:val="single" w:sz="4" w:space="0" w:color="auto"/>
              <w:right w:val="single" w:sz="4" w:space="0" w:color="auto"/>
            </w:tcBorders>
            <w:shd w:val="clear" w:color="auto" w:fill="FFFF00"/>
            <w:vAlign w:val="center"/>
          </w:tcPr>
          <w:p w14:paraId="2D0F6842" w14:textId="77777777" w:rsidR="007F4C34" w:rsidRPr="00EF5A62" w:rsidRDefault="007F4C34" w:rsidP="00167C47">
            <w:pPr>
              <w:spacing w:after="240" w:line="240" w:lineRule="auto"/>
              <w:jc w:val="center"/>
              <w:rPr>
                <w:rFonts w:ascii="Arial" w:eastAsia="Times New Roman" w:hAnsi="Arial" w:cs="Arial"/>
                <w:color w:val="000000"/>
                <w:sz w:val="18"/>
                <w:szCs w:val="18"/>
                <w:lang w:val="es-MX"/>
              </w:rPr>
            </w:pPr>
          </w:p>
          <w:p w14:paraId="431F6EE3" w14:textId="77777777" w:rsidR="007F4C34" w:rsidRPr="00C629BE" w:rsidRDefault="007F4C34" w:rsidP="00167C47">
            <w:pPr>
              <w:spacing w:after="240" w:line="240" w:lineRule="auto"/>
              <w:jc w:val="center"/>
              <w:rPr>
                <w:rFonts w:ascii="Arial" w:eastAsia="Times New Roman" w:hAnsi="Arial" w:cs="Arial"/>
                <w:color w:val="000000"/>
                <w:sz w:val="18"/>
                <w:szCs w:val="18"/>
              </w:rPr>
            </w:pPr>
            <w:r w:rsidRPr="00C629BE">
              <w:rPr>
                <w:rFonts w:ascii="Arial" w:eastAsia="Times New Roman" w:hAnsi="Arial" w:cs="Arial"/>
                <w:color w:val="000000"/>
                <w:sz w:val="18"/>
                <w:szCs w:val="18"/>
              </w:rPr>
              <w:t>2.39</w:t>
            </w:r>
          </w:p>
          <w:p w14:paraId="27EDDC2C" w14:textId="77777777" w:rsidR="007F4C34" w:rsidRPr="00C629BE" w:rsidRDefault="007F4C34" w:rsidP="00167C47">
            <w:pPr>
              <w:spacing w:after="240" w:line="240" w:lineRule="auto"/>
              <w:jc w:val="center"/>
              <w:rPr>
                <w:rFonts w:ascii="Arial" w:eastAsia="Times New Roman" w:hAnsi="Arial" w:cs="Arial"/>
                <w:color w:val="000000"/>
                <w:sz w:val="18"/>
                <w:szCs w:val="18"/>
              </w:rPr>
            </w:pPr>
          </w:p>
          <w:p w14:paraId="6B24586D" w14:textId="77777777" w:rsidR="007F4C34" w:rsidRPr="00C629BE" w:rsidRDefault="007F4C34" w:rsidP="00167C47">
            <w:pPr>
              <w:spacing w:after="240" w:line="240" w:lineRule="auto"/>
              <w:rPr>
                <w:rFonts w:ascii="Arial" w:eastAsia="Times New Roman" w:hAnsi="Arial" w:cs="Arial"/>
                <w:b/>
                <w:bCs/>
                <w:color w:val="000000"/>
                <w:sz w:val="18"/>
                <w:szCs w:val="18"/>
              </w:rPr>
            </w:pPr>
          </w:p>
        </w:tc>
        <w:tc>
          <w:tcPr>
            <w:tcW w:w="1523" w:type="dxa"/>
            <w:tcBorders>
              <w:top w:val="nil"/>
              <w:left w:val="single" w:sz="4" w:space="0" w:color="auto"/>
              <w:bottom w:val="single" w:sz="4" w:space="0" w:color="auto"/>
              <w:right w:val="single" w:sz="4" w:space="0" w:color="auto"/>
            </w:tcBorders>
            <w:shd w:val="clear" w:color="auto" w:fill="FFFF00"/>
            <w:vAlign w:val="center"/>
          </w:tcPr>
          <w:p w14:paraId="6C6142A2" w14:textId="77777777" w:rsidR="007F4C34" w:rsidRDefault="007F4C34" w:rsidP="00167C47">
            <w:pPr>
              <w:spacing w:after="240" w:line="240" w:lineRule="auto"/>
              <w:jc w:val="center"/>
              <w:rPr>
                <w:rFonts w:ascii="Arial" w:eastAsia="Times New Roman" w:hAnsi="Arial" w:cs="Arial"/>
                <w:color w:val="000000"/>
                <w:sz w:val="18"/>
                <w:szCs w:val="18"/>
              </w:rPr>
            </w:pPr>
          </w:p>
          <w:p w14:paraId="6A463690" w14:textId="77777777" w:rsidR="007F4C34" w:rsidRPr="00C629BE" w:rsidRDefault="007F4C34" w:rsidP="00167C47">
            <w:pPr>
              <w:spacing w:after="240" w:line="240" w:lineRule="auto"/>
              <w:jc w:val="center"/>
              <w:rPr>
                <w:rFonts w:ascii="Arial" w:eastAsia="Times New Roman" w:hAnsi="Arial" w:cs="Arial"/>
                <w:color w:val="000000"/>
                <w:sz w:val="18"/>
                <w:szCs w:val="18"/>
              </w:rPr>
            </w:pPr>
            <w:r w:rsidRPr="00C629BE">
              <w:rPr>
                <w:rFonts w:ascii="Arial" w:eastAsia="Times New Roman" w:hAnsi="Arial" w:cs="Arial"/>
                <w:color w:val="000000"/>
                <w:sz w:val="18"/>
                <w:szCs w:val="18"/>
              </w:rPr>
              <w:t>2.56</w:t>
            </w:r>
          </w:p>
          <w:p w14:paraId="22A819F1" w14:textId="77777777" w:rsidR="007F4C34" w:rsidRPr="00C629BE" w:rsidRDefault="007F4C34" w:rsidP="00167C47">
            <w:pPr>
              <w:spacing w:after="240" w:line="240" w:lineRule="auto"/>
              <w:jc w:val="center"/>
              <w:rPr>
                <w:rFonts w:ascii="Arial" w:eastAsia="Times New Roman" w:hAnsi="Arial" w:cs="Arial"/>
                <w:color w:val="000000"/>
                <w:sz w:val="18"/>
                <w:szCs w:val="18"/>
              </w:rPr>
            </w:pPr>
          </w:p>
          <w:p w14:paraId="25F7EE0C" w14:textId="77777777" w:rsidR="007F4C34" w:rsidRPr="00C629BE" w:rsidRDefault="007F4C34" w:rsidP="00167C47">
            <w:pPr>
              <w:spacing w:after="240" w:line="240" w:lineRule="auto"/>
              <w:rPr>
                <w:rFonts w:ascii="Arial" w:eastAsia="Times New Roman" w:hAnsi="Arial" w:cs="Arial"/>
                <w:b/>
                <w:bCs/>
                <w:color w:val="000000"/>
                <w:sz w:val="18"/>
                <w:szCs w:val="18"/>
              </w:rPr>
            </w:pPr>
          </w:p>
        </w:tc>
        <w:tc>
          <w:tcPr>
            <w:tcW w:w="1413" w:type="dxa"/>
            <w:tcBorders>
              <w:top w:val="nil"/>
              <w:left w:val="single" w:sz="4" w:space="0" w:color="auto"/>
              <w:bottom w:val="single" w:sz="4" w:space="0" w:color="auto"/>
              <w:right w:val="single" w:sz="4" w:space="0" w:color="auto"/>
            </w:tcBorders>
            <w:shd w:val="clear" w:color="auto" w:fill="FFC000"/>
            <w:vAlign w:val="center"/>
          </w:tcPr>
          <w:p w14:paraId="3373FE61" w14:textId="77777777" w:rsidR="007F4C34" w:rsidRDefault="007F4C34" w:rsidP="00167C47">
            <w:pPr>
              <w:spacing w:after="240" w:line="240" w:lineRule="auto"/>
              <w:jc w:val="center"/>
              <w:rPr>
                <w:rFonts w:ascii="Arial" w:eastAsia="Times New Roman" w:hAnsi="Arial" w:cs="Arial"/>
                <w:color w:val="000000"/>
                <w:sz w:val="18"/>
                <w:szCs w:val="18"/>
              </w:rPr>
            </w:pPr>
          </w:p>
          <w:p w14:paraId="03F295AD" w14:textId="77777777" w:rsidR="007F4C34" w:rsidRPr="00C629BE" w:rsidRDefault="007F4C34" w:rsidP="00167C47">
            <w:pPr>
              <w:spacing w:after="240" w:line="240" w:lineRule="auto"/>
              <w:jc w:val="center"/>
              <w:rPr>
                <w:rFonts w:ascii="Arial" w:eastAsia="Times New Roman" w:hAnsi="Arial" w:cs="Arial"/>
                <w:color w:val="000000"/>
                <w:sz w:val="18"/>
                <w:szCs w:val="18"/>
              </w:rPr>
            </w:pPr>
            <w:r w:rsidRPr="00C629BE">
              <w:rPr>
                <w:rFonts w:ascii="Arial" w:eastAsia="Times New Roman" w:hAnsi="Arial" w:cs="Arial"/>
                <w:color w:val="000000"/>
                <w:sz w:val="18"/>
                <w:szCs w:val="18"/>
              </w:rPr>
              <w:t>2</w:t>
            </w:r>
          </w:p>
          <w:p w14:paraId="0C64B770" w14:textId="77777777" w:rsidR="007F4C34" w:rsidRPr="00C629BE" w:rsidRDefault="007F4C34" w:rsidP="00167C47">
            <w:pPr>
              <w:spacing w:after="240" w:line="240" w:lineRule="auto"/>
              <w:jc w:val="center"/>
              <w:rPr>
                <w:rFonts w:ascii="Arial" w:eastAsia="Times New Roman" w:hAnsi="Arial" w:cs="Arial"/>
                <w:color w:val="000000"/>
                <w:sz w:val="18"/>
                <w:szCs w:val="18"/>
              </w:rPr>
            </w:pPr>
          </w:p>
          <w:p w14:paraId="0EDDEFE6" w14:textId="77777777" w:rsidR="007F4C34" w:rsidRPr="00C629BE" w:rsidRDefault="007F4C34" w:rsidP="00167C47">
            <w:pPr>
              <w:spacing w:after="240" w:line="240" w:lineRule="auto"/>
              <w:rPr>
                <w:rFonts w:ascii="Arial" w:eastAsia="Times New Roman" w:hAnsi="Arial" w:cs="Arial"/>
                <w:b/>
                <w:bCs/>
                <w:color w:val="000000"/>
                <w:sz w:val="18"/>
                <w:szCs w:val="18"/>
              </w:rPr>
            </w:pPr>
          </w:p>
        </w:tc>
        <w:tc>
          <w:tcPr>
            <w:tcW w:w="1390" w:type="dxa"/>
            <w:tcBorders>
              <w:top w:val="nil"/>
              <w:left w:val="single" w:sz="4" w:space="0" w:color="auto"/>
              <w:bottom w:val="single" w:sz="4" w:space="0" w:color="auto"/>
              <w:right w:val="single" w:sz="4" w:space="0" w:color="auto"/>
            </w:tcBorders>
            <w:shd w:val="clear" w:color="auto" w:fill="FFC000"/>
            <w:vAlign w:val="center"/>
          </w:tcPr>
          <w:p w14:paraId="73490479" w14:textId="77777777" w:rsidR="007F4C34" w:rsidRDefault="007F4C34" w:rsidP="00167C47">
            <w:pPr>
              <w:spacing w:after="240" w:line="240" w:lineRule="auto"/>
              <w:jc w:val="center"/>
              <w:rPr>
                <w:rFonts w:ascii="Arial" w:eastAsia="Times New Roman" w:hAnsi="Arial" w:cs="Arial"/>
                <w:color w:val="000000"/>
                <w:sz w:val="18"/>
                <w:szCs w:val="18"/>
              </w:rPr>
            </w:pPr>
          </w:p>
          <w:p w14:paraId="533D7F75" w14:textId="77777777" w:rsidR="007F4C34" w:rsidRPr="00C629BE" w:rsidRDefault="007F4C34" w:rsidP="00167C47">
            <w:pPr>
              <w:spacing w:after="240" w:line="240" w:lineRule="auto"/>
              <w:jc w:val="center"/>
              <w:rPr>
                <w:rFonts w:ascii="Arial" w:eastAsia="Times New Roman" w:hAnsi="Arial" w:cs="Arial"/>
                <w:color w:val="000000"/>
                <w:sz w:val="18"/>
                <w:szCs w:val="18"/>
              </w:rPr>
            </w:pPr>
            <w:r w:rsidRPr="00C629BE">
              <w:rPr>
                <w:rFonts w:ascii="Arial" w:eastAsia="Times New Roman" w:hAnsi="Arial" w:cs="Arial"/>
                <w:color w:val="000000"/>
                <w:sz w:val="18"/>
                <w:szCs w:val="18"/>
              </w:rPr>
              <w:t>9</w:t>
            </w:r>
          </w:p>
          <w:p w14:paraId="794F7BC0" w14:textId="77777777" w:rsidR="007F4C34" w:rsidRPr="00C629BE" w:rsidRDefault="007F4C34" w:rsidP="00167C47">
            <w:pPr>
              <w:spacing w:after="240" w:line="240" w:lineRule="auto"/>
              <w:jc w:val="center"/>
              <w:rPr>
                <w:rFonts w:ascii="Arial" w:eastAsia="Times New Roman" w:hAnsi="Arial" w:cs="Arial"/>
                <w:color w:val="000000"/>
                <w:sz w:val="18"/>
                <w:szCs w:val="18"/>
              </w:rPr>
            </w:pPr>
          </w:p>
          <w:p w14:paraId="794B6331" w14:textId="77777777" w:rsidR="007F4C34" w:rsidRPr="00C629BE" w:rsidRDefault="007F4C34" w:rsidP="00167C47">
            <w:pPr>
              <w:spacing w:after="240" w:line="240" w:lineRule="auto"/>
              <w:rPr>
                <w:rFonts w:ascii="Arial" w:eastAsia="Times New Roman" w:hAnsi="Arial" w:cs="Arial"/>
                <w:b/>
                <w:bCs/>
                <w:color w:val="000000"/>
                <w:sz w:val="18"/>
                <w:szCs w:val="18"/>
              </w:rPr>
            </w:pPr>
          </w:p>
        </w:tc>
      </w:tr>
      <w:tr w:rsidR="007F4C34" w:rsidRPr="00DD37EC" w14:paraId="528581C5" w14:textId="77777777" w:rsidTr="00167C47">
        <w:trPr>
          <w:cantSplit/>
          <w:trHeight w:hRule="exact" w:val="1891"/>
        </w:trPr>
        <w:tc>
          <w:tcPr>
            <w:tcW w:w="3355" w:type="dxa"/>
            <w:tcBorders>
              <w:top w:val="nil"/>
              <w:left w:val="single" w:sz="4" w:space="0" w:color="auto"/>
              <w:bottom w:val="single" w:sz="4" w:space="0" w:color="auto"/>
              <w:right w:val="single" w:sz="4" w:space="0" w:color="auto"/>
            </w:tcBorders>
            <w:shd w:val="clear" w:color="auto" w:fill="auto"/>
            <w:noWrap/>
            <w:vAlign w:val="bottom"/>
          </w:tcPr>
          <w:p w14:paraId="364D3C2F" w14:textId="77777777" w:rsidR="007F4C34" w:rsidRPr="00C629BE" w:rsidRDefault="007F4C34" w:rsidP="00167C47">
            <w:pPr>
              <w:spacing w:after="240" w:line="240" w:lineRule="auto"/>
              <w:rPr>
                <w:rFonts w:ascii="Arial" w:eastAsia="Times New Roman" w:hAnsi="Arial" w:cs="Arial"/>
                <w:b/>
                <w:bCs/>
                <w:color w:val="000000"/>
                <w:sz w:val="18"/>
                <w:szCs w:val="18"/>
                <w:lang w:val="es-MX"/>
              </w:rPr>
            </w:pPr>
            <w:r w:rsidRPr="00C629BE">
              <w:rPr>
                <w:rFonts w:ascii="Arial" w:eastAsia="Times New Roman" w:hAnsi="Arial" w:cs="Arial"/>
                <w:color w:val="000000"/>
                <w:sz w:val="18"/>
                <w:szCs w:val="18"/>
                <w:lang w:val="es-MX"/>
              </w:rPr>
              <w:t>Existe un sistema de información manual desde el nivel local, el dato no es oportuno y de calidad, y a nivel central no se vincula con los datos de otras fuentes para monitorear la cascada de tratamiento. No se difunden los reportes de información rutinaria dificultando su uso para la toma de decisiones.</w:t>
            </w:r>
          </w:p>
        </w:tc>
        <w:tc>
          <w:tcPr>
            <w:tcW w:w="1669" w:type="dxa"/>
            <w:tcBorders>
              <w:top w:val="nil"/>
              <w:left w:val="single" w:sz="4" w:space="0" w:color="auto"/>
              <w:bottom w:val="single" w:sz="4" w:space="0" w:color="auto"/>
              <w:right w:val="single" w:sz="4" w:space="0" w:color="auto"/>
            </w:tcBorders>
            <w:shd w:val="clear" w:color="auto" w:fill="FFFF00"/>
            <w:vAlign w:val="bottom"/>
          </w:tcPr>
          <w:p w14:paraId="4C0A97F6" w14:textId="77777777" w:rsidR="007F4C34" w:rsidRPr="004F56A9" w:rsidRDefault="007F4C34" w:rsidP="00167C47">
            <w:pPr>
              <w:spacing w:after="240" w:line="240" w:lineRule="auto"/>
              <w:jc w:val="center"/>
              <w:rPr>
                <w:rFonts w:ascii="Arial" w:eastAsia="Times New Roman" w:hAnsi="Arial" w:cs="Arial"/>
                <w:color w:val="000000"/>
                <w:sz w:val="18"/>
                <w:szCs w:val="18"/>
                <w:lang w:val="es-MX"/>
              </w:rPr>
            </w:pPr>
          </w:p>
          <w:p w14:paraId="4D749DBF" w14:textId="77777777" w:rsidR="007F4C34" w:rsidRPr="00C629BE" w:rsidRDefault="007F4C34" w:rsidP="00167C47">
            <w:pPr>
              <w:spacing w:after="240" w:line="240" w:lineRule="auto"/>
              <w:jc w:val="center"/>
              <w:rPr>
                <w:rFonts w:ascii="Arial" w:eastAsia="Times New Roman" w:hAnsi="Arial" w:cs="Arial"/>
                <w:color w:val="000000"/>
                <w:sz w:val="18"/>
                <w:szCs w:val="18"/>
              </w:rPr>
            </w:pPr>
            <w:r w:rsidRPr="00C629BE">
              <w:rPr>
                <w:rFonts w:ascii="Arial" w:eastAsia="Times New Roman" w:hAnsi="Arial" w:cs="Arial"/>
                <w:color w:val="000000"/>
                <w:sz w:val="18"/>
                <w:szCs w:val="18"/>
              </w:rPr>
              <w:t>2.39</w:t>
            </w:r>
          </w:p>
          <w:p w14:paraId="0DD47903" w14:textId="77777777" w:rsidR="007F4C34" w:rsidRPr="00C629BE" w:rsidRDefault="007F4C34" w:rsidP="00167C47">
            <w:pPr>
              <w:spacing w:after="240" w:line="240" w:lineRule="auto"/>
              <w:jc w:val="center"/>
              <w:rPr>
                <w:rFonts w:ascii="Arial" w:eastAsia="Times New Roman" w:hAnsi="Arial" w:cs="Arial"/>
                <w:color w:val="000000"/>
                <w:sz w:val="18"/>
                <w:szCs w:val="18"/>
              </w:rPr>
            </w:pPr>
          </w:p>
          <w:p w14:paraId="2B332CA7" w14:textId="77777777" w:rsidR="007F4C34" w:rsidRPr="00C629BE" w:rsidRDefault="007F4C34" w:rsidP="00167C47">
            <w:pPr>
              <w:spacing w:after="240" w:line="240" w:lineRule="auto"/>
              <w:jc w:val="center"/>
              <w:rPr>
                <w:rFonts w:ascii="Arial" w:eastAsia="Times New Roman" w:hAnsi="Arial" w:cs="Arial"/>
                <w:color w:val="000000"/>
                <w:sz w:val="18"/>
                <w:szCs w:val="18"/>
              </w:rPr>
            </w:pPr>
          </w:p>
          <w:p w14:paraId="6544BDDC" w14:textId="77777777" w:rsidR="007F4C34" w:rsidRPr="00C629BE" w:rsidRDefault="007F4C34" w:rsidP="00167C47">
            <w:pPr>
              <w:spacing w:after="240" w:line="240" w:lineRule="auto"/>
              <w:rPr>
                <w:rFonts w:ascii="Arial" w:eastAsia="Times New Roman" w:hAnsi="Arial" w:cs="Arial"/>
                <w:b/>
                <w:bCs/>
                <w:color w:val="000000"/>
                <w:sz w:val="18"/>
                <w:szCs w:val="18"/>
              </w:rPr>
            </w:pPr>
          </w:p>
        </w:tc>
        <w:tc>
          <w:tcPr>
            <w:tcW w:w="1523" w:type="dxa"/>
            <w:tcBorders>
              <w:top w:val="nil"/>
              <w:left w:val="single" w:sz="4" w:space="0" w:color="auto"/>
              <w:bottom w:val="single" w:sz="4" w:space="0" w:color="auto"/>
              <w:right w:val="single" w:sz="4" w:space="0" w:color="auto"/>
            </w:tcBorders>
            <w:shd w:val="clear" w:color="auto" w:fill="FFC000"/>
            <w:vAlign w:val="bottom"/>
          </w:tcPr>
          <w:p w14:paraId="19348DCC" w14:textId="77777777" w:rsidR="007F4C34" w:rsidRDefault="007F4C34" w:rsidP="00167C47">
            <w:pPr>
              <w:spacing w:after="240" w:line="240" w:lineRule="auto"/>
              <w:jc w:val="center"/>
              <w:rPr>
                <w:rFonts w:ascii="Arial" w:eastAsia="Times New Roman" w:hAnsi="Arial" w:cs="Arial"/>
                <w:color w:val="000000"/>
                <w:sz w:val="18"/>
                <w:szCs w:val="18"/>
              </w:rPr>
            </w:pPr>
          </w:p>
          <w:p w14:paraId="10307BAB" w14:textId="77777777" w:rsidR="007F4C34" w:rsidRPr="00C629BE" w:rsidRDefault="007F4C34" w:rsidP="00167C47">
            <w:pPr>
              <w:spacing w:after="240" w:line="240" w:lineRule="auto"/>
              <w:jc w:val="center"/>
              <w:rPr>
                <w:rFonts w:ascii="Arial" w:eastAsia="Times New Roman" w:hAnsi="Arial" w:cs="Arial"/>
                <w:color w:val="000000"/>
                <w:sz w:val="18"/>
                <w:szCs w:val="18"/>
              </w:rPr>
            </w:pPr>
            <w:r w:rsidRPr="00C629BE">
              <w:rPr>
                <w:rFonts w:ascii="Arial" w:eastAsia="Times New Roman" w:hAnsi="Arial" w:cs="Arial"/>
                <w:color w:val="000000"/>
                <w:sz w:val="18"/>
                <w:szCs w:val="18"/>
              </w:rPr>
              <w:t>2.61</w:t>
            </w:r>
          </w:p>
          <w:p w14:paraId="2F04F736" w14:textId="77777777" w:rsidR="007F4C34" w:rsidRPr="00C629BE" w:rsidRDefault="007F4C34" w:rsidP="00167C47">
            <w:pPr>
              <w:spacing w:after="240" w:line="240" w:lineRule="auto"/>
              <w:jc w:val="center"/>
              <w:rPr>
                <w:rFonts w:ascii="Arial" w:eastAsia="Times New Roman" w:hAnsi="Arial" w:cs="Arial"/>
                <w:color w:val="000000"/>
                <w:sz w:val="18"/>
                <w:szCs w:val="18"/>
              </w:rPr>
            </w:pPr>
          </w:p>
          <w:p w14:paraId="6C8C8CE9" w14:textId="77777777" w:rsidR="007F4C34" w:rsidRPr="00C629BE" w:rsidRDefault="007F4C34" w:rsidP="00167C47">
            <w:pPr>
              <w:spacing w:after="240" w:line="240" w:lineRule="auto"/>
              <w:jc w:val="center"/>
              <w:rPr>
                <w:rFonts w:ascii="Arial" w:eastAsia="Times New Roman" w:hAnsi="Arial" w:cs="Arial"/>
                <w:color w:val="000000"/>
                <w:sz w:val="18"/>
                <w:szCs w:val="18"/>
              </w:rPr>
            </w:pPr>
          </w:p>
          <w:p w14:paraId="6706AC9F" w14:textId="77777777" w:rsidR="007F4C34" w:rsidRPr="00C629BE" w:rsidRDefault="007F4C34" w:rsidP="00167C47">
            <w:pPr>
              <w:spacing w:after="240" w:line="240" w:lineRule="auto"/>
              <w:rPr>
                <w:rFonts w:ascii="Arial" w:eastAsia="Times New Roman" w:hAnsi="Arial" w:cs="Arial"/>
                <w:b/>
                <w:bCs/>
                <w:color w:val="000000"/>
                <w:sz w:val="18"/>
                <w:szCs w:val="18"/>
              </w:rPr>
            </w:pPr>
          </w:p>
        </w:tc>
        <w:tc>
          <w:tcPr>
            <w:tcW w:w="1413" w:type="dxa"/>
            <w:tcBorders>
              <w:top w:val="nil"/>
              <w:left w:val="single" w:sz="4" w:space="0" w:color="auto"/>
              <w:bottom w:val="single" w:sz="4" w:space="0" w:color="auto"/>
              <w:right w:val="single" w:sz="4" w:space="0" w:color="auto"/>
            </w:tcBorders>
            <w:shd w:val="clear" w:color="auto" w:fill="92D050"/>
            <w:vAlign w:val="bottom"/>
          </w:tcPr>
          <w:p w14:paraId="061931D9" w14:textId="77777777" w:rsidR="007F4C34" w:rsidRDefault="007F4C34" w:rsidP="00167C47">
            <w:pPr>
              <w:spacing w:after="240" w:line="240" w:lineRule="auto"/>
              <w:jc w:val="center"/>
              <w:rPr>
                <w:rFonts w:ascii="Arial" w:eastAsia="Times New Roman" w:hAnsi="Arial" w:cs="Arial"/>
                <w:color w:val="000000"/>
                <w:sz w:val="18"/>
                <w:szCs w:val="18"/>
              </w:rPr>
            </w:pPr>
          </w:p>
          <w:p w14:paraId="0F99FC65" w14:textId="77777777" w:rsidR="007F4C34" w:rsidRPr="00C629BE" w:rsidRDefault="007F4C34" w:rsidP="00167C47">
            <w:pPr>
              <w:spacing w:after="240" w:line="240" w:lineRule="auto"/>
              <w:jc w:val="center"/>
              <w:rPr>
                <w:rFonts w:ascii="Arial" w:eastAsia="Times New Roman" w:hAnsi="Arial" w:cs="Arial"/>
                <w:color w:val="000000"/>
                <w:sz w:val="18"/>
                <w:szCs w:val="18"/>
              </w:rPr>
            </w:pPr>
            <w:r w:rsidRPr="00C629BE">
              <w:rPr>
                <w:rFonts w:ascii="Arial" w:eastAsia="Times New Roman" w:hAnsi="Arial" w:cs="Arial"/>
                <w:color w:val="000000"/>
                <w:sz w:val="18"/>
                <w:szCs w:val="18"/>
              </w:rPr>
              <w:t>5</w:t>
            </w:r>
          </w:p>
          <w:p w14:paraId="217468C3" w14:textId="77777777" w:rsidR="007F4C34" w:rsidRPr="00C629BE" w:rsidRDefault="007F4C34" w:rsidP="00167C47">
            <w:pPr>
              <w:spacing w:after="240" w:line="240" w:lineRule="auto"/>
              <w:jc w:val="center"/>
              <w:rPr>
                <w:rFonts w:ascii="Arial" w:eastAsia="Times New Roman" w:hAnsi="Arial" w:cs="Arial"/>
                <w:color w:val="000000"/>
                <w:sz w:val="18"/>
                <w:szCs w:val="18"/>
              </w:rPr>
            </w:pPr>
          </w:p>
          <w:p w14:paraId="09E3D1EA" w14:textId="77777777" w:rsidR="007F4C34" w:rsidRPr="00C629BE" w:rsidRDefault="007F4C34" w:rsidP="00167C47">
            <w:pPr>
              <w:spacing w:after="240" w:line="240" w:lineRule="auto"/>
              <w:jc w:val="center"/>
              <w:rPr>
                <w:rFonts w:ascii="Arial" w:eastAsia="Times New Roman" w:hAnsi="Arial" w:cs="Arial"/>
                <w:color w:val="000000"/>
                <w:sz w:val="18"/>
                <w:szCs w:val="18"/>
              </w:rPr>
            </w:pPr>
          </w:p>
          <w:p w14:paraId="03F8C605" w14:textId="77777777" w:rsidR="007F4C34" w:rsidRPr="00C629BE" w:rsidRDefault="007F4C34" w:rsidP="00167C47">
            <w:pPr>
              <w:spacing w:after="240" w:line="240" w:lineRule="auto"/>
              <w:rPr>
                <w:rFonts w:ascii="Arial" w:eastAsia="Times New Roman" w:hAnsi="Arial" w:cs="Arial"/>
                <w:b/>
                <w:bCs/>
                <w:color w:val="000000"/>
                <w:sz w:val="18"/>
                <w:szCs w:val="18"/>
              </w:rPr>
            </w:pPr>
          </w:p>
        </w:tc>
        <w:tc>
          <w:tcPr>
            <w:tcW w:w="1390" w:type="dxa"/>
            <w:tcBorders>
              <w:top w:val="nil"/>
              <w:left w:val="single" w:sz="4" w:space="0" w:color="auto"/>
              <w:bottom w:val="single" w:sz="4" w:space="0" w:color="auto"/>
              <w:right w:val="single" w:sz="4" w:space="0" w:color="auto"/>
            </w:tcBorders>
            <w:shd w:val="clear" w:color="auto" w:fill="FFC000"/>
            <w:vAlign w:val="bottom"/>
          </w:tcPr>
          <w:p w14:paraId="79D15048" w14:textId="77777777" w:rsidR="007F4C34" w:rsidRDefault="007F4C34" w:rsidP="00167C47">
            <w:pPr>
              <w:spacing w:after="240" w:line="240" w:lineRule="auto"/>
              <w:jc w:val="center"/>
              <w:rPr>
                <w:rFonts w:ascii="Arial" w:eastAsia="Times New Roman" w:hAnsi="Arial" w:cs="Arial"/>
                <w:color w:val="000000"/>
                <w:sz w:val="18"/>
                <w:szCs w:val="18"/>
              </w:rPr>
            </w:pPr>
          </w:p>
          <w:p w14:paraId="6E01C946" w14:textId="77777777" w:rsidR="007F4C34" w:rsidRPr="00C629BE" w:rsidRDefault="007F4C34" w:rsidP="00167C47">
            <w:pPr>
              <w:spacing w:after="240" w:line="240" w:lineRule="auto"/>
              <w:jc w:val="center"/>
              <w:rPr>
                <w:rFonts w:ascii="Arial" w:eastAsia="Times New Roman" w:hAnsi="Arial" w:cs="Arial"/>
                <w:color w:val="000000"/>
                <w:sz w:val="18"/>
                <w:szCs w:val="18"/>
              </w:rPr>
            </w:pPr>
            <w:r w:rsidRPr="00C629BE">
              <w:rPr>
                <w:rFonts w:ascii="Arial" w:eastAsia="Times New Roman" w:hAnsi="Arial" w:cs="Arial"/>
                <w:color w:val="000000"/>
                <w:sz w:val="18"/>
                <w:szCs w:val="18"/>
              </w:rPr>
              <w:t>8</w:t>
            </w:r>
          </w:p>
          <w:p w14:paraId="55936AA7" w14:textId="77777777" w:rsidR="007F4C34" w:rsidRPr="00C629BE" w:rsidRDefault="007F4C34" w:rsidP="00167C47">
            <w:pPr>
              <w:spacing w:after="240" w:line="240" w:lineRule="auto"/>
              <w:jc w:val="center"/>
              <w:rPr>
                <w:rFonts w:ascii="Arial" w:eastAsia="Times New Roman" w:hAnsi="Arial" w:cs="Arial"/>
                <w:color w:val="000000"/>
                <w:sz w:val="18"/>
                <w:szCs w:val="18"/>
              </w:rPr>
            </w:pPr>
          </w:p>
          <w:p w14:paraId="136F7BFC" w14:textId="77777777" w:rsidR="007F4C34" w:rsidRPr="00C629BE" w:rsidRDefault="007F4C34" w:rsidP="00167C47">
            <w:pPr>
              <w:spacing w:after="240" w:line="240" w:lineRule="auto"/>
              <w:jc w:val="center"/>
              <w:rPr>
                <w:rFonts w:ascii="Arial" w:eastAsia="Times New Roman" w:hAnsi="Arial" w:cs="Arial"/>
                <w:color w:val="000000"/>
                <w:sz w:val="18"/>
                <w:szCs w:val="18"/>
              </w:rPr>
            </w:pPr>
          </w:p>
          <w:p w14:paraId="36F43AEE" w14:textId="77777777" w:rsidR="007F4C34" w:rsidRPr="00C629BE" w:rsidRDefault="007F4C34" w:rsidP="00167C47">
            <w:pPr>
              <w:spacing w:after="240" w:line="240" w:lineRule="auto"/>
              <w:rPr>
                <w:rFonts w:ascii="Arial" w:eastAsia="Times New Roman" w:hAnsi="Arial" w:cs="Arial"/>
                <w:b/>
                <w:bCs/>
                <w:color w:val="000000"/>
                <w:sz w:val="18"/>
                <w:szCs w:val="18"/>
              </w:rPr>
            </w:pPr>
          </w:p>
        </w:tc>
      </w:tr>
      <w:tr w:rsidR="007F4C34" w:rsidRPr="00DD37EC" w14:paraId="5F69BCCB" w14:textId="77777777" w:rsidTr="00167C47">
        <w:trPr>
          <w:cantSplit/>
          <w:trHeight w:hRule="exact" w:val="1152"/>
        </w:trPr>
        <w:tc>
          <w:tcPr>
            <w:tcW w:w="3355" w:type="dxa"/>
            <w:tcBorders>
              <w:top w:val="nil"/>
              <w:left w:val="single" w:sz="4" w:space="0" w:color="auto"/>
              <w:bottom w:val="single" w:sz="4" w:space="0" w:color="auto"/>
              <w:right w:val="single" w:sz="4" w:space="0" w:color="auto"/>
            </w:tcBorders>
            <w:shd w:val="clear" w:color="auto" w:fill="auto"/>
            <w:noWrap/>
            <w:vAlign w:val="bottom"/>
          </w:tcPr>
          <w:p w14:paraId="66D03D14" w14:textId="77777777" w:rsidR="007F4C34" w:rsidRPr="00C629BE" w:rsidRDefault="007F4C34" w:rsidP="00167C47">
            <w:pPr>
              <w:spacing w:after="240" w:line="240" w:lineRule="auto"/>
              <w:rPr>
                <w:rFonts w:ascii="Arial" w:eastAsia="Times New Roman" w:hAnsi="Arial" w:cs="Arial"/>
                <w:b/>
                <w:bCs/>
                <w:color w:val="000000"/>
                <w:sz w:val="18"/>
                <w:szCs w:val="18"/>
                <w:lang w:val="es-MX"/>
              </w:rPr>
            </w:pPr>
            <w:r w:rsidRPr="00C629BE">
              <w:rPr>
                <w:rFonts w:ascii="Arial" w:eastAsia="Times New Roman" w:hAnsi="Arial" w:cs="Arial"/>
                <w:color w:val="000000"/>
                <w:sz w:val="18"/>
                <w:szCs w:val="18"/>
                <w:lang w:val="es-MX"/>
              </w:rPr>
              <w:t>Existe desabastecimiento de medicamentos y pruebas rápidas por múltiples factores (i</w:t>
            </w:r>
            <w:r>
              <w:rPr>
                <w:rFonts w:ascii="Arial" w:eastAsia="Times New Roman" w:hAnsi="Arial" w:cs="Arial"/>
                <w:color w:val="000000"/>
                <w:sz w:val="18"/>
                <w:szCs w:val="18"/>
                <w:lang w:val="es-MX"/>
              </w:rPr>
              <w:t>.</w:t>
            </w:r>
            <w:r w:rsidRPr="00C629BE">
              <w:rPr>
                <w:rFonts w:ascii="Arial" w:eastAsia="Times New Roman" w:hAnsi="Arial" w:cs="Arial"/>
                <w:color w:val="000000"/>
                <w:sz w:val="18"/>
                <w:szCs w:val="18"/>
                <w:lang w:val="es-MX"/>
              </w:rPr>
              <w:t>e. estimación de necesidades, ausencia de información oportuna y tiempos prolongados)</w:t>
            </w:r>
            <w:r>
              <w:rPr>
                <w:rFonts w:ascii="Arial" w:eastAsia="Times New Roman" w:hAnsi="Arial" w:cs="Arial"/>
                <w:color w:val="000000"/>
                <w:sz w:val="18"/>
                <w:szCs w:val="18"/>
                <w:lang w:val="es-MX"/>
              </w:rPr>
              <w:t>.</w:t>
            </w:r>
          </w:p>
        </w:tc>
        <w:tc>
          <w:tcPr>
            <w:tcW w:w="1669" w:type="dxa"/>
            <w:tcBorders>
              <w:top w:val="nil"/>
              <w:left w:val="single" w:sz="4" w:space="0" w:color="auto"/>
              <w:bottom w:val="single" w:sz="4" w:space="0" w:color="auto"/>
              <w:right w:val="single" w:sz="4" w:space="0" w:color="auto"/>
            </w:tcBorders>
            <w:shd w:val="clear" w:color="auto" w:fill="FF0000"/>
            <w:vAlign w:val="bottom"/>
          </w:tcPr>
          <w:p w14:paraId="5DC4124A" w14:textId="77777777" w:rsidR="007F4C34" w:rsidRPr="00C629BE" w:rsidRDefault="007F4C34" w:rsidP="00167C47">
            <w:pPr>
              <w:spacing w:after="240" w:line="240" w:lineRule="auto"/>
              <w:jc w:val="center"/>
              <w:rPr>
                <w:rFonts w:ascii="Arial" w:eastAsia="Times New Roman" w:hAnsi="Arial" w:cs="Arial"/>
                <w:color w:val="000000"/>
                <w:sz w:val="18"/>
                <w:szCs w:val="18"/>
              </w:rPr>
            </w:pPr>
            <w:r w:rsidRPr="00C629BE">
              <w:rPr>
                <w:rFonts w:ascii="Arial" w:eastAsia="Times New Roman" w:hAnsi="Arial" w:cs="Arial"/>
                <w:color w:val="000000"/>
                <w:sz w:val="18"/>
                <w:szCs w:val="18"/>
              </w:rPr>
              <w:t>2.78</w:t>
            </w:r>
          </w:p>
          <w:p w14:paraId="45FE7B8C" w14:textId="77777777" w:rsidR="007F4C34" w:rsidRPr="00C629BE" w:rsidRDefault="007F4C34" w:rsidP="00167C47">
            <w:pPr>
              <w:spacing w:after="240" w:line="240" w:lineRule="auto"/>
              <w:jc w:val="center"/>
              <w:rPr>
                <w:rFonts w:ascii="Arial" w:eastAsia="Times New Roman" w:hAnsi="Arial" w:cs="Arial"/>
                <w:color w:val="000000"/>
                <w:sz w:val="18"/>
                <w:szCs w:val="18"/>
              </w:rPr>
            </w:pPr>
          </w:p>
          <w:p w14:paraId="4ED67B75" w14:textId="77777777" w:rsidR="007F4C34" w:rsidRPr="00C629BE" w:rsidRDefault="007F4C34" w:rsidP="00167C47">
            <w:pPr>
              <w:spacing w:after="240" w:line="240" w:lineRule="auto"/>
              <w:rPr>
                <w:rFonts w:ascii="Arial" w:eastAsia="Times New Roman" w:hAnsi="Arial" w:cs="Arial"/>
                <w:b/>
                <w:bCs/>
                <w:color w:val="000000"/>
                <w:sz w:val="18"/>
                <w:szCs w:val="18"/>
              </w:rPr>
            </w:pPr>
          </w:p>
        </w:tc>
        <w:tc>
          <w:tcPr>
            <w:tcW w:w="1523" w:type="dxa"/>
            <w:tcBorders>
              <w:top w:val="nil"/>
              <w:left w:val="single" w:sz="4" w:space="0" w:color="auto"/>
              <w:bottom w:val="single" w:sz="4" w:space="0" w:color="auto"/>
              <w:right w:val="single" w:sz="4" w:space="0" w:color="auto"/>
            </w:tcBorders>
            <w:shd w:val="clear" w:color="auto" w:fill="FF0000"/>
            <w:vAlign w:val="bottom"/>
          </w:tcPr>
          <w:p w14:paraId="154B09EE" w14:textId="77777777" w:rsidR="007F4C34" w:rsidRPr="00C629BE" w:rsidRDefault="007F4C34" w:rsidP="00167C47">
            <w:pPr>
              <w:spacing w:after="240" w:line="240" w:lineRule="auto"/>
              <w:jc w:val="center"/>
              <w:rPr>
                <w:rFonts w:ascii="Arial" w:eastAsia="Times New Roman" w:hAnsi="Arial" w:cs="Arial"/>
                <w:color w:val="000000"/>
                <w:sz w:val="18"/>
                <w:szCs w:val="18"/>
              </w:rPr>
            </w:pPr>
            <w:r w:rsidRPr="00C629BE">
              <w:rPr>
                <w:rFonts w:ascii="Arial" w:eastAsia="Times New Roman" w:hAnsi="Arial" w:cs="Arial"/>
                <w:color w:val="000000"/>
                <w:sz w:val="18"/>
                <w:szCs w:val="18"/>
              </w:rPr>
              <w:t>2.83</w:t>
            </w:r>
          </w:p>
          <w:p w14:paraId="7AC89B71" w14:textId="77777777" w:rsidR="007F4C34" w:rsidRPr="00C629BE" w:rsidRDefault="007F4C34" w:rsidP="00167C47">
            <w:pPr>
              <w:spacing w:after="240" w:line="240" w:lineRule="auto"/>
              <w:jc w:val="center"/>
              <w:rPr>
                <w:rFonts w:ascii="Arial" w:eastAsia="Times New Roman" w:hAnsi="Arial" w:cs="Arial"/>
                <w:color w:val="000000"/>
                <w:sz w:val="18"/>
                <w:szCs w:val="18"/>
              </w:rPr>
            </w:pPr>
          </w:p>
          <w:p w14:paraId="7D002FCA" w14:textId="77777777" w:rsidR="007F4C34" w:rsidRPr="00C629BE" w:rsidRDefault="007F4C34" w:rsidP="00167C47">
            <w:pPr>
              <w:spacing w:after="240" w:line="240" w:lineRule="auto"/>
              <w:rPr>
                <w:rFonts w:ascii="Arial" w:eastAsia="Times New Roman" w:hAnsi="Arial" w:cs="Arial"/>
                <w:b/>
                <w:bCs/>
                <w:color w:val="000000"/>
                <w:sz w:val="18"/>
                <w:szCs w:val="18"/>
              </w:rPr>
            </w:pPr>
          </w:p>
        </w:tc>
        <w:tc>
          <w:tcPr>
            <w:tcW w:w="1413" w:type="dxa"/>
            <w:tcBorders>
              <w:top w:val="nil"/>
              <w:left w:val="single" w:sz="4" w:space="0" w:color="auto"/>
              <w:bottom w:val="single" w:sz="4" w:space="0" w:color="auto"/>
              <w:right w:val="single" w:sz="4" w:space="0" w:color="auto"/>
            </w:tcBorders>
            <w:shd w:val="clear" w:color="auto" w:fill="FF0000"/>
            <w:vAlign w:val="bottom"/>
          </w:tcPr>
          <w:p w14:paraId="0B364E66" w14:textId="77777777" w:rsidR="007F4C34" w:rsidRPr="00C629BE" w:rsidRDefault="007F4C34" w:rsidP="00167C47">
            <w:pPr>
              <w:spacing w:after="240" w:line="240" w:lineRule="auto"/>
              <w:jc w:val="center"/>
              <w:rPr>
                <w:rFonts w:ascii="Arial" w:eastAsia="Times New Roman" w:hAnsi="Arial" w:cs="Arial"/>
                <w:color w:val="000000"/>
                <w:sz w:val="18"/>
                <w:szCs w:val="18"/>
              </w:rPr>
            </w:pPr>
            <w:r w:rsidRPr="00C629BE">
              <w:rPr>
                <w:rFonts w:ascii="Arial" w:eastAsia="Times New Roman" w:hAnsi="Arial" w:cs="Arial"/>
                <w:color w:val="000000"/>
                <w:sz w:val="18"/>
                <w:szCs w:val="18"/>
              </w:rPr>
              <w:t>1</w:t>
            </w:r>
          </w:p>
          <w:p w14:paraId="3D6A55D4" w14:textId="77777777" w:rsidR="007F4C34" w:rsidRPr="00C629BE" w:rsidRDefault="007F4C34" w:rsidP="00167C47">
            <w:pPr>
              <w:spacing w:after="240" w:line="240" w:lineRule="auto"/>
              <w:jc w:val="center"/>
              <w:rPr>
                <w:rFonts w:ascii="Arial" w:eastAsia="Times New Roman" w:hAnsi="Arial" w:cs="Arial"/>
                <w:color w:val="000000"/>
                <w:sz w:val="18"/>
                <w:szCs w:val="18"/>
              </w:rPr>
            </w:pPr>
          </w:p>
          <w:p w14:paraId="336B7764" w14:textId="77777777" w:rsidR="007F4C34" w:rsidRPr="00C629BE" w:rsidRDefault="007F4C34" w:rsidP="00167C47">
            <w:pPr>
              <w:spacing w:after="240" w:line="240" w:lineRule="auto"/>
              <w:rPr>
                <w:rFonts w:ascii="Arial" w:eastAsia="Times New Roman" w:hAnsi="Arial" w:cs="Arial"/>
                <w:b/>
                <w:bCs/>
                <w:color w:val="000000"/>
                <w:sz w:val="18"/>
                <w:szCs w:val="18"/>
              </w:rPr>
            </w:pPr>
          </w:p>
        </w:tc>
        <w:tc>
          <w:tcPr>
            <w:tcW w:w="1390" w:type="dxa"/>
            <w:tcBorders>
              <w:top w:val="nil"/>
              <w:left w:val="single" w:sz="4" w:space="0" w:color="auto"/>
              <w:bottom w:val="single" w:sz="4" w:space="0" w:color="auto"/>
              <w:right w:val="single" w:sz="4" w:space="0" w:color="auto"/>
            </w:tcBorders>
            <w:shd w:val="clear" w:color="auto" w:fill="FF0000"/>
            <w:vAlign w:val="bottom"/>
          </w:tcPr>
          <w:p w14:paraId="3CCFF4D8" w14:textId="77777777" w:rsidR="007F4C34" w:rsidRPr="00C629BE" w:rsidRDefault="007F4C34" w:rsidP="00167C47">
            <w:pPr>
              <w:spacing w:after="240" w:line="240" w:lineRule="auto"/>
              <w:jc w:val="center"/>
              <w:rPr>
                <w:rFonts w:ascii="Arial" w:eastAsia="Times New Roman" w:hAnsi="Arial" w:cs="Arial"/>
                <w:color w:val="000000"/>
                <w:sz w:val="18"/>
                <w:szCs w:val="18"/>
              </w:rPr>
            </w:pPr>
            <w:r w:rsidRPr="00C629BE">
              <w:rPr>
                <w:rFonts w:ascii="Arial" w:eastAsia="Times New Roman" w:hAnsi="Arial" w:cs="Arial"/>
                <w:color w:val="000000"/>
                <w:sz w:val="18"/>
                <w:szCs w:val="18"/>
              </w:rPr>
              <w:t>1</w:t>
            </w:r>
          </w:p>
          <w:p w14:paraId="10F0E12E" w14:textId="77777777" w:rsidR="007F4C34" w:rsidRPr="00C629BE" w:rsidRDefault="007F4C34" w:rsidP="00167C47">
            <w:pPr>
              <w:spacing w:after="240" w:line="240" w:lineRule="auto"/>
              <w:jc w:val="center"/>
              <w:rPr>
                <w:rFonts w:ascii="Arial" w:eastAsia="Times New Roman" w:hAnsi="Arial" w:cs="Arial"/>
                <w:color w:val="000000"/>
                <w:sz w:val="18"/>
                <w:szCs w:val="18"/>
              </w:rPr>
            </w:pPr>
          </w:p>
          <w:p w14:paraId="03FB6BF8" w14:textId="77777777" w:rsidR="007F4C34" w:rsidRPr="00C629BE" w:rsidRDefault="007F4C34" w:rsidP="00167C47">
            <w:pPr>
              <w:spacing w:after="240" w:line="240" w:lineRule="auto"/>
              <w:rPr>
                <w:rFonts w:ascii="Arial" w:eastAsia="Times New Roman" w:hAnsi="Arial" w:cs="Arial"/>
                <w:b/>
                <w:bCs/>
                <w:color w:val="000000"/>
                <w:sz w:val="18"/>
                <w:szCs w:val="18"/>
              </w:rPr>
            </w:pPr>
          </w:p>
        </w:tc>
      </w:tr>
      <w:tr w:rsidR="007F4C34" w:rsidRPr="00DD37EC" w14:paraId="274A43BD" w14:textId="77777777" w:rsidTr="00167C47">
        <w:trPr>
          <w:cantSplit/>
          <w:trHeight w:hRule="exact" w:val="649"/>
        </w:trPr>
        <w:tc>
          <w:tcPr>
            <w:tcW w:w="3355" w:type="dxa"/>
            <w:tcBorders>
              <w:top w:val="nil"/>
              <w:left w:val="single" w:sz="4" w:space="0" w:color="auto"/>
              <w:bottom w:val="single" w:sz="4" w:space="0" w:color="auto"/>
              <w:right w:val="single" w:sz="4" w:space="0" w:color="auto"/>
            </w:tcBorders>
            <w:shd w:val="clear" w:color="auto" w:fill="auto"/>
            <w:noWrap/>
            <w:vAlign w:val="bottom"/>
          </w:tcPr>
          <w:p w14:paraId="767C9E52" w14:textId="77777777" w:rsidR="007F4C34" w:rsidRPr="00C629BE" w:rsidRDefault="007F4C34" w:rsidP="00167C47">
            <w:pPr>
              <w:spacing w:after="240" w:line="240" w:lineRule="auto"/>
              <w:rPr>
                <w:rFonts w:ascii="Arial" w:eastAsia="Times New Roman" w:hAnsi="Arial" w:cs="Arial"/>
                <w:b/>
                <w:bCs/>
                <w:color w:val="000000"/>
                <w:sz w:val="18"/>
                <w:szCs w:val="18"/>
                <w:lang w:val="es-MX"/>
              </w:rPr>
            </w:pPr>
            <w:r w:rsidRPr="00C629BE">
              <w:rPr>
                <w:rFonts w:ascii="Arial" w:eastAsia="Times New Roman" w:hAnsi="Arial" w:cs="Arial"/>
                <w:color w:val="000000"/>
                <w:sz w:val="18"/>
                <w:szCs w:val="18"/>
                <w:lang w:val="es-MX"/>
              </w:rPr>
              <w:t>Resistencia a ARV de 1ª línea (29% de los pacientes pre-tratamiento tiene resistencia).</w:t>
            </w:r>
          </w:p>
        </w:tc>
        <w:tc>
          <w:tcPr>
            <w:tcW w:w="1669" w:type="dxa"/>
            <w:tcBorders>
              <w:top w:val="nil"/>
              <w:left w:val="single" w:sz="4" w:space="0" w:color="auto"/>
              <w:bottom w:val="single" w:sz="4" w:space="0" w:color="auto"/>
              <w:right w:val="single" w:sz="4" w:space="0" w:color="auto"/>
            </w:tcBorders>
            <w:shd w:val="clear" w:color="auto" w:fill="FF0000"/>
            <w:vAlign w:val="bottom"/>
          </w:tcPr>
          <w:p w14:paraId="25D2A32E" w14:textId="77777777" w:rsidR="007F4C34" w:rsidRPr="00C629BE" w:rsidRDefault="007F4C34" w:rsidP="00167C47">
            <w:pPr>
              <w:spacing w:after="240" w:line="240" w:lineRule="auto"/>
              <w:jc w:val="center"/>
              <w:rPr>
                <w:rFonts w:ascii="Arial" w:eastAsia="Times New Roman" w:hAnsi="Arial" w:cs="Arial"/>
                <w:color w:val="000000"/>
                <w:sz w:val="18"/>
                <w:szCs w:val="18"/>
              </w:rPr>
            </w:pPr>
            <w:r w:rsidRPr="00C629BE">
              <w:rPr>
                <w:rFonts w:ascii="Arial" w:eastAsia="Times New Roman" w:hAnsi="Arial" w:cs="Arial"/>
                <w:color w:val="000000"/>
                <w:sz w:val="18"/>
                <w:szCs w:val="18"/>
              </w:rPr>
              <w:t>2.78</w:t>
            </w:r>
          </w:p>
          <w:p w14:paraId="1CCAEB10" w14:textId="77777777" w:rsidR="007F4C34" w:rsidRPr="00C629BE" w:rsidRDefault="007F4C34" w:rsidP="00167C47">
            <w:pPr>
              <w:spacing w:after="240" w:line="240" w:lineRule="auto"/>
              <w:rPr>
                <w:rFonts w:ascii="Arial" w:eastAsia="Times New Roman" w:hAnsi="Arial" w:cs="Arial"/>
                <w:b/>
                <w:bCs/>
                <w:color w:val="000000"/>
                <w:sz w:val="18"/>
                <w:szCs w:val="18"/>
              </w:rPr>
            </w:pPr>
          </w:p>
        </w:tc>
        <w:tc>
          <w:tcPr>
            <w:tcW w:w="1523" w:type="dxa"/>
            <w:tcBorders>
              <w:top w:val="nil"/>
              <w:left w:val="single" w:sz="4" w:space="0" w:color="auto"/>
              <w:bottom w:val="single" w:sz="4" w:space="0" w:color="auto"/>
              <w:right w:val="single" w:sz="4" w:space="0" w:color="auto"/>
            </w:tcBorders>
            <w:shd w:val="clear" w:color="auto" w:fill="FF0000"/>
            <w:vAlign w:val="bottom"/>
          </w:tcPr>
          <w:p w14:paraId="2FA88600" w14:textId="77777777" w:rsidR="007F4C34" w:rsidRPr="00C629BE" w:rsidRDefault="007F4C34" w:rsidP="00167C47">
            <w:pPr>
              <w:spacing w:after="240" w:line="240" w:lineRule="auto"/>
              <w:jc w:val="center"/>
              <w:rPr>
                <w:rFonts w:ascii="Arial" w:eastAsia="Times New Roman" w:hAnsi="Arial" w:cs="Arial"/>
                <w:color w:val="000000"/>
                <w:sz w:val="18"/>
                <w:szCs w:val="18"/>
              </w:rPr>
            </w:pPr>
            <w:r w:rsidRPr="00C629BE">
              <w:rPr>
                <w:rFonts w:ascii="Arial" w:eastAsia="Times New Roman" w:hAnsi="Arial" w:cs="Arial"/>
                <w:color w:val="000000"/>
                <w:sz w:val="18"/>
                <w:szCs w:val="18"/>
              </w:rPr>
              <w:t>2.83</w:t>
            </w:r>
          </w:p>
          <w:p w14:paraId="6F2988E3" w14:textId="77777777" w:rsidR="007F4C34" w:rsidRPr="00C629BE" w:rsidRDefault="007F4C34" w:rsidP="00167C47">
            <w:pPr>
              <w:spacing w:after="240" w:line="240" w:lineRule="auto"/>
              <w:rPr>
                <w:rFonts w:ascii="Arial" w:eastAsia="Times New Roman" w:hAnsi="Arial" w:cs="Arial"/>
                <w:b/>
                <w:bCs/>
                <w:color w:val="000000"/>
                <w:sz w:val="18"/>
                <w:szCs w:val="18"/>
              </w:rPr>
            </w:pPr>
          </w:p>
        </w:tc>
        <w:tc>
          <w:tcPr>
            <w:tcW w:w="1413" w:type="dxa"/>
            <w:tcBorders>
              <w:top w:val="nil"/>
              <w:left w:val="single" w:sz="4" w:space="0" w:color="auto"/>
              <w:bottom w:val="single" w:sz="4" w:space="0" w:color="auto"/>
              <w:right w:val="single" w:sz="4" w:space="0" w:color="auto"/>
            </w:tcBorders>
            <w:shd w:val="clear" w:color="auto" w:fill="92D050"/>
            <w:vAlign w:val="bottom"/>
          </w:tcPr>
          <w:p w14:paraId="277552F8" w14:textId="77777777" w:rsidR="007F4C34" w:rsidRPr="00C629BE" w:rsidRDefault="007F4C34" w:rsidP="00167C47">
            <w:pPr>
              <w:spacing w:after="240" w:line="240" w:lineRule="auto"/>
              <w:jc w:val="center"/>
              <w:rPr>
                <w:rFonts w:ascii="Arial" w:eastAsia="Times New Roman" w:hAnsi="Arial" w:cs="Arial"/>
                <w:color w:val="000000"/>
                <w:sz w:val="18"/>
                <w:szCs w:val="18"/>
              </w:rPr>
            </w:pPr>
            <w:r w:rsidRPr="00C629BE">
              <w:rPr>
                <w:rFonts w:ascii="Arial" w:eastAsia="Times New Roman" w:hAnsi="Arial" w:cs="Arial"/>
                <w:color w:val="000000"/>
                <w:sz w:val="18"/>
                <w:szCs w:val="18"/>
              </w:rPr>
              <w:t>4</w:t>
            </w:r>
          </w:p>
          <w:p w14:paraId="5AFCBA26" w14:textId="77777777" w:rsidR="007F4C34" w:rsidRPr="00C629BE" w:rsidRDefault="007F4C34" w:rsidP="00167C47">
            <w:pPr>
              <w:spacing w:after="240" w:line="240" w:lineRule="auto"/>
              <w:rPr>
                <w:rFonts w:ascii="Arial" w:eastAsia="Times New Roman" w:hAnsi="Arial" w:cs="Arial"/>
                <w:b/>
                <w:bCs/>
                <w:color w:val="000000"/>
                <w:sz w:val="18"/>
                <w:szCs w:val="18"/>
              </w:rPr>
            </w:pPr>
          </w:p>
        </w:tc>
        <w:tc>
          <w:tcPr>
            <w:tcW w:w="1390" w:type="dxa"/>
            <w:tcBorders>
              <w:top w:val="nil"/>
              <w:left w:val="single" w:sz="4" w:space="0" w:color="auto"/>
              <w:bottom w:val="single" w:sz="4" w:space="0" w:color="auto"/>
              <w:right w:val="single" w:sz="4" w:space="0" w:color="auto"/>
            </w:tcBorders>
            <w:shd w:val="clear" w:color="auto" w:fill="FF0000"/>
            <w:vAlign w:val="bottom"/>
          </w:tcPr>
          <w:p w14:paraId="2C7E3DA4" w14:textId="77777777" w:rsidR="007F4C34" w:rsidRPr="00C629BE" w:rsidRDefault="007F4C34" w:rsidP="00167C47">
            <w:pPr>
              <w:spacing w:after="240" w:line="240" w:lineRule="auto"/>
              <w:jc w:val="center"/>
              <w:rPr>
                <w:rFonts w:ascii="Arial" w:eastAsia="Times New Roman" w:hAnsi="Arial" w:cs="Arial"/>
                <w:color w:val="000000"/>
                <w:sz w:val="18"/>
                <w:szCs w:val="18"/>
              </w:rPr>
            </w:pPr>
            <w:r w:rsidRPr="00C629BE">
              <w:rPr>
                <w:rFonts w:ascii="Arial" w:eastAsia="Times New Roman" w:hAnsi="Arial" w:cs="Arial"/>
                <w:color w:val="000000"/>
                <w:sz w:val="18"/>
                <w:szCs w:val="18"/>
              </w:rPr>
              <w:t>1</w:t>
            </w:r>
          </w:p>
          <w:p w14:paraId="020F7D65" w14:textId="77777777" w:rsidR="007F4C34" w:rsidRPr="00C629BE" w:rsidRDefault="007F4C34" w:rsidP="00167C47">
            <w:pPr>
              <w:spacing w:after="240" w:line="240" w:lineRule="auto"/>
              <w:rPr>
                <w:rFonts w:ascii="Arial" w:eastAsia="Times New Roman" w:hAnsi="Arial" w:cs="Arial"/>
                <w:b/>
                <w:bCs/>
                <w:color w:val="000000"/>
                <w:sz w:val="18"/>
                <w:szCs w:val="18"/>
              </w:rPr>
            </w:pPr>
          </w:p>
        </w:tc>
      </w:tr>
      <w:tr w:rsidR="007F4C34" w:rsidRPr="00DD37EC" w14:paraId="3E9F36F8" w14:textId="77777777" w:rsidTr="00167C47">
        <w:trPr>
          <w:trHeight w:hRule="exact" w:val="217"/>
        </w:trPr>
        <w:tc>
          <w:tcPr>
            <w:tcW w:w="9350" w:type="dxa"/>
            <w:gridSpan w:val="5"/>
            <w:tcBorders>
              <w:top w:val="nil"/>
              <w:left w:val="single" w:sz="4" w:space="0" w:color="auto"/>
              <w:bottom w:val="single" w:sz="4" w:space="0" w:color="auto"/>
              <w:right w:val="single" w:sz="4" w:space="0" w:color="auto"/>
            </w:tcBorders>
            <w:shd w:val="clear" w:color="000000" w:fill="D9D9D9"/>
            <w:noWrap/>
            <w:vAlign w:val="bottom"/>
            <w:hideMark/>
          </w:tcPr>
          <w:p w14:paraId="67157E68" w14:textId="77777777" w:rsidR="007F4C34" w:rsidRPr="00C629BE" w:rsidRDefault="007F4C34" w:rsidP="00167C47">
            <w:pPr>
              <w:spacing w:after="240" w:line="240" w:lineRule="auto"/>
              <w:rPr>
                <w:rFonts w:ascii="Arial" w:eastAsia="Times New Roman" w:hAnsi="Arial" w:cs="Arial"/>
                <w:b/>
                <w:bCs/>
                <w:color w:val="000000"/>
                <w:sz w:val="18"/>
                <w:szCs w:val="18"/>
              </w:rPr>
            </w:pPr>
            <w:r w:rsidRPr="00C629BE">
              <w:rPr>
                <w:rFonts w:ascii="Arial" w:eastAsia="Times New Roman" w:hAnsi="Arial" w:cs="Arial"/>
                <w:b/>
                <w:bCs/>
                <w:color w:val="000000"/>
                <w:sz w:val="18"/>
                <w:szCs w:val="18"/>
              </w:rPr>
              <w:t>Financiamiento</w:t>
            </w:r>
            <w:r w:rsidRPr="00C629BE">
              <w:rPr>
                <w:rFonts w:ascii="Arial" w:eastAsia="Times New Roman" w:hAnsi="Arial" w:cs="Arial"/>
                <w:color w:val="000000"/>
                <w:sz w:val="18"/>
                <w:szCs w:val="18"/>
              </w:rPr>
              <w:t> </w:t>
            </w:r>
          </w:p>
        </w:tc>
      </w:tr>
      <w:tr w:rsidR="007F4C34" w:rsidRPr="00DD37EC" w14:paraId="79F7E106" w14:textId="77777777" w:rsidTr="00167C47">
        <w:trPr>
          <w:trHeight w:hRule="exact" w:val="2521"/>
        </w:trPr>
        <w:tc>
          <w:tcPr>
            <w:tcW w:w="3355" w:type="dxa"/>
            <w:tcBorders>
              <w:top w:val="nil"/>
              <w:left w:val="single" w:sz="4" w:space="0" w:color="auto"/>
              <w:bottom w:val="single" w:sz="4" w:space="0" w:color="auto"/>
              <w:right w:val="single" w:sz="4" w:space="0" w:color="auto"/>
            </w:tcBorders>
            <w:shd w:val="clear" w:color="auto" w:fill="auto"/>
            <w:hideMark/>
          </w:tcPr>
          <w:p w14:paraId="7D0CA41A" w14:textId="77777777" w:rsidR="007F4C34" w:rsidRPr="00C629BE" w:rsidRDefault="007F4C34" w:rsidP="00167C47">
            <w:pPr>
              <w:spacing w:after="240" w:line="240" w:lineRule="auto"/>
              <w:rPr>
                <w:rFonts w:ascii="Arial" w:eastAsia="Times New Roman" w:hAnsi="Arial" w:cs="Arial"/>
                <w:color w:val="000000"/>
                <w:sz w:val="18"/>
                <w:szCs w:val="18"/>
                <w:lang w:val="es-MX"/>
              </w:rPr>
            </w:pPr>
            <w:r w:rsidRPr="00C629BE">
              <w:rPr>
                <w:rFonts w:ascii="Arial" w:eastAsia="Times New Roman" w:hAnsi="Arial" w:cs="Arial"/>
                <w:color w:val="000000"/>
                <w:sz w:val="18"/>
                <w:szCs w:val="18"/>
                <w:lang w:val="es-MX"/>
              </w:rPr>
              <w:lastRenderedPageBreak/>
              <w:t>Sostenibilidad de adquisición de insumos:</w:t>
            </w:r>
            <w:r w:rsidRPr="00C629BE">
              <w:rPr>
                <w:rFonts w:ascii="Arial" w:eastAsia="Times New Roman" w:hAnsi="Arial" w:cs="Arial"/>
                <w:color w:val="000000"/>
                <w:sz w:val="18"/>
                <w:szCs w:val="18"/>
                <w:lang w:val="es-MX"/>
              </w:rPr>
              <w:br/>
              <w:t xml:space="preserve">• La adquisición de pruebas rápidas es descentralizada, perdiendo eficiencias y limitando el acceso. </w:t>
            </w:r>
            <w:r w:rsidRPr="00C629BE">
              <w:rPr>
                <w:rFonts w:ascii="Arial" w:eastAsia="Times New Roman" w:hAnsi="Arial" w:cs="Arial"/>
                <w:color w:val="000000"/>
                <w:sz w:val="18"/>
                <w:szCs w:val="18"/>
                <w:lang w:val="es-MX"/>
              </w:rPr>
              <w:br/>
              <w:t>• El financiamiento de ARV de 3ra línea por FM y en ocasiones 1ª y 2ª línea.</w:t>
            </w:r>
            <w:r w:rsidRPr="00C629BE">
              <w:rPr>
                <w:rFonts w:ascii="Arial" w:eastAsia="Times New Roman" w:hAnsi="Arial" w:cs="Arial"/>
                <w:color w:val="000000"/>
                <w:sz w:val="18"/>
                <w:szCs w:val="18"/>
                <w:lang w:val="es-MX"/>
              </w:rPr>
              <w:br/>
              <w:t>• Adquisición de carga viral e insumos para diagnósticos de TB (Gene-Xpert y Midgit) está financiado 100% de forma externa</w:t>
            </w:r>
            <w:r>
              <w:rPr>
                <w:rFonts w:ascii="Arial" w:eastAsia="Times New Roman" w:hAnsi="Arial" w:cs="Arial"/>
                <w:color w:val="000000"/>
                <w:sz w:val="18"/>
                <w:szCs w:val="18"/>
                <w:lang w:val="es-MX"/>
              </w:rPr>
              <w:t>.</w:t>
            </w:r>
          </w:p>
        </w:tc>
        <w:tc>
          <w:tcPr>
            <w:tcW w:w="1669" w:type="dxa"/>
            <w:tcBorders>
              <w:top w:val="nil"/>
              <w:left w:val="nil"/>
              <w:bottom w:val="single" w:sz="4" w:space="0" w:color="auto"/>
              <w:right w:val="single" w:sz="4" w:space="0" w:color="auto"/>
            </w:tcBorders>
            <w:shd w:val="clear" w:color="auto" w:fill="FFFF00"/>
            <w:noWrap/>
            <w:vAlign w:val="bottom"/>
            <w:hideMark/>
          </w:tcPr>
          <w:p w14:paraId="69007BBE" w14:textId="77777777" w:rsidR="007F4C34" w:rsidRPr="004F56A9" w:rsidRDefault="007F4C34" w:rsidP="00167C47">
            <w:pPr>
              <w:spacing w:after="240" w:line="240" w:lineRule="auto"/>
              <w:jc w:val="center"/>
              <w:rPr>
                <w:rFonts w:ascii="Arial" w:eastAsia="Times New Roman" w:hAnsi="Arial" w:cs="Arial"/>
                <w:color w:val="000000"/>
                <w:sz w:val="18"/>
                <w:szCs w:val="18"/>
                <w:lang w:val="es-MX"/>
              </w:rPr>
            </w:pPr>
          </w:p>
          <w:p w14:paraId="5298236E" w14:textId="77777777" w:rsidR="007F4C34" w:rsidRPr="004F56A9" w:rsidRDefault="007F4C34" w:rsidP="00167C47">
            <w:pPr>
              <w:spacing w:after="240" w:line="240" w:lineRule="auto"/>
              <w:jc w:val="center"/>
              <w:rPr>
                <w:rFonts w:ascii="Arial" w:eastAsia="Times New Roman" w:hAnsi="Arial" w:cs="Arial"/>
                <w:color w:val="000000"/>
                <w:sz w:val="18"/>
                <w:szCs w:val="18"/>
                <w:lang w:val="es-MX"/>
              </w:rPr>
            </w:pPr>
          </w:p>
          <w:p w14:paraId="31941305" w14:textId="77777777" w:rsidR="007F4C34" w:rsidRDefault="007F4C34" w:rsidP="00167C47">
            <w:pPr>
              <w:spacing w:after="240" w:line="240" w:lineRule="auto"/>
              <w:jc w:val="center"/>
              <w:rPr>
                <w:rFonts w:ascii="Arial" w:eastAsia="Times New Roman" w:hAnsi="Arial" w:cs="Arial"/>
                <w:color w:val="000000"/>
                <w:sz w:val="18"/>
                <w:szCs w:val="18"/>
              </w:rPr>
            </w:pPr>
            <w:r w:rsidRPr="00C629BE">
              <w:rPr>
                <w:rFonts w:ascii="Arial" w:eastAsia="Times New Roman" w:hAnsi="Arial" w:cs="Arial"/>
                <w:color w:val="000000"/>
                <w:sz w:val="18"/>
                <w:szCs w:val="18"/>
              </w:rPr>
              <w:t>2.50</w:t>
            </w:r>
          </w:p>
          <w:p w14:paraId="18AA7B6A" w14:textId="77777777" w:rsidR="007F4C34" w:rsidRPr="00C629BE" w:rsidRDefault="007F4C34" w:rsidP="00167C47">
            <w:pPr>
              <w:spacing w:after="240" w:line="240" w:lineRule="auto"/>
              <w:jc w:val="center"/>
              <w:rPr>
                <w:rFonts w:ascii="Arial" w:eastAsia="Times New Roman" w:hAnsi="Arial" w:cs="Arial"/>
                <w:color w:val="000000"/>
                <w:sz w:val="18"/>
                <w:szCs w:val="18"/>
              </w:rPr>
            </w:pPr>
          </w:p>
          <w:p w14:paraId="5F4D47C1" w14:textId="77777777" w:rsidR="007F4C34" w:rsidRPr="00C629BE" w:rsidRDefault="007F4C34" w:rsidP="00167C47">
            <w:pPr>
              <w:spacing w:after="240" w:line="240" w:lineRule="auto"/>
              <w:jc w:val="center"/>
              <w:rPr>
                <w:rFonts w:ascii="Arial" w:eastAsia="Times New Roman" w:hAnsi="Arial" w:cs="Arial"/>
                <w:color w:val="000000"/>
                <w:sz w:val="18"/>
                <w:szCs w:val="18"/>
              </w:rPr>
            </w:pPr>
          </w:p>
          <w:p w14:paraId="32C6A46F" w14:textId="77777777" w:rsidR="007F4C34" w:rsidRPr="00C629BE" w:rsidRDefault="007F4C34" w:rsidP="00167C47">
            <w:pPr>
              <w:spacing w:after="240" w:line="240" w:lineRule="auto"/>
              <w:jc w:val="center"/>
              <w:rPr>
                <w:rFonts w:ascii="Arial" w:eastAsia="Times New Roman" w:hAnsi="Arial" w:cs="Arial"/>
                <w:color w:val="000000"/>
                <w:sz w:val="18"/>
                <w:szCs w:val="18"/>
              </w:rPr>
            </w:pPr>
          </w:p>
        </w:tc>
        <w:tc>
          <w:tcPr>
            <w:tcW w:w="1523" w:type="dxa"/>
            <w:tcBorders>
              <w:top w:val="nil"/>
              <w:left w:val="nil"/>
              <w:bottom w:val="single" w:sz="4" w:space="0" w:color="auto"/>
              <w:right w:val="single" w:sz="4" w:space="0" w:color="auto"/>
            </w:tcBorders>
            <w:shd w:val="clear" w:color="auto" w:fill="FF0000"/>
            <w:noWrap/>
            <w:vAlign w:val="bottom"/>
            <w:hideMark/>
          </w:tcPr>
          <w:p w14:paraId="099F10B1" w14:textId="77777777" w:rsidR="007F4C34" w:rsidRDefault="007F4C34" w:rsidP="00167C47">
            <w:pPr>
              <w:spacing w:after="240" w:line="240" w:lineRule="auto"/>
              <w:jc w:val="center"/>
              <w:rPr>
                <w:rFonts w:ascii="Arial" w:eastAsia="Times New Roman" w:hAnsi="Arial" w:cs="Arial"/>
                <w:color w:val="000000"/>
                <w:sz w:val="18"/>
                <w:szCs w:val="18"/>
              </w:rPr>
            </w:pPr>
          </w:p>
          <w:p w14:paraId="36500C06" w14:textId="77777777" w:rsidR="007F4C34" w:rsidRDefault="007F4C34" w:rsidP="00167C47">
            <w:pPr>
              <w:spacing w:after="240" w:line="240" w:lineRule="auto"/>
              <w:jc w:val="center"/>
              <w:rPr>
                <w:rFonts w:ascii="Arial" w:eastAsia="Times New Roman" w:hAnsi="Arial" w:cs="Arial"/>
                <w:color w:val="000000"/>
                <w:sz w:val="18"/>
                <w:szCs w:val="18"/>
              </w:rPr>
            </w:pPr>
          </w:p>
          <w:p w14:paraId="37EA2516" w14:textId="77777777" w:rsidR="007F4C34" w:rsidRDefault="007F4C34" w:rsidP="00167C47">
            <w:pPr>
              <w:spacing w:after="240" w:line="240" w:lineRule="auto"/>
              <w:jc w:val="center"/>
              <w:rPr>
                <w:rFonts w:ascii="Arial" w:eastAsia="Times New Roman" w:hAnsi="Arial" w:cs="Arial"/>
                <w:color w:val="000000"/>
                <w:sz w:val="18"/>
                <w:szCs w:val="18"/>
              </w:rPr>
            </w:pPr>
            <w:r w:rsidRPr="00C629BE">
              <w:rPr>
                <w:rFonts w:ascii="Arial" w:eastAsia="Times New Roman" w:hAnsi="Arial" w:cs="Arial"/>
                <w:color w:val="000000"/>
                <w:sz w:val="18"/>
                <w:szCs w:val="18"/>
              </w:rPr>
              <w:t>2.72</w:t>
            </w:r>
          </w:p>
          <w:p w14:paraId="2C9D8DD7" w14:textId="77777777" w:rsidR="007F4C34" w:rsidRPr="00C629BE" w:rsidRDefault="007F4C34" w:rsidP="00167C47">
            <w:pPr>
              <w:spacing w:after="240" w:line="240" w:lineRule="auto"/>
              <w:jc w:val="center"/>
              <w:rPr>
                <w:rFonts w:ascii="Arial" w:eastAsia="Times New Roman" w:hAnsi="Arial" w:cs="Arial"/>
                <w:color w:val="000000"/>
                <w:sz w:val="18"/>
                <w:szCs w:val="18"/>
              </w:rPr>
            </w:pPr>
          </w:p>
          <w:p w14:paraId="33574A92" w14:textId="77777777" w:rsidR="007F4C34" w:rsidRPr="00C629BE" w:rsidRDefault="007F4C34" w:rsidP="00167C47">
            <w:pPr>
              <w:spacing w:after="240" w:line="240" w:lineRule="auto"/>
              <w:jc w:val="center"/>
              <w:rPr>
                <w:rFonts w:ascii="Arial" w:eastAsia="Times New Roman" w:hAnsi="Arial" w:cs="Arial"/>
                <w:color w:val="000000"/>
                <w:sz w:val="18"/>
                <w:szCs w:val="18"/>
              </w:rPr>
            </w:pPr>
          </w:p>
          <w:p w14:paraId="36D4983C" w14:textId="77777777" w:rsidR="007F4C34" w:rsidRPr="00C629BE" w:rsidRDefault="007F4C34" w:rsidP="00167C47">
            <w:pPr>
              <w:spacing w:after="240" w:line="240" w:lineRule="auto"/>
              <w:jc w:val="center"/>
              <w:rPr>
                <w:rFonts w:ascii="Arial" w:eastAsia="Times New Roman" w:hAnsi="Arial" w:cs="Arial"/>
                <w:color w:val="000000"/>
                <w:sz w:val="18"/>
                <w:szCs w:val="18"/>
              </w:rPr>
            </w:pPr>
          </w:p>
        </w:tc>
        <w:tc>
          <w:tcPr>
            <w:tcW w:w="1413" w:type="dxa"/>
            <w:tcBorders>
              <w:top w:val="nil"/>
              <w:left w:val="nil"/>
              <w:bottom w:val="single" w:sz="4" w:space="0" w:color="auto"/>
              <w:right w:val="single" w:sz="4" w:space="0" w:color="auto"/>
            </w:tcBorders>
            <w:shd w:val="clear" w:color="000000" w:fill="FF0000"/>
            <w:noWrap/>
            <w:vAlign w:val="bottom"/>
            <w:hideMark/>
          </w:tcPr>
          <w:p w14:paraId="14E0FD6E" w14:textId="77777777" w:rsidR="007F4C34" w:rsidRPr="00C629BE" w:rsidRDefault="007F4C34" w:rsidP="00167C47">
            <w:pPr>
              <w:spacing w:after="240" w:line="240" w:lineRule="auto"/>
              <w:jc w:val="center"/>
              <w:rPr>
                <w:rFonts w:ascii="Arial" w:eastAsia="Times New Roman" w:hAnsi="Arial" w:cs="Arial"/>
                <w:color w:val="000000"/>
                <w:sz w:val="18"/>
                <w:szCs w:val="18"/>
              </w:rPr>
            </w:pPr>
          </w:p>
          <w:p w14:paraId="16673151" w14:textId="77777777" w:rsidR="007F4C34" w:rsidRPr="00C629BE" w:rsidRDefault="007F4C34" w:rsidP="00167C47">
            <w:pPr>
              <w:spacing w:after="240" w:line="240" w:lineRule="auto"/>
              <w:jc w:val="center"/>
              <w:rPr>
                <w:rFonts w:ascii="Arial" w:eastAsia="Times New Roman" w:hAnsi="Arial" w:cs="Arial"/>
                <w:color w:val="000000"/>
                <w:sz w:val="18"/>
                <w:szCs w:val="18"/>
              </w:rPr>
            </w:pPr>
          </w:p>
          <w:p w14:paraId="0FDBA76D" w14:textId="77777777" w:rsidR="007F4C34" w:rsidRPr="00C629BE" w:rsidRDefault="007F4C34" w:rsidP="00167C47">
            <w:pPr>
              <w:spacing w:after="24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1</w:t>
            </w:r>
          </w:p>
          <w:p w14:paraId="78B2C082" w14:textId="77777777" w:rsidR="007F4C34" w:rsidRPr="00C629BE" w:rsidRDefault="007F4C34" w:rsidP="00167C47">
            <w:pPr>
              <w:spacing w:after="240" w:line="240" w:lineRule="auto"/>
              <w:jc w:val="center"/>
              <w:rPr>
                <w:rFonts w:ascii="Arial" w:eastAsia="Times New Roman" w:hAnsi="Arial" w:cs="Arial"/>
                <w:color w:val="000000"/>
                <w:sz w:val="18"/>
                <w:szCs w:val="18"/>
              </w:rPr>
            </w:pPr>
          </w:p>
          <w:p w14:paraId="7C90391A" w14:textId="77777777" w:rsidR="007F4C34" w:rsidRPr="00C629BE" w:rsidRDefault="007F4C34" w:rsidP="00167C47">
            <w:pPr>
              <w:spacing w:after="240" w:line="240" w:lineRule="auto"/>
              <w:jc w:val="center"/>
              <w:rPr>
                <w:rFonts w:ascii="Arial" w:eastAsia="Times New Roman" w:hAnsi="Arial" w:cs="Arial"/>
                <w:color w:val="000000"/>
                <w:sz w:val="18"/>
                <w:szCs w:val="18"/>
              </w:rPr>
            </w:pPr>
          </w:p>
          <w:p w14:paraId="43EBA0A4" w14:textId="77777777" w:rsidR="007F4C34" w:rsidRPr="00C629BE" w:rsidRDefault="007F4C34" w:rsidP="00167C47">
            <w:pPr>
              <w:spacing w:after="240" w:line="240" w:lineRule="auto"/>
              <w:rPr>
                <w:rFonts w:ascii="Arial" w:eastAsia="Times New Roman" w:hAnsi="Arial" w:cs="Arial"/>
                <w:color w:val="000000"/>
                <w:sz w:val="18"/>
                <w:szCs w:val="18"/>
              </w:rPr>
            </w:pPr>
          </w:p>
        </w:tc>
        <w:tc>
          <w:tcPr>
            <w:tcW w:w="1390" w:type="dxa"/>
            <w:tcBorders>
              <w:top w:val="nil"/>
              <w:left w:val="nil"/>
              <w:bottom w:val="single" w:sz="4" w:space="0" w:color="auto"/>
              <w:right w:val="single" w:sz="4" w:space="0" w:color="auto"/>
            </w:tcBorders>
            <w:shd w:val="clear" w:color="auto" w:fill="FF0000"/>
            <w:noWrap/>
            <w:vAlign w:val="bottom"/>
            <w:hideMark/>
          </w:tcPr>
          <w:p w14:paraId="417E99B5" w14:textId="77777777" w:rsidR="007F4C34" w:rsidRPr="00C629BE" w:rsidRDefault="007F4C34" w:rsidP="00167C47">
            <w:pPr>
              <w:spacing w:after="240" w:line="240" w:lineRule="auto"/>
              <w:jc w:val="center"/>
              <w:rPr>
                <w:rFonts w:ascii="Arial" w:eastAsia="Times New Roman" w:hAnsi="Arial" w:cs="Arial"/>
                <w:color w:val="000000"/>
                <w:sz w:val="18"/>
                <w:szCs w:val="18"/>
              </w:rPr>
            </w:pPr>
          </w:p>
          <w:p w14:paraId="30DB7E56" w14:textId="77777777" w:rsidR="007F4C34" w:rsidRPr="00C629BE" w:rsidRDefault="007F4C34" w:rsidP="00167C47">
            <w:pPr>
              <w:spacing w:after="240" w:line="240" w:lineRule="auto"/>
              <w:jc w:val="center"/>
              <w:rPr>
                <w:rFonts w:ascii="Arial" w:eastAsia="Times New Roman" w:hAnsi="Arial" w:cs="Arial"/>
                <w:color w:val="000000"/>
                <w:sz w:val="18"/>
                <w:szCs w:val="18"/>
              </w:rPr>
            </w:pPr>
          </w:p>
          <w:p w14:paraId="6F8A6AF4" w14:textId="77777777" w:rsidR="007F4C34" w:rsidRPr="00C629BE" w:rsidRDefault="007F4C34" w:rsidP="00167C47">
            <w:pPr>
              <w:spacing w:after="24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5</w:t>
            </w:r>
          </w:p>
          <w:p w14:paraId="2C35F7F2" w14:textId="77777777" w:rsidR="007F4C34" w:rsidRPr="00C629BE" w:rsidRDefault="007F4C34" w:rsidP="00167C47">
            <w:pPr>
              <w:spacing w:after="240" w:line="240" w:lineRule="auto"/>
              <w:jc w:val="center"/>
              <w:rPr>
                <w:rFonts w:ascii="Arial" w:eastAsia="Times New Roman" w:hAnsi="Arial" w:cs="Arial"/>
                <w:color w:val="000000"/>
                <w:sz w:val="18"/>
                <w:szCs w:val="18"/>
              </w:rPr>
            </w:pPr>
          </w:p>
          <w:p w14:paraId="2D75C892" w14:textId="77777777" w:rsidR="007F4C34" w:rsidRPr="00C629BE" w:rsidRDefault="007F4C34" w:rsidP="00167C47">
            <w:pPr>
              <w:spacing w:after="240" w:line="240" w:lineRule="auto"/>
              <w:jc w:val="center"/>
              <w:rPr>
                <w:rFonts w:ascii="Arial" w:eastAsia="Times New Roman" w:hAnsi="Arial" w:cs="Arial"/>
                <w:color w:val="000000"/>
                <w:sz w:val="18"/>
                <w:szCs w:val="18"/>
              </w:rPr>
            </w:pPr>
          </w:p>
          <w:p w14:paraId="1A9C51B9" w14:textId="77777777" w:rsidR="007F4C34" w:rsidRPr="00C629BE" w:rsidRDefault="007F4C34" w:rsidP="00167C47">
            <w:pPr>
              <w:spacing w:after="240" w:line="240" w:lineRule="auto"/>
              <w:jc w:val="center"/>
              <w:rPr>
                <w:rFonts w:ascii="Arial" w:eastAsia="Times New Roman" w:hAnsi="Arial" w:cs="Arial"/>
                <w:color w:val="000000"/>
                <w:sz w:val="18"/>
                <w:szCs w:val="18"/>
              </w:rPr>
            </w:pPr>
          </w:p>
        </w:tc>
      </w:tr>
      <w:tr w:rsidR="007F4C34" w:rsidRPr="00DD37EC" w14:paraId="13CCC31A" w14:textId="77777777" w:rsidTr="00167C47">
        <w:trPr>
          <w:trHeight w:hRule="exact" w:val="1081"/>
        </w:trPr>
        <w:tc>
          <w:tcPr>
            <w:tcW w:w="3355" w:type="dxa"/>
            <w:tcBorders>
              <w:top w:val="nil"/>
              <w:left w:val="single" w:sz="4" w:space="0" w:color="auto"/>
              <w:bottom w:val="single" w:sz="4" w:space="0" w:color="auto"/>
              <w:right w:val="single" w:sz="4" w:space="0" w:color="auto"/>
            </w:tcBorders>
            <w:shd w:val="clear" w:color="auto" w:fill="auto"/>
            <w:vAlign w:val="bottom"/>
            <w:hideMark/>
          </w:tcPr>
          <w:p w14:paraId="35809393" w14:textId="77777777" w:rsidR="007F4C34" w:rsidRPr="00C629BE" w:rsidRDefault="007F4C34" w:rsidP="00167C47">
            <w:pPr>
              <w:spacing w:after="240" w:line="240" w:lineRule="auto"/>
              <w:rPr>
                <w:rFonts w:ascii="Arial" w:eastAsia="Times New Roman" w:hAnsi="Arial" w:cs="Arial"/>
                <w:color w:val="000000"/>
                <w:sz w:val="18"/>
                <w:szCs w:val="18"/>
                <w:lang w:val="es-MX"/>
              </w:rPr>
            </w:pPr>
            <w:r w:rsidRPr="00C629BE">
              <w:rPr>
                <w:rFonts w:ascii="Arial" w:eastAsia="Times New Roman" w:hAnsi="Arial" w:cs="Arial"/>
                <w:color w:val="000000"/>
                <w:sz w:val="18"/>
                <w:szCs w:val="18"/>
                <w:lang w:val="es-MX"/>
              </w:rPr>
              <w:t>Financiamiento de RH clave a nivel central de la SESAL a través de proyectos de cooperación (i.e. personal de monitoreo y evaluación o logística)</w:t>
            </w:r>
            <w:r>
              <w:rPr>
                <w:rFonts w:ascii="Arial" w:eastAsia="Times New Roman" w:hAnsi="Arial" w:cs="Arial"/>
                <w:color w:val="000000"/>
                <w:sz w:val="18"/>
                <w:szCs w:val="18"/>
                <w:lang w:val="es-MX"/>
              </w:rPr>
              <w:t>.</w:t>
            </w:r>
          </w:p>
        </w:tc>
        <w:tc>
          <w:tcPr>
            <w:tcW w:w="1669" w:type="dxa"/>
            <w:tcBorders>
              <w:top w:val="nil"/>
              <w:left w:val="nil"/>
              <w:bottom w:val="single" w:sz="4" w:space="0" w:color="auto"/>
              <w:right w:val="single" w:sz="4" w:space="0" w:color="auto"/>
            </w:tcBorders>
            <w:shd w:val="clear" w:color="auto" w:fill="92D050"/>
            <w:noWrap/>
            <w:vAlign w:val="bottom"/>
            <w:hideMark/>
          </w:tcPr>
          <w:p w14:paraId="20AA3390" w14:textId="77777777" w:rsidR="007F4C34" w:rsidRPr="00CF2BAD" w:rsidRDefault="007F4C34" w:rsidP="00167C47">
            <w:pPr>
              <w:spacing w:after="240" w:line="240" w:lineRule="auto"/>
              <w:jc w:val="center"/>
              <w:rPr>
                <w:rFonts w:ascii="Arial" w:eastAsia="Times New Roman" w:hAnsi="Arial" w:cs="Arial"/>
                <w:color w:val="000000"/>
                <w:sz w:val="18"/>
                <w:szCs w:val="18"/>
                <w:lang w:val="es-MX"/>
              </w:rPr>
            </w:pPr>
          </w:p>
          <w:p w14:paraId="3C88E7E4" w14:textId="77777777" w:rsidR="007F4C34" w:rsidRPr="00C629BE" w:rsidRDefault="007F4C34" w:rsidP="00167C47">
            <w:pPr>
              <w:spacing w:after="240" w:line="240" w:lineRule="auto"/>
              <w:jc w:val="center"/>
              <w:rPr>
                <w:rFonts w:ascii="Arial" w:eastAsia="Times New Roman" w:hAnsi="Arial" w:cs="Arial"/>
                <w:color w:val="000000"/>
                <w:sz w:val="18"/>
                <w:szCs w:val="18"/>
              </w:rPr>
            </w:pPr>
            <w:r w:rsidRPr="00C629BE">
              <w:rPr>
                <w:rFonts w:ascii="Arial" w:eastAsia="Times New Roman" w:hAnsi="Arial" w:cs="Arial"/>
                <w:color w:val="000000"/>
                <w:sz w:val="18"/>
                <w:szCs w:val="18"/>
              </w:rPr>
              <w:t>2.17</w:t>
            </w:r>
          </w:p>
          <w:p w14:paraId="6B34E1BA" w14:textId="77777777" w:rsidR="007F4C34" w:rsidRPr="00C629BE" w:rsidRDefault="007F4C34" w:rsidP="00167C47">
            <w:pPr>
              <w:spacing w:after="240" w:line="240" w:lineRule="auto"/>
              <w:jc w:val="center"/>
              <w:rPr>
                <w:rFonts w:ascii="Arial" w:eastAsia="Times New Roman" w:hAnsi="Arial" w:cs="Arial"/>
                <w:color w:val="000000"/>
                <w:sz w:val="18"/>
                <w:szCs w:val="18"/>
              </w:rPr>
            </w:pPr>
          </w:p>
          <w:p w14:paraId="66C49CD8" w14:textId="77777777" w:rsidR="007F4C34" w:rsidRPr="00C629BE" w:rsidRDefault="007F4C34" w:rsidP="00167C47">
            <w:pPr>
              <w:spacing w:after="240" w:line="240" w:lineRule="auto"/>
              <w:jc w:val="center"/>
              <w:rPr>
                <w:rFonts w:ascii="Arial" w:eastAsia="Times New Roman" w:hAnsi="Arial" w:cs="Arial"/>
                <w:color w:val="000000"/>
                <w:sz w:val="18"/>
                <w:szCs w:val="18"/>
              </w:rPr>
            </w:pPr>
          </w:p>
        </w:tc>
        <w:tc>
          <w:tcPr>
            <w:tcW w:w="1523" w:type="dxa"/>
            <w:tcBorders>
              <w:top w:val="nil"/>
              <w:left w:val="nil"/>
              <w:bottom w:val="single" w:sz="4" w:space="0" w:color="auto"/>
              <w:right w:val="single" w:sz="4" w:space="0" w:color="auto"/>
            </w:tcBorders>
            <w:shd w:val="clear" w:color="auto" w:fill="FF0000"/>
            <w:noWrap/>
            <w:vAlign w:val="bottom"/>
            <w:hideMark/>
          </w:tcPr>
          <w:p w14:paraId="1FC20979" w14:textId="77777777" w:rsidR="007F4C34" w:rsidRDefault="007F4C34" w:rsidP="00167C47">
            <w:pPr>
              <w:spacing w:after="240" w:line="240" w:lineRule="auto"/>
              <w:jc w:val="center"/>
              <w:rPr>
                <w:rFonts w:ascii="Arial" w:eastAsia="Times New Roman" w:hAnsi="Arial" w:cs="Arial"/>
                <w:color w:val="000000"/>
                <w:sz w:val="18"/>
                <w:szCs w:val="18"/>
              </w:rPr>
            </w:pPr>
          </w:p>
          <w:p w14:paraId="71F23C39" w14:textId="77777777" w:rsidR="007F4C34" w:rsidRPr="00C629BE" w:rsidRDefault="007F4C34" w:rsidP="00167C47">
            <w:pPr>
              <w:spacing w:after="240" w:line="240" w:lineRule="auto"/>
              <w:jc w:val="center"/>
              <w:rPr>
                <w:rFonts w:ascii="Arial" w:eastAsia="Times New Roman" w:hAnsi="Arial" w:cs="Arial"/>
                <w:color w:val="000000"/>
                <w:sz w:val="18"/>
                <w:szCs w:val="18"/>
              </w:rPr>
            </w:pPr>
            <w:r w:rsidRPr="00C629BE">
              <w:rPr>
                <w:rFonts w:ascii="Arial" w:eastAsia="Times New Roman" w:hAnsi="Arial" w:cs="Arial"/>
                <w:color w:val="000000"/>
                <w:sz w:val="18"/>
                <w:szCs w:val="18"/>
              </w:rPr>
              <w:t>2.72</w:t>
            </w:r>
          </w:p>
          <w:p w14:paraId="74FD4BAB" w14:textId="77777777" w:rsidR="007F4C34" w:rsidRPr="00C629BE" w:rsidRDefault="007F4C34" w:rsidP="00167C47">
            <w:pPr>
              <w:spacing w:after="240" w:line="240" w:lineRule="auto"/>
              <w:jc w:val="center"/>
              <w:rPr>
                <w:rFonts w:ascii="Arial" w:eastAsia="Times New Roman" w:hAnsi="Arial" w:cs="Arial"/>
                <w:color w:val="000000"/>
                <w:sz w:val="18"/>
                <w:szCs w:val="18"/>
              </w:rPr>
            </w:pPr>
          </w:p>
          <w:p w14:paraId="344CCDCB" w14:textId="77777777" w:rsidR="007F4C34" w:rsidRPr="00C629BE" w:rsidRDefault="007F4C34" w:rsidP="00167C47">
            <w:pPr>
              <w:spacing w:after="240" w:line="240" w:lineRule="auto"/>
              <w:jc w:val="center"/>
              <w:rPr>
                <w:rFonts w:ascii="Arial" w:eastAsia="Times New Roman" w:hAnsi="Arial" w:cs="Arial"/>
                <w:color w:val="000000"/>
                <w:sz w:val="18"/>
                <w:szCs w:val="18"/>
              </w:rPr>
            </w:pPr>
          </w:p>
        </w:tc>
        <w:tc>
          <w:tcPr>
            <w:tcW w:w="1413" w:type="dxa"/>
            <w:tcBorders>
              <w:top w:val="nil"/>
              <w:left w:val="nil"/>
              <w:bottom w:val="single" w:sz="4" w:space="0" w:color="auto"/>
              <w:right w:val="single" w:sz="4" w:space="0" w:color="auto"/>
            </w:tcBorders>
            <w:shd w:val="clear" w:color="000000" w:fill="FFC000"/>
            <w:noWrap/>
            <w:vAlign w:val="bottom"/>
            <w:hideMark/>
          </w:tcPr>
          <w:p w14:paraId="017FA32A" w14:textId="77777777" w:rsidR="007F4C34" w:rsidRDefault="007F4C34" w:rsidP="00167C47">
            <w:pPr>
              <w:spacing w:after="240" w:line="240" w:lineRule="auto"/>
              <w:jc w:val="center"/>
              <w:rPr>
                <w:rFonts w:ascii="Arial" w:eastAsia="Times New Roman" w:hAnsi="Arial" w:cs="Arial"/>
                <w:color w:val="000000"/>
                <w:sz w:val="18"/>
                <w:szCs w:val="18"/>
              </w:rPr>
            </w:pPr>
          </w:p>
          <w:p w14:paraId="18A34180" w14:textId="77777777" w:rsidR="007F4C34" w:rsidRPr="00C629BE" w:rsidRDefault="007F4C34" w:rsidP="00167C47">
            <w:pPr>
              <w:spacing w:after="240" w:line="240" w:lineRule="auto"/>
              <w:jc w:val="center"/>
              <w:rPr>
                <w:rFonts w:ascii="Arial" w:eastAsia="Times New Roman" w:hAnsi="Arial" w:cs="Arial"/>
                <w:color w:val="000000"/>
                <w:sz w:val="18"/>
                <w:szCs w:val="18"/>
              </w:rPr>
            </w:pPr>
            <w:r w:rsidRPr="00C629BE">
              <w:rPr>
                <w:rFonts w:ascii="Arial" w:eastAsia="Times New Roman" w:hAnsi="Arial" w:cs="Arial"/>
                <w:color w:val="000000"/>
                <w:sz w:val="18"/>
                <w:szCs w:val="18"/>
              </w:rPr>
              <w:t>2</w:t>
            </w:r>
          </w:p>
          <w:p w14:paraId="4A148AAA" w14:textId="77777777" w:rsidR="007F4C34" w:rsidRPr="00C629BE" w:rsidRDefault="007F4C34" w:rsidP="00167C47">
            <w:pPr>
              <w:spacing w:after="240" w:line="240" w:lineRule="auto"/>
              <w:jc w:val="center"/>
              <w:rPr>
                <w:rFonts w:ascii="Arial" w:eastAsia="Times New Roman" w:hAnsi="Arial" w:cs="Arial"/>
                <w:color w:val="000000"/>
                <w:sz w:val="18"/>
                <w:szCs w:val="18"/>
              </w:rPr>
            </w:pPr>
          </w:p>
          <w:p w14:paraId="111885D2" w14:textId="77777777" w:rsidR="007F4C34" w:rsidRPr="00C629BE" w:rsidRDefault="007F4C34" w:rsidP="00167C47">
            <w:pPr>
              <w:spacing w:after="240" w:line="240" w:lineRule="auto"/>
              <w:jc w:val="center"/>
              <w:rPr>
                <w:rFonts w:ascii="Arial" w:eastAsia="Times New Roman" w:hAnsi="Arial" w:cs="Arial"/>
                <w:color w:val="000000"/>
                <w:sz w:val="18"/>
                <w:szCs w:val="18"/>
              </w:rPr>
            </w:pPr>
          </w:p>
        </w:tc>
        <w:tc>
          <w:tcPr>
            <w:tcW w:w="1390" w:type="dxa"/>
            <w:tcBorders>
              <w:top w:val="nil"/>
              <w:left w:val="nil"/>
              <w:bottom w:val="single" w:sz="4" w:space="0" w:color="auto"/>
              <w:right w:val="single" w:sz="4" w:space="0" w:color="auto"/>
            </w:tcBorders>
            <w:shd w:val="clear" w:color="auto" w:fill="FFC000"/>
            <w:noWrap/>
            <w:vAlign w:val="bottom"/>
            <w:hideMark/>
          </w:tcPr>
          <w:p w14:paraId="74D29437" w14:textId="77777777" w:rsidR="007F4C34" w:rsidRDefault="007F4C34" w:rsidP="00167C47">
            <w:pPr>
              <w:spacing w:after="240" w:line="240" w:lineRule="auto"/>
              <w:jc w:val="center"/>
              <w:rPr>
                <w:rFonts w:ascii="Arial" w:eastAsia="Times New Roman" w:hAnsi="Arial" w:cs="Arial"/>
                <w:color w:val="000000"/>
                <w:sz w:val="18"/>
                <w:szCs w:val="18"/>
              </w:rPr>
            </w:pPr>
          </w:p>
          <w:p w14:paraId="4D8CF465" w14:textId="77777777" w:rsidR="007F4C34" w:rsidRPr="00C629BE" w:rsidRDefault="007F4C34" w:rsidP="00167C47">
            <w:pPr>
              <w:spacing w:after="240" w:line="240" w:lineRule="auto"/>
              <w:jc w:val="center"/>
              <w:rPr>
                <w:rFonts w:ascii="Arial" w:eastAsia="Times New Roman" w:hAnsi="Arial" w:cs="Arial"/>
                <w:color w:val="000000"/>
                <w:sz w:val="18"/>
                <w:szCs w:val="18"/>
              </w:rPr>
            </w:pPr>
            <w:r w:rsidRPr="00C629BE">
              <w:rPr>
                <w:rFonts w:ascii="Arial" w:eastAsia="Times New Roman" w:hAnsi="Arial" w:cs="Arial"/>
                <w:color w:val="000000"/>
                <w:sz w:val="18"/>
                <w:szCs w:val="18"/>
              </w:rPr>
              <w:t>10</w:t>
            </w:r>
          </w:p>
          <w:p w14:paraId="3388AE9E" w14:textId="77777777" w:rsidR="007F4C34" w:rsidRPr="00C629BE" w:rsidRDefault="007F4C34" w:rsidP="00167C47">
            <w:pPr>
              <w:spacing w:after="240" w:line="240" w:lineRule="auto"/>
              <w:jc w:val="center"/>
              <w:rPr>
                <w:rFonts w:ascii="Arial" w:eastAsia="Times New Roman" w:hAnsi="Arial" w:cs="Arial"/>
                <w:color w:val="000000"/>
                <w:sz w:val="18"/>
                <w:szCs w:val="18"/>
              </w:rPr>
            </w:pPr>
          </w:p>
          <w:p w14:paraId="1D9FBAC4" w14:textId="77777777" w:rsidR="007F4C34" w:rsidRPr="00C629BE" w:rsidRDefault="007F4C34" w:rsidP="00167C47">
            <w:pPr>
              <w:spacing w:after="240" w:line="240" w:lineRule="auto"/>
              <w:jc w:val="center"/>
              <w:rPr>
                <w:rFonts w:ascii="Arial" w:eastAsia="Times New Roman" w:hAnsi="Arial" w:cs="Arial"/>
                <w:color w:val="000000"/>
                <w:sz w:val="18"/>
                <w:szCs w:val="18"/>
              </w:rPr>
            </w:pPr>
          </w:p>
        </w:tc>
      </w:tr>
      <w:tr w:rsidR="007F4C34" w:rsidRPr="00DD37EC" w14:paraId="11FD1D44" w14:textId="77777777" w:rsidTr="00167C47">
        <w:trPr>
          <w:trHeight w:hRule="exact" w:val="1296"/>
        </w:trPr>
        <w:tc>
          <w:tcPr>
            <w:tcW w:w="3355" w:type="dxa"/>
            <w:tcBorders>
              <w:top w:val="nil"/>
              <w:left w:val="single" w:sz="4" w:space="0" w:color="auto"/>
              <w:bottom w:val="single" w:sz="4" w:space="0" w:color="auto"/>
              <w:right w:val="single" w:sz="4" w:space="0" w:color="auto"/>
            </w:tcBorders>
            <w:shd w:val="clear" w:color="auto" w:fill="auto"/>
            <w:hideMark/>
          </w:tcPr>
          <w:p w14:paraId="31658461" w14:textId="77777777" w:rsidR="007F4C34" w:rsidRPr="00C629BE" w:rsidRDefault="007F4C34" w:rsidP="00167C47">
            <w:pPr>
              <w:spacing w:after="240" w:line="240" w:lineRule="auto"/>
              <w:rPr>
                <w:rFonts w:ascii="Arial" w:eastAsia="Times New Roman" w:hAnsi="Arial" w:cs="Arial"/>
                <w:color w:val="000000"/>
                <w:sz w:val="18"/>
                <w:szCs w:val="18"/>
                <w:lang w:val="es-MX"/>
              </w:rPr>
            </w:pPr>
            <w:r w:rsidRPr="00C629BE">
              <w:rPr>
                <w:rFonts w:ascii="Arial" w:eastAsia="Times New Roman" w:hAnsi="Arial" w:cs="Arial"/>
                <w:color w:val="000000"/>
                <w:sz w:val="18"/>
                <w:szCs w:val="18"/>
                <w:lang w:val="es-MX"/>
              </w:rPr>
              <w:t>No existe transparencia sobre la asignación y ejecución del presupuesto de VIH y TB por objeto de gasto imposibilitando el monitoreo y rendición de cuentas, y los recursos de los donantes no se contabilizan en el</w:t>
            </w:r>
            <w:r>
              <w:rPr>
                <w:rFonts w:ascii="Arial" w:eastAsia="Times New Roman" w:hAnsi="Arial" w:cs="Arial"/>
                <w:color w:val="000000"/>
                <w:sz w:val="18"/>
                <w:szCs w:val="18"/>
                <w:lang w:val="es-MX"/>
              </w:rPr>
              <w:t>.</w:t>
            </w:r>
            <w:r w:rsidRPr="00C629BE">
              <w:rPr>
                <w:rFonts w:ascii="Arial" w:eastAsia="Times New Roman" w:hAnsi="Arial" w:cs="Arial"/>
                <w:color w:val="000000"/>
                <w:sz w:val="18"/>
                <w:szCs w:val="18"/>
                <w:lang w:val="es-MX"/>
              </w:rPr>
              <w:t xml:space="preserve"> presupuesto nacional</w:t>
            </w:r>
          </w:p>
        </w:tc>
        <w:tc>
          <w:tcPr>
            <w:tcW w:w="1669" w:type="dxa"/>
            <w:tcBorders>
              <w:top w:val="nil"/>
              <w:left w:val="nil"/>
              <w:bottom w:val="single" w:sz="4" w:space="0" w:color="auto"/>
              <w:right w:val="single" w:sz="4" w:space="0" w:color="auto"/>
            </w:tcBorders>
            <w:shd w:val="clear" w:color="auto" w:fill="92D050"/>
            <w:noWrap/>
            <w:vAlign w:val="bottom"/>
            <w:hideMark/>
          </w:tcPr>
          <w:p w14:paraId="1E943F1A" w14:textId="77777777" w:rsidR="007F4C34" w:rsidRPr="00C629BE" w:rsidRDefault="007F4C34" w:rsidP="00167C47">
            <w:pPr>
              <w:spacing w:after="240" w:line="240" w:lineRule="auto"/>
              <w:jc w:val="center"/>
              <w:rPr>
                <w:rFonts w:ascii="Arial" w:eastAsia="Times New Roman" w:hAnsi="Arial" w:cs="Arial"/>
                <w:color w:val="000000"/>
                <w:sz w:val="18"/>
                <w:szCs w:val="18"/>
              </w:rPr>
            </w:pPr>
            <w:r w:rsidRPr="00C629BE">
              <w:rPr>
                <w:rFonts w:ascii="Arial" w:eastAsia="Times New Roman" w:hAnsi="Arial" w:cs="Arial"/>
                <w:color w:val="000000"/>
                <w:sz w:val="18"/>
                <w:szCs w:val="18"/>
              </w:rPr>
              <w:t>2.06</w:t>
            </w:r>
          </w:p>
          <w:p w14:paraId="38459553" w14:textId="77777777" w:rsidR="007F4C34" w:rsidRPr="00C629BE" w:rsidRDefault="007F4C34" w:rsidP="00167C47">
            <w:pPr>
              <w:spacing w:after="240" w:line="240" w:lineRule="auto"/>
              <w:rPr>
                <w:rFonts w:ascii="Arial" w:eastAsia="Times New Roman" w:hAnsi="Arial" w:cs="Arial"/>
                <w:color w:val="000000"/>
                <w:sz w:val="18"/>
                <w:szCs w:val="18"/>
              </w:rPr>
            </w:pPr>
          </w:p>
          <w:p w14:paraId="607E5290" w14:textId="77777777" w:rsidR="007F4C34" w:rsidRPr="00C629BE" w:rsidRDefault="007F4C34" w:rsidP="00167C47">
            <w:pPr>
              <w:spacing w:after="240" w:line="240" w:lineRule="auto"/>
              <w:rPr>
                <w:rFonts w:ascii="Arial" w:eastAsia="Times New Roman" w:hAnsi="Arial" w:cs="Arial"/>
                <w:color w:val="000000"/>
                <w:sz w:val="18"/>
                <w:szCs w:val="18"/>
              </w:rPr>
            </w:pPr>
          </w:p>
        </w:tc>
        <w:tc>
          <w:tcPr>
            <w:tcW w:w="1523" w:type="dxa"/>
            <w:tcBorders>
              <w:top w:val="nil"/>
              <w:left w:val="nil"/>
              <w:bottom w:val="single" w:sz="4" w:space="0" w:color="auto"/>
              <w:right w:val="single" w:sz="4" w:space="0" w:color="auto"/>
            </w:tcBorders>
            <w:shd w:val="clear" w:color="auto" w:fill="FFC000"/>
            <w:noWrap/>
            <w:vAlign w:val="bottom"/>
            <w:hideMark/>
          </w:tcPr>
          <w:p w14:paraId="69324E1A" w14:textId="77777777" w:rsidR="007F4C34" w:rsidRPr="00C629BE" w:rsidRDefault="007F4C34" w:rsidP="00167C47">
            <w:pPr>
              <w:spacing w:after="240" w:line="240" w:lineRule="auto"/>
              <w:jc w:val="center"/>
              <w:rPr>
                <w:rFonts w:ascii="Arial" w:eastAsia="Times New Roman" w:hAnsi="Arial" w:cs="Arial"/>
                <w:color w:val="000000"/>
                <w:sz w:val="18"/>
                <w:szCs w:val="18"/>
              </w:rPr>
            </w:pPr>
            <w:r w:rsidRPr="00C629BE">
              <w:rPr>
                <w:rFonts w:ascii="Arial" w:eastAsia="Times New Roman" w:hAnsi="Arial" w:cs="Arial"/>
                <w:color w:val="000000"/>
                <w:sz w:val="18"/>
                <w:szCs w:val="18"/>
              </w:rPr>
              <w:t>2.61</w:t>
            </w:r>
          </w:p>
          <w:p w14:paraId="49EB3BF2" w14:textId="77777777" w:rsidR="007F4C34" w:rsidRPr="00C629BE" w:rsidRDefault="007F4C34" w:rsidP="00167C47">
            <w:pPr>
              <w:spacing w:after="240" w:line="240" w:lineRule="auto"/>
              <w:jc w:val="center"/>
              <w:rPr>
                <w:rFonts w:ascii="Arial" w:eastAsia="Times New Roman" w:hAnsi="Arial" w:cs="Arial"/>
                <w:color w:val="000000"/>
                <w:sz w:val="18"/>
                <w:szCs w:val="18"/>
              </w:rPr>
            </w:pPr>
          </w:p>
          <w:p w14:paraId="6067A075" w14:textId="77777777" w:rsidR="007F4C34" w:rsidRPr="00C629BE" w:rsidRDefault="007F4C34" w:rsidP="00167C47">
            <w:pPr>
              <w:spacing w:after="240" w:line="240" w:lineRule="auto"/>
              <w:jc w:val="center"/>
              <w:rPr>
                <w:rFonts w:ascii="Arial" w:eastAsia="Times New Roman" w:hAnsi="Arial" w:cs="Arial"/>
                <w:color w:val="000000"/>
                <w:sz w:val="18"/>
                <w:szCs w:val="18"/>
              </w:rPr>
            </w:pPr>
          </w:p>
        </w:tc>
        <w:tc>
          <w:tcPr>
            <w:tcW w:w="1413" w:type="dxa"/>
            <w:tcBorders>
              <w:top w:val="nil"/>
              <w:left w:val="nil"/>
              <w:bottom w:val="single" w:sz="4" w:space="0" w:color="auto"/>
              <w:right w:val="single" w:sz="4" w:space="0" w:color="auto"/>
            </w:tcBorders>
            <w:shd w:val="clear" w:color="000000" w:fill="FFFF00"/>
            <w:noWrap/>
            <w:vAlign w:val="bottom"/>
            <w:hideMark/>
          </w:tcPr>
          <w:p w14:paraId="028397C7" w14:textId="77777777" w:rsidR="007F4C34" w:rsidRPr="00C629BE" w:rsidRDefault="007F4C34" w:rsidP="00167C47">
            <w:pPr>
              <w:spacing w:after="240" w:line="240" w:lineRule="auto"/>
              <w:jc w:val="center"/>
              <w:rPr>
                <w:rFonts w:ascii="Arial" w:eastAsia="Times New Roman" w:hAnsi="Arial" w:cs="Arial"/>
                <w:color w:val="000000"/>
                <w:sz w:val="18"/>
                <w:szCs w:val="18"/>
              </w:rPr>
            </w:pPr>
            <w:r w:rsidRPr="00C629BE">
              <w:rPr>
                <w:rFonts w:ascii="Arial" w:eastAsia="Times New Roman" w:hAnsi="Arial" w:cs="Arial"/>
                <w:color w:val="000000"/>
                <w:sz w:val="18"/>
                <w:szCs w:val="18"/>
              </w:rPr>
              <w:t>3</w:t>
            </w:r>
          </w:p>
          <w:p w14:paraId="0D6256A8" w14:textId="77777777" w:rsidR="007F4C34" w:rsidRPr="00C629BE" w:rsidRDefault="007F4C34" w:rsidP="00167C47">
            <w:pPr>
              <w:spacing w:after="240" w:line="240" w:lineRule="auto"/>
              <w:jc w:val="center"/>
              <w:rPr>
                <w:rFonts w:ascii="Arial" w:eastAsia="Times New Roman" w:hAnsi="Arial" w:cs="Arial"/>
                <w:color w:val="000000"/>
                <w:sz w:val="18"/>
                <w:szCs w:val="18"/>
              </w:rPr>
            </w:pPr>
          </w:p>
          <w:p w14:paraId="10A328B4" w14:textId="77777777" w:rsidR="007F4C34" w:rsidRPr="00C629BE" w:rsidRDefault="007F4C34" w:rsidP="00167C47">
            <w:pPr>
              <w:spacing w:after="240" w:line="240" w:lineRule="auto"/>
              <w:jc w:val="center"/>
              <w:rPr>
                <w:rFonts w:ascii="Arial" w:eastAsia="Times New Roman" w:hAnsi="Arial" w:cs="Arial"/>
                <w:color w:val="000000"/>
                <w:sz w:val="18"/>
                <w:szCs w:val="18"/>
              </w:rPr>
            </w:pPr>
          </w:p>
        </w:tc>
        <w:tc>
          <w:tcPr>
            <w:tcW w:w="1390" w:type="dxa"/>
            <w:tcBorders>
              <w:top w:val="nil"/>
              <w:left w:val="nil"/>
              <w:bottom w:val="single" w:sz="4" w:space="0" w:color="auto"/>
              <w:right w:val="single" w:sz="4" w:space="0" w:color="auto"/>
            </w:tcBorders>
            <w:shd w:val="clear" w:color="auto" w:fill="FFFF00"/>
            <w:noWrap/>
            <w:vAlign w:val="bottom"/>
            <w:hideMark/>
          </w:tcPr>
          <w:p w14:paraId="5E5D3850" w14:textId="77777777" w:rsidR="007F4C34" w:rsidRPr="00C629BE" w:rsidRDefault="007F4C34" w:rsidP="00167C47">
            <w:pPr>
              <w:spacing w:after="240" w:line="240" w:lineRule="auto"/>
              <w:jc w:val="center"/>
              <w:rPr>
                <w:rFonts w:ascii="Arial" w:eastAsia="Times New Roman" w:hAnsi="Arial" w:cs="Arial"/>
                <w:color w:val="000000"/>
                <w:sz w:val="18"/>
                <w:szCs w:val="18"/>
              </w:rPr>
            </w:pPr>
            <w:r w:rsidRPr="00C629BE">
              <w:rPr>
                <w:rFonts w:ascii="Arial" w:eastAsia="Times New Roman" w:hAnsi="Arial" w:cs="Arial"/>
                <w:color w:val="000000"/>
                <w:sz w:val="18"/>
                <w:szCs w:val="18"/>
              </w:rPr>
              <w:t>14</w:t>
            </w:r>
          </w:p>
          <w:p w14:paraId="3946345F" w14:textId="77777777" w:rsidR="007F4C34" w:rsidRPr="00C629BE" w:rsidRDefault="007F4C34" w:rsidP="00167C47">
            <w:pPr>
              <w:spacing w:after="240" w:line="240" w:lineRule="auto"/>
              <w:jc w:val="center"/>
              <w:rPr>
                <w:rFonts w:ascii="Arial" w:eastAsia="Times New Roman" w:hAnsi="Arial" w:cs="Arial"/>
                <w:color w:val="000000"/>
                <w:sz w:val="18"/>
                <w:szCs w:val="18"/>
              </w:rPr>
            </w:pPr>
          </w:p>
          <w:p w14:paraId="5553FC26" w14:textId="77777777" w:rsidR="007F4C34" w:rsidRPr="00C629BE" w:rsidRDefault="007F4C34" w:rsidP="00167C47">
            <w:pPr>
              <w:spacing w:after="240" w:line="240" w:lineRule="auto"/>
              <w:jc w:val="center"/>
              <w:rPr>
                <w:rFonts w:ascii="Arial" w:eastAsia="Times New Roman" w:hAnsi="Arial" w:cs="Arial"/>
                <w:color w:val="000000"/>
                <w:sz w:val="18"/>
                <w:szCs w:val="18"/>
              </w:rPr>
            </w:pPr>
          </w:p>
        </w:tc>
      </w:tr>
      <w:tr w:rsidR="007F4C34" w:rsidRPr="00392E34" w14:paraId="7BBCF439" w14:textId="77777777" w:rsidTr="00167C47">
        <w:trPr>
          <w:trHeight w:hRule="exact" w:val="288"/>
        </w:trPr>
        <w:tc>
          <w:tcPr>
            <w:tcW w:w="9350" w:type="dxa"/>
            <w:gridSpan w:val="5"/>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36587CEA" w14:textId="77777777" w:rsidR="007F4C34" w:rsidRPr="00C629BE" w:rsidRDefault="007F4C34" w:rsidP="00167C47">
            <w:pPr>
              <w:spacing w:after="240" w:line="240" w:lineRule="auto"/>
              <w:rPr>
                <w:rFonts w:ascii="Arial" w:eastAsia="Times New Roman" w:hAnsi="Arial" w:cs="Arial"/>
                <w:b/>
                <w:bCs/>
                <w:color w:val="000000"/>
                <w:sz w:val="18"/>
                <w:szCs w:val="18"/>
                <w:lang w:val="es-MX"/>
              </w:rPr>
            </w:pPr>
            <w:r w:rsidRPr="00C629BE">
              <w:rPr>
                <w:rFonts w:ascii="Arial" w:eastAsia="Times New Roman" w:hAnsi="Arial" w:cs="Arial"/>
                <w:b/>
                <w:bCs/>
                <w:color w:val="000000"/>
                <w:sz w:val="18"/>
                <w:szCs w:val="18"/>
                <w:lang w:val="es-MX"/>
              </w:rPr>
              <w:t>Derechos Humanos y sociedad civil</w:t>
            </w:r>
          </w:p>
        </w:tc>
      </w:tr>
      <w:tr w:rsidR="007F4C34" w:rsidRPr="00DD37EC" w14:paraId="54B71827" w14:textId="77777777" w:rsidTr="00167C47">
        <w:trPr>
          <w:trHeight w:hRule="exact" w:val="288"/>
        </w:trPr>
        <w:tc>
          <w:tcPr>
            <w:tcW w:w="9350" w:type="dxa"/>
            <w:gridSpan w:val="5"/>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1AF21908" w14:textId="77777777" w:rsidR="007F4C34" w:rsidRPr="00C629BE" w:rsidRDefault="007F4C34" w:rsidP="00167C47">
            <w:pPr>
              <w:spacing w:after="240" w:line="240" w:lineRule="auto"/>
              <w:rPr>
                <w:rFonts w:ascii="Arial" w:eastAsia="Times New Roman" w:hAnsi="Arial" w:cs="Arial"/>
                <w:b/>
                <w:bCs/>
                <w:color w:val="000000"/>
                <w:sz w:val="18"/>
                <w:szCs w:val="18"/>
              </w:rPr>
            </w:pPr>
            <w:r w:rsidRPr="00C629BE">
              <w:rPr>
                <w:rFonts w:ascii="Arial" w:eastAsia="Times New Roman" w:hAnsi="Arial" w:cs="Arial"/>
                <w:b/>
                <w:bCs/>
                <w:color w:val="000000"/>
                <w:sz w:val="18"/>
                <w:szCs w:val="18"/>
              </w:rPr>
              <w:t>Derechos Humanos</w:t>
            </w:r>
          </w:p>
        </w:tc>
      </w:tr>
      <w:tr w:rsidR="007F4C34" w:rsidRPr="00DD37EC" w14:paraId="77BE5619" w14:textId="77777777" w:rsidTr="00167C47">
        <w:trPr>
          <w:trHeight w:hRule="exact" w:val="1720"/>
        </w:trPr>
        <w:tc>
          <w:tcPr>
            <w:tcW w:w="3355" w:type="dxa"/>
            <w:tcBorders>
              <w:top w:val="nil"/>
              <w:left w:val="single" w:sz="4" w:space="0" w:color="auto"/>
              <w:bottom w:val="single" w:sz="4" w:space="0" w:color="auto"/>
              <w:right w:val="single" w:sz="4" w:space="0" w:color="auto"/>
            </w:tcBorders>
            <w:shd w:val="clear" w:color="auto" w:fill="auto"/>
            <w:hideMark/>
          </w:tcPr>
          <w:p w14:paraId="0F267E9E" w14:textId="77777777" w:rsidR="007F4C34" w:rsidRPr="00C629BE" w:rsidRDefault="007F4C34" w:rsidP="00167C47">
            <w:pPr>
              <w:spacing w:after="240" w:line="240" w:lineRule="auto"/>
              <w:rPr>
                <w:rFonts w:ascii="Arial" w:eastAsia="Times New Roman" w:hAnsi="Arial" w:cs="Arial"/>
                <w:color w:val="000000"/>
                <w:sz w:val="18"/>
                <w:szCs w:val="18"/>
                <w:lang w:val="es-MX"/>
              </w:rPr>
            </w:pPr>
            <w:r w:rsidRPr="00C629BE">
              <w:rPr>
                <w:rFonts w:ascii="Arial" w:eastAsia="Times New Roman" w:hAnsi="Arial" w:cs="Arial"/>
                <w:color w:val="000000"/>
                <w:sz w:val="18"/>
                <w:szCs w:val="18"/>
                <w:lang w:val="es-MX"/>
              </w:rPr>
              <w:t>Falta de apoyo, voluntad política (Plan de DDHH (2013-2022) con 1.245 actividades sin costos ni presupuesto).</w:t>
            </w:r>
            <w:r w:rsidRPr="00C629BE">
              <w:rPr>
                <w:rFonts w:ascii="Arial" w:eastAsia="Times New Roman" w:hAnsi="Arial" w:cs="Arial"/>
                <w:color w:val="000000"/>
                <w:sz w:val="18"/>
                <w:szCs w:val="18"/>
                <w:lang w:val="es-MX"/>
              </w:rPr>
              <w:br/>
              <w:t>Legislación de DDHH existe en papel, pero no es implementada (i.e. Violación sistemática del Art. 52 de Ley Especial SIDA que impide exigir prueba de VIH para acceso al trabajo)</w:t>
            </w:r>
            <w:r>
              <w:rPr>
                <w:rFonts w:ascii="Arial" w:eastAsia="Times New Roman" w:hAnsi="Arial" w:cs="Arial"/>
                <w:color w:val="000000"/>
                <w:sz w:val="18"/>
                <w:szCs w:val="18"/>
                <w:lang w:val="es-MX"/>
              </w:rPr>
              <w:t>.</w:t>
            </w:r>
          </w:p>
        </w:tc>
        <w:tc>
          <w:tcPr>
            <w:tcW w:w="1669" w:type="dxa"/>
            <w:tcBorders>
              <w:top w:val="nil"/>
              <w:left w:val="nil"/>
              <w:bottom w:val="single" w:sz="4" w:space="0" w:color="auto"/>
              <w:right w:val="single" w:sz="4" w:space="0" w:color="auto"/>
            </w:tcBorders>
            <w:shd w:val="clear" w:color="auto" w:fill="FFC000"/>
            <w:noWrap/>
            <w:vAlign w:val="bottom"/>
            <w:hideMark/>
          </w:tcPr>
          <w:p w14:paraId="52D41CD5" w14:textId="77777777" w:rsidR="007F4C34" w:rsidRPr="00C629BE" w:rsidRDefault="007F4C34" w:rsidP="00167C47">
            <w:pPr>
              <w:spacing w:after="240" w:line="240" w:lineRule="auto"/>
              <w:jc w:val="center"/>
              <w:rPr>
                <w:rFonts w:ascii="Arial" w:eastAsia="Times New Roman" w:hAnsi="Arial" w:cs="Arial"/>
                <w:color w:val="000000"/>
                <w:sz w:val="18"/>
                <w:szCs w:val="18"/>
              </w:rPr>
            </w:pPr>
            <w:r w:rsidRPr="00C629BE">
              <w:rPr>
                <w:rFonts w:ascii="Arial" w:eastAsia="Times New Roman" w:hAnsi="Arial" w:cs="Arial"/>
                <w:color w:val="000000"/>
                <w:sz w:val="18"/>
                <w:szCs w:val="18"/>
              </w:rPr>
              <w:t>2.65</w:t>
            </w:r>
          </w:p>
          <w:p w14:paraId="2E630261" w14:textId="77777777" w:rsidR="007F4C34" w:rsidRPr="00C629BE" w:rsidRDefault="007F4C34" w:rsidP="00167C47">
            <w:pPr>
              <w:spacing w:after="240" w:line="240" w:lineRule="auto"/>
              <w:jc w:val="center"/>
              <w:rPr>
                <w:rFonts w:ascii="Arial" w:eastAsia="Times New Roman" w:hAnsi="Arial" w:cs="Arial"/>
                <w:color w:val="000000"/>
                <w:sz w:val="18"/>
                <w:szCs w:val="18"/>
              </w:rPr>
            </w:pPr>
          </w:p>
          <w:p w14:paraId="275F0567" w14:textId="77777777" w:rsidR="007F4C34" w:rsidRPr="00C629BE" w:rsidRDefault="007F4C34" w:rsidP="00167C47">
            <w:pPr>
              <w:spacing w:after="240" w:line="240" w:lineRule="auto"/>
              <w:jc w:val="center"/>
              <w:rPr>
                <w:rFonts w:ascii="Arial" w:eastAsia="Times New Roman" w:hAnsi="Arial" w:cs="Arial"/>
                <w:color w:val="000000"/>
                <w:sz w:val="18"/>
                <w:szCs w:val="18"/>
              </w:rPr>
            </w:pPr>
          </w:p>
        </w:tc>
        <w:tc>
          <w:tcPr>
            <w:tcW w:w="1523" w:type="dxa"/>
            <w:tcBorders>
              <w:top w:val="nil"/>
              <w:left w:val="nil"/>
              <w:bottom w:val="single" w:sz="4" w:space="0" w:color="auto"/>
              <w:right w:val="single" w:sz="4" w:space="0" w:color="auto"/>
            </w:tcBorders>
            <w:shd w:val="clear" w:color="auto" w:fill="FFC000"/>
            <w:noWrap/>
            <w:vAlign w:val="bottom"/>
            <w:hideMark/>
          </w:tcPr>
          <w:p w14:paraId="035F02CF" w14:textId="77777777" w:rsidR="007F4C34" w:rsidRPr="00C629BE" w:rsidRDefault="007F4C34" w:rsidP="00167C47">
            <w:pPr>
              <w:spacing w:after="240" w:line="240" w:lineRule="auto"/>
              <w:jc w:val="center"/>
              <w:rPr>
                <w:rFonts w:ascii="Arial" w:eastAsia="Times New Roman" w:hAnsi="Arial" w:cs="Arial"/>
                <w:color w:val="000000"/>
                <w:sz w:val="18"/>
                <w:szCs w:val="18"/>
              </w:rPr>
            </w:pPr>
            <w:r w:rsidRPr="00C629BE">
              <w:rPr>
                <w:rFonts w:ascii="Arial" w:eastAsia="Times New Roman" w:hAnsi="Arial" w:cs="Arial"/>
                <w:color w:val="000000"/>
                <w:sz w:val="18"/>
                <w:szCs w:val="18"/>
              </w:rPr>
              <w:t>2.65</w:t>
            </w:r>
          </w:p>
          <w:p w14:paraId="6EFB7020" w14:textId="77777777" w:rsidR="007F4C34" w:rsidRPr="00C629BE" w:rsidRDefault="007F4C34" w:rsidP="00167C47">
            <w:pPr>
              <w:spacing w:after="240" w:line="240" w:lineRule="auto"/>
              <w:jc w:val="center"/>
              <w:rPr>
                <w:rFonts w:ascii="Arial" w:eastAsia="Times New Roman" w:hAnsi="Arial" w:cs="Arial"/>
                <w:color w:val="000000"/>
                <w:sz w:val="18"/>
                <w:szCs w:val="18"/>
              </w:rPr>
            </w:pPr>
          </w:p>
          <w:p w14:paraId="3F096CEB" w14:textId="77777777" w:rsidR="007F4C34" w:rsidRPr="00C629BE" w:rsidRDefault="007F4C34" w:rsidP="00167C47">
            <w:pPr>
              <w:spacing w:after="240" w:line="240" w:lineRule="auto"/>
              <w:jc w:val="center"/>
              <w:rPr>
                <w:rFonts w:ascii="Arial" w:eastAsia="Times New Roman" w:hAnsi="Arial" w:cs="Arial"/>
                <w:color w:val="000000"/>
                <w:sz w:val="18"/>
                <w:szCs w:val="18"/>
              </w:rPr>
            </w:pPr>
          </w:p>
        </w:tc>
        <w:tc>
          <w:tcPr>
            <w:tcW w:w="1413" w:type="dxa"/>
            <w:tcBorders>
              <w:top w:val="nil"/>
              <w:left w:val="nil"/>
              <w:bottom w:val="single" w:sz="4" w:space="0" w:color="auto"/>
              <w:right w:val="single" w:sz="4" w:space="0" w:color="auto"/>
            </w:tcBorders>
            <w:shd w:val="clear" w:color="000000" w:fill="FFC000"/>
            <w:noWrap/>
            <w:vAlign w:val="bottom"/>
            <w:hideMark/>
          </w:tcPr>
          <w:p w14:paraId="67A43F6C" w14:textId="77777777" w:rsidR="007F4C34" w:rsidRPr="00C629BE" w:rsidRDefault="007F4C34" w:rsidP="00167C47">
            <w:pPr>
              <w:spacing w:after="240" w:line="240" w:lineRule="auto"/>
              <w:jc w:val="center"/>
              <w:rPr>
                <w:rFonts w:ascii="Arial" w:eastAsia="Times New Roman" w:hAnsi="Arial" w:cs="Arial"/>
                <w:color w:val="000000"/>
                <w:sz w:val="18"/>
                <w:szCs w:val="18"/>
              </w:rPr>
            </w:pPr>
            <w:r w:rsidRPr="00C629BE">
              <w:rPr>
                <w:rFonts w:ascii="Arial" w:eastAsia="Times New Roman" w:hAnsi="Arial" w:cs="Arial"/>
                <w:color w:val="000000"/>
                <w:sz w:val="18"/>
                <w:szCs w:val="18"/>
              </w:rPr>
              <w:t>2</w:t>
            </w:r>
          </w:p>
          <w:p w14:paraId="2321FA16" w14:textId="77777777" w:rsidR="007F4C34" w:rsidRPr="00C629BE" w:rsidRDefault="007F4C34" w:rsidP="00167C47">
            <w:pPr>
              <w:spacing w:after="240" w:line="240" w:lineRule="auto"/>
              <w:jc w:val="center"/>
              <w:rPr>
                <w:rFonts w:ascii="Arial" w:eastAsia="Times New Roman" w:hAnsi="Arial" w:cs="Arial"/>
                <w:color w:val="000000"/>
                <w:sz w:val="18"/>
                <w:szCs w:val="18"/>
              </w:rPr>
            </w:pPr>
          </w:p>
          <w:p w14:paraId="6983EE63" w14:textId="77777777" w:rsidR="007F4C34" w:rsidRPr="00C629BE" w:rsidRDefault="007F4C34" w:rsidP="00167C47">
            <w:pPr>
              <w:spacing w:after="240" w:line="240" w:lineRule="auto"/>
              <w:jc w:val="center"/>
              <w:rPr>
                <w:rFonts w:ascii="Arial" w:eastAsia="Times New Roman" w:hAnsi="Arial" w:cs="Arial"/>
                <w:color w:val="000000"/>
                <w:sz w:val="18"/>
                <w:szCs w:val="18"/>
              </w:rPr>
            </w:pPr>
          </w:p>
        </w:tc>
        <w:tc>
          <w:tcPr>
            <w:tcW w:w="1390" w:type="dxa"/>
            <w:tcBorders>
              <w:top w:val="nil"/>
              <w:left w:val="nil"/>
              <w:bottom w:val="single" w:sz="4" w:space="0" w:color="auto"/>
              <w:right w:val="single" w:sz="4" w:space="0" w:color="auto"/>
            </w:tcBorders>
            <w:shd w:val="clear" w:color="auto" w:fill="FF0000"/>
            <w:noWrap/>
            <w:vAlign w:val="bottom"/>
            <w:hideMark/>
          </w:tcPr>
          <w:p w14:paraId="055D485A" w14:textId="77777777" w:rsidR="007F4C34" w:rsidRPr="00C629BE" w:rsidRDefault="007F4C34" w:rsidP="00167C47">
            <w:pPr>
              <w:spacing w:after="240" w:line="240" w:lineRule="auto"/>
              <w:jc w:val="center"/>
              <w:rPr>
                <w:rFonts w:ascii="Arial" w:eastAsia="Times New Roman" w:hAnsi="Arial" w:cs="Arial"/>
                <w:color w:val="000000"/>
                <w:sz w:val="18"/>
                <w:szCs w:val="18"/>
              </w:rPr>
            </w:pPr>
            <w:r w:rsidRPr="00C629BE">
              <w:rPr>
                <w:rFonts w:ascii="Arial" w:eastAsia="Times New Roman" w:hAnsi="Arial" w:cs="Arial"/>
                <w:color w:val="000000"/>
                <w:sz w:val="18"/>
                <w:szCs w:val="18"/>
              </w:rPr>
              <w:t>3</w:t>
            </w:r>
          </w:p>
          <w:p w14:paraId="66AD45E3" w14:textId="77777777" w:rsidR="007F4C34" w:rsidRPr="00C629BE" w:rsidRDefault="007F4C34" w:rsidP="00167C47">
            <w:pPr>
              <w:spacing w:after="240" w:line="240" w:lineRule="auto"/>
              <w:jc w:val="center"/>
              <w:rPr>
                <w:rFonts w:ascii="Arial" w:eastAsia="Times New Roman" w:hAnsi="Arial" w:cs="Arial"/>
                <w:color w:val="000000"/>
                <w:sz w:val="18"/>
                <w:szCs w:val="18"/>
              </w:rPr>
            </w:pPr>
          </w:p>
          <w:p w14:paraId="205F0137" w14:textId="77777777" w:rsidR="007F4C34" w:rsidRPr="00C629BE" w:rsidRDefault="007F4C34" w:rsidP="00167C47">
            <w:pPr>
              <w:spacing w:after="240" w:line="240" w:lineRule="auto"/>
              <w:jc w:val="center"/>
              <w:rPr>
                <w:rFonts w:ascii="Arial" w:eastAsia="Times New Roman" w:hAnsi="Arial" w:cs="Arial"/>
                <w:color w:val="000000"/>
                <w:sz w:val="18"/>
                <w:szCs w:val="18"/>
              </w:rPr>
            </w:pPr>
          </w:p>
        </w:tc>
      </w:tr>
      <w:tr w:rsidR="007F4C34" w:rsidRPr="00DD37EC" w14:paraId="7517FE73" w14:textId="77777777" w:rsidTr="00167C47">
        <w:trPr>
          <w:trHeight w:hRule="exact" w:val="835"/>
        </w:trPr>
        <w:tc>
          <w:tcPr>
            <w:tcW w:w="3355" w:type="dxa"/>
            <w:tcBorders>
              <w:top w:val="nil"/>
              <w:left w:val="single" w:sz="4" w:space="0" w:color="auto"/>
              <w:bottom w:val="single" w:sz="4" w:space="0" w:color="auto"/>
              <w:right w:val="single" w:sz="4" w:space="0" w:color="auto"/>
            </w:tcBorders>
            <w:shd w:val="clear" w:color="auto" w:fill="auto"/>
            <w:vAlign w:val="bottom"/>
            <w:hideMark/>
          </w:tcPr>
          <w:p w14:paraId="5BF9E2FC" w14:textId="77777777" w:rsidR="007F4C34" w:rsidRPr="00C629BE" w:rsidRDefault="007F4C34" w:rsidP="00167C47">
            <w:pPr>
              <w:spacing w:after="240" w:line="240" w:lineRule="auto"/>
              <w:rPr>
                <w:rFonts w:ascii="Arial" w:eastAsia="Times New Roman" w:hAnsi="Arial" w:cs="Arial"/>
                <w:color w:val="000000"/>
                <w:sz w:val="18"/>
                <w:szCs w:val="18"/>
                <w:lang w:val="es-MX"/>
              </w:rPr>
            </w:pPr>
            <w:r w:rsidRPr="00C629BE">
              <w:rPr>
                <w:rFonts w:ascii="Arial" w:eastAsia="Times New Roman" w:hAnsi="Arial" w:cs="Arial"/>
                <w:color w:val="000000"/>
                <w:sz w:val="18"/>
                <w:szCs w:val="18"/>
                <w:lang w:val="es-MX"/>
              </w:rPr>
              <w:t>Falta de monitoreo y documentación de violaciones de DDHH, y mínimo procesamiento de quejas correspondientes.</w:t>
            </w:r>
          </w:p>
        </w:tc>
        <w:tc>
          <w:tcPr>
            <w:tcW w:w="1669" w:type="dxa"/>
            <w:tcBorders>
              <w:top w:val="nil"/>
              <w:left w:val="nil"/>
              <w:bottom w:val="single" w:sz="4" w:space="0" w:color="auto"/>
              <w:right w:val="single" w:sz="4" w:space="0" w:color="auto"/>
            </w:tcBorders>
            <w:shd w:val="clear" w:color="auto" w:fill="FFC000"/>
            <w:noWrap/>
            <w:vAlign w:val="bottom"/>
            <w:hideMark/>
          </w:tcPr>
          <w:p w14:paraId="1C85B896" w14:textId="77777777" w:rsidR="007F4C34" w:rsidRPr="00C629BE" w:rsidRDefault="007F4C34" w:rsidP="00167C47">
            <w:pPr>
              <w:spacing w:after="240" w:line="240" w:lineRule="auto"/>
              <w:jc w:val="center"/>
              <w:rPr>
                <w:rFonts w:ascii="Arial" w:eastAsia="Times New Roman" w:hAnsi="Arial" w:cs="Arial"/>
                <w:color w:val="000000"/>
                <w:sz w:val="18"/>
                <w:szCs w:val="18"/>
              </w:rPr>
            </w:pPr>
            <w:r w:rsidRPr="00C629BE">
              <w:rPr>
                <w:rFonts w:ascii="Arial" w:eastAsia="Times New Roman" w:hAnsi="Arial" w:cs="Arial"/>
                <w:color w:val="000000"/>
                <w:sz w:val="18"/>
                <w:szCs w:val="18"/>
              </w:rPr>
              <w:t>2.65</w:t>
            </w:r>
          </w:p>
          <w:p w14:paraId="51072091" w14:textId="77777777" w:rsidR="007F4C34" w:rsidRPr="00C629BE" w:rsidRDefault="007F4C34" w:rsidP="00167C47">
            <w:pPr>
              <w:spacing w:after="240" w:line="240" w:lineRule="auto"/>
              <w:jc w:val="center"/>
              <w:rPr>
                <w:rFonts w:ascii="Arial" w:eastAsia="Times New Roman" w:hAnsi="Arial" w:cs="Arial"/>
                <w:color w:val="000000"/>
                <w:sz w:val="18"/>
                <w:szCs w:val="18"/>
              </w:rPr>
            </w:pPr>
          </w:p>
        </w:tc>
        <w:tc>
          <w:tcPr>
            <w:tcW w:w="1523" w:type="dxa"/>
            <w:tcBorders>
              <w:top w:val="nil"/>
              <w:left w:val="nil"/>
              <w:bottom w:val="single" w:sz="4" w:space="0" w:color="auto"/>
              <w:right w:val="single" w:sz="4" w:space="0" w:color="auto"/>
            </w:tcBorders>
            <w:shd w:val="clear" w:color="auto" w:fill="FFFF00"/>
            <w:noWrap/>
            <w:vAlign w:val="bottom"/>
            <w:hideMark/>
          </w:tcPr>
          <w:p w14:paraId="19793EDC" w14:textId="77777777" w:rsidR="007F4C34" w:rsidRPr="00C629BE" w:rsidRDefault="007F4C34" w:rsidP="00167C47">
            <w:pPr>
              <w:spacing w:after="240" w:line="240" w:lineRule="auto"/>
              <w:jc w:val="center"/>
              <w:rPr>
                <w:rFonts w:ascii="Arial" w:eastAsia="Times New Roman" w:hAnsi="Arial" w:cs="Arial"/>
                <w:color w:val="000000"/>
                <w:sz w:val="18"/>
                <w:szCs w:val="18"/>
              </w:rPr>
            </w:pPr>
            <w:r w:rsidRPr="00C629BE">
              <w:rPr>
                <w:rFonts w:ascii="Arial" w:eastAsia="Times New Roman" w:hAnsi="Arial" w:cs="Arial"/>
                <w:color w:val="000000"/>
                <w:sz w:val="18"/>
                <w:szCs w:val="18"/>
              </w:rPr>
              <w:t>2.53</w:t>
            </w:r>
          </w:p>
          <w:p w14:paraId="5B6D2BC7" w14:textId="77777777" w:rsidR="007F4C34" w:rsidRPr="00C629BE" w:rsidRDefault="007F4C34" w:rsidP="00167C47">
            <w:pPr>
              <w:spacing w:after="240" w:line="240" w:lineRule="auto"/>
              <w:jc w:val="center"/>
              <w:rPr>
                <w:rFonts w:ascii="Arial" w:eastAsia="Times New Roman" w:hAnsi="Arial" w:cs="Arial"/>
                <w:color w:val="000000"/>
                <w:sz w:val="18"/>
                <w:szCs w:val="18"/>
              </w:rPr>
            </w:pPr>
          </w:p>
        </w:tc>
        <w:tc>
          <w:tcPr>
            <w:tcW w:w="1413" w:type="dxa"/>
            <w:tcBorders>
              <w:top w:val="nil"/>
              <w:left w:val="nil"/>
              <w:bottom w:val="single" w:sz="4" w:space="0" w:color="auto"/>
              <w:right w:val="single" w:sz="4" w:space="0" w:color="auto"/>
            </w:tcBorders>
            <w:shd w:val="clear" w:color="000000" w:fill="FFFF00"/>
            <w:noWrap/>
            <w:vAlign w:val="bottom"/>
            <w:hideMark/>
          </w:tcPr>
          <w:p w14:paraId="0635516E" w14:textId="77777777" w:rsidR="007F4C34" w:rsidRPr="00C629BE" w:rsidRDefault="007F4C34" w:rsidP="00167C47">
            <w:pPr>
              <w:spacing w:after="240" w:line="240" w:lineRule="auto"/>
              <w:jc w:val="center"/>
              <w:rPr>
                <w:rFonts w:ascii="Arial" w:eastAsia="Times New Roman" w:hAnsi="Arial" w:cs="Arial"/>
                <w:color w:val="000000"/>
                <w:sz w:val="18"/>
                <w:szCs w:val="18"/>
              </w:rPr>
            </w:pPr>
            <w:r w:rsidRPr="00C629BE">
              <w:rPr>
                <w:rFonts w:ascii="Arial" w:eastAsia="Times New Roman" w:hAnsi="Arial" w:cs="Arial"/>
                <w:color w:val="000000"/>
                <w:sz w:val="18"/>
                <w:szCs w:val="18"/>
              </w:rPr>
              <w:t>3</w:t>
            </w:r>
          </w:p>
          <w:p w14:paraId="46819E29" w14:textId="77777777" w:rsidR="007F4C34" w:rsidRPr="00C629BE" w:rsidRDefault="007F4C34" w:rsidP="00167C47">
            <w:pPr>
              <w:spacing w:after="240" w:line="240" w:lineRule="auto"/>
              <w:jc w:val="center"/>
              <w:rPr>
                <w:rFonts w:ascii="Arial" w:eastAsia="Times New Roman" w:hAnsi="Arial" w:cs="Arial"/>
                <w:color w:val="000000"/>
                <w:sz w:val="18"/>
                <w:szCs w:val="18"/>
              </w:rPr>
            </w:pPr>
          </w:p>
        </w:tc>
        <w:tc>
          <w:tcPr>
            <w:tcW w:w="1390" w:type="dxa"/>
            <w:tcBorders>
              <w:top w:val="nil"/>
              <w:left w:val="nil"/>
              <w:bottom w:val="single" w:sz="4" w:space="0" w:color="auto"/>
              <w:right w:val="single" w:sz="4" w:space="0" w:color="auto"/>
            </w:tcBorders>
            <w:shd w:val="clear" w:color="auto" w:fill="FFC000"/>
            <w:noWrap/>
            <w:vAlign w:val="bottom"/>
            <w:hideMark/>
          </w:tcPr>
          <w:p w14:paraId="759D6362" w14:textId="77777777" w:rsidR="007F4C34" w:rsidRPr="00C629BE" w:rsidRDefault="007F4C34" w:rsidP="00167C47">
            <w:pPr>
              <w:spacing w:after="240" w:line="240" w:lineRule="auto"/>
              <w:jc w:val="center"/>
              <w:rPr>
                <w:rFonts w:ascii="Arial" w:eastAsia="Times New Roman" w:hAnsi="Arial" w:cs="Arial"/>
                <w:color w:val="000000"/>
                <w:sz w:val="18"/>
                <w:szCs w:val="18"/>
              </w:rPr>
            </w:pPr>
            <w:r w:rsidRPr="00C629BE">
              <w:rPr>
                <w:rFonts w:ascii="Arial" w:eastAsia="Times New Roman" w:hAnsi="Arial" w:cs="Arial"/>
                <w:color w:val="000000"/>
                <w:sz w:val="18"/>
                <w:szCs w:val="18"/>
              </w:rPr>
              <w:t>6</w:t>
            </w:r>
          </w:p>
          <w:p w14:paraId="31FA944C" w14:textId="77777777" w:rsidR="007F4C34" w:rsidRPr="00C629BE" w:rsidRDefault="007F4C34" w:rsidP="00167C47">
            <w:pPr>
              <w:spacing w:after="240" w:line="240" w:lineRule="auto"/>
              <w:jc w:val="center"/>
              <w:rPr>
                <w:rFonts w:ascii="Arial" w:eastAsia="Times New Roman" w:hAnsi="Arial" w:cs="Arial"/>
                <w:color w:val="000000"/>
                <w:sz w:val="18"/>
                <w:szCs w:val="18"/>
              </w:rPr>
            </w:pPr>
          </w:p>
        </w:tc>
      </w:tr>
      <w:tr w:rsidR="007F4C34" w:rsidRPr="00DD37EC" w14:paraId="173E3257" w14:textId="77777777" w:rsidTr="00167C47">
        <w:trPr>
          <w:trHeight w:hRule="exact" w:val="703"/>
        </w:trPr>
        <w:tc>
          <w:tcPr>
            <w:tcW w:w="3355" w:type="dxa"/>
            <w:tcBorders>
              <w:top w:val="nil"/>
              <w:left w:val="single" w:sz="4" w:space="0" w:color="auto"/>
              <w:bottom w:val="single" w:sz="4" w:space="0" w:color="auto"/>
              <w:right w:val="single" w:sz="4" w:space="0" w:color="auto"/>
            </w:tcBorders>
            <w:shd w:val="clear" w:color="auto" w:fill="auto"/>
            <w:vAlign w:val="bottom"/>
            <w:hideMark/>
          </w:tcPr>
          <w:p w14:paraId="34896FA0" w14:textId="77777777" w:rsidR="007F4C34" w:rsidRPr="00C629BE" w:rsidRDefault="007F4C34" w:rsidP="00167C47">
            <w:pPr>
              <w:spacing w:after="240" w:line="240" w:lineRule="auto"/>
              <w:rPr>
                <w:rFonts w:ascii="Arial" w:eastAsia="Times New Roman" w:hAnsi="Arial" w:cs="Arial"/>
                <w:color w:val="000000"/>
                <w:sz w:val="18"/>
                <w:szCs w:val="18"/>
                <w:lang w:val="es-MX"/>
              </w:rPr>
            </w:pPr>
            <w:r w:rsidRPr="00C629BE">
              <w:rPr>
                <w:rFonts w:ascii="Arial" w:eastAsia="Times New Roman" w:hAnsi="Arial" w:cs="Arial"/>
                <w:color w:val="000000"/>
                <w:sz w:val="18"/>
                <w:szCs w:val="18"/>
                <w:lang w:val="es-MX"/>
              </w:rPr>
              <w:t>Persistencia de estigma, discriminación y violencia hacia poblaciones trans y TS.</w:t>
            </w:r>
          </w:p>
        </w:tc>
        <w:tc>
          <w:tcPr>
            <w:tcW w:w="1669" w:type="dxa"/>
            <w:tcBorders>
              <w:top w:val="nil"/>
              <w:left w:val="nil"/>
              <w:bottom w:val="single" w:sz="4" w:space="0" w:color="auto"/>
              <w:right w:val="single" w:sz="4" w:space="0" w:color="auto"/>
            </w:tcBorders>
            <w:shd w:val="clear" w:color="auto" w:fill="FFC000"/>
            <w:noWrap/>
            <w:vAlign w:val="bottom"/>
            <w:hideMark/>
          </w:tcPr>
          <w:p w14:paraId="178C0BB1" w14:textId="77777777" w:rsidR="007F4C34" w:rsidRPr="00C629BE" w:rsidRDefault="007F4C34" w:rsidP="00167C47">
            <w:pPr>
              <w:spacing w:after="240" w:line="240" w:lineRule="auto"/>
              <w:jc w:val="center"/>
              <w:rPr>
                <w:rFonts w:ascii="Arial" w:eastAsia="Times New Roman" w:hAnsi="Arial" w:cs="Arial"/>
                <w:color w:val="000000"/>
                <w:sz w:val="18"/>
                <w:szCs w:val="18"/>
              </w:rPr>
            </w:pPr>
            <w:r w:rsidRPr="00C629BE">
              <w:rPr>
                <w:rFonts w:ascii="Arial" w:eastAsia="Times New Roman" w:hAnsi="Arial" w:cs="Arial"/>
                <w:color w:val="000000"/>
                <w:sz w:val="18"/>
                <w:szCs w:val="18"/>
              </w:rPr>
              <w:t>2.53</w:t>
            </w:r>
          </w:p>
          <w:p w14:paraId="72A95279" w14:textId="77777777" w:rsidR="007F4C34" w:rsidRPr="00C629BE" w:rsidRDefault="007F4C34" w:rsidP="00167C47">
            <w:pPr>
              <w:spacing w:after="240" w:line="240" w:lineRule="auto"/>
              <w:jc w:val="center"/>
              <w:rPr>
                <w:rFonts w:ascii="Arial" w:eastAsia="Times New Roman" w:hAnsi="Arial" w:cs="Arial"/>
                <w:color w:val="000000"/>
                <w:sz w:val="18"/>
                <w:szCs w:val="18"/>
              </w:rPr>
            </w:pPr>
          </w:p>
        </w:tc>
        <w:tc>
          <w:tcPr>
            <w:tcW w:w="1523" w:type="dxa"/>
            <w:tcBorders>
              <w:top w:val="nil"/>
              <w:left w:val="nil"/>
              <w:bottom w:val="single" w:sz="4" w:space="0" w:color="auto"/>
              <w:right w:val="single" w:sz="4" w:space="0" w:color="auto"/>
            </w:tcBorders>
            <w:shd w:val="clear" w:color="auto" w:fill="92D050"/>
            <w:noWrap/>
            <w:vAlign w:val="bottom"/>
            <w:hideMark/>
          </w:tcPr>
          <w:p w14:paraId="64CDEF9B" w14:textId="77777777" w:rsidR="007F4C34" w:rsidRPr="00C629BE" w:rsidRDefault="007F4C34" w:rsidP="00167C47">
            <w:pPr>
              <w:spacing w:after="240" w:line="240" w:lineRule="auto"/>
              <w:jc w:val="center"/>
              <w:rPr>
                <w:rFonts w:ascii="Arial" w:eastAsia="Times New Roman" w:hAnsi="Arial" w:cs="Arial"/>
                <w:color w:val="000000"/>
                <w:sz w:val="18"/>
                <w:szCs w:val="18"/>
              </w:rPr>
            </w:pPr>
            <w:r w:rsidRPr="00C629BE">
              <w:rPr>
                <w:rFonts w:ascii="Arial" w:eastAsia="Times New Roman" w:hAnsi="Arial" w:cs="Arial"/>
                <w:color w:val="000000"/>
                <w:sz w:val="18"/>
                <w:szCs w:val="18"/>
              </w:rPr>
              <w:t>2.41</w:t>
            </w:r>
          </w:p>
          <w:p w14:paraId="4B6DECB1" w14:textId="77777777" w:rsidR="007F4C34" w:rsidRPr="00C629BE" w:rsidRDefault="007F4C34" w:rsidP="00167C47">
            <w:pPr>
              <w:spacing w:after="240" w:line="240" w:lineRule="auto"/>
              <w:jc w:val="center"/>
              <w:rPr>
                <w:rFonts w:ascii="Arial" w:eastAsia="Times New Roman" w:hAnsi="Arial" w:cs="Arial"/>
                <w:color w:val="000000"/>
                <w:sz w:val="18"/>
                <w:szCs w:val="18"/>
              </w:rPr>
            </w:pPr>
          </w:p>
        </w:tc>
        <w:tc>
          <w:tcPr>
            <w:tcW w:w="1413" w:type="dxa"/>
            <w:tcBorders>
              <w:top w:val="nil"/>
              <w:left w:val="nil"/>
              <w:bottom w:val="single" w:sz="4" w:space="0" w:color="auto"/>
              <w:right w:val="single" w:sz="4" w:space="0" w:color="auto"/>
            </w:tcBorders>
            <w:shd w:val="clear" w:color="000000" w:fill="FF0000"/>
            <w:noWrap/>
            <w:vAlign w:val="bottom"/>
            <w:hideMark/>
          </w:tcPr>
          <w:p w14:paraId="531E24E8" w14:textId="77777777" w:rsidR="007F4C34" w:rsidRPr="00C629BE" w:rsidRDefault="007F4C34" w:rsidP="00167C47">
            <w:pPr>
              <w:spacing w:after="240" w:line="240" w:lineRule="auto"/>
              <w:jc w:val="center"/>
              <w:rPr>
                <w:rFonts w:ascii="Arial" w:eastAsia="Times New Roman" w:hAnsi="Arial" w:cs="Arial"/>
                <w:color w:val="000000"/>
                <w:sz w:val="18"/>
                <w:szCs w:val="18"/>
              </w:rPr>
            </w:pPr>
            <w:r w:rsidRPr="00C629BE">
              <w:rPr>
                <w:rFonts w:ascii="Arial" w:eastAsia="Times New Roman" w:hAnsi="Arial" w:cs="Arial"/>
                <w:color w:val="000000"/>
                <w:sz w:val="18"/>
                <w:szCs w:val="18"/>
              </w:rPr>
              <w:t>1</w:t>
            </w:r>
          </w:p>
          <w:p w14:paraId="467AB39E" w14:textId="77777777" w:rsidR="007F4C34" w:rsidRPr="00C629BE" w:rsidRDefault="007F4C34" w:rsidP="00167C47">
            <w:pPr>
              <w:spacing w:after="240" w:line="240" w:lineRule="auto"/>
              <w:jc w:val="center"/>
              <w:rPr>
                <w:rFonts w:ascii="Arial" w:eastAsia="Times New Roman" w:hAnsi="Arial" w:cs="Arial"/>
                <w:color w:val="000000"/>
                <w:sz w:val="18"/>
                <w:szCs w:val="18"/>
              </w:rPr>
            </w:pPr>
          </w:p>
        </w:tc>
        <w:tc>
          <w:tcPr>
            <w:tcW w:w="1390" w:type="dxa"/>
            <w:tcBorders>
              <w:top w:val="nil"/>
              <w:left w:val="nil"/>
              <w:bottom w:val="single" w:sz="4" w:space="0" w:color="auto"/>
              <w:right w:val="single" w:sz="4" w:space="0" w:color="auto"/>
            </w:tcBorders>
            <w:shd w:val="clear" w:color="auto" w:fill="FFC000"/>
            <w:noWrap/>
            <w:vAlign w:val="bottom"/>
            <w:hideMark/>
          </w:tcPr>
          <w:p w14:paraId="6C499E58" w14:textId="77777777" w:rsidR="007F4C34" w:rsidRPr="00C629BE" w:rsidRDefault="007F4C34" w:rsidP="00167C47">
            <w:pPr>
              <w:spacing w:after="240" w:line="240" w:lineRule="auto"/>
              <w:jc w:val="center"/>
              <w:rPr>
                <w:rFonts w:ascii="Arial" w:eastAsia="Times New Roman" w:hAnsi="Arial" w:cs="Arial"/>
                <w:color w:val="000000"/>
                <w:sz w:val="18"/>
                <w:szCs w:val="18"/>
              </w:rPr>
            </w:pPr>
            <w:r w:rsidRPr="00C629BE">
              <w:rPr>
                <w:rFonts w:ascii="Arial" w:eastAsia="Times New Roman" w:hAnsi="Arial" w:cs="Arial"/>
                <w:color w:val="000000"/>
                <w:sz w:val="18"/>
                <w:szCs w:val="18"/>
              </w:rPr>
              <w:t>9</w:t>
            </w:r>
          </w:p>
          <w:p w14:paraId="5F4C9006" w14:textId="77777777" w:rsidR="007F4C34" w:rsidRPr="00C629BE" w:rsidRDefault="007F4C34" w:rsidP="00167C47">
            <w:pPr>
              <w:spacing w:after="240" w:line="240" w:lineRule="auto"/>
              <w:jc w:val="center"/>
              <w:rPr>
                <w:rFonts w:ascii="Arial" w:eastAsia="Times New Roman" w:hAnsi="Arial" w:cs="Arial"/>
                <w:color w:val="000000"/>
                <w:sz w:val="18"/>
                <w:szCs w:val="18"/>
              </w:rPr>
            </w:pPr>
          </w:p>
        </w:tc>
      </w:tr>
      <w:tr w:rsidR="007F4C34" w:rsidRPr="00DD37EC" w14:paraId="5F9F6F79" w14:textId="77777777" w:rsidTr="00167C47">
        <w:trPr>
          <w:trHeight w:hRule="exact" w:val="432"/>
        </w:trPr>
        <w:tc>
          <w:tcPr>
            <w:tcW w:w="3355" w:type="dxa"/>
            <w:tcBorders>
              <w:top w:val="nil"/>
              <w:left w:val="single" w:sz="4" w:space="0" w:color="auto"/>
              <w:bottom w:val="single" w:sz="4" w:space="0" w:color="auto"/>
              <w:right w:val="single" w:sz="4" w:space="0" w:color="auto"/>
            </w:tcBorders>
            <w:shd w:val="clear" w:color="auto" w:fill="auto"/>
            <w:vAlign w:val="bottom"/>
            <w:hideMark/>
          </w:tcPr>
          <w:p w14:paraId="481DE642" w14:textId="77777777" w:rsidR="007F4C34" w:rsidRPr="00C629BE" w:rsidRDefault="007F4C34" w:rsidP="00167C47">
            <w:pPr>
              <w:spacing w:after="240" w:line="240" w:lineRule="auto"/>
              <w:rPr>
                <w:rFonts w:ascii="Arial" w:eastAsia="Times New Roman" w:hAnsi="Arial" w:cs="Arial"/>
                <w:color w:val="000000"/>
                <w:sz w:val="18"/>
                <w:szCs w:val="18"/>
                <w:lang w:val="es-MX"/>
              </w:rPr>
            </w:pPr>
            <w:r w:rsidRPr="00C629BE">
              <w:rPr>
                <w:rFonts w:ascii="Arial" w:eastAsia="Times New Roman" w:hAnsi="Arial" w:cs="Arial"/>
                <w:color w:val="000000"/>
                <w:sz w:val="18"/>
                <w:szCs w:val="18"/>
                <w:lang w:val="es-MX"/>
              </w:rPr>
              <w:t>Limitado apoyo a protección legal de DDHH en poblaciones clave.</w:t>
            </w:r>
          </w:p>
        </w:tc>
        <w:tc>
          <w:tcPr>
            <w:tcW w:w="1669" w:type="dxa"/>
            <w:tcBorders>
              <w:top w:val="nil"/>
              <w:left w:val="nil"/>
              <w:bottom w:val="single" w:sz="4" w:space="0" w:color="auto"/>
              <w:right w:val="single" w:sz="4" w:space="0" w:color="auto"/>
            </w:tcBorders>
            <w:shd w:val="clear" w:color="auto" w:fill="FFFF00"/>
            <w:noWrap/>
            <w:vAlign w:val="bottom"/>
            <w:hideMark/>
          </w:tcPr>
          <w:p w14:paraId="3E1743B9" w14:textId="77777777" w:rsidR="007F4C34" w:rsidRPr="00C629BE" w:rsidRDefault="007F4C34" w:rsidP="00167C47">
            <w:pPr>
              <w:spacing w:after="240" w:line="240" w:lineRule="auto"/>
              <w:jc w:val="center"/>
              <w:rPr>
                <w:rFonts w:ascii="Arial" w:eastAsia="Times New Roman" w:hAnsi="Arial" w:cs="Arial"/>
                <w:color w:val="000000"/>
                <w:sz w:val="18"/>
                <w:szCs w:val="18"/>
              </w:rPr>
            </w:pPr>
            <w:r w:rsidRPr="00C629BE">
              <w:rPr>
                <w:rFonts w:ascii="Arial" w:eastAsia="Times New Roman" w:hAnsi="Arial" w:cs="Arial"/>
                <w:color w:val="000000"/>
                <w:sz w:val="18"/>
                <w:szCs w:val="18"/>
              </w:rPr>
              <w:t>2.47</w:t>
            </w:r>
          </w:p>
        </w:tc>
        <w:tc>
          <w:tcPr>
            <w:tcW w:w="1523" w:type="dxa"/>
            <w:tcBorders>
              <w:top w:val="nil"/>
              <w:left w:val="nil"/>
              <w:bottom w:val="single" w:sz="4" w:space="0" w:color="auto"/>
              <w:right w:val="single" w:sz="4" w:space="0" w:color="auto"/>
            </w:tcBorders>
            <w:shd w:val="clear" w:color="auto" w:fill="FFC000"/>
            <w:noWrap/>
            <w:vAlign w:val="bottom"/>
            <w:hideMark/>
          </w:tcPr>
          <w:p w14:paraId="1D8DF091" w14:textId="77777777" w:rsidR="007F4C34" w:rsidRPr="00C629BE" w:rsidRDefault="007F4C34" w:rsidP="00167C47">
            <w:pPr>
              <w:spacing w:after="240" w:line="240" w:lineRule="auto"/>
              <w:jc w:val="center"/>
              <w:rPr>
                <w:rFonts w:ascii="Arial" w:eastAsia="Times New Roman" w:hAnsi="Arial" w:cs="Arial"/>
                <w:color w:val="000000"/>
                <w:sz w:val="18"/>
                <w:szCs w:val="18"/>
              </w:rPr>
            </w:pPr>
            <w:r w:rsidRPr="00C629BE">
              <w:rPr>
                <w:rFonts w:ascii="Arial" w:eastAsia="Times New Roman" w:hAnsi="Arial" w:cs="Arial"/>
                <w:color w:val="000000"/>
                <w:sz w:val="18"/>
                <w:szCs w:val="18"/>
              </w:rPr>
              <w:t>2.71</w:t>
            </w:r>
          </w:p>
        </w:tc>
        <w:tc>
          <w:tcPr>
            <w:tcW w:w="1413" w:type="dxa"/>
            <w:tcBorders>
              <w:top w:val="nil"/>
              <w:left w:val="nil"/>
              <w:bottom w:val="single" w:sz="4" w:space="0" w:color="auto"/>
              <w:right w:val="single" w:sz="4" w:space="0" w:color="auto"/>
            </w:tcBorders>
            <w:shd w:val="clear" w:color="auto" w:fill="92D050"/>
            <w:noWrap/>
            <w:vAlign w:val="bottom"/>
            <w:hideMark/>
          </w:tcPr>
          <w:p w14:paraId="6952B4C7" w14:textId="77777777" w:rsidR="007F4C34" w:rsidRPr="00C629BE" w:rsidRDefault="007F4C34" w:rsidP="00167C47">
            <w:pPr>
              <w:spacing w:after="240" w:line="240" w:lineRule="auto"/>
              <w:jc w:val="center"/>
              <w:rPr>
                <w:rFonts w:ascii="Arial" w:eastAsia="Times New Roman" w:hAnsi="Arial" w:cs="Arial"/>
                <w:color w:val="000000"/>
                <w:sz w:val="18"/>
                <w:szCs w:val="18"/>
              </w:rPr>
            </w:pPr>
            <w:r w:rsidRPr="00C629BE">
              <w:rPr>
                <w:rFonts w:ascii="Arial" w:eastAsia="Times New Roman" w:hAnsi="Arial" w:cs="Arial"/>
                <w:color w:val="000000"/>
                <w:sz w:val="18"/>
                <w:szCs w:val="18"/>
              </w:rPr>
              <w:t>4</w:t>
            </w:r>
          </w:p>
        </w:tc>
        <w:tc>
          <w:tcPr>
            <w:tcW w:w="1390" w:type="dxa"/>
            <w:tcBorders>
              <w:top w:val="nil"/>
              <w:left w:val="nil"/>
              <w:bottom w:val="single" w:sz="4" w:space="0" w:color="auto"/>
              <w:right w:val="single" w:sz="4" w:space="0" w:color="auto"/>
            </w:tcBorders>
            <w:shd w:val="clear" w:color="auto" w:fill="FFC000"/>
            <w:noWrap/>
            <w:vAlign w:val="bottom"/>
            <w:hideMark/>
          </w:tcPr>
          <w:p w14:paraId="24EE28C9" w14:textId="77777777" w:rsidR="007F4C34" w:rsidRPr="00C629BE" w:rsidRDefault="007F4C34" w:rsidP="00167C47">
            <w:pPr>
              <w:spacing w:after="240" w:line="240" w:lineRule="auto"/>
              <w:jc w:val="center"/>
              <w:rPr>
                <w:rFonts w:ascii="Arial" w:eastAsia="Times New Roman" w:hAnsi="Arial" w:cs="Arial"/>
                <w:color w:val="000000"/>
                <w:sz w:val="18"/>
                <w:szCs w:val="18"/>
              </w:rPr>
            </w:pPr>
            <w:r w:rsidRPr="00C629BE">
              <w:rPr>
                <w:rFonts w:ascii="Arial" w:eastAsia="Times New Roman" w:hAnsi="Arial" w:cs="Arial"/>
                <w:color w:val="000000"/>
                <w:sz w:val="18"/>
                <w:szCs w:val="18"/>
              </w:rPr>
              <w:t>6</w:t>
            </w:r>
          </w:p>
        </w:tc>
      </w:tr>
      <w:tr w:rsidR="007F4C34" w:rsidRPr="00DD37EC" w14:paraId="11083655" w14:textId="77777777" w:rsidTr="00167C47">
        <w:trPr>
          <w:trHeight w:hRule="exact" w:val="547"/>
        </w:trPr>
        <w:tc>
          <w:tcPr>
            <w:tcW w:w="3355" w:type="dxa"/>
            <w:tcBorders>
              <w:top w:val="nil"/>
              <w:left w:val="single" w:sz="4" w:space="0" w:color="auto"/>
              <w:bottom w:val="single" w:sz="4" w:space="0" w:color="auto"/>
              <w:right w:val="single" w:sz="4" w:space="0" w:color="auto"/>
            </w:tcBorders>
            <w:shd w:val="clear" w:color="auto" w:fill="auto"/>
            <w:vAlign w:val="bottom"/>
            <w:hideMark/>
          </w:tcPr>
          <w:p w14:paraId="0284679A" w14:textId="77777777" w:rsidR="007F4C34" w:rsidRPr="00C629BE" w:rsidRDefault="007F4C34" w:rsidP="00167C47">
            <w:pPr>
              <w:spacing w:after="240" w:line="240" w:lineRule="auto"/>
              <w:rPr>
                <w:rFonts w:ascii="Arial" w:eastAsia="Times New Roman" w:hAnsi="Arial" w:cs="Arial"/>
                <w:color w:val="000000"/>
                <w:sz w:val="18"/>
                <w:szCs w:val="18"/>
                <w:lang w:val="es-MX"/>
              </w:rPr>
            </w:pPr>
            <w:r w:rsidRPr="00C629BE">
              <w:rPr>
                <w:rFonts w:ascii="Arial" w:eastAsia="Times New Roman" w:hAnsi="Arial" w:cs="Arial"/>
                <w:color w:val="000000"/>
                <w:sz w:val="18"/>
                <w:szCs w:val="18"/>
                <w:lang w:val="es-MX"/>
              </w:rPr>
              <w:t>Dificultades en acceso habitacional y a educación para personas con VIH.</w:t>
            </w:r>
          </w:p>
        </w:tc>
        <w:tc>
          <w:tcPr>
            <w:tcW w:w="1669" w:type="dxa"/>
            <w:tcBorders>
              <w:top w:val="nil"/>
              <w:left w:val="nil"/>
              <w:bottom w:val="single" w:sz="4" w:space="0" w:color="auto"/>
              <w:right w:val="single" w:sz="4" w:space="0" w:color="auto"/>
            </w:tcBorders>
            <w:shd w:val="clear" w:color="auto" w:fill="FFFF00"/>
            <w:noWrap/>
            <w:vAlign w:val="bottom"/>
            <w:hideMark/>
          </w:tcPr>
          <w:p w14:paraId="2C872EFA" w14:textId="77777777" w:rsidR="007F4C34" w:rsidRPr="00C629BE" w:rsidRDefault="007F4C34" w:rsidP="00167C47">
            <w:pPr>
              <w:spacing w:after="240" w:line="240" w:lineRule="auto"/>
              <w:jc w:val="center"/>
              <w:rPr>
                <w:rFonts w:ascii="Arial" w:eastAsia="Times New Roman" w:hAnsi="Arial" w:cs="Arial"/>
                <w:color w:val="000000"/>
                <w:sz w:val="18"/>
                <w:szCs w:val="18"/>
              </w:rPr>
            </w:pPr>
            <w:r w:rsidRPr="00C629BE">
              <w:rPr>
                <w:rFonts w:ascii="Arial" w:eastAsia="Times New Roman" w:hAnsi="Arial" w:cs="Arial"/>
                <w:color w:val="000000"/>
                <w:sz w:val="18"/>
                <w:szCs w:val="18"/>
              </w:rPr>
              <w:t>2.35</w:t>
            </w:r>
          </w:p>
        </w:tc>
        <w:tc>
          <w:tcPr>
            <w:tcW w:w="1523" w:type="dxa"/>
            <w:tcBorders>
              <w:top w:val="nil"/>
              <w:left w:val="nil"/>
              <w:bottom w:val="single" w:sz="4" w:space="0" w:color="auto"/>
              <w:right w:val="single" w:sz="4" w:space="0" w:color="auto"/>
            </w:tcBorders>
            <w:shd w:val="clear" w:color="auto" w:fill="92D050"/>
            <w:noWrap/>
            <w:vAlign w:val="bottom"/>
            <w:hideMark/>
          </w:tcPr>
          <w:p w14:paraId="5921F0DB" w14:textId="77777777" w:rsidR="007F4C34" w:rsidRPr="00C629BE" w:rsidRDefault="007F4C34" w:rsidP="00167C47">
            <w:pPr>
              <w:spacing w:after="240" w:line="240" w:lineRule="auto"/>
              <w:jc w:val="center"/>
              <w:rPr>
                <w:rFonts w:ascii="Arial" w:eastAsia="Times New Roman" w:hAnsi="Arial" w:cs="Arial"/>
                <w:color w:val="000000"/>
                <w:sz w:val="18"/>
                <w:szCs w:val="18"/>
              </w:rPr>
            </w:pPr>
            <w:r w:rsidRPr="00C629BE">
              <w:rPr>
                <w:rFonts w:ascii="Arial" w:eastAsia="Times New Roman" w:hAnsi="Arial" w:cs="Arial"/>
                <w:color w:val="000000"/>
                <w:sz w:val="18"/>
                <w:szCs w:val="18"/>
              </w:rPr>
              <w:t>2.47</w:t>
            </w:r>
          </w:p>
        </w:tc>
        <w:tc>
          <w:tcPr>
            <w:tcW w:w="1413" w:type="dxa"/>
            <w:tcBorders>
              <w:top w:val="nil"/>
              <w:left w:val="nil"/>
              <w:bottom w:val="single" w:sz="4" w:space="0" w:color="auto"/>
              <w:right w:val="single" w:sz="4" w:space="0" w:color="auto"/>
            </w:tcBorders>
            <w:shd w:val="clear" w:color="auto" w:fill="92D050"/>
            <w:noWrap/>
            <w:vAlign w:val="bottom"/>
            <w:hideMark/>
          </w:tcPr>
          <w:p w14:paraId="0621EFB5" w14:textId="77777777" w:rsidR="007F4C34" w:rsidRPr="00C629BE" w:rsidRDefault="007F4C34" w:rsidP="00167C47">
            <w:pPr>
              <w:spacing w:after="240" w:line="240" w:lineRule="auto"/>
              <w:jc w:val="center"/>
              <w:rPr>
                <w:rFonts w:ascii="Arial" w:eastAsia="Times New Roman" w:hAnsi="Arial" w:cs="Arial"/>
                <w:color w:val="000000"/>
                <w:sz w:val="18"/>
                <w:szCs w:val="18"/>
              </w:rPr>
            </w:pPr>
            <w:r w:rsidRPr="00C629BE">
              <w:rPr>
                <w:rFonts w:ascii="Arial" w:eastAsia="Times New Roman" w:hAnsi="Arial" w:cs="Arial"/>
                <w:color w:val="000000"/>
                <w:sz w:val="18"/>
                <w:szCs w:val="18"/>
              </w:rPr>
              <w:t>5</w:t>
            </w:r>
          </w:p>
        </w:tc>
        <w:tc>
          <w:tcPr>
            <w:tcW w:w="1390" w:type="dxa"/>
            <w:tcBorders>
              <w:top w:val="nil"/>
              <w:left w:val="nil"/>
              <w:bottom w:val="single" w:sz="4" w:space="0" w:color="auto"/>
              <w:right w:val="single" w:sz="4" w:space="0" w:color="auto"/>
            </w:tcBorders>
            <w:shd w:val="clear" w:color="auto" w:fill="FFFF00"/>
            <w:noWrap/>
            <w:vAlign w:val="bottom"/>
            <w:hideMark/>
          </w:tcPr>
          <w:p w14:paraId="5EF5A6AD" w14:textId="77777777" w:rsidR="007F4C34" w:rsidRPr="00C629BE" w:rsidRDefault="007F4C34" w:rsidP="00167C47">
            <w:pPr>
              <w:spacing w:after="240" w:line="240" w:lineRule="auto"/>
              <w:jc w:val="center"/>
              <w:rPr>
                <w:rFonts w:ascii="Arial" w:eastAsia="Times New Roman" w:hAnsi="Arial" w:cs="Arial"/>
                <w:color w:val="000000"/>
                <w:sz w:val="18"/>
                <w:szCs w:val="18"/>
              </w:rPr>
            </w:pPr>
            <w:r w:rsidRPr="00C629BE">
              <w:rPr>
                <w:rFonts w:ascii="Arial" w:eastAsia="Times New Roman" w:hAnsi="Arial" w:cs="Arial"/>
                <w:color w:val="000000"/>
                <w:sz w:val="18"/>
                <w:szCs w:val="18"/>
              </w:rPr>
              <w:t>11</w:t>
            </w:r>
          </w:p>
        </w:tc>
      </w:tr>
      <w:tr w:rsidR="007F4C34" w:rsidRPr="00DD37EC" w14:paraId="754273F7" w14:textId="77777777" w:rsidTr="00167C47">
        <w:trPr>
          <w:trHeight w:hRule="exact" w:val="190"/>
        </w:trPr>
        <w:tc>
          <w:tcPr>
            <w:tcW w:w="9350" w:type="dxa"/>
            <w:gridSpan w:val="5"/>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03191B8C" w14:textId="77777777" w:rsidR="007F4C34" w:rsidRPr="00C629BE" w:rsidRDefault="007F4C34" w:rsidP="00167C47">
            <w:pPr>
              <w:spacing w:after="240" w:line="240" w:lineRule="auto"/>
              <w:rPr>
                <w:rFonts w:ascii="Arial" w:eastAsia="Times New Roman" w:hAnsi="Arial" w:cs="Arial"/>
                <w:b/>
                <w:bCs/>
                <w:color w:val="000000"/>
                <w:sz w:val="18"/>
                <w:szCs w:val="18"/>
              </w:rPr>
            </w:pPr>
            <w:r w:rsidRPr="00C629BE">
              <w:rPr>
                <w:rFonts w:ascii="Arial" w:eastAsia="Times New Roman" w:hAnsi="Arial" w:cs="Arial"/>
                <w:b/>
                <w:bCs/>
                <w:color w:val="000000"/>
                <w:sz w:val="18"/>
                <w:szCs w:val="18"/>
              </w:rPr>
              <w:t>Sociedad civil</w:t>
            </w:r>
          </w:p>
        </w:tc>
      </w:tr>
      <w:tr w:rsidR="007F4C34" w:rsidRPr="00DD37EC" w14:paraId="768031AF" w14:textId="77777777" w:rsidTr="00167C47">
        <w:trPr>
          <w:trHeight w:hRule="exact" w:val="1891"/>
        </w:trPr>
        <w:tc>
          <w:tcPr>
            <w:tcW w:w="3355" w:type="dxa"/>
            <w:tcBorders>
              <w:top w:val="nil"/>
              <w:left w:val="single" w:sz="4" w:space="0" w:color="auto"/>
              <w:bottom w:val="single" w:sz="4" w:space="0" w:color="auto"/>
              <w:right w:val="single" w:sz="4" w:space="0" w:color="auto"/>
            </w:tcBorders>
            <w:shd w:val="clear" w:color="auto" w:fill="auto"/>
            <w:vAlign w:val="bottom"/>
            <w:hideMark/>
          </w:tcPr>
          <w:p w14:paraId="1167CE16" w14:textId="77777777" w:rsidR="007F4C34" w:rsidRPr="00C629BE" w:rsidRDefault="007F4C34" w:rsidP="00167C47">
            <w:pPr>
              <w:spacing w:after="240" w:line="240" w:lineRule="auto"/>
              <w:rPr>
                <w:rFonts w:ascii="Arial" w:eastAsia="Times New Roman" w:hAnsi="Arial" w:cs="Arial"/>
                <w:color w:val="000000"/>
                <w:sz w:val="18"/>
                <w:szCs w:val="18"/>
                <w:lang w:val="es-MX"/>
              </w:rPr>
            </w:pPr>
            <w:r w:rsidRPr="00C629BE">
              <w:rPr>
                <w:rFonts w:ascii="Arial" w:eastAsia="Times New Roman" w:hAnsi="Arial" w:cs="Arial"/>
                <w:color w:val="000000"/>
                <w:sz w:val="18"/>
                <w:szCs w:val="18"/>
                <w:lang w:val="es-MX"/>
              </w:rPr>
              <w:t>Sostenibilidad financiera</w:t>
            </w:r>
            <w:r w:rsidRPr="00C629BE">
              <w:rPr>
                <w:rFonts w:ascii="Arial" w:eastAsia="Times New Roman" w:hAnsi="Arial" w:cs="Arial"/>
                <w:color w:val="000000"/>
                <w:sz w:val="18"/>
                <w:szCs w:val="18"/>
                <w:lang w:val="es-MX"/>
              </w:rPr>
              <w:br/>
              <w:t>• Ausencia política formal de financiamiento público de OSC de VIH (IHSS, SESAL, etc.)</w:t>
            </w:r>
            <w:r>
              <w:rPr>
                <w:rFonts w:ascii="Arial" w:eastAsia="Times New Roman" w:hAnsi="Arial" w:cs="Arial"/>
                <w:color w:val="000000"/>
                <w:sz w:val="18"/>
                <w:szCs w:val="18"/>
                <w:lang w:val="es-MX"/>
              </w:rPr>
              <w:t>.</w:t>
            </w:r>
            <w:r w:rsidRPr="00C629BE">
              <w:rPr>
                <w:rFonts w:ascii="Arial" w:eastAsia="Times New Roman" w:hAnsi="Arial" w:cs="Arial"/>
                <w:color w:val="000000"/>
                <w:sz w:val="18"/>
                <w:szCs w:val="18"/>
                <w:lang w:val="es-MX"/>
              </w:rPr>
              <w:br/>
              <w:t>• Ausencia de política de financiamiento privado de las OSC.</w:t>
            </w:r>
            <w:r w:rsidRPr="00C629BE">
              <w:rPr>
                <w:rFonts w:ascii="Arial" w:eastAsia="Times New Roman" w:hAnsi="Arial" w:cs="Arial"/>
                <w:color w:val="000000"/>
                <w:sz w:val="18"/>
                <w:szCs w:val="18"/>
                <w:lang w:val="es-MX"/>
              </w:rPr>
              <w:br/>
              <w:t>• Necesidad de legislación que exonere de impuesto OSC y Fundaciones.</w:t>
            </w:r>
          </w:p>
        </w:tc>
        <w:tc>
          <w:tcPr>
            <w:tcW w:w="1669" w:type="dxa"/>
            <w:tcBorders>
              <w:top w:val="nil"/>
              <w:left w:val="nil"/>
              <w:bottom w:val="single" w:sz="4" w:space="0" w:color="auto"/>
              <w:right w:val="single" w:sz="4" w:space="0" w:color="auto"/>
            </w:tcBorders>
            <w:shd w:val="clear" w:color="auto" w:fill="FFC000"/>
            <w:noWrap/>
            <w:vAlign w:val="bottom"/>
            <w:hideMark/>
          </w:tcPr>
          <w:p w14:paraId="5659D611" w14:textId="77777777" w:rsidR="007F4C34" w:rsidRPr="00C629BE" w:rsidRDefault="007F4C34" w:rsidP="00167C47">
            <w:pPr>
              <w:spacing w:after="240" w:line="240" w:lineRule="auto"/>
              <w:jc w:val="center"/>
              <w:rPr>
                <w:rFonts w:ascii="Arial" w:eastAsia="Times New Roman" w:hAnsi="Arial" w:cs="Arial"/>
                <w:color w:val="000000"/>
                <w:sz w:val="18"/>
                <w:szCs w:val="18"/>
              </w:rPr>
            </w:pPr>
            <w:r w:rsidRPr="00C629BE">
              <w:rPr>
                <w:rFonts w:ascii="Arial" w:eastAsia="Times New Roman" w:hAnsi="Arial" w:cs="Arial"/>
                <w:color w:val="000000"/>
                <w:sz w:val="18"/>
                <w:szCs w:val="18"/>
              </w:rPr>
              <w:t>2.65</w:t>
            </w:r>
          </w:p>
          <w:p w14:paraId="4F762D3B" w14:textId="77777777" w:rsidR="007F4C34" w:rsidRPr="00C629BE" w:rsidRDefault="007F4C34" w:rsidP="00167C47">
            <w:pPr>
              <w:spacing w:after="240" w:line="240" w:lineRule="auto"/>
              <w:jc w:val="center"/>
              <w:rPr>
                <w:rFonts w:ascii="Arial" w:eastAsia="Times New Roman" w:hAnsi="Arial" w:cs="Arial"/>
                <w:color w:val="000000"/>
                <w:sz w:val="18"/>
                <w:szCs w:val="18"/>
              </w:rPr>
            </w:pPr>
          </w:p>
          <w:p w14:paraId="03B20F39" w14:textId="77777777" w:rsidR="007F4C34" w:rsidRPr="00C629BE" w:rsidRDefault="007F4C34" w:rsidP="00167C47">
            <w:pPr>
              <w:spacing w:after="240" w:line="240" w:lineRule="auto"/>
              <w:jc w:val="center"/>
              <w:rPr>
                <w:rFonts w:ascii="Arial" w:eastAsia="Times New Roman" w:hAnsi="Arial" w:cs="Arial"/>
                <w:color w:val="000000"/>
                <w:sz w:val="18"/>
                <w:szCs w:val="18"/>
              </w:rPr>
            </w:pPr>
          </w:p>
          <w:p w14:paraId="60FEA890" w14:textId="77777777" w:rsidR="007F4C34" w:rsidRPr="00C629BE" w:rsidRDefault="007F4C34" w:rsidP="00167C47">
            <w:pPr>
              <w:spacing w:after="240" w:line="240" w:lineRule="auto"/>
              <w:jc w:val="center"/>
              <w:rPr>
                <w:rFonts w:ascii="Arial" w:eastAsia="Times New Roman" w:hAnsi="Arial" w:cs="Arial"/>
                <w:color w:val="000000"/>
                <w:sz w:val="18"/>
                <w:szCs w:val="18"/>
              </w:rPr>
            </w:pPr>
          </w:p>
        </w:tc>
        <w:tc>
          <w:tcPr>
            <w:tcW w:w="1523" w:type="dxa"/>
            <w:tcBorders>
              <w:top w:val="nil"/>
              <w:left w:val="nil"/>
              <w:bottom w:val="single" w:sz="4" w:space="0" w:color="auto"/>
              <w:right w:val="single" w:sz="4" w:space="0" w:color="auto"/>
            </w:tcBorders>
            <w:shd w:val="clear" w:color="auto" w:fill="FFFF00"/>
            <w:noWrap/>
            <w:vAlign w:val="bottom"/>
            <w:hideMark/>
          </w:tcPr>
          <w:p w14:paraId="2495989F" w14:textId="77777777" w:rsidR="007F4C34" w:rsidRPr="00C629BE" w:rsidRDefault="007F4C34" w:rsidP="00167C47">
            <w:pPr>
              <w:spacing w:after="240" w:line="240" w:lineRule="auto"/>
              <w:jc w:val="center"/>
              <w:rPr>
                <w:rFonts w:ascii="Arial" w:eastAsia="Times New Roman" w:hAnsi="Arial" w:cs="Arial"/>
                <w:color w:val="000000"/>
                <w:sz w:val="18"/>
                <w:szCs w:val="18"/>
              </w:rPr>
            </w:pPr>
            <w:r w:rsidRPr="00C629BE">
              <w:rPr>
                <w:rFonts w:ascii="Arial" w:eastAsia="Times New Roman" w:hAnsi="Arial" w:cs="Arial"/>
                <w:color w:val="000000"/>
                <w:sz w:val="18"/>
                <w:szCs w:val="18"/>
              </w:rPr>
              <w:t>2.59</w:t>
            </w:r>
          </w:p>
          <w:p w14:paraId="1A0CCC5A" w14:textId="77777777" w:rsidR="007F4C34" w:rsidRPr="00C629BE" w:rsidRDefault="007F4C34" w:rsidP="00167C47">
            <w:pPr>
              <w:spacing w:after="240" w:line="240" w:lineRule="auto"/>
              <w:jc w:val="center"/>
              <w:rPr>
                <w:rFonts w:ascii="Arial" w:eastAsia="Times New Roman" w:hAnsi="Arial" w:cs="Arial"/>
                <w:color w:val="000000"/>
                <w:sz w:val="18"/>
                <w:szCs w:val="18"/>
              </w:rPr>
            </w:pPr>
          </w:p>
          <w:p w14:paraId="78086232" w14:textId="77777777" w:rsidR="007F4C34" w:rsidRPr="00C629BE" w:rsidRDefault="007F4C34" w:rsidP="00167C47">
            <w:pPr>
              <w:spacing w:after="240" w:line="240" w:lineRule="auto"/>
              <w:jc w:val="center"/>
              <w:rPr>
                <w:rFonts w:ascii="Arial" w:eastAsia="Times New Roman" w:hAnsi="Arial" w:cs="Arial"/>
                <w:color w:val="000000"/>
                <w:sz w:val="18"/>
                <w:szCs w:val="18"/>
              </w:rPr>
            </w:pPr>
          </w:p>
          <w:p w14:paraId="74AC1FA2" w14:textId="77777777" w:rsidR="007F4C34" w:rsidRPr="00C629BE" w:rsidRDefault="007F4C34" w:rsidP="00167C47">
            <w:pPr>
              <w:spacing w:after="240" w:line="240" w:lineRule="auto"/>
              <w:jc w:val="center"/>
              <w:rPr>
                <w:rFonts w:ascii="Arial" w:eastAsia="Times New Roman" w:hAnsi="Arial" w:cs="Arial"/>
                <w:color w:val="000000"/>
                <w:sz w:val="18"/>
                <w:szCs w:val="18"/>
              </w:rPr>
            </w:pPr>
          </w:p>
        </w:tc>
        <w:tc>
          <w:tcPr>
            <w:tcW w:w="1413" w:type="dxa"/>
            <w:tcBorders>
              <w:top w:val="nil"/>
              <w:left w:val="nil"/>
              <w:bottom w:val="single" w:sz="4" w:space="0" w:color="auto"/>
              <w:right w:val="single" w:sz="4" w:space="0" w:color="auto"/>
            </w:tcBorders>
            <w:shd w:val="clear" w:color="000000" w:fill="FF0000"/>
            <w:noWrap/>
            <w:vAlign w:val="bottom"/>
            <w:hideMark/>
          </w:tcPr>
          <w:p w14:paraId="0A467347" w14:textId="77777777" w:rsidR="007F4C34" w:rsidRPr="00C629BE" w:rsidRDefault="007F4C34" w:rsidP="00167C47">
            <w:pPr>
              <w:spacing w:after="240" w:line="240" w:lineRule="auto"/>
              <w:jc w:val="center"/>
              <w:rPr>
                <w:rFonts w:ascii="Arial" w:eastAsia="Times New Roman" w:hAnsi="Arial" w:cs="Arial"/>
                <w:color w:val="000000"/>
                <w:sz w:val="18"/>
                <w:szCs w:val="18"/>
              </w:rPr>
            </w:pPr>
            <w:r w:rsidRPr="00C629BE">
              <w:rPr>
                <w:rFonts w:ascii="Arial" w:eastAsia="Times New Roman" w:hAnsi="Arial" w:cs="Arial"/>
                <w:color w:val="000000"/>
                <w:sz w:val="18"/>
                <w:szCs w:val="18"/>
              </w:rPr>
              <w:t>1</w:t>
            </w:r>
          </w:p>
          <w:p w14:paraId="4BC13426" w14:textId="77777777" w:rsidR="007F4C34" w:rsidRPr="00C629BE" w:rsidRDefault="007F4C34" w:rsidP="00167C47">
            <w:pPr>
              <w:spacing w:after="240" w:line="240" w:lineRule="auto"/>
              <w:jc w:val="center"/>
              <w:rPr>
                <w:rFonts w:ascii="Arial" w:eastAsia="Times New Roman" w:hAnsi="Arial" w:cs="Arial"/>
                <w:color w:val="000000"/>
                <w:sz w:val="18"/>
                <w:szCs w:val="18"/>
              </w:rPr>
            </w:pPr>
          </w:p>
          <w:p w14:paraId="4DFA68F9" w14:textId="77777777" w:rsidR="007F4C34" w:rsidRPr="00C629BE" w:rsidRDefault="007F4C34" w:rsidP="00167C47">
            <w:pPr>
              <w:spacing w:after="240" w:line="240" w:lineRule="auto"/>
              <w:jc w:val="center"/>
              <w:rPr>
                <w:rFonts w:ascii="Arial" w:eastAsia="Times New Roman" w:hAnsi="Arial" w:cs="Arial"/>
                <w:color w:val="000000"/>
                <w:sz w:val="18"/>
                <w:szCs w:val="18"/>
              </w:rPr>
            </w:pPr>
          </w:p>
          <w:p w14:paraId="1A9A0A20" w14:textId="77777777" w:rsidR="007F4C34" w:rsidRPr="00C629BE" w:rsidRDefault="007F4C34" w:rsidP="00167C47">
            <w:pPr>
              <w:spacing w:after="240" w:line="240" w:lineRule="auto"/>
              <w:jc w:val="center"/>
              <w:rPr>
                <w:rFonts w:ascii="Arial" w:eastAsia="Times New Roman" w:hAnsi="Arial" w:cs="Arial"/>
                <w:color w:val="000000"/>
                <w:sz w:val="18"/>
                <w:szCs w:val="18"/>
              </w:rPr>
            </w:pPr>
          </w:p>
        </w:tc>
        <w:tc>
          <w:tcPr>
            <w:tcW w:w="1390" w:type="dxa"/>
            <w:tcBorders>
              <w:top w:val="nil"/>
              <w:left w:val="nil"/>
              <w:bottom w:val="single" w:sz="4" w:space="0" w:color="auto"/>
              <w:right w:val="single" w:sz="4" w:space="0" w:color="auto"/>
            </w:tcBorders>
            <w:shd w:val="clear" w:color="auto" w:fill="FF0000"/>
            <w:noWrap/>
            <w:vAlign w:val="bottom"/>
            <w:hideMark/>
          </w:tcPr>
          <w:p w14:paraId="22833628" w14:textId="77777777" w:rsidR="007F4C34" w:rsidRPr="00C629BE" w:rsidRDefault="007F4C34" w:rsidP="00167C47">
            <w:pPr>
              <w:spacing w:after="240" w:line="240" w:lineRule="auto"/>
              <w:jc w:val="center"/>
              <w:rPr>
                <w:rFonts w:ascii="Arial" w:eastAsia="Times New Roman" w:hAnsi="Arial" w:cs="Arial"/>
                <w:color w:val="000000"/>
                <w:sz w:val="18"/>
                <w:szCs w:val="18"/>
              </w:rPr>
            </w:pPr>
            <w:r w:rsidRPr="00C629BE">
              <w:rPr>
                <w:rFonts w:ascii="Arial" w:eastAsia="Times New Roman" w:hAnsi="Arial" w:cs="Arial"/>
                <w:color w:val="000000"/>
                <w:sz w:val="18"/>
                <w:szCs w:val="18"/>
              </w:rPr>
              <w:t>4</w:t>
            </w:r>
          </w:p>
          <w:p w14:paraId="1EC16FC7" w14:textId="77777777" w:rsidR="007F4C34" w:rsidRPr="00C629BE" w:rsidRDefault="007F4C34" w:rsidP="00167C47">
            <w:pPr>
              <w:spacing w:after="240" w:line="240" w:lineRule="auto"/>
              <w:jc w:val="center"/>
              <w:rPr>
                <w:rFonts w:ascii="Arial" w:eastAsia="Times New Roman" w:hAnsi="Arial" w:cs="Arial"/>
                <w:color w:val="000000"/>
                <w:sz w:val="18"/>
                <w:szCs w:val="18"/>
              </w:rPr>
            </w:pPr>
          </w:p>
          <w:p w14:paraId="7DE9F790" w14:textId="77777777" w:rsidR="007F4C34" w:rsidRPr="00C629BE" w:rsidRDefault="007F4C34" w:rsidP="00167C47">
            <w:pPr>
              <w:spacing w:after="240" w:line="240" w:lineRule="auto"/>
              <w:jc w:val="center"/>
              <w:rPr>
                <w:rFonts w:ascii="Arial" w:eastAsia="Times New Roman" w:hAnsi="Arial" w:cs="Arial"/>
                <w:color w:val="000000"/>
                <w:sz w:val="18"/>
                <w:szCs w:val="18"/>
              </w:rPr>
            </w:pPr>
          </w:p>
          <w:p w14:paraId="13CB3A17" w14:textId="77777777" w:rsidR="007F4C34" w:rsidRPr="00C629BE" w:rsidRDefault="007F4C34" w:rsidP="00167C47">
            <w:pPr>
              <w:spacing w:after="240" w:line="240" w:lineRule="auto"/>
              <w:jc w:val="center"/>
              <w:rPr>
                <w:rFonts w:ascii="Arial" w:eastAsia="Times New Roman" w:hAnsi="Arial" w:cs="Arial"/>
                <w:color w:val="000000"/>
                <w:sz w:val="18"/>
                <w:szCs w:val="18"/>
              </w:rPr>
            </w:pPr>
          </w:p>
        </w:tc>
      </w:tr>
      <w:tr w:rsidR="007F4C34" w:rsidRPr="00DD37EC" w14:paraId="32CB63CC" w14:textId="77777777" w:rsidTr="00167C47">
        <w:trPr>
          <w:trHeight w:hRule="exact" w:val="1656"/>
        </w:trPr>
        <w:tc>
          <w:tcPr>
            <w:tcW w:w="3355" w:type="dxa"/>
            <w:tcBorders>
              <w:top w:val="nil"/>
              <w:left w:val="single" w:sz="4" w:space="0" w:color="auto"/>
              <w:bottom w:val="single" w:sz="4" w:space="0" w:color="auto"/>
              <w:right w:val="single" w:sz="4" w:space="0" w:color="auto"/>
            </w:tcBorders>
            <w:shd w:val="clear" w:color="auto" w:fill="auto"/>
            <w:vAlign w:val="bottom"/>
            <w:hideMark/>
          </w:tcPr>
          <w:p w14:paraId="2EFF02A8" w14:textId="77777777" w:rsidR="007F4C34" w:rsidRPr="00C629BE" w:rsidRDefault="007F4C34" w:rsidP="00167C47">
            <w:pPr>
              <w:spacing w:after="240" w:line="240" w:lineRule="auto"/>
              <w:rPr>
                <w:rFonts w:ascii="Arial" w:eastAsia="Times New Roman" w:hAnsi="Arial" w:cs="Arial"/>
                <w:color w:val="000000"/>
                <w:sz w:val="18"/>
                <w:szCs w:val="18"/>
                <w:lang w:val="es-MX"/>
              </w:rPr>
            </w:pPr>
            <w:r w:rsidRPr="00C629BE">
              <w:rPr>
                <w:rFonts w:ascii="Arial" w:eastAsia="Times New Roman" w:hAnsi="Arial" w:cs="Arial"/>
                <w:color w:val="000000"/>
                <w:sz w:val="18"/>
                <w:szCs w:val="18"/>
                <w:lang w:val="es-MX"/>
              </w:rPr>
              <w:lastRenderedPageBreak/>
              <w:t xml:space="preserve">Sostenibilidad operacional </w:t>
            </w:r>
            <w:r w:rsidRPr="00C629BE">
              <w:rPr>
                <w:rFonts w:ascii="Arial" w:eastAsia="Times New Roman" w:hAnsi="Arial" w:cs="Arial"/>
                <w:color w:val="000000"/>
                <w:sz w:val="18"/>
                <w:szCs w:val="18"/>
                <w:lang w:val="es-MX"/>
              </w:rPr>
              <w:br/>
              <w:t xml:space="preserve">• Necesidades de capacitación administrativa, financiera, presentación propuestas y proyectos y provisión de servicios de protección social. </w:t>
            </w:r>
            <w:r w:rsidRPr="00C629BE">
              <w:rPr>
                <w:rFonts w:ascii="Arial" w:eastAsia="Times New Roman" w:hAnsi="Arial" w:cs="Arial"/>
                <w:color w:val="000000"/>
                <w:sz w:val="18"/>
                <w:szCs w:val="18"/>
                <w:lang w:val="es-MX"/>
              </w:rPr>
              <w:br/>
              <w:t>• Limitado acceso a servicios legales.</w:t>
            </w:r>
            <w:r w:rsidRPr="00C629BE">
              <w:rPr>
                <w:rFonts w:ascii="Arial" w:eastAsia="Times New Roman" w:hAnsi="Arial" w:cs="Arial"/>
                <w:color w:val="000000"/>
                <w:sz w:val="18"/>
                <w:szCs w:val="18"/>
                <w:lang w:val="es-MX"/>
              </w:rPr>
              <w:br/>
              <w:t>• Alta dependencia de trabajo voluntario.</w:t>
            </w:r>
          </w:p>
        </w:tc>
        <w:tc>
          <w:tcPr>
            <w:tcW w:w="1669" w:type="dxa"/>
            <w:tcBorders>
              <w:top w:val="nil"/>
              <w:left w:val="nil"/>
              <w:bottom w:val="single" w:sz="4" w:space="0" w:color="auto"/>
              <w:right w:val="single" w:sz="4" w:space="0" w:color="auto"/>
            </w:tcBorders>
            <w:shd w:val="clear" w:color="auto" w:fill="FF0000"/>
            <w:noWrap/>
            <w:vAlign w:val="bottom"/>
            <w:hideMark/>
          </w:tcPr>
          <w:p w14:paraId="0815B915" w14:textId="77777777" w:rsidR="007F4C34" w:rsidRPr="00C629BE" w:rsidRDefault="007F4C34" w:rsidP="00167C47">
            <w:pPr>
              <w:spacing w:after="240" w:line="240" w:lineRule="auto"/>
              <w:jc w:val="center"/>
              <w:rPr>
                <w:rFonts w:ascii="Arial" w:eastAsia="Times New Roman" w:hAnsi="Arial" w:cs="Arial"/>
                <w:color w:val="000000"/>
                <w:sz w:val="18"/>
                <w:szCs w:val="18"/>
              </w:rPr>
            </w:pPr>
            <w:r w:rsidRPr="00C629BE">
              <w:rPr>
                <w:rFonts w:ascii="Arial" w:eastAsia="Times New Roman" w:hAnsi="Arial" w:cs="Arial"/>
                <w:color w:val="000000"/>
                <w:sz w:val="18"/>
                <w:szCs w:val="18"/>
              </w:rPr>
              <w:t>2.69</w:t>
            </w:r>
          </w:p>
          <w:p w14:paraId="446A0A22" w14:textId="77777777" w:rsidR="007F4C34" w:rsidRPr="00C629BE" w:rsidRDefault="007F4C34" w:rsidP="00167C47">
            <w:pPr>
              <w:spacing w:after="240" w:line="240" w:lineRule="auto"/>
              <w:jc w:val="center"/>
              <w:rPr>
                <w:rFonts w:ascii="Arial" w:eastAsia="Times New Roman" w:hAnsi="Arial" w:cs="Arial"/>
                <w:color w:val="000000"/>
                <w:sz w:val="18"/>
                <w:szCs w:val="18"/>
              </w:rPr>
            </w:pPr>
          </w:p>
          <w:p w14:paraId="33139A56" w14:textId="77777777" w:rsidR="007F4C34" w:rsidRPr="00C629BE" w:rsidRDefault="007F4C34" w:rsidP="00167C47">
            <w:pPr>
              <w:spacing w:after="240" w:line="240" w:lineRule="auto"/>
              <w:jc w:val="center"/>
              <w:rPr>
                <w:rFonts w:ascii="Arial" w:eastAsia="Times New Roman" w:hAnsi="Arial" w:cs="Arial"/>
                <w:color w:val="000000"/>
                <w:sz w:val="18"/>
                <w:szCs w:val="18"/>
              </w:rPr>
            </w:pPr>
          </w:p>
          <w:p w14:paraId="1214A2DF" w14:textId="77777777" w:rsidR="007F4C34" w:rsidRPr="00C629BE" w:rsidRDefault="007F4C34" w:rsidP="00167C47">
            <w:pPr>
              <w:spacing w:after="240" w:line="240" w:lineRule="auto"/>
              <w:rPr>
                <w:rFonts w:ascii="Arial" w:eastAsia="Times New Roman" w:hAnsi="Arial" w:cs="Arial"/>
                <w:color w:val="000000"/>
                <w:sz w:val="18"/>
                <w:szCs w:val="18"/>
              </w:rPr>
            </w:pPr>
          </w:p>
        </w:tc>
        <w:tc>
          <w:tcPr>
            <w:tcW w:w="1523" w:type="dxa"/>
            <w:tcBorders>
              <w:top w:val="nil"/>
              <w:left w:val="nil"/>
              <w:bottom w:val="single" w:sz="4" w:space="0" w:color="auto"/>
              <w:right w:val="single" w:sz="4" w:space="0" w:color="auto"/>
            </w:tcBorders>
            <w:shd w:val="clear" w:color="auto" w:fill="92D050"/>
            <w:noWrap/>
            <w:vAlign w:val="bottom"/>
            <w:hideMark/>
          </w:tcPr>
          <w:p w14:paraId="3CB8FF62" w14:textId="77777777" w:rsidR="007F4C34" w:rsidRPr="00C629BE" w:rsidRDefault="007F4C34" w:rsidP="00167C47">
            <w:pPr>
              <w:spacing w:after="240" w:line="240" w:lineRule="auto"/>
              <w:jc w:val="center"/>
              <w:rPr>
                <w:rFonts w:ascii="Arial" w:eastAsia="Times New Roman" w:hAnsi="Arial" w:cs="Arial"/>
                <w:color w:val="000000"/>
                <w:sz w:val="18"/>
                <w:szCs w:val="18"/>
              </w:rPr>
            </w:pPr>
            <w:r w:rsidRPr="00C629BE">
              <w:rPr>
                <w:rFonts w:ascii="Arial" w:eastAsia="Times New Roman" w:hAnsi="Arial" w:cs="Arial"/>
                <w:color w:val="000000"/>
                <w:sz w:val="18"/>
                <w:szCs w:val="18"/>
              </w:rPr>
              <w:t>2.41</w:t>
            </w:r>
          </w:p>
          <w:p w14:paraId="202A1930" w14:textId="77777777" w:rsidR="007F4C34" w:rsidRPr="00C629BE" w:rsidRDefault="007F4C34" w:rsidP="00167C47">
            <w:pPr>
              <w:spacing w:after="240" w:line="240" w:lineRule="auto"/>
              <w:jc w:val="center"/>
              <w:rPr>
                <w:rFonts w:ascii="Arial" w:eastAsia="Times New Roman" w:hAnsi="Arial" w:cs="Arial"/>
                <w:color w:val="000000"/>
                <w:sz w:val="18"/>
                <w:szCs w:val="18"/>
              </w:rPr>
            </w:pPr>
          </w:p>
          <w:p w14:paraId="0A14FDF7" w14:textId="77777777" w:rsidR="007F4C34" w:rsidRPr="00C629BE" w:rsidRDefault="007F4C34" w:rsidP="00167C47">
            <w:pPr>
              <w:spacing w:after="240" w:line="240" w:lineRule="auto"/>
              <w:jc w:val="center"/>
              <w:rPr>
                <w:rFonts w:ascii="Arial" w:eastAsia="Times New Roman" w:hAnsi="Arial" w:cs="Arial"/>
                <w:color w:val="000000"/>
                <w:sz w:val="18"/>
                <w:szCs w:val="18"/>
              </w:rPr>
            </w:pPr>
          </w:p>
          <w:p w14:paraId="625F90B2" w14:textId="77777777" w:rsidR="007F4C34" w:rsidRPr="00C629BE" w:rsidRDefault="007F4C34" w:rsidP="00167C47">
            <w:pPr>
              <w:spacing w:after="240" w:line="240" w:lineRule="auto"/>
              <w:jc w:val="center"/>
              <w:rPr>
                <w:rFonts w:ascii="Arial" w:eastAsia="Times New Roman" w:hAnsi="Arial" w:cs="Arial"/>
                <w:color w:val="000000"/>
                <w:sz w:val="18"/>
                <w:szCs w:val="18"/>
              </w:rPr>
            </w:pPr>
          </w:p>
        </w:tc>
        <w:tc>
          <w:tcPr>
            <w:tcW w:w="1413" w:type="dxa"/>
            <w:tcBorders>
              <w:top w:val="nil"/>
              <w:left w:val="nil"/>
              <w:bottom w:val="single" w:sz="4" w:space="0" w:color="auto"/>
              <w:right w:val="single" w:sz="4" w:space="0" w:color="auto"/>
            </w:tcBorders>
            <w:shd w:val="clear" w:color="000000" w:fill="FFC000"/>
            <w:noWrap/>
            <w:vAlign w:val="bottom"/>
            <w:hideMark/>
          </w:tcPr>
          <w:p w14:paraId="073EDDB3" w14:textId="77777777" w:rsidR="007F4C34" w:rsidRPr="00C629BE" w:rsidRDefault="007F4C34" w:rsidP="00167C47">
            <w:pPr>
              <w:spacing w:after="240" w:line="240" w:lineRule="auto"/>
              <w:jc w:val="center"/>
              <w:rPr>
                <w:rFonts w:ascii="Arial" w:eastAsia="Times New Roman" w:hAnsi="Arial" w:cs="Arial"/>
                <w:color w:val="000000"/>
                <w:sz w:val="18"/>
                <w:szCs w:val="18"/>
              </w:rPr>
            </w:pPr>
            <w:r w:rsidRPr="00C629BE">
              <w:rPr>
                <w:rFonts w:ascii="Arial" w:eastAsia="Times New Roman" w:hAnsi="Arial" w:cs="Arial"/>
                <w:color w:val="000000"/>
                <w:sz w:val="18"/>
                <w:szCs w:val="18"/>
              </w:rPr>
              <w:t>2</w:t>
            </w:r>
          </w:p>
          <w:p w14:paraId="11CBD81F" w14:textId="77777777" w:rsidR="007F4C34" w:rsidRPr="00C629BE" w:rsidRDefault="007F4C34" w:rsidP="00167C47">
            <w:pPr>
              <w:spacing w:after="240" w:line="240" w:lineRule="auto"/>
              <w:jc w:val="center"/>
              <w:rPr>
                <w:rFonts w:ascii="Arial" w:eastAsia="Times New Roman" w:hAnsi="Arial" w:cs="Arial"/>
                <w:color w:val="000000"/>
                <w:sz w:val="18"/>
                <w:szCs w:val="18"/>
              </w:rPr>
            </w:pPr>
          </w:p>
          <w:p w14:paraId="542EEAA9" w14:textId="77777777" w:rsidR="007F4C34" w:rsidRPr="00C629BE" w:rsidRDefault="007F4C34" w:rsidP="00167C47">
            <w:pPr>
              <w:spacing w:after="240" w:line="240" w:lineRule="auto"/>
              <w:jc w:val="center"/>
              <w:rPr>
                <w:rFonts w:ascii="Arial" w:eastAsia="Times New Roman" w:hAnsi="Arial" w:cs="Arial"/>
                <w:color w:val="000000"/>
                <w:sz w:val="18"/>
                <w:szCs w:val="18"/>
              </w:rPr>
            </w:pPr>
          </w:p>
          <w:p w14:paraId="26ED4796" w14:textId="77777777" w:rsidR="007F4C34" w:rsidRPr="00C629BE" w:rsidRDefault="007F4C34" w:rsidP="00167C47">
            <w:pPr>
              <w:spacing w:after="240" w:line="240" w:lineRule="auto"/>
              <w:jc w:val="center"/>
              <w:rPr>
                <w:rFonts w:ascii="Arial" w:eastAsia="Times New Roman" w:hAnsi="Arial" w:cs="Arial"/>
                <w:color w:val="000000"/>
                <w:sz w:val="18"/>
                <w:szCs w:val="18"/>
              </w:rPr>
            </w:pPr>
          </w:p>
        </w:tc>
        <w:tc>
          <w:tcPr>
            <w:tcW w:w="1390" w:type="dxa"/>
            <w:tcBorders>
              <w:top w:val="nil"/>
              <w:left w:val="nil"/>
              <w:bottom w:val="single" w:sz="4" w:space="0" w:color="auto"/>
              <w:right w:val="single" w:sz="4" w:space="0" w:color="auto"/>
            </w:tcBorders>
            <w:shd w:val="clear" w:color="auto" w:fill="FFC000"/>
            <w:noWrap/>
            <w:vAlign w:val="bottom"/>
            <w:hideMark/>
          </w:tcPr>
          <w:p w14:paraId="77E0186F" w14:textId="77777777" w:rsidR="007F4C34" w:rsidRPr="00C629BE" w:rsidRDefault="007F4C34" w:rsidP="00167C47">
            <w:pPr>
              <w:spacing w:after="240" w:line="240" w:lineRule="auto"/>
              <w:jc w:val="center"/>
              <w:rPr>
                <w:rFonts w:ascii="Arial" w:eastAsia="Times New Roman" w:hAnsi="Arial" w:cs="Arial"/>
                <w:color w:val="000000"/>
                <w:sz w:val="18"/>
                <w:szCs w:val="18"/>
              </w:rPr>
            </w:pPr>
            <w:r w:rsidRPr="00C629BE">
              <w:rPr>
                <w:rFonts w:ascii="Arial" w:eastAsia="Times New Roman" w:hAnsi="Arial" w:cs="Arial"/>
                <w:color w:val="000000"/>
                <w:sz w:val="18"/>
                <w:szCs w:val="18"/>
              </w:rPr>
              <w:t>7</w:t>
            </w:r>
          </w:p>
          <w:p w14:paraId="6B165D72" w14:textId="77777777" w:rsidR="007F4C34" w:rsidRPr="00C629BE" w:rsidRDefault="007F4C34" w:rsidP="00167C47">
            <w:pPr>
              <w:spacing w:after="240" w:line="240" w:lineRule="auto"/>
              <w:jc w:val="center"/>
              <w:rPr>
                <w:rFonts w:ascii="Arial" w:eastAsia="Times New Roman" w:hAnsi="Arial" w:cs="Arial"/>
                <w:color w:val="000000"/>
                <w:sz w:val="18"/>
                <w:szCs w:val="18"/>
              </w:rPr>
            </w:pPr>
          </w:p>
          <w:p w14:paraId="540BD9D2" w14:textId="77777777" w:rsidR="007F4C34" w:rsidRPr="00C629BE" w:rsidRDefault="007F4C34" w:rsidP="00167C47">
            <w:pPr>
              <w:spacing w:after="240" w:line="240" w:lineRule="auto"/>
              <w:jc w:val="center"/>
              <w:rPr>
                <w:rFonts w:ascii="Arial" w:eastAsia="Times New Roman" w:hAnsi="Arial" w:cs="Arial"/>
                <w:color w:val="000000"/>
                <w:sz w:val="18"/>
                <w:szCs w:val="18"/>
              </w:rPr>
            </w:pPr>
          </w:p>
          <w:p w14:paraId="65B02D6C" w14:textId="77777777" w:rsidR="007F4C34" w:rsidRPr="00C629BE" w:rsidRDefault="007F4C34" w:rsidP="00167C47">
            <w:pPr>
              <w:spacing w:after="240" w:line="240" w:lineRule="auto"/>
              <w:jc w:val="center"/>
              <w:rPr>
                <w:rFonts w:ascii="Arial" w:eastAsia="Times New Roman" w:hAnsi="Arial" w:cs="Arial"/>
                <w:color w:val="000000"/>
                <w:sz w:val="18"/>
                <w:szCs w:val="18"/>
              </w:rPr>
            </w:pPr>
          </w:p>
        </w:tc>
      </w:tr>
      <w:tr w:rsidR="007F4C34" w:rsidRPr="00DD37EC" w14:paraId="2FB5C513" w14:textId="77777777" w:rsidTr="00167C47">
        <w:trPr>
          <w:trHeight w:hRule="exact" w:val="1054"/>
        </w:trPr>
        <w:tc>
          <w:tcPr>
            <w:tcW w:w="3355" w:type="dxa"/>
            <w:tcBorders>
              <w:top w:val="nil"/>
              <w:left w:val="single" w:sz="4" w:space="0" w:color="auto"/>
              <w:bottom w:val="single" w:sz="4" w:space="0" w:color="auto"/>
              <w:right w:val="single" w:sz="4" w:space="0" w:color="auto"/>
            </w:tcBorders>
            <w:shd w:val="clear" w:color="auto" w:fill="auto"/>
            <w:hideMark/>
          </w:tcPr>
          <w:p w14:paraId="3FC0619A" w14:textId="77777777" w:rsidR="007F4C34" w:rsidRPr="00C629BE" w:rsidRDefault="007F4C34" w:rsidP="00167C47">
            <w:pPr>
              <w:spacing w:after="240" w:line="240" w:lineRule="auto"/>
              <w:rPr>
                <w:rFonts w:ascii="Arial" w:eastAsia="Times New Roman" w:hAnsi="Arial" w:cs="Arial"/>
                <w:color w:val="000000"/>
                <w:sz w:val="18"/>
                <w:szCs w:val="18"/>
                <w:lang w:val="es-MX"/>
              </w:rPr>
            </w:pPr>
            <w:r w:rsidRPr="00C629BE">
              <w:rPr>
                <w:rFonts w:ascii="Arial" w:eastAsia="Times New Roman" w:hAnsi="Arial" w:cs="Arial"/>
                <w:color w:val="000000"/>
                <w:sz w:val="18"/>
                <w:szCs w:val="18"/>
                <w:lang w:val="es-MX"/>
              </w:rPr>
              <w:t>Falta de lineamientos para OSCs sobre provisión de servicios (tipos de servicios, especialmente prevención y testeo rápido, requisitos, permisos, capacitación).</w:t>
            </w:r>
          </w:p>
        </w:tc>
        <w:tc>
          <w:tcPr>
            <w:tcW w:w="1669" w:type="dxa"/>
            <w:tcBorders>
              <w:top w:val="nil"/>
              <w:left w:val="nil"/>
              <w:bottom w:val="single" w:sz="4" w:space="0" w:color="auto"/>
              <w:right w:val="single" w:sz="4" w:space="0" w:color="auto"/>
            </w:tcBorders>
            <w:shd w:val="clear" w:color="auto" w:fill="FFC000"/>
            <w:noWrap/>
            <w:vAlign w:val="bottom"/>
            <w:hideMark/>
          </w:tcPr>
          <w:p w14:paraId="526D1847" w14:textId="77777777" w:rsidR="007F4C34" w:rsidRPr="00C629BE" w:rsidRDefault="007F4C34" w:rsidP="00167C47">
            <w:pPr>
              <w:spacing w:after="240" w:line="240" w:lineRule="auto"/>
              <w:jc w:val="center"/>
              <w:rPr>
                <w:rFonts w:ascii="Arial" w:eastAsia="Times New Roman" w:hAnsi="Arial" w:cs="Arial"/>
                <w:color w:val="000000"/>
                <w:sz w:val="18"/>
                <w:szCs w:val="18"/>
              </w:rPr>
            </w:pPr>
            <w:r w:rsidRPr="00C629BE">
              <w:rPr>
                <w:rFonts w:ascii="Arial" w:eastAsia="Times New Roman" w:hAnsi="Arial" w:cs="Arial"/>
                <w:color w:val="000000"/>
                <w:sz w:val="18"/>
                <w:szCs w:val="18"/>
              </w:rPr>
              <w:t>2.59</w:t>
            </w:r>
          </w:p>
          <w:p w14:paraId="3E4932A3" w14:textId="77777777" w:rsidR="007F4C34" w:rsidRPr="00C629BE" w:rsidRDefault="007F4C34" w:rsidP="00167C47">
            <w:pPr>
              <w:spacing w:after="240" w:line="240" w:lineRule="auto"/>
              <w:jc w:val="center"/>
              <w:rPr>
                <w:rFonts w:ascii="Arial" w:eastAsia="Times New Roman" w:hAnsi="Arial" w:cs="Arial"/>
                <w:color w:val="000000"/>
                <w:sz w:val="18"/>
                <w:szCs w:val="18"/>
              </w:rPr>
            </w:pPr>
          </w:p>
          <w:p w14:paraId="19285EB3" w14:textId="77777777" w:rsidR="007F4C34" w:rsidRPr="00C629BE" w:rsidRDefault="007F4C34" w:rsidP="00167C47">
            <w:pPr>
              <w:spacing w:after="240" w:line="240" w:lineRule="auto"/>
              <w:jc w:val="center"/>
              <w:rPr>
                <w:rFonts w:ascii="Arial" w:eastAsia="Times New Roman" w:hAnsi="Arial" w:cs="Arial"/>
                <w:color w:val="000000"/>
                <w:sz w:val="18"/>
                <w:szCs w:val="18"/>
              </w:rPr>
            </w:pPr>
          </w:p>
        </w:tc>
        <w:tc>
          <w:tcPr>
            <w:tcW w:w="1523" w:type="dxa"/>
            <w:tcBorders>
              <w:top w:val="nil"/>
              <w:left w:val="nil"/>
              <w:bottom w:val="single" w:sz="4" w:space="0" w:color="auto"/>
              <w:right w:val="single" w:sz="4" w:space="0" w:color="auto"/>
            </w:tcBorders>
            <w:shd w:val="clear" w:color="auto" w:fill="FFFF00"/>
            <w:noWrap/>
            <w:vAlign w:val="bottom"/>
            <w:hideMark/>
          </w:tcPr>
          <w:p w14:paraId="3CC5B771" w14:textId="77777777" w:rsidR="007F4C34" w:rsidRPr="00C629BE" w:rsidRDefault="007F4C34" w:rsidP="00167C47">
            <w:pPr>
              <w:spacing w:after="240" w:line="240" w:lineRule="auto"/>
              <w:jc w:val="center"/>
              <w:rPr>
                <w:rFonts w:ascii="Arial" w:eastAsia="Times New Roman" w:hAnsi="Arial" w:cs="Arial"/>
                <w:color w:val="000000"/>
                <w:sz w:val="18"/>
                <w:szCs w:val="18"/>
              </w:rPr>
            </w:pPr>
            <w:r w:rsidRPr="00C629BE">
              <w:rPr>
                <w:rFonts w:ascii="Arial" w:eastAsia="Times New Roman" w:hAnsi="Arial" w:cs="Arial"/>
                <w:color w:val="000000"/>
                <w:sz w:val="18"/>
                <w:szCs w:val="18"/>
              </w:rPr>
              <w:t>2.59</w:t>
            </w:r>
          </w:p>
          <w:p w14:paraId="081B4FA8" w14:textId="77777777" w:rsidR="007F4C34" w:rsidRPr="00C629BE" w:rsidRDefault="007F4C34" w:rsidP="00167C47">
            <w:pPr>
              <w:spacing w:after="240" w:line="240" w:lineRule="auto"/>
              <w:jc w:val="center"/>
              <w:rPr>
                <w:rFonts w:ascii="Arial" w:eastAsia="Times New Roman" w:hAnsi="Arial" w:cs="Arial"/>
                <w:color w:val="000000"/>
                <w:sz w:val="18"/>
                <w:szCs w:val="18"/>
              </w:rPr>
            </w:pPr>
          </w:p>
          <w:p w14:paraId="1ACB9F33" w14:textId="77777777" w:rsidR="007F4C34" w:rsidRPr="00C629BE" w:rsidRDefault="007F4C34" w:rsidP="00167C47">
            <w:pPr>
              <w:spacing w:after="240" w:line="240" w:lineRule="auto"/>
              <w:jc w:val="center"/>
              <w:rPr>
                <w:rFonts w:ascii="Arial" w:eastAsia="Times New Roman" w:hAnsi="Arial" w:cs="Arial"/>
                <w:color w:val="000000"/>
                <w:sz w:val="18"/>
                <w:szCs w:val="18"/>
              </w:rPr>
            </w:pPr>
          </w:p>
        </w:tc>
        <w:tc>
          <w:tcPr>
            <w:tcW w:w="1413" w:type="dxa"/>
            <w:tcBorders>
              <w:top w:val="nil"/>
              <w:left w:val="nil"/>
              <w:bottom w:val="single" w:sz="4" w:space="0" w:color="auto"/>
              <w:right w:val="single" w:sz="4" w:space="0" w:color="auto"/>
            </w:tcBorders>
            <w:shd w:val="clear" w:color="000000" w:fill="FFFF00"/>
            <w:noWrap/>
            <w:vAlign w:val="bottom"/>
            <w:hideMark/>
          </w:tcPr>
          <w:p w14:paraId="10A71FBA" w14:textId="77777777" w:rsidR="007F4C34" w:rsidRPr="00C629BE" w:rsidRDefault="007F4C34" w:rsidP="00167C47">
            <w:pPr>
              <w:spacing w:after="240" w:line="240" w:lineRule="auto"/>
              <w:jc w:val="center"/>
              <w:rPr>
                <w:rFonts w:ascii="Arial" w:eastAsia="Times New Roman" w:hAnsi="Arial" w:cs="Arial"/>
                <w:color w:val="000000"/>
                <w:sz w:val="18"/>
                <w:szCs w:val="18"/>
              </w:rPr>
            </w:pPr>
            <w:r w:rsidRPr="00C629BE">
              <w:rPr>
                <w:rFonts w:ascii="Arial" w:eastAsia="Times New Roman" w:hAnsi="Arial" w:cs="Arial"/>
                <w:color w:val="000000"/>
                <w:sz w:val="18"/>
                <w:szCs w:val="18"/>
              </w:rPr>
              <w:t>3</w:t>
            </w:r>
          </w:p>
          <w:p w14:paraId="7678DEE2" w14:textId="77777777" w:rsidR="007F4C34" w:rsidRPr="00C629BE" w:rsidRDefault="007F4C34" w:rsidP="00167C47">
            <w:pPr>
              <w:spacing w:after="240" w:line="240" w:lineRule="auto"/>
              <w:jc w:val="center"/>
              <w:rPr>
                <w:rFonts w:ascii="Arial" w:eastAsia="Times New Roman" w:hAnsi="Arial" w:cs="Arial"/>
                <w:color w:val="000000"/>
                <w:sz w:val="18"/>
                <w:szCs w:val="18"/>
              </w:rPr>
            </w:pPr>
          </w:p>
          <w:p w14:paraId="160B8CC6" w14:textId="77777777" w:rsidR="007F4C34" w:rsidRPr="00C629BE" w:rsidRDefault="007F4C34" w:rsidP="00167C47">
            <w:pPr>
              <w:spacing w:after="240" w:line="240" w:lineRule="auto"/>
              <w:jc w:val="center"/>
              <w:rPr>
                <w:rFonts w:ascii="Arial" w:eastAsia="Times New Roman" w:hAnsi="Arial" w:cs="Arial"/>
                <w:color w:val="000000"/>
                <w:sz w:val="18"/>
                <w:szCs w:val="18"/>
              </w:rPr>
            </w:pPr>
          </w:p>
        </w:tc>
        <w:tc>
          <w:tcPr>
            <w:tcW w:w="1390" w:type="dxa"/>
            <w:tcBorders>
              <w:top w:val="nil"/>
              <w:left w:val="nil"/>
              <w:bottom w:val="single" w:sz="4" w:space="0" w:color="auto"/>
              <w:right w:val="single" w:sz="4" w:space="0" w:color="auto"/>
            </w:tcBorders>
            <w:shd w:val="clear" w:color="auto" w:fill="FFC000"/>
            <w:noWrap/>
            <w:vAlign w:val="bottom"/>
            <w:hideMark/>
          </w:tcPr>
          <w:p w14:paraId="54244765" w14:textId="77777777" w:rsidR="007F4C34" w:rsidRPr="00C629BE" w:rsidRDefault="007F4C34" w:rsidP="00167C47">
            <w:pPr>
              <w:spacing w:after="240" w:line="240" w:lineRule="auto"/>
              <w:jc w:val="center"/>
              <w:rPr>
                <w:rFonts w:ascii="Arial" w:eastAsia="Times New Roman" w:hAnsi="Arial" w:cs="Arial"/>
                <w:color w:val="000000"/>
                <w:sz w:val="18"/>
                <w:szCs w:val="18"/>
              </w:rPr>
            </w:pPr>
            <w:r w:rsidRPr="00C629BE">
              <w:rPr>
                <w:rFonts w:ascii="Arial" w:eastAsia="Times New Roman" w:hAnsi="Arial" w:cs="Arial"/>
                <w:color w:val="000000"/>
                <w:sz w:val="18"/>
                <w:szCs w:val="18"/>
              </w:rPr>
              <w:t>6</w:t>
            </w:r>
          </w:p>
          <w:p w14:paraId="0ED3C1C4" w14:textId="77777777" w:rsidR="007F4C34" w:rsidRPr="00C629BE" w:rsidRDefault="007F4C34" w:rsidP="00167C47">
            <w:pPr>
              <w:spacing w:after="240" w:line="240" w:lineRule="auto"/>
              <w:jc w:val="center"/>
              <w:rPr>
                <w:rFonts w:ascii="Arial" w:eastAsia="Times New Roman" w:hAnsi="Arial" w:cs="Arial"/>
                <w:color w:val="000000"/>
                <w:sz w:val="18"/>
                <w:szCs w:val="18"/>
              </w:rPr>
            </w:pPr>
          </w:p>
          <w:p w14:paraId="6CBD2809" w14:textId="77777777" w:rsidR="007F4C34" w:rsidRPr="00C629BE" w:rsidRDefault="007F4C34" w:rsidP="00167C47">
            <w:pPr>
              <w:spacing w:after="240" w:line="240" w:lineRule="auto"/>
              <w:jc w:val="center"/>
              <w:rPr>
                <w:rFonts w:ascii="Arial" w:eastAsia="Times New Roman" w:hAnsi="Arial" w:cs="Arial"/>
                <w:color w:val="000000"/>
                <w:sz w:val="18"/>
                <w:szCs w:val="18"/>
              </w:rPr>
            </w:pPr>
          </w:p>
        </w:tc>
      </w:tr>
      <w:tr w:rsidR="007F4C34" w:rsidRPr="00DD37EC" w14:paraId="7A8B42AB" w14:textId="77777777" w:rsidTr="00167C47">
        <w:trPr>
          <w:trHeight w:hRule="exact" w:val="712"/>
        </w:trPr>
        <w:tc>
          <w:tcPr>
            <w:tcW w:w="3355" w:type="dxa"/>
            <w:tcBorders>
              <w:top w:val="nil"/>
              <w:left w:val="single" w:sz="4" w:space="0" w:color="auto"/>
              <w:bottom w:val="single" w:sz="4" w:space="0" w:color="auto"/>
              <w:right w:val="single" w:sz="4" w:space="0" w:color="auto"/>
            </w:tcBorders>
            <w:shd w:val="clear" w:color="auto" w:fill="auto"/>
            <w:vAlign w:val="bottom"/>
            <w:hideMark/>
          </w:tcPr>
          <w:p w14:paraId="6B5641A4" w14:textId="77777777" w:rsidR="007F4C34" w:rsidRPr="00C629BE" w:rsidRDefault="007F4C34" w:rsidP="00167C47">
            <w:pPr>
              <w:spacing w:after="240" w:line="240" w:lineRule="auto"/>
              <w:rPr>
                <w:rFonts w:ascii="Arial" w:eastAsia="Times New Roman" w:hAnsi="Arial" w:cs="Arial"/>
                <w:color w:val="000000"/>
                <w:sz w:val="18"/>
                <w:szCs w:val="18"/>
                <w:lang w:val="es-MX"/>
              </w:rPr>
            </w:pPr>
            <w:r w:rsidRPr="00C629BE">
              <w:rPr>
                <w:rFonts w:ascii="Arial" w:eastAsia="Times New Roman" w:hAnsi="Arial" w:cs="Arial"/>
                <w:color w:val="000000"/>
                <w:sz w:val="18"/>
                <w:szCs w:val="18"/>
                <w:lang w:val="es-MX"/>
              </w:rPr>
              <w:t>Persistencia de falta de coordinación e integración de las actividades de las OSC con servicios de salud.</w:t>
            </w:r>
          </w:p>
        </w:tc>
        <w:tc>
          <w:tcPr>
            <w:tcW w:w="1669" w:type="dxa"/>
            <w:tcBorders>
              <w:top w:val="nil"/>
              <w:left w:val="nil"/>
              <w:bottom w:val="single" w:sz="4" w:space="0" w:color="auto"/>
              <w:right w:val="single" w:sz="4" w:space="0" w:color="auto"/>
            </w:tcBorders>
            <w:shd w:val="clear" w:color="auto" w:fill="92D050"/>
            <w:noWrap/>
            <w:vAlign w:val="bottom"/>
            <w:hideMark/>
          </w:tcPr>
          <w:p w14:paraId="67212550" w14:textId="77777777" w:rsidR="007F4C34" w:rsidRPr="00C629BE" w:rsidRDefault="007F4C34" w:rsidP="00167C47">
            <w:pPr>
              <w:spacing w:after="240" w:line="240" w:lineRule="auto"/>
              <w:jc w:val="center"/>
              <w:rPr>
                <w:rFonts w:ascii="Arial" w:eastAsia="Times New Roman" w:hAnsi="Arial" w:cs="Arial"/>
                <w:color w:val="000000"/>
                <w:sz w:val="18"/>
                <w:szCs w:val="18"/>
              </w:rPr>
            </w:pPr>
            <w:r w:rsidRPr="00C629BE">
              <w:rPr>
                <w:rFonts w:ascii="Arial" w:eastAsia="Times New Roman" w:hAnsi="Arial" w:cs="Arial"/>
                <w:color w:val="000000"/>
                <w:sz w:val="18"/>
                <w:szCs w:val="18"/>
              </w:rPr>
              <w:t>2.24</w:t>
            </w:r>
          </w:p>
        </w:tc>
        <w:tc>
          <w:tcPr>
            <w:tcW w:w="1523" w:type="dxa"/>
            <w:tcBorders>
              <w:top w:val="nil"/>
              <w:left w:val="nil"/>
              <w:bottom w:val="single" w:sz="4" w:space="0" w:color="auto"/>
              <w:right w:val="single" w:sz="4" w:space="0" w:color="auto"/>
            </w:tcBorders>
            <w:shd w:val="clear" w:color="auto" w:fill="FFFF00"/>
            <w:noWrap/>
            <w:vAlign w:val="bottom"/>
            <w:hideMark/>
          </w:tcPr>
          <w:p w14:paraId="7DA16E43" w14:textId="77777777" w:rsidR="007F4C34" w:rsidRPr="00C629BE" w:rsidRDefault="007F4C34" w:rsidP="00167C47">
            <w:pPr>
              <w:spacing w:after="240" w:line="240" w:lineRule="auto"/>
              <w:jc w:val="center"/>
              <w:rPr>
                <w:rFonts w:ascii="Arial" w:eastAsia="Times New Roman" w:hAnsi="Arial" w:cs="Arial"/>
                <w:color w:val="000000"/>
                <w:sz w:val="18"/>
                <w:szCs w:val="18"/>
              </w:rPr>
            </w:pPr>
            <w:r w:rsidRPr="00C629BE">
              <w:rPr>
                <w:rFonts w:ascii="Arial" w:eastAsia="Times New Roman" w:hAnsi="Arial" w:cs="Arial"/>
                <w:color w:val="000000"/>
                <w:sz w:val="18"/>
                <w:szCs w:val="18"/>
              </w:rPr>
              <w:t>2.53</w:t>
            </w:r>
          </w:p>
        </w:tc>
        <w:tc>
          <w:tcPr>
            <w:tcW w:w="1413" w:type="dxa"/>
            <w:tcBorders>
              <w:top w:val="nil"/>
              <w:left w:val="nil"/>
              <w:bottom w:val="single" w:sz="4" w:space="0" w:color="auto"/>
              <w:right w:val="single" w:sz="4" w:space="0" w:color="auto"/>
            </w:tcBorders>
            <w:shd w:val="clear" w:color="auto" w:fill="92D050"/>
            <w:noWrap/>
            <w:vAlign w:val="bottom"/>
            <w:hideMark/>
          </w:tcPr>
          <w:p w14:paraId="350FF860" w14:textId="77777777" w:rsidR="007F4C34" w:rsidRPr="00C629BE" w:rsidRDefault="007F4C34" w:rsidP="00167C47">
            <w:pPr>
              <w:spacing w:after="240" w:line="240" w:lineRule="auto"/>
              <w:jc w:val="center"/>
              <w:rPr>
                <w:rFonts w:ascii="Arial" w:eastAsia="Times New Roman" w:hAnsi="Arial" w:cs="Arial"/>
                <w:color w:val="000000"/>
                <w:sz w:val="18"/>
                <w:szCs w:val="18"/>
              </w:rPr>
            </w:pPr>
            <w:r w:rsidRPr="00C629BE">
              <w:rPr>
                <w:rFonts w:ascii="Arial" w:eastAsia="Times New Roman" w:hAnsi="Arial" w:cs="Arial"/>
                <w:color w:val="000000"/>
                <w:sz w:val="18"/>
                <w:szCs w:val="18"/>
              </w:rPr>
              <w:t>4</w:t>
            </w:r>
          </w:p>
        </w:tc>
        <w:tc>
          <w:tcPr>
            <w:tcW w:w="1390" w:type="dxa"/>
            <w:tcBorders>
              <w:top w:val="nil"/>
              <w:left w:val="nil"/>
              <w:bottom w:val="single" w:sz="4" w:space="0" w:color="auto"/>
              <w:right w:val="single" w:sz="4" w:space="0" w:color="auto"/>
            </w:tcBorders>
            <w:shd w:val="clear" w:color="auto" w:fill="FFFF00"/>
            <w:noWrap/>
            <w:vAlign w:val="bottom"/>
            <w:hideMark/>
          </w:tcPr>
          <w:p w14:paraId="40B8546A" w14:textId="77777777" w:rsidR="007F4C34" w:rsidRPr="00C629BE" w:rsidRDefault="007F4C34" w:rsidP="00167C47">
            <w:pPr>
              <w:spacing w:after="240" w:line="240" w:lineRule="auto"/>
              <w:jc w:val="center"/>
              <w:rPr>
                <w:rFonts w:ascii="Arial" w:eastAsia="Times New Roman" w:hAnsi="Arial" w:cs="Arial"/>
                <w:color w:val="000000"/>
                <w:sz w:val="18"/>
                <w:szCs w:val="18"/>
              </w:rPr>
            </w:pPr>
            <w:r w:rsidRPr="00C629BE">
              <w:rPr>
                <w:rFonts w:ascii="Arial" w:eastAsia="Times New Roman" w:hAnsi="Arial" w:cs="Arial"/>
                <w:color w:val="000000"/>
                <w:sz w:val="18"/>
                <w:szCs w:val="18"/>
              </w:rPr>
              <w:t>12</w:t>
            </w:r>
          </w:p>
        </w:tc>
      </w:tr>
      <w:tr w:rsidR="007F4C34" w:rsidRPr="00DD37EC" w14:paraId="75999A6F" w14:textId="77777777" w:rsidTr="00167C47">
        <w:trPr>
          <w:trHeight w:hRule="exact" w:val="288"/>
        </w:trPr>
        <w:tc>
          <w:tcPr>
            <w:tcW w:w="935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4B8983FF" w14:textId="77777777" w:rsidR="007F4C34" w:rsidRPr="00C629BE" w:rsidRDefault="007F4C34" w:rsidP="00167C47">
            <w:pPr>
              <w:spacing w:after="240" w:line="240" w:lineRule="auto"/>
              <w:rPr>
                <w:rFonts w:ascii="Arial" w:eastAsia="Times New Roman" w:hAnsi="Arial" w:cs="Arial"/>
                <w:color w:val="000000"/>
                <w:sz w:val="18"/>
                <w:szCs w:val="18"/>
              </w:rPr>
            </w:pPr>
            <w:r w:rsidRPr="00C629BE">
              <w:rPr>
                <w:rFonts w:ascii="Arial" w:eastAsia="Times New Roman" w:hAnsi="Arial" w:cs="Arial"/>
                <w:b/>
                <w:bCs/>
                <w:color w:val="000000"/>
                <w:sz w:val="18"/>
                <w:szCs w:val="18"/>
              </w:rPr>
              <w:t>Política, Regulación e Instituciones</w:t>
            </w:r>
          </w:p>
        </w:tc>
      </w:tr>
      <w:tr w:rsidR="007F4C34" w:rsidRPr="00DD37EC" w14:paraId="79A6D702" w14:textId="77777777" w:rsidTr="00167C47">
        <w:trPr>
          <w:trHeight w:hRule="exact" w:val="1063"/>
        </w:trPr>
        <w:tc>
          <w:tcPr>
            <w:tcW w:w="3355" w:type="dxa"/>
            <w:tcBorders>
              <w:top w:val="single" w:sz="4" w:space="0" w:color="auto"/>
              <w:left w:val="single" w:sz="4" w:space="0" w:color="auto"/>
              <w:bottom w:val="single" w:sz="4" w:space="0" w:color="auto"/>
              <w:right w:val="single" w:sz="4" w:space="0" w:color="auto"/>
            </w:tcBorders>
            <w:shd w:val="clear" w:color="auto" w:fill="auto"/>
            <w:vAlign w:val="bottom"/>
          </w:tcPr>
          <w:p w14:paraId="20C69B7F" w14:textId="77777777" w:rsidR="007F4C34" w:rsidRPr="00C629BE" w:rsidRDefault="007F4C34" w:rsidP="00167C47">
            <w:pPr>
              <w:spacing w:after="240" w:line="240" w:lineRule="auto"/>
              <w:rPr>
                <w:rFonts w:ascii="Arial" w:eastAsia="Times New Roman" w:hAnsi="Arial" w:cs="Arial"/>
                <w:color w:val="000000"/>
                <w:sz w:val="18"/>
                <w:szCs w:val="18"/>
                <w:lang w:val="es-MX"/>
              </w:rPr>
            </w:pPr>
            <w:r w:rsidRPr="00C629BE">
              <w:rPr>
                <w:rFonts w:ascii="Arial" w:eastAsia="Times New Roman" w:hAnsi="Arial" w:cs="Arial"/>
                <w:color w:val="000000"/>
                <w:sz w:val="18"/>
                <w:szCs w:val="18"/>
                <w:lang w:val="es-MX"/>
              </w:rPr>
              <w:t>La transversalización de servicios de VIH y TB a partir de la reforma ha creado falta de liderazgo, rendición de cuentas y pérdida de capacidad técnica de alto nivel.</w:t>
            </w:r>
          </w:p>
        </w:tc>
        <w:tc>
          <w:tcPr>
            <w:tcW w:w="1669" w:type="dxa"/>
            <w:tcBorders>
              <w:top w:val="single" w:sz="4" w:space="0" w:color="auto"/>
              <w:left w:val="nil"/>
              <w:bottom w:val="single" w:sz="4" w:space="0" w:color="auto"/>
              <w:right w:val="single" w:sz="4" w:space="0" w:color="auto"/>
            </w:tcBorders>
            <w:shd w:val="clear" w:color="auto" w:fill="FF0000"/>
            <w:noWrap/>
            <w:vAlign w:val="bottom"/>
          </w:tcPr>
          <w:p w14:paraId="7E4824AF" w14:textId="77777777" w:rsidR="007F4C34" w:rsidRPr="00C629BE" w:rsidRDefault="007F4C34" w:rsidP="00167C47">
            <w:pPr>
              <w:spacing w:after="240" w:line="240" w:lineRule="auto"/>
              <w:jc w:val="center"/>
              <w:rPr>
                <w:rFonts w:ascii="Arial" w:eastAsia="Times New Roman" w:hAnsi="Arial" w:cs="Arial"/>
                <w:color w:val="000000"/>
                <w:sz w:val="18"/>
                <w:szCs w:val="18"/>
              </w:rPr>
            </w:pPr>
            <w:r w:rsidRPr="00C629BE">
              <w:rPr>
                <w:rFonts w:ascii="Arial" w:eastAsia="Times New Roman" w:hAnsi="Arial" w:cs="Arial"/>
                <w:color w:val="000000"/>
                <w:sz w:val="18"/>
                <w:szCs w:val="18"/>
              </w:rPr>
              <w:t>2.71</w:t>
            </w:r>
          </w:p>
          <w:p w14:paraId="30B44DB4" w14:textId="77777777" w:rsidR="007F4C34" w:rsidRPr="00C629BE" w:rsidRDefault="007F4C34" w:rsidP="00167C47">
            <w:pPr>
              <w:spacing w:after="240" w:line="240" w:lineRule="auto"/>
              <w:jc w:val="center"/>
              <w:rPr>
                <w:rFonts w:ascii="Arial" w:eastAsia="Times New Roman" w:hAnsi="Arial" w:cs="Arial"/>
                <w:color w:val="000000"/>
                <w:sz w:val="18"/>
                <w:szCs w:val="18"/>
              </w:rPr>
            </w:pPr>
          </w:p>
          <w:p w14:paraId="1015BD3F" w14:textId="77777777" w:rsidR="007F4C34" w:rsidRPr="00C629BE" w:rsidRDefault="007F4C34" w:rsidP="00167C47">
            <w:pPr>
              <w:spacing w:after="240" w:line="240" w:lineRule="auto"/>
              <w:jc w:val="center"/>
              <w:rPr>
                <w:rFonts w:ascii="Arial" w:eastAsia="Times New Roman" w:hAnsi="Arial" w:cs="Arial"/>
                <w:color w:val="000000"/>
                <w:sz w:val="18"/>
                <w:szCs w:val="18"/>
              </w:rPr>
            </w:pPr>
          </w:p>
        </w:tc>
        <w:tc>
          <w:tcPr>
            <w:tcW w:w="1523" w:type="dxa"/>
            <w:tcBorders>
              <w:top w:val="single" w:sz="4" w:space="0" w:color="auto"/>
              <w:left w:val="nil"/>
              <w:bottom w:val="single" w:sz="4" w:space="0" w:color="auto"/>
              <w:right w:val="single" w:sz="4" w:space="0" w:color="auto"/>
            </w:tcBorders>
            <w:shd w:val="clear" w:color="auto" w:fill="FF0000"/>
            <w:noWrap/>
            <w:vAlign w:val="bottom"/>
          </w:tcPr>
          <w:p w14:paraId="2D09DEF9" w14:textId="77777777" w:rsidR="007F4C34" w:rsidRPr="00C629BE" w:rsidRDefault="007F4C34" w:rsidP="00167C47">
            <w:pPr>
              <w:spacing w:after="240" w:line="240" w:lineRule="auto"/>
              <w:jc w:val="center"/>
              <w:rPr>
                <w:rFonts w:ascii="Arial" w:eastAsia="Times New Roman" w:hAnsi="Arial" w:cs="Arial"/>
                <w:color w:val="000000"/>
                <w:sz w:val="18"/>
                <w:szCs w:val="18"/>
              </w:rPr>
            </w:pPr>
            <w:r w:rsidRPr="00C629BE">
              <w:rPr>
                <w:rFonts w:ascii="Arial" w:eastAsia="Times New Roman" w:hAnsi="Arial" w:cs="Arial"/>
                <w:color w:val="000000"/>
                <w:sz w:val="18"/>
                <w:szCs w:val="18"/>
              </w:rPr>
              <w:t>2.75</w:t>
            </w:r>
          </w:p>
          <w:p w14:paraId="6EBBBC10" w14:textId="77777777" w:rsidR="007F4C34" w:rsidRPr="00C629BE" w:rsidRDefault="007F4C34" w:rsidP="00167C47">
            <w:pPr>
              <w:spacing w:after="240" w:line="240" w:lineRule="auto"/>
              <w:jc w:val="center"/>
              <w:rPr>
                <w:rFonts w:ascii="Arial" w:eastAsia="Times New Roman" w:hAnsi="Arial" w:cs="Arial"/>
                <w:color w:val="000000"/>
                <w:sz w:val="18"/>
                <w:szCs w:val="18"/>
              </w:rPr>
            </w:pPr>
          </w:p>
          <w:p w14:paraId="332AA833" w14:textId="77777777" w:rsidR="007F4C34" w:rsidRPr="00C629BE" w:rsidRDefault="007F4C34" w:rsidP="00167C47">
            <w:pPr>
              <w:spacing w:after="240" w:line="240" w:lineRule="auto"/>
              <w:jc w:val="center"/>
              <w:rPr>
                <w:rFonts w:ascii="Arial" w:eastAsia="Times New Roman" w:hAnsi="Arial" w:cs="Arial"/>
                <w:color w:val="000000"/>
                <w:sz w:val="18"/>
                <w:szCs w:val="18"/>
              </w:rPr>
            </w:pPr>
          </w:p>
        </w:tc>
        <w:tc>
          <w:tcPr>
            <w:tcW w:w="1413" w:type="dxa"/>
            <w:tcBorders>
              <w:top w:val="single" w:sz="4" w:space="0" w:color="auto"/>
              <w:left w:val="nil"/>
              <w:bottom w:val="single" w:sz="4" w:space="0" w:color="auto"/>
              <w:right w:val="single" w:sz="4" w:space="0" w:color="auto"/>
            </w:tcBorders>
            <w:shd w:val="clear" w:color="auto" w:fill="FF0000"/>
            <w:noWrap/>
            <w:vAlign w:val="bottom"/>
          </w:tcPr>
          <w:p w14:paraId="06838612" w14:textId="77777777" w:rsidR="007F4C34" w:rsidRPr="00C629BE" w:rsidRDefault="007F4C34" w:rsidP="00167C47">
            <w:pPr>
              <w:spacing w:after="240" w:line="240" w:lineRule="auto"/>
              <w:jc w:val="center"/>
              <w:rPr>
                <w:rFonts w:ascii="Arial" w:eastAsia="Times New Roman" w:hAnsi="Arial" w:cs="Arial"/>
                <w:color w:val="000000"/>
                <w:sz w:val="18"/>
                <w:szCs w:val="18"/>
              </w:rPr>
            </w:pPr>
            <w:r w:rsidRPr="00C629BE">
              <w:rPr>
                <w:rFonts w:ascii="Arial" w:eastAsia="Times New Roman" w:hAnsi="Arial" w:cs="Arial"/>
                <w:color w:val="000000"/>
                <w:sz w:val="18"/>
                <w:szCs w:val="18"/>
              </w:rPr>
              <w:t>1</w:t>
            </w:r>
          </w:p>
          <w:p w14:paraId="7EBB1656" w14:textId="77777777" w:rsidR="007F4C34" w:rsidRPr="00C629BE" w:rsidRDefault="007F4C34" w:rsidP="00167C47">
            <w:pPr>
              <w:spacing w:after="240" w:line="240" w:lineRule="auto"/>
              <w:jc w:val="center"/>
              <w:rPr>
                <w:rFonts w:ascii="Arial" w:eastAsia="Times New Roman" w:hAnsi="Arial" w:cs="Arial"/>
                <w:color w:val="000000"/>
                <w:sz w:val="18"/>
                <w:szCs w:val="18"/>
              </w:rPr>
            </w:pPr>
          </w:p>
          <w:p w14:paraId="6A54CB1D" w14:textId="77777777" w:rsidR="007F4C34" w:rsidRPr="00C629BE" w:rsidRDefault="007F4C34" w:rsidP="00167C47">
            <w:pPr>
              <w:spacing w:after="240" w:line="240" w:lineRule="auto"/>
              <w:jc w:val="center"/>
              <w:rPr>
                <w:rFonts w:ascii="Arial" w:eastAsia="Times New Roman" w:hAnsi="Arial" w:cs="Arial"/>
                <w:color w:val="000000"/>
                <w:sz w:val="18"/>
                <w:szCs w:val="18"/>
              </w:rPr>
            </w:pPr>
          </w:p>
        </w:tc>
        <w:tc>
          <w:tcPr>
            <w:tcW w:w="1390" w:type="dxa"/>
            <w:tcBorders>
              <w:top w:val="single" w:sz="4" w:space="0" w:color="auto"/>
              <w:left w:val="nil"/>
              <w:bottom w:val="single" w:sz="4" w:space="0" w:color="auto"/>
              <w:right w:val="single" w:sz="4" w:space="0" w:color="auto"/>
            </w:tcBorders>
            <w:shd w:val="clear" w:color="auto" w:fill="FF0000"/>
            <w:noWrap/>
            <w:vAlign w:val="bottom"/>
          </w:tcPr>
          <w:p w14:paraId="52010AB3" w14:textId="77777777" w:rsidR="007F4C34" w:rsidRPr="00C629BE" w:rsidRDefault="007F4C34" w:rsidP="00167C47">
            <w:pPr>
              <w:spacing w:after="240" w:line="240" w:lineRule="auto"/>
              <w:jc w:val="center"/>
              <w:rPr>
                <w:rFonts w:ascii="Arial" w:eastAsia="Times New Roman" w:hAnsi="Arial" w:cs="Arial"/>
                <w:color w:val="000000"/>
                <w:sz w:val="18"/>
                <w:szCs w:val="18"/>
              </w:rPr>
            </w:pPr>
            <w:r w:rsidRPr="00C629BE">
              <w:rPr>
                <w:rFonts w:ascii="Arial" w:eastAsia="Times New Roman" w:hAnsi="Arial" w:cs="Arial"/>
                <w:color w:val="000000"/>
                <w:sz w:val="18"/>
                <w:szCs w:val="18"/>
              </w:rPr>
              <w:t>2</w:t>
            </w:r>
          </w:p>
          <w:p w14:paraId="0D0455D7" w14:textId="77777777" w:rsidR="007F4C34" w:rsidRPr="00C629BE" w:rsidRDefault="007F4C34" w:rsidP="00167C47">
            <w:pPr>
              <w:spacing w:after="240" w:line="240" w:lineRule="auto"/>
              <w:jc w:val="center"/>
              <w:rPr>
                <w:rFonts w:ascii="Arial" w:eastAsia="Times New Roman" w:hAnsi="Arial" w:cs="Arial"/>
                <w:color w:val="000000"/>
                <w:sz w:val="18"/>
                <w:szCs w:val="18"/>
              </w:rPr>
            </w:pPr>
          </w:p>
          <w:p w14:paraId="7A5DC04A" w14:textId="77777777" w:rsidR="007F4C34" w:rsidRPr="00C629BE" w:rsidRDefault="007F4C34" w:rsidP="00167C47">
            <w:pPr>
              <w:spacing w:after="240" w:line="240" w:lineRule="auto"/>
              <w:jc w:val="center"/>
              <w:rPr>
                <w:rFonts w:ascii="Arial" w:eastAsia="Times New Roman" w:hAnsi="Arial" w:cs="Arial"/>
                <w:color w:val="000000"/>
                <w:sz w:val="18"/>
                <w:szCs w:val="18"/>
              </w:rPr>
            </w:pPr>
          </w:p>
        </w:tc>
      </w:tr>
      <w:tr w:rsidR="007F4C34" w:rsidRPr="00DD37EC" w14:paraId="4B97B9A6" w14:textId="77777777" w:rsidTr="00167C47">
        <w:trPr>
          <w:trHeight w:hRule="exact" w:val="1081"/>
        </w:trPr>
        <w:tc>
          <w:tcPr>
            <w:tcW w:w="3355" w:type="dxa"/>
            <w:tcBorders>
              <w:top w:val="single" w:sz="4" w:space="0" w:color="auto"/>
              <w:left w:val="single" w:sz="4" w:space="0" w:color="auto"/>
              <w:bottom w:val="single" w:sz="4" w:space="0" w:color="auto"/>
              <w:right w:val="single" w:sz="4" w:space="0" w:color="auto"/>
            </w:tcBorders>
            <w:shd w:val="clear" w:color="auto" w:fill="auto"/>
            <w:vAlign w:val="bottom"/>
          </w:tcPr>
          <w:p w14:paraId="109358F2" w14:textId="77777777" w:rsidR="007F4C34" w:rsidRPr="00C629BE" w:rsidRDefault="007F4C34" w:rsidP="00167C47">
            <w:pPr>
              <w:spacing w:after="240" w:line="240" w:lineRule="auto"/>
              <w:rPr>
                <w:rFonts w:ascii="Arial" w:eastAsia="Times New Roman" w:hAnsi="Arial" w:cs="Arial"/>
                <w:color w:val="000000"/>
                <w:sz w:val="18"/>
                <w:szCs w:val="18"/>
                <w:lang w:val="es-MX"/>
              </w:rPr>
            </w:pPr>
            <w:r w:rsidRPr="00C629BE">
              <w:rPr>
                <w:rFonts w:ascii="Arial" w:eastAsia="Times New Roman" w:hAnsi="Arial" w:cs="Arial"/>
                <w:color w:val="000000"/>
                <w:sz w:val="18"/>
                <w:szCs w:val="18"/>
                <w:lang w:val="es-MX"/>
              </w:rPr>
              <w:t xml:space="preserve">Pluralidad y fragmentación institucional: SESAL, CONADEH, Secretaria de Derechos Humanos, CONASIDA con mandatos competitivos y falta de coordinación. </w:t>
            </w:r>
          </w:p>
        </w:tc>
        <w:tc>
          <w:tcPr>
            <w:tcW w:w="1669" w:type="dxa"/>
            <w:tcBorders>
              <w:top w:val="single" w:sz="4" w:space="0" w:color="auto"/>
              <w:left w:val="nil"/>
              <w:bottom w:val="single" w:sz="4" w:space="0" w:color="auto"/>
              <w:right w:val="single" w:sz="4" w:space="0" w:color="auto"/>
            </w:tcBorders>
            <w:shd w:val="clear" w:color="auto" w:fill="92D050"/>
            <w:noWrap/>
            <w:vAlign w:val="bottom"/>
          </w:tcPr>
          <w:p w14:paraId="7FC80112" w14:textId="77777777" w:rsidR="007F4C34" w:rsidRPr="00C629BE" w:rsidRDefault="007F4C34" w:rsidP="00167C47">
            <w:pPr>
              <w:spacing w:after="240" w:line="240" w:lineRule="auto"/>
              <w:jc w:val="center"/>
              <w:rPr>
                <w:rFonts w:ascii="Arial" w:eastAsia="Times New Roman" w:hAnsi="Arial" w:cs="Arial"/>
                <w:color w:val="000000"/>
                <w:sz w:val="18"/>
                <w:szCs w:val="18"/>
              </w:rPr>
            </w:pPr>
            <w:r w:rsidRPr="00C629BE">
              <w:rPr>
                <w:rFonts w:ascii="Arial" w:eastAsia="Times New Roman" w:hAnsi="Arial" w:cs="Arial"/>
                <w:color w:val="000000"/>
                <w:sz w:val="18"/>
                <w:szCs w:val="18"/>
              </w:rPr>
              <w:t>2.24</w:t>
            </w:r>
          </w:p>
          <w:p w14:paraId="36DE027B" w14:textId="77777777" w:rsidR="007F4C34" w:rsidRPr="00C629BE" w:rsidRDefault="007F4C34" w:rsidP="00167C47">
            <w:pPr>
              <w:spacing w:after="240" w:line="240" w:lineRule="auto"/>
              <w:jc w:val="center"/>
              <w:rPr>
                <w:rFonts w:ascii="Arial" w:eastAsia="Times New Roman" w:hAnsi="Arial" w:cs="Arial"/>
                <w:color w:val="000000"/>
                <w:sz w:val="18"/>
                <w:szCs w:val="18"/>
              </w:rPr>
            </w:pPr>
          </w:p>
        </w:tc>
        <w:tc>
          <w:tcPr>
            <w:tcW w:w="1523" w:type="dxa"/>
            <w:tcBorders>
              <w:top w:val="single" w:sz="4" w:space="0" w:color="auto"/>
              <w:left w:val="nil"/>
              <w:bottom w:val="single" w:sz="4" w:space="0" w:color="auto"/>
              <w:right w:val="single" w:sz="4" w:space="0" w:color="auto"/>
            </w:tcBorders>
            <w:shd w:val="clear" w:color="auto" w:fill="92D050"/>
            <w:noWrap/>
            <w:vAlign w:val="bottom"/>
          </w:tcPr>
          <w:p w14:paraId="7E11F4BB" w14:textId="77777777" w:rsidR="007F4C34" w:rsidRPr="00C629BE" w:rsidRDefault="007F4C34" w:rsidP="00167C47">
            <w:pPr>
              <w:spacing w:after="240" w:line="240" w:lineRule="auto"/>
              <w:jc w:val="center"/>
              <w:rPr>
                <w:rFonts w:ascii="Arial" w:eastAsia="Times New Roman" w:hAnsi="Arial" w:cs="Arial"/>
                <w:color w:val="000000"/>
                <w:sz w:val="18"/>
                <w:szCs w:val="18"/>
              </w:rPr>
            </w:pPr>
            <w:r w:rsidRPr="00C629BE">
              <w:rPr>
                <w:rFonts w:ascii="Arial" w:eastAsia="Times New Roman" w:hAnsi="Arial" w:cs="Arial"/>
                <w:color w:val="000000"/>
                <w:sz w:val="18"/>
                <w:szCs w:val="18"/>
              </w:rPr>
              <w:t>2.38</w:t>
            </w:r>
          </w:p>
          <w:p w14:paraId="11E6B827" w14:textId="77777777" w:rsidR="007F4C34" w:rsidRPr="00C629BE" w:rsidRDefault="007F4C34" w:rsidP="00167C47">
            <w:pPr>
              <w:spacing w:after="240" w:line="240" w:lineRule="auto"/>
              <w:jc w:val="center"/>
              <w:rPr>
                <w:rFonts w:ascii="Arial" w:eastAsia="Times New Roman" w:hAnsi="Arial" w:cs="Arial"/>
                <w:color w:val="000000"/>
                <w:sz w:val="18"/>
                <w:szCs w:val="18"/>
              </w:rPr>
            </w:pPr>
          </w:p>
        </w:tc>
        <w:tc>
          <w:tcPr>
            <w:tcW w:w="1413" w:type="dxa"/>
            <w:tcBorders>
              <w:top w:val="single" w:sz="4" w:space="0" w:color="auto"/>
              <w:left w:val="nil"/>
              <w:bottom w:val="single" w:sz="4" w:space="0" w:color="auto"/>
              <w:right w:val="single" w:sz="4" w:space="0" w:color="auto"/>
            </w:tcBorders>
            <w:shd w:val="clear" w:color="auto" w:fill="FFC000"/>
            <w:noWrap/>
            <w:vAlign w:val="bottom"/>
          </w:tcPr>
          <w:p w14:paraId="5B335A5A" w14:textId="77777777" w:rsidR="007F4C34" w:rsidRPr="00C629BE" w:rsidRDefault="007F4C34" w:rsidP="00167C47">
            <w:pPr>
              <w:spacing w:after="240" w:line="240" w:lineRule="auto"/>
              <w:jc w:val="center"/>
              <w:rPr>
                <w:rFonts w:ascii="Arial" w:eastAsia="Times New Roman" w:hAnsi="Arial" w:cs="Arial"/>
                <w:color w:val="000000"/>
                <w:sz w:val="18"/>
                <w:szCs w:val="18"/>
              </w:rPr>
            </w:pPr>
            <w:r w:rsidRPr="00C629BE">
              <w:rPr>
                <w:rFonts w:ascii="Arial" w:eastAsia="Times New Roman" w:hAnsi="Arial" w:cs="Arial"/>
                <w:color w:val="000000"/>
                <w:sz w:val="18"/>
                <w:szCs w:val="18"/>
              </w:rPr>
              <w:t>2</w:t>
            </w:r>
          </w:p>
          <w:p w14:paraId="5C1E12A6" w14:textId="77777777" w:rsidR="007F4C34" w:rsidRPr="00C629BE" w:rsidRDefault="007F4C34" w:rsidP="00167C47">
            <w:pPr>
              <w:spacing w:after="240" w:line="240" w:lineRule="auto"/>
              <w:jc w:val="center"/>
              <w:rPr>
                <w:rFonts w:ascii="Arial" w:eastAsia="Times New Roman" w:hAnsi="Arial" w:cs="Arial"/>
                <w:color w:val="000000"/>
                <w:sz w:val="18"/>
                <w:szCs w:val="18"/>
              </w:rPr>
            </w:pPr>
          </w:p>
        </w:tc>
        <w:tc>
          <w:tcPr>
            <w:tcW w:w="1390" w:type="dxa"/>
            <w:tcBorders>
              <w:top w:val="single" w:sz="4" w:space="0" w:color="auto"/>
              <w:left w:val="nil"/>
              <w:bottom w:val="single" w:sz="4" w:space="0" w:color="auto"/>
              <w:right w:val="single" w:sz="4" w:space="0" w:color="auto"/>
            </w:tcBorders>
            <w:shd w:val="clear" w:color="auto" w:fill="FFFF00"/>
            <w:noWrap/>
            <w:vAlign w:val="bottom"/>
          </w:tcPr>
          <w:p w14:paraId="08BE4FFC" w14:textId="77777777" w:rsidR="007F4C34" w:rsidRPr="00C629BE" w:rsidRDefault="007F4C34" w:rsidP="00167C47">
            <w:pPr>
              <w:spacing w:after="240" w:line="240" w:lineRule="auto"/>
              <w:jc w:val="center"/>
              <w:rPr>
                <w:rFonts w:ascii="Arial" w:eastAsia="Times New Roman" w:hAnsi="Arial" w:cs="Arial"/>
                <w:color w:val="000000"/>
                <w:sz w:val="18"/>
                <w:szCs w:val="18"/>
              </w:rPr>
            </w:pPr>
            <w:r w:rsidRPr="00C629BE">
              <w:rPr>
                <w:rFonts w:ascii="Arial" w:eastAsia="Times New Roman" w:hAnsi="Arial" w:cs="Arial"/>
                <w:color w:val="000000"/>
                <w:sz w:val="18"/>
                <w:szCs w:val="18"/>
              </w:rPr>
              <w:t>15</w:t>
            </w:r>
          </w:p>
          <w:p w14:paraId="080F3CAF" w14:textId="77777777" w:rsidR="007F4C34" w:rsidRPr="00C629BE" w:rsidRDefault="007F4C34" w:rsidP="00167C47">
            <w:pPr>
              <w:spacing w:after="240" w:line="240" w:lineRule="auto"/>
              <w:jc w:val="center"/>
              <w:rPr>
                <w:rFonts w:ascii="Arial" w:eastAsia="Times New Roman" w:hAnsi="Arial" w:cs="Arial"/>
                <w:color w:val="000000"/>
                <w:sz w:val="18"/>
                <w:szCs w:val="18"/>
              </w:rPr>
            </w:pPr>
          </w:p>
        </w:tc>
      </w:tr>
      <w:tr w:rsidR="007F4C34" w:rsidRPr="00DD37EC" w14:paraId="5419FEF4" w14:textId="77777777" w:rsidTr="00167C47">
        <w:trPr>
          <w:trHeight w:hRule="exact" w:val="901"/>
        </w:trPr>
        <w:tc>
          <w:tcPr>
            <w:tcW w:w="3355" w:type="dxa"/>
            <w:tcBorders>
              <w:top w:val="single" w:sz="4" w:space="0" w:color="auto"/>
              <w:left w:val="single" w:sz="4" w:space="0" w:color="auto"/>
              <w:bottom w:val="single" w:sz="4" w:space="0" w:color="auto"/>
              <w:right w:val="single" w:sz="4" w:space="0" w:color="auto"/>
            </w:tcBorders>
            <w:shd w:val="clear" w:color="auto" w:fill="auto"/>
            <w:vAlign w:val="bottom"/>
          </w:tcPr>
          <w:p w14:paraId="16B9F85D" w14:textId="77777777" w:rsidR="007F4C34" w:rsidRPr="00C629BE" w:rsidRDefault="007F4C34" w:rsidP="00167C47">
            <w:pPr>
              <w:spacing w:after="240" w:line="240" w:lineRule="auto"/>
              <w:rPr>
                <w:rFonts w:ascii="Arial" w:eastAsia="Times New Roman" w:hAnsi="Arial" w:cs="Arial"/>
                <w:color w:val="000000"/>
                <w:sz w:val="18"/>
                <w:szCs w:val="18"/>
                <w:lang w:val="es-MX"/>
              </w:rPr>
            </w:pPr>
            <w:r w:rsidRPr="00C629BE">
              <w:rPr>
                <w:rFonts w:ascii="Arial" w:eastAsia="Times New Roman" w:hAnsi="Arial" w:cs="Arial"/>
                <w:color w:val="000000"/>
                <w:sz w:val="18"/>
                <w:szCs w:val="18"/>
                <w:lang w:val="es-MX"/>
              </w:rPr>
              <w:t>Fragilidad institucional y estructural de la CONASIDA “de nivel técnico” como organismo coordinador y desactivación de la CONASIDA “de nivel político”</w:t>
            </w:r>
            <w:r>
              <w:rPr>
                <w:rFonts w:ascii="Arial" w:eastAsia="Times New Roman" w:hAnsi="Arial" w:cs="Arial"/>
                <w:color w:val="000000"/>
                <w:sz w:val="18"/>
                <w:szCs w:val="18"/>
                <w:lang w:val="es-MX"/>
              </w:rPr>
              <w:t>.</w:t>
            </w:r>
          </w:p>
        </w:tc>
        <w:tc>
          <w:tcPr>
            <w:tcW w:w="1669" w:type="dxa"/>
            <w:tcBorders>
              <w:top w:val="single" w:sz="4" w:space="0" w:color="auto"/>
              <w:left w:val="nil"/>
              <w:bottom w:val="single" w:sz="4" w:space="0" w:color="auto"/>
              <w:right w:val="single" w:sz="4" w:space="0" w:color="auto"/>
            </w:tcBorders>
            <w:shd w:val="clear" w:color="auto" w:fill="92D050"/>
            <w:noWrap/>
            <w:vAlign w:val="bottom"/>
          </w:tcPr>
          <w:p w14:paraId="7779C034" w14:textId="77777777" w:rsidR="007F4C34" w:rsidRPr="00C629BE" w:rsidRDefault="007F4C34" w:rsidP="00167C47">
            <w:pPr>
              <w:spacing w:after="240" w:line="240" w:lineRule="auto"/>
              <w:jc w:val="center"/>
              <w:rPr>
                <w:rFonts w:ascii="Arial" w:eastAsia="Times New Roman" w:hAnsi="Arial" w:cs="Arial"/>
                <w:color w:val="000000"/>
                <w:sz w:val="18"/>
                <w:szCs w:val="18"/>
              </w:rPr>
            </w:pPr>
            <w:r w:rsidRPr="00C629BE">
              <w:rPr>
                <w:rFonts w:ascii="Arial" w:eastAsia="Times New Roman" w:hAnsi="Arial" w:cs="Arial"/>
                <w:color w:val="000000"/>
                <w:sz w:val="18"/>
                <w:szCs w:val="18"/>
              </w:rPr>
              <w:t>2.24</w:t>
            </w:r>
          </w:p>
          <w:p w14:paraId="14CF827B" w14:textId="77777777" w:rsidR="007F4C34" w:rsidRPr="00C629BE" w:rsidRDefault="007F4C34" w:rsidP="00167C47">
            <w:pPr>
              <w:spacing w:after="240" w:line="240" w:lineRule="auto"/>
              <w:jc w:val="center"/>
              <w:rPr>
                <w:rFonts w:ascii="Arial" w:eastAsia="Times New Roman" w:hAnsi="Arial" w:cs="Arial"/>
                <w:color w:val="000000"/>
                <w:sz w:val="18"/>
                <w:szCs w:val="18"/>
              </w:rPr>
            </w:pPr>
          </w:p>
        </w:tc>
        <w:tc>
          <w:tcPr>
            <w:tcW w:w="1523" w:type="dxa"/>
            <w:tcBorders>
              <w:top w:val="single" w:sz="4" w:space="0" w:color="auto"/>
              <w:left w:val="nil"/>
              <w:bottom w:val="single" w:sz="4" w:space="0" w:color="auto"/>
              <w:right w:val="single" w:sz="4" w:space="0" w:color="auto"/>
            </w:tcBorders>
            <w:shd w:val="clear" w:color="auto" w:fill="92D050"/>
            <w:noWrap/>
            <w:vAlign w:val="bottom"/>
          </w:tcPr>
          <w:p w14:paraId="77CD5843" w14:textId="77777777" w:rsidR="007F4C34" w:rsidRPr="00C629BE" w:rsidRDefault="007F4C34" w:rsidP="00167C47">
            <w:pPr>
              <w:spacing w:after="240" w:line="240" w:lineRule="auto"/>
              <w:jc w:val="center"/>
              <w:rPr>
                <w:rFonts w:ascii="Arial" w:eastAsia="Times New Roman" w:hAnsi="Arial" w:cs="Arial"/>
                <w:color w:val="000000"/>
                <w:sz w:val="18"/>
                <w:szCs w:val="18"/>
              </w:rPr>
            </w:pPr>
            <w:r w:rsidRPr="00C629BE">
              <w:rPr>
                <w:rFonts w:ascii="Arial" w:eastAsia="Times New Roman" w:hAnsi="Arial" w:cs="Arial"/>
                <w:color w:val="000000"/>
                <w:sz w:val="18"/>
                <w:szCs w:val="18"/>
              </w:rPr>
              <w:t>2.44</w:t>
            </w:r>
          </w:p>
          <w:p w14:paraId="1BBFE94B" w14:textId="77777777" w:rsidR="007F4C34" w:rsidRPr="00C629BE" w:rsidRDefault="007F4C34" w:rsidP="00167C47">
            <w:pPr>
              <w:spacing w:after="240" w:line="240" w:lineRule="auto"/>
              <w:jc w:val="center"/>
              <w:rPr>
                <w:rFonts w:ascii="Arial" w:eastAsia="Times New Roman" w:hAnsi="Arial" w:cs="Arial"/>
                <w:color w:val="000000"/>
                <w:sz w:val="18"/>
                <w:szCs w:val="18"/>
              </w:rPr>
            </w:pPr>
          </w:p>
        </w:tc>
        <w:tc>
          <w:tcPr>
            <w:tcW w:w="1413" w:type="dxa"/>
            <w:tcBorders>
              <w:top w:val="single" w:sz="4" w:space="0" w:color="auto"/>
              <w:left w:val="nil"/>
              <w:bottom w:val="single" w:sz="4" w:space="0" w:color="auto"/>
              <w:right w:val="single" w:sz="4" w:space="0" w:color="auto"/>
            </w:tcBorders>
            <w:shd w:val="clear" w:color="auto" w:fill="FFFF00"/>
            <w:noWrap/>
            <w:vAlign w:val="bottom"/>
          </w:tcPr>
          <w:p w14:paraId="2C65ABE7" w14:textId="77777777" w:rsidR="007F4C34" w:rsidRPr="00C629BE" w:rsidRDefault="007F4C34" w:rsidP="00167C47">
            <w:pPr>
              <w:spacing w:after="240" w:line="240" w:lineRule="auto"/>
              <w:jc w:val="center"/>
              <w:rPr>
                <w:rFonts w:ascii="Arial" w:eastAsia="Times New Roman" w:hAnsi="Arial" w:cs="Arial"/>
                <w:color w:val="000000"/>
                <w:sz w:val="18"/>
                <w:szCs w:val="18"/>
              </w:rPr>
            </w:pPr>
            <w:r w:rsidRPr="00C629BE">
              <w:rPr>
                <w:rFonts w:ascii="Arial" w:eastAsia="Times New Roman" w:hAnsi="Arial" w:cs="Arial"/>
                <w:color w:val="000000"/>
                <w:sz w:val="18"/>
                <w:szCs w:val="18"/>
              </w:rPr>
              <w:t>3</w:t>
            </w:r>
          </w:p>
          <w:p w14:paraId="53808599" w14:textId="77777777" w:rsidR="007F4C34" w:rsidRPr="00C629BE" w:rsidRDefault="007F4C34" w:rsidP="00167C47">
            <w:pPr>
              <w:spacing w:after="240" w:line="240" w:lineRule="auto"/>
              <w:jc w:val="center"/>
              <w:rPr>
                <w:rFonts w:ascii="Arial" w:eastAsia="Times New Roman" w:hAnsi="Arial" w:cs="Arial"/>
                <w:color w:val="000000"/>
                <w:sz w:val="18"/>
                <w:szCs w:val="18"/>
              </w:rPr>
            </w:pPr>
          </w:p>
        </w:tc>
        <w:tc>
          <w:tcPr>
            <w:tcW w:w="1390" w:type="dxa"/>
            <w:tcBorders>
              <w:top w:val="single" w:sz="4" w:space="0" w:color="auto"/>
              <w:left w:val="nil"/>
              <w:bottom w:val="single" w:sz="4" w:space="0" w:color="auto"/>
              <w:right w:val="single" w:sz="4" w:space="0" w:color="auto"/>
            </w:tcBorders>
            <w:shd w:val="clear" w:color="auto" w:fill="FFFF00"/>
            <w:noWrap/>
            <w:vAlign w:val="bottom"/>
          </w:tcPr>
          <w:p w14:paraId="04921FC5" w14:textId="77777777" w:rsidR="007F4C34" w:rsidRPr="00C629BE" w:rsidRDefault="007F4C34" w:rsidP="00167C47">
            <w:pPr>
              <w:spacing w:after="240" w:line="240" w:lineRule="auto"/>
              <w:jc w:val="center"/>
              <w:rPr>
                <w:rFonts w:ascii="Arial" w:eastAsia="Times New Roman" w:hAnsi="Arial" w:cs="Arial"/>
                <w:color w:val="000000"/>
                <w:sz w:val="18"/>
                <w:szCs w:val="18"/>
              </w:rPr>
            </w:pPr>
            <w:r w:rsidRPr="00C629BE">
              <w:rPr>
                <w:rFonts w:ascii="Arial" w:eastAsia="Times New Roman" w:hAnsi="Arial" w:cs="Arial"/>
                <w:color w:val="000000"/>
                <w:sz w:val="18"/>
                <w:szCs w:val="18"/>
              </w:rPr>
              <w:t>13</w:t>
            </w:r>
          </w:p>
          <w:p w14:paraId="74D96C3B" w14:textId="77777777" w:rsidR="007F4C34" w:rsidRPr="00C629BE" w:rsidRDefault="007F4C34" w:rsidP="00167C47">
            <w:pPr>
              <w:spacing w:after="240" w:line="240" w:lineRule="auto"/>
              <w:jc w:val="center"/>
              <w:rPr>
                <w:rFonts w:ascii="Arial" w:eastAsia="Times New Roman" w:hAnsi="Arial" w:cs="Arial"/>
                <w:color w:val="000000"/>
                <w:sz w:val="18"/>
                <w:szCs w:val="18"/>
              </w:rPr>
            </w:pPr>
          </w:p>
        </w:tc>
      </w:tr>
    </w:tbl>
    <w:p w14:paraId="0456C9A9" w14:textId="77777777" w:rsidR="007F4C34" w:rsidRPr="00DD37EC" w:rsidRDefault="007F4C34" w:rsidP="00DE3EB8">
      <w:pPr>
        <w:spacing w:after="0" w:line="240" w:lineRule="auto"/>
        <w:rPr>
          <w:rFonts w:ascii="Arial" w:hAnsi="Arial" w:cs="Arial"/>
          <w:lang w:val="es-419"/>
        </w:rPr>
      </w:pPr>
    </w:p>
    <w:tbl>
      <w:tblPr>
        <w:tblStyle w:val="TableGrid"/>
        <w:tblW w:w="0" w:type="auto"/>
        <w:tblLook w:val="04A0" w:firstRow="1" w:lastRow="0" w:firstColumn="1" w:lastColumn="0" w:noHBand="0" w:noVBand="1"/>
      </w:tblPr>
      <w:tblGrid>
        <w:gridCol w:w="3415"/>
        <w:gridCol w:w="1800"/>
        <w:gridCol w:w="1620"/>
        <w:gridCol w:w="1350"/>
        <w:gridCol w:w="1165"/>
      </w:tblGrid>
      <w:tr w:rsidR="007F4C34" w:rsidRPr="00175E49" w14:paraId="46D16828" w14:textId="77777777" w:rsidTr="00167C47">
        <w:trPr>
          <w:trHeight w:hRule="exact" w:val="676"/>
        </w:trPr>
        <w:tc>
          <w:tcPr>
            <w:tcW w:w="3415" w:type="dxa"/>
            <w:shd w:val="clear" w:color="auto" w:fill="1F3864" w:themeFill="accent1" w:themeFillShade="80"/>
          </w:tcPr>
          <w:p w14:paraId="108304E8" w14:textId="77777777" w:rsidR="007F4C34" w:rsidRPr="00175E49" w:rsidRDefault="007F4C34" w:rsidP="00167C47">
            <w:pPr>
              <w:spacing w:after="240"/>
              <w:rPr>
                <w:rFonts w:ascii="Arial" w:hAnsi="Arial" w:cs="Arial"/>
                <w:b/>
                <w:sz w:val="18"/>
                <w:szCs w:val="18"/>
                <w:lang w:val="es-MX"/>
              </w:rPr>
            </w:pPr>
            <w:r w:rsidRPr="00175E49">
              <w:rPr>
                <w:rFonts w:ascii="Arial" w:hAnsi="Arial" w:cs="Arial"/>
                <w:b/>
                <w:sz w:val="18"/>
                <w:szCs w:val="18"/>
                <w:lang w:val="es-419"/>
              </w:rPr>
              <w:t>Clasificaci</w:t>
            </w:r>
            <w:r w:rsidRPr="00175E49">
              <w:rPr>
                <w:rFonts w:ascii="Arial" w:hAnsi="Arial" w:cs="Arial"/>
                <w:b/>
                <w:sz w:val="18"/>
                <w:szCs w:val="18"/>
                <w:lang w:val="es-MX"/>
              </w:rPr>
              <w:t>ón</w:t>
            </w:r>
          </w:p>
        </w:tc>
        <w:tc>
          <w:tcPr>
            <w:tcW w:w="1800" w:type="dxa"/>
            <w:shd w:val="clear" w:color="auto" w:fill="1F3864" w:themeFill="accent1" w:themeFillShade="80"/>
          </w:tcPr>
          <w:p w14:paraId="0D5FE7B7" w14:textId="77777777" w:rsidR="007F4C34" w:rsidRPr="00175E49" w:rsidRDefault="007F4C34" w:rsidP="00167C47">
            <w:pPr>
              <w:spacing w:after="240"/>
              <w:rPr>
                <w:rFonts w:ascii="Arial" w:eastAsia="Times New Roman" w:hAnsi="Arial" w:cs="Arial"/>
                <w:b/>
                <w:color w:val="FFFFFF" w:themeColor="background1"/>
                <w:sz w:val="18"/>
                <w:szCs w:val="18"/>
                <w:lang w:val="es-MX"/>
              </w:rPr>
            </w:pPr>
            <w:r w:rsidRPr="00175E49">
              <w:rPr>
                <w:rFonts w:ascii="Arial" w:eastAsia="Times New Roman" w:hAnsi="Arial" w:cs="Arial"/>
                <w:b/>
                <w:color w:val="FFFFFF" w:themeColor="background1"/>
                <w:sz w:val="18"/>
                <w:szCs w:val="18"/>
                <w:lang w:val="es-MX"/>
              </w:rPr>
              <w:t>Severidad en el control de la epidemia*</w:t>
            </w:r>
          </w:p>
        </w:tc>
        <w:tc>
          <w:tcPr>
            <w:tcW w:w="1620" w:type="dxa"/>
            <w:shd w:val="clear" w:color="auto" w:fill="1F3864" w:themeFill="accent1" w:themeFillShade="80"/>
          </w:tcPr>
          <w:p w14:paraId="33490A22" w14:textId="77777777" w:rsidR="007F4C34" w:rsidRPr="00175E49" w:rsidRDefault="007F4C34" w:rsidP="00167C47">
            <w:pPr>
              <w:spacing w:after="240"/>
              <w:rPr>
                <w:rFonts w:ascii="Arial" w:hAnsi="Arial" w:cs="Arial"/>
                <w:sz w:val="18"/>
                <w:szCs w:val="18"/>
                <w:lang w:val="es-419"/>
              </w:rPr>
            </w:pPr>
            <w:r w:rsidRPr="00175E49">
              <w:rPr>
                <w:rFonts w:ascii="Arial" w:eastAsia="Times New Roman" w:hAnsi="Arial" w:cs="Arial"/>
                <w:b/>
                <w:color w:val="FFFFFF" w:themeColor="background1"/>
                <w:sz w:val="18"/>
                <w:szCs w:val="18"/>
              </w:rPr>
              <w:t>Urgencia de los riesgos*</w:t>
            </w:r>
          </w:p>
        </w:tc>
        <w:tc>
          <w:tcPr>
            <w:tcW w:w="1350" w:type="dxa"/>
            <w:shd w:val="clear" w:color="auto" w:fill="1F3864" w:themeFill="accent1" w:themeFillShade="80"/>
          </w:tcPr>
          <w:p w14:paraId="14168C1A" w14:textId="77777777" w:rsidR="007F4C34" w:rsidRPr="00175E49" w:rsidRDefault="007F4C34" w:rsidP="00167C47">
            <w:pPr>
              <w:spacing w:after="240"/>
              <w:rPr>
                <w:rFonts w:ascii="Arial" w:hAnsi="Arial" w:cs="Arial"/>
                <w:sz w:val="18"/>
                <w:szCs w:val="18"/>
                <w:lang w:val="es-419"/>
              </w:rPr>
            </w:pPr>
            <w:r w:rsidRPr="00175E49">
              <w:rPr>
                <w:rFonts w:ascii="Arial" w:eastAsia="Times New Roman" w:hAnsi="Arial" w:cs="Arial"/>
                <w:b/>
                <w:color w:val="FFFFFF" w:themeColor="background1"/>
                <w:sz w:val="18"/>
                <w:szCs w:val="18"/>
              </w:rPr>
              <w:t>Ranking Subsección</w:t>
            </w:r>
          </w:p>
        </w:tc>
        <w:tc>
          <w:tcPr>
            <w:tcW w:w="1165" w:type="dxa"/>
            <w:shd w:val="clear" w:color="auto" w:fill="1F3864" w:themeFill="accent1" w:themeFillShade="80"/>
          </w:tcPr>
          <w:p w14:paraId="40097B71" w14:textId="77777777" w:rsidR="007F4C34" w:rsidRPr="00175E49" w:rsidRDefault="007F4C34" w:rsidP="00167C47">
            <w:pPr>
              <w:spacing w:after="240"/>
              <w:rPr>
                <w:rFonts w:ascii="Arial" w:hAnsi="Arial" w:cs="Arial"/>
                <w:sz w:val="18"/>
                <w:szCs w:val="18"/>
                <w:lang w:val="es-419"/>
              </w:rPr>
            </w:pPr>
            <w:r w:rsidRPr="00175E49">
              <w:rPr>
                <w:rFonts w:ascii="Arial" w:eastAsia="Times New Roman" w:hAnsi="Arial" w:cs="Arial"/>
                <w:b/>
                <w:color w:val="FFFFFF" w:themeColor="background1"/>
                <w:sz w:val="18"/>
                <w:szCs w:val="18"/>
              </w:rPr>
              <w:t>Ranking General</w:t>
            </w:r>
          </w:p>
        </w:tc>
      </w:tr>
      <w:tr w:rsidR="007F4C34" w:rsidRPr="00175E49" w14:paraId="4A1F5D13" w14:textId="77777777" w:rsidTr="00167C47">
        <w:trPr>
          <w:trHeight w:hRule="exact" w:val="288"/>
        </w:trPr>
        <w:tc>
          <w:tcPr>
            <w:tcW w:w="3415" w:type="dxa"/>
            <w:shd w:val="clear" w:color="auto" w:fill="FF0000"/>
          </w:tcPr>
          <w:p w14:paraId="6A9592A8" w14:textId="77777777" w:rsidR="007F4C34" w:rsidRPr="00175E49" w:rsidRDefault="007F4C34" w:rsidP="00167C47">
            <w:pPr>
              <w:spacing w:after="240"/>
              <w:rPr>
                <w:rFonts w:ascii="Arial" w:hAnsi="Arial" w:cs="Arial"/>
                <w:sz w:val="18"/>
                <w:szCs w:val="18"/>
                <w:lang w:val="es-419"/>
              </w:rPr>
            </w:pPr>
          </w:p>
        </w:tc>
        <w:tc>
          <w:tcPr>
            <w:tcW w:w="1800" w:type="dxa"/>
          </w:tcPr>
          <w:p w14:paraId="072825DB" w14:textId="77777777" w:rsidR="007F4C34" w:rsidRPr="00175E49" w:rsidRDefault="007F4C34" w:rsidP="00167C47">
            <w:pPr>
              <w:spacing w:after="240"/>
              <w:jc w:val="center"/>
              <w:rPr>
                <w:rFonts w:ascii="Arial" w:hAnsi="Arial" w:cs="Arial"/>
                <w:sz w:val="18"/>
                <w:szCs w:val="18"/>
              </w:rPr>
            </w:pPr>
            <w:r w:rsidRPr="00175E49">
              <w:rPr>
                <w:rFonts w:ascii="Arial" w:hAnsi="Arial" w:cs="Arial"/>
                <w:sz w:val="18"/>
                <w:szCs w:val="18"/>
              </w:rPr>
              <w:t>&gt;=2.66</w:t>
            </w:r>
          </w:p>
        </w:tc>
        <w:tc>
          <w:tcPr>
            <w:tcW w:w="1620" w:type="dxa"/>
          </w:tcPr>
          <w:p w14:paraId="2A40E879" w14:textId="77777777" w:rsidR="007F4C34" w:rsidRPr="00175E49" w:rsidRDefault="007F4C34" w:rsidP="00167C47">
            <w:pPr>
              <w:spacing w:after="240"/>
              <w:jc w:val="center"/>
              <w:rPr>
                <w:rFonts w:ascii="Arial" w:hAnsi="Arial" w:cs="Arial"/>
                <w:sz w:val="18"/>
                <w:szCs w:val="18"/>
                <w:lang w:val="es-419"/>
              </w:rPr>
            </w:pPr>
            <w:r w:rsidRPr="00175E49">
              <w:rPr>
                <w:rFonts w:ascii="Arial" w:hAnsi="Arial" w:cs="Arial"/>
                <w:sz w:val="18"/>
                <w:szCs w:val="18"/>
              </w:rPr>
              <w:t>&gt;=2.72</w:t>
            </w:r>
          </w:p>
        </w:tc>
        <w:tc>
          <w:tcPr>
            <w:tcW w:w="1350" w:type="dxa"/>
          </w:tcPr>
          <w:p w14:paraId="1723405A" w14:textId="77777777" w:rsidR="007F4C34" w:rsidRPr="00175E49" w:rsidRDefault="007F4C34" w:rsidP="00167C47">
            <w:pPr>
              <w:spacing w:after="240"/>
              <w:jc w:val="center"/>
              <w:rPr>
                <w:rFonts w:ascii="Arial" w:hAnsi="Arial" w:cs="Arial"/>
                <w:sz w:val="18"/>
                <w:szCs w:val="18"/>
                <w:lang w:val="es-419"/>
              </w:rPr>
            </w:pPr>
            <w:r w:rsidRPr="00175E49">
              <w:rPr>
                <w:rFonts w:ascii="Arial" w:hAnsi="Arial" w:cs="Arial"/>
                <w:sz w:val="18"/>
                <w:szCs w:val="18"/>
                <w:lang w:val="es-419"/>
              </w:rPr>
              <w:t>1</w:t>
            </w:r>
          </w:p>
        </w:tc>
        <w:tc>
          <w:tcPr>
            <w:tcW w:w="1165" w:type="dxa"/>
          </w:tcPr>
          <w:p w14:paraId="3E6880BB" w14:textId="77777777" w:rsidR="007F4C34" w:rsidRPr="00175E49" w:rsidRDefault="007F4C34" w:rsidP="00167C47">
            <w:pPr>
              <w:spacing w:after="240"/>
              <w:jc w:val="center"/>
              <w:rPr>
                <w:rFonts w:ascii="Arial" w:hAnsi="Arial" w:cs="Arial"/>
                <w:sz w:val="18"/>
                <w:szCs w:val="18"/>
                <w:lang w:val="es-419"/>
              </w:rPr>
            </w:pPr>
            <w:r w:rsidRPr="00175E49">
              <w:rPr>
                <w:rFonts w:ascii="Arial" w:hAnsi="Arial" w:cs="Arial"/>
                <w:sz w:val="18"/>
                <w:szCs w:val="18"/>
                <w:lang w:val="es-419"/>
              </w:rPr>
              <w:t>1-5</w:t>
            </w:r>
          </w:p>
        </w:tc>
      </w:tr>
      <w:tr w:rsidR="007F4C34" w:rsidRPr="00175E49" w14:paraId="2519594F" w14:textId="77777777" w:rsidTr="00167C47">
        <w:trPr>
          <w:trHeight w:hRule="exact" w:val="288"/>
        </w:trPr>
        <w:tc>
          <w:tcPr>
            <w:tcW w:w="3415" w:type="dxa"/>
            <w:shd w:val="clear" w:color="auto" w:fill="FFC000"/>
          </w:tcPr>
          <w:p w14:paraId="30428542" w14:textId="77777777" w:rsidR="007F4C34" w:rsidRPr="00175E49" w:rsidRDefault="007F4C34" w:rsidP="00167C47">
            <w:pPr>
              <w:spacing w:after="240"/>
              <w:rPr>
                <w:rFonts w:ascii="Arial" w:hAnsi="Arial" w:cs="Arial"/>
                <w:sz w:val="18"/>
                <w:szCs w:val="18"/>
                <w:lang w:val="es-419"/>
              </w:rPr>
            </w:pPr>
          </w:p>
        </w:tc>
        <w:tc>
          <w:tcPr>
            <w:tcW w:w="1800" w:type="dxa"/>
          </w:tcPr>
          <w:p w14:paraId="02FF0946" w14:textId="77777777" w:rsidR="007F4C34" w:rsidRPr="00175E49" w:rsidRDefault="007F4C34" w:rsidP="00167C47">
            <w:pPr>
              <w:spacing w:after="240"/>
              <w:jc w:val="center"/>
              <w:rPr>
                <w:rFonts w:ascii="Arial" w:hAnsi="Arial" w:cs="Arial"/>
                <w:sz w:val="18"/>
                <w:szCs w:val="18"/>
                <w:lang w:val="es-419"/>
              </w:rPr>
            </w:pPr>
            <w:r w:rsidRPr="00175E49">
              <w:rPr>
                <w:rFonts w:ascii="Arial" w:hAnsi="Arial" w:cs="Arial"/>
                <w:sz w:val="18"/>
                <w:szCs w:val="18"/>
                <w:lang w:val="es-419"/>
              </w:rPr>
              <w:t>&gt;=2.51</w:t>
            </w:r>
          </w:p>
        </w:tc>
        <w:tc>
          <w:tcPr>
            <w:tcW w:w="1620" w:type="dxa"/>
          </w:tcPr>
          <w:p w14:paraId="0D13832C" w14:textId="77777777" w:rsidR="007F4C34" w:rsidRPr="00175E49" w:rsidRDefault="007F4C34" w:rsidP="00167C47">
            <w:pPr>
              <w:spacing w:after="240"/>
              <w:jc w:val="center"/>
              <w:rPr>
                <w:rFonts w:ascii="Arial" w:hAnsi="Arial" w:cs="Arial"/>
                <w:sz w:val="18"/>
                <w:szCs w:val="18"/>
                <w:lang w:val="es-419"/>
              </w:rPr>
            </w:pPr>
            <w:r w:rsidRPr="00175E49">
              <w:rPr>
                <w:rFonts w:ascii="Arial" w:hAnsi="Arial" w:cs="Arial"/>
                <w:sz w:val="18"/>
                <w:szCs w:val="18"/>
                <w:lang w:val="es-419"/>
              </w:rPr>
              <w:t>&gt;=2.60</w:t>
            </w:r>
          </w:p>
        </w:tc>
        <w:tc>
          <w:tcPr>
            <w:tcW w:w="1350" w:type="dxa"/>
          </w:tcPr>
          <w:p w14:paraId="409BE011" w14:textId="77777777" w:rsidR="007F4C34" w:rsidRPr="00175E49" w:rsidRDefault="007F4C34" w:rsidP="00167C47">
            <w:pPr>
              <w:spacing w:after="240"/>
              <w:jc w:val="center"/>
              <w:rPr>
                <w:rFonts w:ascii="Arial" w:hAnsi="Arial" w:cs="Arial"/>
                <w:sz w:val="18"/>
                <w:szCs w:val="18"/>
                <w:lang w:val="es-419"/>
              </w:rPr>
            </w:pPr>
            <w:r w:rsidRPr="00175E49">
              <w:rPr>
                <w:rFonts w:ascii="Arial" w:hAnsi="Arial" w:cs="Arial"/>
                <w:sz w:val="18"/>
                <w:szCs w:val="18"/>
                <w:lang w:val="es-419"/>
              </w:rPr>
              <w:t>2</w:t>
            </w:r>
          </w:p>
        </w:tc>
        <w:tc>
          <w:tcPr>
            <w:tcW w:w="1165" w:type="dxa"/>
          </w:tcPr>
          <w:p w14:paraId="36EFB5AC" w14:textId="77777777" w:rsidR="007F4C34" w:rsidRPr="00175E49" w:rsidRDefault="007F4C34" w:rsidP="00167C47">
            <w:pPr>
              <w:spacing w:after="240"/>
              <w:jc w:val="center"/>
              <w:rPr>
                <w:rFonts w:ascii="Arial" w:hAnsi="Arial" w:cs="Arial"/>
                <w:sz w:val="18"/>
                <w:szCs w:val="18"/>
                <w:lang w:val="es-419"/>
              </w:rPr>
            </w:pPr>
            <w:r w:rsidRPr="00175E49">
              <w:rPr>
                <w:rFonts w:ascii="Arial" w:hAnsi="Arial" w:cs="Arial"/>
                <w:sz w:val="18"/>
                <w:szCs w:val="18"/>
                <w:lang w:val="es-419"/>
              </w:rPr>
              <w:t>6-10</w:t>
            </w:r>
          </w:p>
        </w:tc>
      </w:tr>
      <w:tr w:rsidR="007F4C34" w:rsidRPr="00175E49" w14:paraId="2CD3A8E7" w14:textId="77777777" w:rsidTr="00167C47">
        <w:trPr>
          <w:trHeight w:hRule="exact" w:val="288"/>
        </w:trPr>
        <w:tc>
          <w:tcPr>
            <w:tcW w:w="3415" w:type="dxa"/>
            <w:shd w:val="clear" w:color="auto" w:fill="FFFF00"/>
          </w:tcPr>
          <w:p w14:paraId="5883ECA9" w14:textId="77777777" w:rsidR="007F4C34" w:rsidRPr="00175E49" w:rsidRDefault="007F4C34" w:rsidP="00167C47">
            <w:pPr>
              <w:spacing w:after="240"/>
              <w:rPr>
                <w:rFonts w:ascii="Arial" w:hAnsi="Arial" w:cs="Arial"/>
                <w:sz w:val="18"/>
                <w:szCs w:val="18"/>
                <w:lang w:val="es-419"/>
              </w:rPr>
            </w:pPr>
          </w:p>
        </w:tc>
        <w:tc>
          <w:tcPr>
            <w:tcW w:w="1800" w:type="dxa"/>
          </w:tcPr>
          <w:p w14:paraId="581AFBBD" w14:textId="77777777" w:rsidR="007F4C34" w:rsidRPr="00175E49" w:rsidRDefault="007F4C34" w:rsidP="00167C47">
            <w:pPr>
              <w:spacing w:after="240"/>
              <w:jc w:val="center"/>
              <w:rPr>
                <w:rFonts w:ascii="Arial" w:hAnsi="Arial" w:cs="Arial"/>
                <w:sz w:val="18"/>
                <w:szCs w:val="18"/>
                <w:lang w:val="es-419"/>
              </w:rPr>
            </w:pPr>
            <w:r w:rsidRPr="00175E49">
              <w:rPr>
                <w:rFonts w:ascii="Arial" w:hAnsi="Arial" w:cs="Arial"/>
                <w:sz w:val="18"/>
                <w:szCs w:val="18"/>
              </w:rPr>
              <w:t>&gt;=2.26</w:t>
            </w:r>
          </w:p>
        </w:tc>
        <w:tc>
          <w:tcPr>
            <w:tcW w:w="1620" w:type="dxa"/>
          </w:tcPr>
          <w:p w14:paraId="1E387487" w14:textId="77777777" w:rsidR="007F4C34" w:rsidRPr="00175E49" w:rsidRDefault="007F4C34" w:rsidP="00167C47">
            <w:pPr>
              <w:spacing w:after="240"/>
              <w:jc w:val="center"/>
              <w:rPr>
                <w:rFonts w:ascii="Arial" w:hAnsi="Arial" w:cs="Arial"/>
                <w:sz w:val="18"/>
                <w:szCs w:val="18"/>
                <w:lang w:val="es-419"/>
              </w:rPr>
            </w:pPr>
            <w:r w:rsidRPr="00175E49">
              <w:rPr>
                <w:rFonts w:ascii="Arial" w:hAnsi="Arial" w:cs="Arial"/>
                <w:sz w:val="18"/>
                <w:szCs w:val="18"/>
              </w:rPr>
              <w:t>&gt;=2.49</w:t>
            </w:r>
          </w:p>
        </w:tc>
        <w:tc>
          <w:tcPr>
            <w:tcW w:w="1350" w:type="dxa"/>
          </w:tcPr>
          <w:p w14:paraId="76DB23F9" w14:textId="77777777" w:rsidR="007F4C34" w:rsidRPr="00175E49" w:rsidRDefault="007F4C34" w:rsidP="00167C47">
            <w:pPr>
              <w:spacing w:after="240"/>
              <w:jc w:val="center"/>
              <w:rPr>
                <w:rFonts w:ascii="Arial" w:hAnsi="Arial" w:cs="Arial"/>
                <w:sz w:val="18"/>
                <w:szCs w:val="18"/>
                <w:lang w:val="es-419"/>
              </w:rPr>
            </w:pPr>
            <w:r w:rsidRPr="00175E49">
              <w:rPr>
                <w:rFonts w:ascii="Arial" w:hAnsi="Arial" w:cs="Arial"/>
                <w:sz w:val="18"/>
                <w:szCs w:val="18"/>
                <w:lang w:val="es-419"/>
              </w:rPr>
              <w:t>3</w:t>
            </w:r>
          </w:p>
        </w:tc>
        <w:tc>
          <w:tcPr>
            <w:tcW w:w="1165" w:type="dxa"/>
          </w:tcPr>
          <w:p w14:paraId="50000BDB" w14:textId="77777777" w:rsidR="007F4C34" w:rsidRPr="00175E49" w:rsidRDefault="007F4C34" w:rsidP="00167C47">
            <w:pPr>
              <w:spacing w:after="240"/>
              <w:jc w:val="center"/>
              <w:rPr>
                <w:rFonts w:ascii="Arial" w:hAnsi="Arial" w:cs="Arial"/>
                <w:sz w:val="18"/>
                <w:szCs w:val="18"/>
                <w:lang w:val="es-419"/>
              </w:rPr>
            </w:pPr>
            <w:r w:rsidRPr="00175E49">
              <w:rPr>
                <w:rFonts w:ascii="Arial" w:hAnsi="Arial" w:cs="Arial"/>
                <w:sz w:val="18"/>
                <w:szCs w:val="18"/>
                <w:lang w:val="es-419"/>
              </w:rPr>
              <w:t>11-15</w:t>
            </w:r>
          </w:p>
        </w:tc>
      </w:tr>
      <w:tr w:rsidR="007F4C34" w:rsidRPr="00175E49" w14:paraId="38508945" w14:textId="77777777" w:rsidTr="00167C47">
        <w:trPr>
          <w:trHeight w:hRule="exact" w:val="288"/>
        </w:trPr>
        <w:tc>
          <w:tcPr>
            <w:tcW w:w="3415" w:type="dxa"/>
            <w:shd w:val="clear" w:color="auto" w:fill="92D050"/>
          </w:tcPr>
          <w:p w14:paraId="4F035F50" w14:textId="77777777" w:rsidR="007F4C34" w:rsidRPr="00175E49" w:rsidRDefault="007F4C34" w:rsidP="00167C47">
            <w:pPr>
              <w:spacing w:after="240"/>
              <w:rPr>
                <w:rFonts w:ascii="Arial" w:hAnsi="Arial" w:cs="Arial"/>
                <w:sz w:val="18"/>
                <w:szCs w:val="18"/>
                <w:lang w:val="es-419"/>
              </w:rPr>
            </w:pPr>
          </w:p>
        </w:tc>
        <w:tc>
          <w:tcPr>
            <w:tcW w:w="1800" w:type="dxa"/>
          </w:tcPr>
          <w:p w14:paraId="4F6C5F25" w14:textId="77777777" w:rsidR="007F4C34" w:rsidRPr="00175E49" w:rsidRDefault="007F4C34" w:rsidP="00167C47">
            <w:pPr>
              <w:spacing w:after="240"/>
              <w:jc w:val="center"/>
              <w:rPr>
                <w:rFonts w:ascii="Arial" w:hAnsi="Arial" w:cs="Arial"/>
                <w:sz w:val="18"/>
                <w:szCs w:val="18"/>
                <w:lang w:val="es-419"/>
              </w:rPr>
            </w:pPr>
            <w:r w:rsidRPr="00175E49">
              <w:rPr>
                <w:rFonts w:ascii="Arial" w:hAnsi="Arial" w:cs="Arial"/>
                <w:sz w:val="18"/>
                <w:szCs w:val="18"/>
                <w:lang w:val="es-419"/>
              </w:rPr>
              <w:t>&lt;2.26</w:t>
            </w:r>
          </w:p>
        </w:tc>
        <w:tc>
          <w:tcPr>
            <w:tcW w:w="1620" w:type="dxa"/>
          </w:tcPr>
          <w:p w14:paraId="0B8AFB8A" w14:textId="77777777" w:rsidR="007F4C34" w:rsidRPr="00175E49" w:rsidRDefault="007F4C34" w:rsidP="00167C47">
            <w:pPr>
              <w:spacing w:after="240"/>
              <w:jc w:val="center"/>
              <w:rPr>
                <w:rFonts w:ascii="Arial" w:hAnsi="Arial" w:cs="Arial"/>
                <w:sz w:val="18"/>
                <w:szCs w:val="18"/>
                <w:lang w:val="es-419"/>
              </w:rPr>
            </w:pPr>
            <w:r w:rsidRPr="00175E49">
              <w:rPr>
                <w:rFonts w:ascii="Arial" w:hAnsi="Arial" w:cs="Arial"/>
                <w:sz w:val="18"/>
                <w:szCs w:val="18"/>
                <w:lang w:val="es-419"/>
              </w:rPr>
              <w:t>&lt;2.49</w:t>
            </w:r>
          </w:p>
        </w:tc>
        <w:tc>
          <w:tcPr>
            <w:tcW w:w="1350" w:type="dxa"/>
          </w:tcPr>
          <w:p w14:paraId="6DE0A297" w14:textId="77777777" w:rsidR="007F4C34" w:rsidRPr="00175E49" w:rsidRDefault="007F4C34" w:rsidP="00167C47">
            <w:pPr>
              <w:spacing w:after="240"/>
              <w:jc w:val="center"/>
              <w:rPr>
                <w:rFonts w:ascii="Arial" w:hAnsi="Arial" w:cs="Arial"/>
                <w:sz w:val="18"/>
                <w:szCs w:val="18"/>
                <w:lang w:val="es-419"/>
              </w:rPr>
            </w:pPr>
            <w:r w:rsidRPr="00175E49">
              <w:rPr>
                <w:rFonts w:ascii="Arial" w:hAnsi="Arial" w:cs="Arial"/>
                <w:sz w:val="18"/>
                <w:szCs w:val="18"/>
                <w:lang w:val="es-419"/>
              </w:rPr>
              <w:t>4,5</w:t>
            </w:r>
          </w:p>
        </w:tc>
        <w:tc>
          <w:tcPr>
            <w:tcW w:w="1165" w:type="dxa"/>
          </w:tcPr>
          <w:p w14:paraId="5DCA634E" w14:textId="77777777" w:rsidR="007F4C34" w:rsidRPr="00175E49" w:rsidRDefault="007F4C34" w:rsidP="00167C47">
            <w:pPr>
              <w:spacing w:after="240"/>
              <w:jc w:val="center"/>
              <w:rPr>
                <w:rFonts w:ascii="Arial" w:hAnsi="Arial" w:cs="Arial"/>
                <w:sz w:val="18"/>
                <w:szCs w:val="18"/>
                <w:lang w:val="es-419"/>
              </w:rPr>
            </w:pPr>
            <w:r w:rsidRPr="00175E49">
              <w:rPr>
                <w:rFonts w:ascii="Arial" w:hAnsi="Arial" w:cs="Arial"/>
                <w:sz w:val="18"/>
                <w:szCs w:val="18"/>
                <w:lang w:val="es-419"/>
              </w:rPr>
              <w:t>-</w:t>
            </w:r>
          </w:p>
        </w:tc>
      </w:tr>
    </w:tbl>
    <w:p w14:paraId="3CD0E235" w14:textId="30E68E16" w:rsidR="007F4C34" w:rsidRDefault="007F4C34" w:rsidP="007F4C34">
      <w:pPr>
        <w:spacing w:after="240" w:line="240" w:lineRule="auto"/>
        <w:rPr>
          <w:rFonts w:ascii="Arial" w:hAnsi="Arial" w:cs="Arial"/>
          <w:sz w:val="18"/>
          <w:szCs w:val="18"/>
          <w:lang w:val="es-419"/>
        </w:rPr>
      </w:pPr>
      <w:r w:rsidRPr="00175E49">
        <w:rPr>
          <w:rFonts w:ascii="Arial" w:hAnsi="Arial" w:cs="Arial"/>
          <w:sz w:val="18"/>
          <w:szCs w:val="18"/>
          <w:lang w:val="es-419"/>
        </w:rPr>
        <w:t>*Rojo= percentil 75, anaranjado mediana (percentil 50), amarillo (percentil 25)</w:t>
      </w:r>
      <w:r>
        <w:rPr>
          <w:rFonts w:ascii="Arial" w:hAnsi="Arial" w:cs="Arial"/>
          <w:sz w:val="18"/>
          <w:szCs w:val="18"/>
          <w:lang w:val="es-419"/>
        </w:rPr>
        <w:t>.</w:t>
      </w:r>
    </w:p>
    <w:p w14:paraId="239955D1" w14:textId="77777777" w:rsidR="00DE3EB8" w:rsidRDefault="00DE3EB8" w:rsidP="007F4C34">
      <w:pPr>
        <w:spacing w:after="240" w:line="240" w:lineRule="auto"/>
        <w:rPr>
          <w:rStyle w:val="IntenseReference"/>
          <w:rFonts w:ascii="Arial" w:hAnsi="Arial" w:cs="Arial"/>
          <w:b w:val="0"/>
          <w:bCs w:val="0"/>
          <w:smallCaps w:val="0"/>
          <w:color w:val="auto"/>
          <w:spacing w:val="0"/>
          <w:sz w:val="18"/>
          <w:szCs w:val="18"/>
          <w:lang w:val="es-419"/>
        </w:rPr>
        <w:sectPr w:rsidR="00DE3EB8" w:rsidSect="006D6BF3">
          <w:pgSz w:w="12240" w:h="15840"/>
          <w:pgMar w:top="1440" w:right="1138" w:bottom="1440" w:left="1138" w:header="720" w:footer="720" w:gutter="0"/>
          <w:cols w:space="720"/>
          <w:docGrid w:linePitch="360"/>
        </w:sectPr>
      </w:pPr>
    </w:p>
    <w:p w14:paraId="7DB7D6EE" w14:textId="77777777" w:rsidR="00DE3EB8" w:rsidRPr="00E2152A" w:rsidRDefault="00DE3EB8" w:rsidP="00E2152A">
      <w:pPr>
        <w:pStyle w:val="Heading4"/>
        <w:spacing w:line="240" w:lineRule="auto"/>
        <w:rPr>
          <w:rStyle w:val="IntenseReference"/>
          <w:rFonts w:ascii="Arial" w:hAnsi="Arial" w:cs="Arial"/>
          <w:i w:val="0"/>
          <w:lang w:val="es-419"/>
        </w:rPr>
      </w:pPr>
      <w:r w:rsidRPr="00E2152A">
        <w:rPr>
          <w:rStyle w:val="IntenseReference"/>
          <w:rFonts w:ascii="Arial" w:hAnsi="Arial" w:cs="Arial"/>
          <w:i w:val="0"/>
          <w:lang w:val="es-419"/>
        </w:rPr>
        <w:lastRenderedPageBreak/>
        <w:t xml:space="preserve">Anexo 3. Herramienta de priorización </w:t>
      </w:r>
    </w:p>
    <w:tbl>
      <w:tblPr>
        <w:tblStyle w:val="TableGrid"/>
        <w:tblW w:w="14490" w:type="dxa"/>
        <w:tblInd w:w="-185" w:type="dxa"/>
        <w:tblLayout w:type="fixed"/>
        <w:tblLook w:val="04A0" w:firstRow="1" w:lastRow="0" w:firstColumn="1" w:lastColumn="0" w:noHBand="0" w:noVBand="1"/>
      </w:tblPr>
      <w:tblGrid>
        <w:gridCol w:w="5220"/>
        <w:gridCol w:w="1440"/>
        <w:gridCol w:w="1350"/>
        <w:gridCol w:w="1620"/>
        <w:gridCol w:w="1800"/>
        <w:gridCol w:w="3060"/>
      </w:tblGrid>
      <w:tr w:rsidR="00DE3EB8" w:rsidRPr="00392E34" w14:paraId="24A509E5" w14:textId="77777777" w:rsidTr="008B0A6B">
        <w:trPr>
          <w:trHeight w:val="760"/>
        </w:trPr>
        <w:tc>
          <w:tcPr>
            <w:tcW w:w="5220" w:type="dxa"/>
            <w:shd w:val="clear" w:color="auto" w:fill="auto"/>
          </w:tcPr>
          <w:p w14:paraId="10BD5363" w14:textId="77777777" w:rsidR="00DE3EB8" w:rsidRPr="0030518F" w:rsidRDefault="00DE3EB8" w:rsidP="008B0A6B">
            <w:pPr>
              <w:pStyle w:val="ListParagraph"/>
              <w:ind w:left="0"/>
              <w:jc w:val="center"/>
              <w:rPr>
                <w:rFonts w:ascii="Arial" w:hAnsi="Arial" w:cs="Arial"/>
                <w:b/>
                <w:sz w:val="20"/>
                <w:szCs w:val="20"/>
                <w:lang w:val="es-MX"/>
              </w:rPr>
            </w:pPr>
            <w:r w:rsidRPr="0030518F">
              <w:rPr>
                <w:rFonts w:ascii="Arial" w:hAnsi="Arial" w:cs="Arial"/>
                <w:b/>
                <w:sz w:val="20"/>
                <w:szCs w:val="20"/>
                <w:lang w:val="es-MX"/>
              </w:rPr>
              <w:t>Riesgo asociado</w:t>
            </w:r>
          </w:p>
          <w:p w14:paraId="4A34B83C" w14:textId="77777777" w:rsidR="00DE3EB8" w:rsidRPr="0030518F" w:rsidRDefault="00DE3EB8" w:rsidP="008B0A6B">
            <w:pPr>
              <w:pStyle w:val="ListParagraph"/>
              <w:ind w:left="0"/>
              <w:jc w:val="center"/>
              <w:rPr>
                <w:rFonts w:ascii="Arial" w:hAnsi="Arial" w:cs="Arial"/>
                <w:b/>
                <w:sz w:val="20"/>
                <w:szCs w:val="20"/>
                <w:lang w:val="es-MX"/>
              </w:rPr>
            </w:pPr>
          </w:p>
        </w:tc>
        <w:tc>
          <w:tcPr>
            <w:tcW w:w="1440" w:type="dxa"/>
            <w:shd w:val="clear" w:color="auto" w:fill="auto"/>
          </w:tcPr>
          <w:p w14:paraId="638CA345" w14:textId="77777777" w:rsidR="00DE3EB8" w:rsidRPr="0030518F" w:rsidRDefault="00DE3EB8" w:rsidP="008B0A6B">
            <w:pPr>
              <w:pStyle w:val="ListParagraph"/>
              <w:ind w:left="0"/>
              <w:jc w:val="center"/>
              <w:rPr>
                <w:rFonts w:ascii="Arial" w:hAnsi="Arial" w:cs="Arial"/>
                <w:b/>
                <w:sz w:val="20"/>
                <w:szCs w:val="20"/>
                <w:lang w:val="es-MX"/>
              </w:rPr>
            </w:pPr>
            <w:r w:rsidRPr="0030518F">
              <w:rPr>
                <w:rFonts w:ascii="Arial" w:hAnsi="Arial" w:cs="Arial"/>
                <w:b/>
                <w:sz w:val="20"/>
                <w:szCs w:val="20"/>
                <w:lang w:val="es-MX"/>
              </w:rPr>
              <w:t>Severidad  en el control de la epidemia</w:t>
            </w:r>
          </w:p>
          <w:p w14:paraId="2560873A" w14:textId="77777777" w:rsidR="00DE3EB8" w:rsidRPr="0030518F" w:rsidRDefault="00DE3EB8" w:rsidP="008B0A6B">
            <w:pPr>
              <w:jc w:val="center"/>
              <w:rPr>
                <w:rFonts w:ascii="Arial" w:hAnsi="Arial" w:cs="Arial"/>
                <w:b/>
                <w:sz w:val="20"/>
                <w:szCs w:val="20"/>
                <w:lang w:val="es-MX"/>
              </w:rPr>
            </w:pPr>
            <w:r w:rsidRPr="0030518F">
              <w:rPr>
                <w:rFonts w:ascii="Arial" w:hAnsi="Arial" w:cs="Arial"/>
                <w:b/>
                <w:sz w:val="20"/>
                <w:szCs w:val="20"/>
                <w:lang w:val="es-MX"/>
              </w:rPr>
              <w:t xml:space="preserve"> (0=nula,</w:t>
            </w:r>
          </w:p>
          <w:p w14:paraId="03308AE6" w14:textId="77777777" w:rsidR="00DE3EB8" w:rsidRPr="0030518F" w:rsidRDefault="00DE3EB8" w:rsidP="008B0A6B">
            <w:pPr>
              <w:jc w:val="center"/>
              <w:rPr>
                <w:rFonts w:ascii="Arial" w:hAnsi="Arial" w:cs="Arial"/>
                <w:b/>
                <w:sz w:val="20"/>
                <w:szCs w:val="20"/>
                <w:lang w:val="es-MX"/>
              </w:rPr>
            </w:pPr>
            <w:r w:rsidRPr="0030518F">
              <w:rPr>
                <w:rFonts w:ascii="Arial" w:hAnsi="Arial" w:cs="Arial"/>
                <w:b/>
                <w:sz w:val="20"/>
                <w:szCs w:val="20"/>
                <w:lang w:val="es-MX"/>
              </w:rPr>
              <w:t>1=baja,</w:t>
            </w:r>
          </w:p>
          <w:p w14:paraId="784D5053" w14:textId="77777777" w:rsidR="00DE3EB8" w:rsidRPr="0030518F" w:rsidRDefault="00DE3EB8" w:rsidP="008B0A6B">
            <w:pPr>
              <w:jc w:val="center"/>
              <w:rPr>
                <w:rFonts w:ascii="Arial" w:hAnsi="Arial" w:cs="Arial"/>
                <w:b/>
                <w:sz w:val="20"/>
                <w:szCs w:val="20"/>
                <w:lang w:val="es-MX"/>
              </w:rPr>
            </w:pPr>
            <w:r w:rsidRPr="0030518F">
              <w:rPr>
                <w:rFonts w:ascii="Arial" w:hAnsi="Arial" w:cs="Arial"/>
                <w:b/>
                <w:sz w:val="20"/>
                <w:szCs w:val="20"/>
                <w:lang w:val="es-MX"/>
              </w:rPr>
              <w:t>2=media,</w:t>
            </w:r>
          </w:p>
          <w:p w14:paraId="490F77E4" w14:textId="77777777" w:rsidR="00DE3EB8" w:rsidRPr="0030518F" w:rsidRDefault="00DE3EB8" w:rsidP="008B0A6B">
            <w:pPr>
              <w:jc w:val="center"/>
              <w:rPr>
                <w:rFonts w:ascii="Arial" w:hAnsi="Arial" w:cs="Arial"/>
                <w:sz w:val="20"/>
                <w:szCs w:val="20"/>
                <w:lang w:val="es-MX"/>
              </w:rPr>
            </w:pPr>
            <w:r w:rsidRPr="0030518F">
              <w:rPr>
                <w:rFonts w:ascii="Arial" w:hAnsi="Arial" w:cs="Arial"/>
                <w:b/>
                <w:sz w:val="20"/>
                <w:szCs w:val="20"/>
                <w:lang w:val="es-MX"/>
              </w:rPr>
              <w:t>3=alta)</w:t>
            </w:r>
          </w:p>
        </w:tc>
        <w:tc>
          <w:tcPr>
            <w:tcW w:w="1350" w:type="dxa"/>
            <w:shd w:val="clear" w:color="auto" w:fill="auto"/>
          </w:tcPr>
          <w:p w14:paraId="71773A6B" w14:textId="77777777" w:rsidR="00DE3EB8" w:rsidRPr="0030518F" w:rsidRDefault="00DE3EB8" w:rsidP="008B0A6B">
            <w:pPr>
              <w:pStyle w:val="ListParagraph"/>
              <w:ind w:left="0"/>
              <w:jc w:val="center"/>
              <w:rPr>
                <w:rFonts w:ascii="Arial" w:hAnsi="Arial" w:cs="Arial"/>
                <w:b/>
                <w:sz w:val="20"/>
                <w:szCs w:val="20"/>
                <w:lang w:val="es-MX"/>
              </w:rPr>
            </w:pPr>
            <w:r w:rsidRPr="0030518F">
              <w:rPr>
                <w:rFonts w:ascii="Arial" w:hAnsi="Arial" w:cs="Arial"/>
                <w:b/>
                <w:sz w:val="20"/>
                <w:szCs w:val="20"/>
                <w:lang w:val="es-MX"/>
              </w:rPr>
              <w:t>Urgencia de los riesgos</w:t>
            </w:r>
          </w:p>
          <w:p w14:paraId="06091DD9" w14:textId="77777777" w:rsidR="00DE3EB8" w:rsidRPr="0030518F" w:rsidRDefault="00DE3EB8" w:rsidP="008B0A6B">
            <w:pPr>
              <w:jc w:val="center"/>
              <w:rPr>
                <w:rFonts w:ascii="Arial" w:hAnsi="Arial" w:cs="Arial"/>
                <w:b/>
                <w:sz w:val="20"/>
                <w:szCs w:val="20"/>
                <w:lang w:val="es-MX"/>
              </w:rPr>
            </w:pPr>
            <w:r w:rsidRPr="0030518F">
              <w:rPr>
                <w:rFonts w:ascii="Arial" w:hAnsi="Arial" w:cs="Arial"/>
                <w:b/>
                <w:sz w:val="20"/>
                <w:szCs w:val="20"/>
                <w:lang w:val="es-MX"/>
              </w:rPr>
              <w:t>(3=2019,</w:t>
            </w:r>
          </w:p>
          <w:p w14:paraId="26CAD4CA" w14:textId="77777777" w:rsidR="00DE3EB8" w:rsidRPr="0030518F" w:rsidRDefault="00DE3EB8" w:rsidP="008B0A6B">
            <w:pPr>
              <w:jc w:val="center"/>
              <w:rPr>
                <w:rFonts w:ascii="Arial" w:hAnsi="Arial" w:cs="Arial"/>
                <w:b/>
                <w:sz w:val="20"/>
                <w:szCs w:val="20"/>
                <w:lang w:val="es-MX"/>
              </w:rPr>
            </w:pPr>
            <w:r w:rsidRPr="0030518F">
              <w:rPr>
                <w:rFonts w:ascii="Arial" w:hAnsi="Arial" w:cs="Arial"/>
                <w:b/>
                <w:sz w:val="20"/>
                <w:szCs w:val="20"/>
                <w:lang w:val="es-MX"/>
              </w:rPr>
              <w:t>2=2020-2021,</w:t>
            </w:r>
          </w:p>
          <w:p w14:paraId="4E5223BF" w14:textId="77777777" w:rsidR="00DE3EB8" w:rsidRPr="0030518F" w:rsidRDefault="00DE3EB8" w:rsidP="008B0A6B">
            <w:pPr>
              <w:jc w:val="center"/>
              <w:rPr>
                <w:rFonts w:ascii="Arial" w:hAnsi="Arial" w:cs="Arial"/>
                <w:b/>
                <w:sz w:val="20"/>
                <w:szCs w:val="20"/>
                <w:lang w:val="es-MX"/>
              </w:rPr>
            </w:pPr>
            <w:r w:rsidRPr="0030518F">
              <w:rPr>
                <w:rFonts w:ascii="Arial" w:hAnsi="Arial" w:cs="Arial"/>
                <w:b/>
                <w:sz w:val="20"/>
                <w:szCs w:val="20"/>
                <w:lang w:val="es-MX"/>
              </w:rPr>
              <w:t>1=2022-2023)</w:t>
            </w:r>
          </w:p>
        </w:tc>
        <w:tc>
          <w:tcPr>
            <w:tcW w:w="1620" w:type="dxa"/>
            <w:shd w:val="clear" w:color="auto" w:fill="auto"/>
          </w:tcPr>
          <w:p w14:paraId="40323279" w14:textId="77777777" w:rsidR="00DE3EB8" w:rsidRPr="0030518F" w:rsidRDefault="00DE3EB8" w:rsidP="008B0A6B">
            <w:pPr>
              <w:jc w:val="center"/>
              <w:rPr>
                <w:rFonts w:ascii="Arial" w:hAnsi="Arial" w:cs="Arial"/>
                <w:b/>
                <w:sz w:val="20"/>
                <w:szCs w:val="20"/>
                <w:lang w:val="es-MX"/>
              </w:rPr>
            </w:pPr>
            <w:r w:rsidRPr="0030518F">
              <w:rPr>
                <w:rFonts w:ascii="Arial" w:hAnsi="Arial" w:cs="Arial"/>
                <w:b/>
                <w:sz w:val="20"/>
                <w:szCs w:val="20"/>
                <w:lang w:val="es-MX"/>
              </w:rPr>
              <w:t xml:space="preserve">Marcar con X si existe relación con la disminución gradual del financiamiento de la cooperación internacional </w:t>
            </w:r>
          </w:p>
        </w:tc>
        <w:tc>
          <w:tcPr>
            <w:tcW w:w="1800" w:type="dxa"/>
          </w:tcPr>
          <w:p w14:paraId="60C72EDC" w14:textId="77777777" w:rsidR="00DE3EB8" w:rsidRPr="0030518F" w:rsidRDefault="00DE3EB8" w:rsidP="008B0A6B">
            <w:pPr>
              <w:jc w:val="center"/>
              <w:rPr>
                <w:rFonts w:ascii="Arial" w:hAnsi="Arial" w:cs="Arial"/>
                <w:b/>
                <w:sz w:val="20"/>
                <w:szCs w:val="20"/>
                <w:lang w:val="es-MX"/>
              </w:rPr>
            </w:pPr>
            <w:r w:rsidRPr="0030518F">
              <w:rPr>
                <w:rFonts w:ascii="Arial" w:hAnsi="Arial" w:cs="Arial"/>
                <w:b/>
                <w:sz w:val="20"/>
                <w:szCs w:val="20"/>
                <w:lang w:val="es-MX"/>
              </w:rPr>
              <w:t>Ranking por dimensión de sostenibilidad</w:t>
            </w:r>
          </w:p>
          <w:p w14:paraId="545DA522" w14:textId="77777777" w:rsidR="00DE3EB8" w:rsidRPr="0030518F" w:rsidRDefault="00DE3EB8" w:rsidP="008B0A6B">
            <w:pPr>
              <w:jc w:val="center"/>
              <w:rPr>
                <w:rFonts w:ascii="Arial" w:hAnsi="Arial" w:cs="Arial"/>
                <w:b/>
                <w:sz w:val="20"/>
                <w:szCs w:val="20"/>
                <w:lang w:val="es-MX"/>
              </w:rPr>
            </w:pPr>
            <w:r w:rsidRPr="0030518F">
              <w:rPr>
                <w:rFonts w:ascii="Arial" w:hAnsi="Arial" w:cs="Arial"/>
                <w:b/>
                <w:sz w:val="20"/>
                <w:szCs w:val="20"/>
                <w:lang w:val="es-MX"/>
              </w:rPr>
              <w:t>(1=más importante,</w:t>
            </w:r>
          </w:p>
          <w:p w14:paraId="2794E2D1" w14:textId="77777777" w:rsidR="00DE3EB8" w:rsidRPr="0030518F" w:rsidRDefault="00DE3EB8" w:rsidP="008B0A6B">
            <w:pPr>
              <w:jc w:val="center"/>
              <w:rPr>
                <w:rFonts w:ascii="Arial" w:hAnsi="Arial" w:cs="Arial"/>
                <w:b/>
                <w:sz w:val="20"/>
                <w:szCs w:val="20"/>
                <w:lang w:val="es-MX"/>
              </w:rPr>
            </w:pPr>
            <w:r w:rsidRPr="0030518F">
              <w:rPr>
                <w:rFonts w:ascii="Arial" w:hAnsi="Arial" w:cs="Arial"/>
                <w:b/>
                <w:sz w:val="20"/>
                <w:szCs w:val="20"/>
                <w:lang w:val="es-MX"/>
              </w:rPr>
              <w:t>2= segundo más importante…)</w:t>
            </w:r>
          </w:p>
        </w:tc>
        <w:tc>
          <w:tcPr>
            <w:tcW w:w="3060" w:type="dxa"/>
          </w:tcPr>
          <w:p w14:paraId="15CE411F" w14:textId="77777777" w:rsidR="00DE3EB8" w:rsidRPr="0030518F" w:rsidRDefault="00DE3EB8" w:rsidP="008B0A6B">
            <w:pPr>
              <w:jc w:val="center"/>
              <w:rPr>
                <w:rFonts w:ascii="Arial" w:hAnsi="Arial" w:cs="Arial"/>
                <w:b/>
                <w:sz w:val="20"/>
                <w:szCs w:val="20"/>
                <w:lang w:val="es-MX"/>
              </w:rPr>
            </w:pPr>
            <w:r w:rsidRPr="0030518F">
              <w:rPr>
                <w:rFonts w:ascii="Arial" w:hAnsi="Arial" w:cs="Arial"/>
                <w:b/>
                <w:sz w:val="20"/>
                <w:szCs w:val="20"/>
                <w:lang w:val="es-MX"/>
              </w:rPr>
              <w:t>Comentario sobre riesgo y propuesta de solución potencial</w:t>
            </w:r>
          </w:p>
        </w:tc>
      </w:tr>
      <w:tr w:rsidR="00DE3EB8" w:rsidRPr="00DC2F53" w14:paraId="4DC64BDB" w14:textId="77777777" w:rsidTr="008B0A6B">
        <w:trPr>
          <w:trHeight w:val="47"/>
        </w:trPr>
        <w:tc>
          <w:tcPr>
            <w:tcW w:w="14490" w:type="dxa"/>
            <w:gridSpan w:val="6"/>
            <w:shd w:val="clear" w:color="auto" w:fill="D9D9D9" w:themeFill="background1" w:themeFillShade="D9"/>
          </w:tcPr>
          <w:p w14:paraId="6A79628B" w14:textId="77777777" w:rsidR="00DE3EB8" w:rsidRPr="0030518F" w:rsidRDefault="00DE3EB8" w:rsidP="008B0A6B">
            <w:pPr>
              <w:pStyle w:val="ListParagraph"/>
              <w:ind w:left="0"/>
              <w:rPr>
                <w:rFonts w:ascii="Arial" w:hAnsi="Arial" w:cs="Arial"/>
                <w:b/>
                <w:sz w:val="20"/>
                <w:szCs w:val="20"/>
                <w:lang w:val="es-MX"/>
              </w:rPr>
            </w:pPr>
            <w:r w:rsidRPr="0030518F">
              <w:rPr>
                <w:rFonts w:ascii="Arial" w:hAnsi="Arial" w:cs="Arial"/>
                <w:b/>
                <w:sz w:val="20"/>
                <w:szCs w:val="20"/>
                <w:lang w:val="es-MX"/>
              </w:rPr>
              <w:t>Financiamiento</w:t>
            </w:r>
          </w:p>
        </w:tc>
      </w:tr>
      <w:tr w:rsidR="00DE3EB8" w:rsidRPr="00392E34" w14:paraId="191DEF67" w14:textId="77777777" w:rsidTr="008B0A6B">
        <w:trPr>
          <w:trHeight w:val="253"/>
        </w:trPr>
        <w:tc>
          <w:tcPr>
            <w:tcW w:w="5220" w:type="dxa"/>
          </w:tcPr>
          <w:p w14:paraId="4B58F6D6" w14:textId="77777777" w:rsidR="00DE3EB8" w:rsidRPr="0030518F" w:rsidRDefault="00DE3EB8" w:rsidP="008B0A6B">
            <w:pPr>
              <w:pStyle w:val="ListParagraph"/>
              <w:ind w:left="0"/>
              <w:rPr>
                <w:rFonts w:ascii="Arial" w:hAnsi="Arial" w:cs="Arial"/>
                <w:sz w:val="20"/>
                <w:szCs w:val="20"/>
                <w:lang w:val="es-MX"/>
              </w:rPr>
            </w:pPr>
            <w:r w:rsidRPr="0030518F">
              <w:rPr>
                <w:rFonts w:ascii="Arial" w:hAnsi="Arial" w:cs="Arial"/>
                <w:sz w:val="20"/>
                <w:szCs w:val="20"/>
                <w:lang w:val="es-MX"/>
              </w:rPr>
              <w:t>Sostenibilidad de adquisición de insumos:</w:t>
            </w:r>
          </w:p>
          <w:p w14:paraId="2F024743" w14:textId="77777777" w:rsidR="00DE3EB8" w:rsidRPr="0030518F" w:rsidRDefault="00DE3EB8" w:rsidP="0068285B">
            <w:pPr>
              <w:pStyle w:val="ListParagraph"/>
              <w:numPr>
                <w:ilvl w:val="0"/>
                <w:numId w:val="23"/>
              </w:numPr>
              <w:rPr>
                <w:rFonts w:ascii="Arial" w:hAnsi="Arial" w:cs="Arial"/>
                <w:b/>
                <w:sz w:val="20"/>
                <w:szCs w:val="20"/>
                <w:lang w:val="es-MX"/>
              </w:rPr>
            </w:pPr>
            <w:r w:rsidRPr="0030518F">
              <w:rPr>
                <w:rFonts w:ascii="Arial" w:hAnsi="Arial" w:cs="Arial"/>
                <w:b/>
                <w:sz w:val="20"/>
                <w:szCs w:val="20"/>
                <w:lang w:val="es-MX"/>
              </w:rPr>
              <w:t xml:space="preserve">La </w:t>
            </w:r>
            <w:r w:rsidRPr="0030518F">
              <w:rPr>
                <w:rFonts w:ascii="Arial" w:hAnsi="Arial" w:cs="Arial"/>
                <w:b/>
                <w:bCs/>
                <w:sz w:val="20"/>
                <w:szCs w:val="20"/>
                <w:lang w:val="es-MX"/>
              </w:rPr>
              <w:t>adquisición de pruebas rápidas es descentralizada</w:t>
            </w:r>
            <w:r w:rsidRPr="0030518F">
              <w:rPr>
                <w:rFonts w:ascii="Arial" w:hAnsi="Arial" w:cs="Arial"/>
                <w:b/>
                <w:sz w:val="20"/>
                <w:szCs w:val="20"/>
                <w:lang w:val="es-MX"/>
              </w:rPr>
              <w:t xml:space="preserve">, perdiendo eficiencias y limitando el acceso. </w:t>
            </w:r>
          </w:p>
          <w:p w14:paraId="05748ED0" w14:textId="77777777" w:rsidR="00DE3EB8" w:rsidRPr="0030518F" w:rsidRDefault="00DE3EB8" w:rsidP="0068285B">
            <w:pPr>
              <w:pStyle w:val="ListParagraph"/>
              <w:numPr>
                <w:ilvl w:val="0"/>
                <w:numId w:val="23"/>
              </w:numPr>
              <w:rPr>
                <w:rFonts w:ascii="Arial" w:hAnsi="Arial" w:cs="Arial"/>
                <w:b/>
                <w:sz w:val="20"/>
                <w:szCs w:val="20"/>
                <w:lang w:val="es-MX"/>
              </w:rPr>
            </w:pPr>
            <w:r w:rsidRPr="0030518F">
              <w:rPr>
                <w:rFonts w:ascii="Arial" w:hAnsi="Arial" w:cs="Arial"/>
                <w:b/>
                <w:bCs/>
                <w:sz w:val="20"/>
                <w:szCs w:val="20"/>
                <w:lang w:val="es-MX"/>
              </w:rPr>
              <w:t xml:space="preserve">El financiamiento de ARV de 3ra línea por FM </w:t>
            </w:r>
            <w:r w:rsidRPr="0030518F">
              <w:rPr>
                <w:rFonts w:ascii="Arial" w:hAnsi="Arial" w:cs="Arial"/>
                <w:b/>
                <w:sz w:val="20"/>
                <w:szCs w:val="20"/>
                <w:lang w:val="es-MX"/>
              </w:rPr>
              <w:t>y en ocasiones 1ª y 2ª línea.</w:t>
            </w:r>
          </w:p>
          <w:p w14:paraId="63978140" w14:textId="77777777" w:rsidR="00DE3EB8" w:rsidRPr="0030518F" w:rsidRDefault="00DE3EB8" w:rsidP="0068285B">
            <w:pPr>
              <w:pStyle w:val="ListParagraph"/>
              <w:numPr>
                <w:ilvl w:val="0"/>
                <w:numId w:val="23"/>
              </w:numPr>
              <w:rPr>
                <w:rFonts w:ascii="Arial" w:hAnsi="Arial" w:cs="Arial"/>
                <w:sz w:val="20"/>
                <w:szCs w:val="20"/>
                <w:lang w:val="es-MX"/>
              </w:rPr>
            </w:pPr>
            <w:r w:rsidRPr="0030518F">
              <w:rPr>
                <w:rFonts w:ascii="Arial" w:hAnsi="Arial" w:cs="Arial"/>
                <w:b/>
                <w:bCs/>
                <w:sz w:val="20"/>
                <w:szCs w:val="20"/>
                <w:lang w:val="es-MX"/>
              </w:rPr>
              <w:t xml:space="preserve">Adquisición de carga viral e insumos para diagnósticos de TB </w:t>
            </w:r>
            <w:r w:rsidRPr="0030518F">
              <w:rPr>
                <w:rFonts w:ascii="Arial" w:hAnsi="Arial" w:cs="Arial"/>
                <w:b/>
                <w:sz w:val="20"/>
                <w:szCs w:val="20"/>
                <w:lang w:val="es-MX"/>
              </w:rPr>
              <w:t xml:space="preserve">(Gene-Xpert y Midgit) está </w:t>
            </w:r>
            <w:r w:rsidRPr="0030518F">
              <w:rPr>
                <w:rFonts w:ascii="Arial" w:hAnsi="Arial" w:cs="Arial"/>
                <w:b/>
                <w:bCs/>
                <w:sz w:val="20"/>
                <w:szCs w:val="20"/>
                <w:lang w:val="es-MX"/>
              </w:rPr>
              <w:t>financiado 100% de forma externa</w:t>
            </w:r>
          </w:p>
        </w:tc>
        <w:tc>
          <w:tcPr>
            <w:tcW w:w="1440" w:type="dxa"/>
          </w:tcPr>
          <w:p w14:paraId="46465D39" w14:textId="77777777" w:rsidR="00DE3EB8" w:rsidRPr="0030518F" w:rsidRDefault="00DE3EB8" w:rsidP="008B0A6B">
            <w:pPr>
              <w:pStyle w:val="ListParagraph"/>
              <w:ind w:left="0"/>
              <w:rPr>
                <w:rFonts w:ascii="Arial" w:hAnsi="Arial" w:cs="Arial"/>
                <w:sz w:val="20"/>
                <w:szCs w:val="20"/>
                <w:lang w:val="es-MX"/>
              </w:rPr>
            </w:pPr>
          </w:p>
        </w:tc>
        <w:tc>
          <w:tcPr>
            <w:tcW w:w="1350" w:type="dxa"/>
          </w:tcPr>
          <w:p w14:paraId="14733FE8" w14:textId="77777777" w:rsidR="00DE3EB8" w:rsidRPr="0030518F" w:rsidRDefault="00DE3EB8" w:rsidP="008B0A6B">
            <w:pPr>
              <w:pStyle w:val="ListParagraph"/>
              <w:ind w:left="0"/>
              <w:rPr>
                <w:rFonts w:ascii="Arial" w:hAnsi="Arial" w:cs="Arial"/>
                <w:sz w:val="20"/>
                <w:szCs w:val="20"/>
                <w:lang w:val="es-MX"/>
              </w:rPr>
            </w:pPr>
          </w:p>
        </w:tc>
        <w:tc>
          <w:tcPr>
            <w:tcW w:w="1620" w:type="dxa"/>
          </w:tcPr>
          <w:p w14:paraId="246765D9" w14:textId="77777777" w:rsidR="00DE3EB8" w:rsidRPr="0030518F" w:rsidRDefault="00DE3EB8" w:rsidP="008B0A6B">
            <w:pPr>
              <w:pStyle w:val="ListParagraph"/>
              <w:ind w:left="0"/>
              <w:rPr>
                <w:rFonts w:ascii="Arial" w:hAnsi="Arial" w:cs="Arial"/>
                <w:sz w:val="20"/>
                <w:szCs w:val="20"/>
                <w:lang w:val="es-MX"/>
              </w:rPr>
            </w:pPr>
          </w:p>
        </w:tc>
        <w:tc>
          <w:tcPr>
            <w:tcW w:w="1800" w:type="dxa"/>
          </w:tcPr>
          <w:p w14:paraId="2DBB0302" w14:textId="77777777" w:rsidR="00DE3EB8" w:rsidRPr="0030518F" w:rsidRDefault="00DE3EB8" w:rsidP="008B0A6B">
            <w:pPr>
              <w:pStyle w:val="ListParagraph"/>
              <w:ind w:left="0"/>
              <w:rPr>
                <w:rFonts w:ascii="Arial" w:hAnsi="Arial" w:cs="Arial"/>
                <w:sz w:val="20"/>
                <w:szCs w:val="20"/>
                <w:lang w:val="es-MX"/>
              </w:rPr>
            </w:pPr>
          </w:p>
        </w:tc>
        <w:tc>
          <w:tcPr>
            <w:tcW w:w="3060" w:type="dxa"/>
          </w:tcPr>
          <w:p w14:paraId="7A6F4102" w14:textId="77777777" w:rsidR="00DE3EB8" w:rsidRPr="0030518F" w:rsidRDefault="00DE3EB8" w:rsidP="008B0A6B">
            <w:pPr>
              <w:pStyle w:val="ListParagraph"/>
              <w:ind w:left="0"/>
              <w:rPr>
                <w:rFonts w:ascii="Arial" w:hAnsi="Arial" w:cs="Arial"/>
                <w:sz w:val="20"/>
                <w:szCs w:val="20"/>
                <w:lang w:val="es-MX"/>
              </w:rPr>
            </w:pPr>
          </w:p>
        </w:tc>
      </w:tr>
      <w:tr w:rsidR="00DE3EB8" w:rsidRPr="00392E34" w14:paraId="210D1F51" w14:textId="77777777" w:rsidTr="008B0A6B">
        <w:trPr>
          <w:trHeight w:val="253"/>
        </w:trPr>
        <w:tc>
          <w:tcPr>
            <w:tcW w:w="5220" w:type="dxa"/>
          </w:tcPr>
          <w:p w14:paraId="2C75F7B2" w14:textId="77777777" w:rsidR="00DE3EB8" w:rsidRPr="0030518F" w:rsidRDefault="00DE3EB8" w:rsidP="008B0A6B">
            <w:pPr>
              <w:pStyle w:val="ListParagraph"/>
              <w:ind w:left="0"/>
              <w:rPr>
                <w:rFonts w:ascii="Arial" w:hAnsi="Arial" w:cs="Arial"/>
                <w:sz w:val="20"/>
                <w:szCs w:val="20"/>
                <w:lang w:val="es-MX"/>
              </w:rPr>
            </w:pPr>
            <w:r w:rsidRPr="0030518F">
              <w:rPr>
                <w:rFonts w:ascii="Arial" w:hAnsi="Arial" w:cs="Arial"/>
                <w:b/>
                <w:bCs/>
                <w:sz w:val="20"/>
                <w:szCs w:val="20"/>
                <w:lang w:val="es-MX"/>
              </w:rPr>
              <w:t xml:space="preserve">Financiamiento de RH clave </w:t>
            </w:r>
            <w:r w:rsidRPr="0030518F">
              <w:rPr>
                <w:rFonts w:ascii="Arial" w:hAnsi="Arial" w:cs="Arial"/>
                <w:sz w:val="20"/>
                <w:szCs w:val="20"/>
                <w:lang w:val="es-MX"/>
              </w:rPr>
              <w:t xml:space="preserve">a nivel central de la </w:t>
            </w:r>
            <w:r w:rsidRPr="0030518F">
              <w:rPr>
                <w:rFonts w:ascii="Arial" w:hAnsi="Arial" w:cs="Arial"/>
                <w:b/>
                <w:bCs/>
                <w:sz w:val="20"/>
                <w:szCs w:val="20"/>
                <w:lang w:val="es-MX"/>
              </w:rPr>
              <w:t>SESAL a través de proyectos de cooperación</w:t>
            </w:r>
            <w:r w:rsidRPr="0030518F">
              <w:rPr>
                <w:rFonts w:ascii="Arial" w:hAnsi="Arial" w:cs="Arial"/>
                <w:sz w:val="20"/>
                <w:szCs w:val="20"/>
                <w:lang w:val="es-MX"/>
              </w:rPr>
              <w:t xml:space="preserve"> (i.e. personal de monitoreo y evaluación o logística)</w:t>
            </w:r>
          </w:p>
        </w:tc>
        <w:tc>
          <w:tcPr>
            <w:tcW w:w="1440" w:type="dxa"/>
          </w:tcPr>
          <w:p w14:paraId="44AC20C2" w14:textId="77777777" w:rsidR="00DE3EB8" w:rsidRPr="0030518F" w:rsidRDefault="00DE3EB8" w:rsidP="008B0A6B">
            <w:pPr>
              <w:pStyle w:val="ListParagraph"/>
              <w:ind w:left="0"/>
              <w:rPr>
                <w:rFonts w:ascii="Arial" w:hAnsi="Arial" w:cs="Arial"/>
                <w:sz w:val="20"/>
                <w:szCs w:val="20"/>
                <w:lang w:val="es-MX"/>
              </w:rPr>
            </w:pPr>
          </w:p>
        </w:tc>
        <w:tc>
          <w:tcPr>
            <w:tcW w:w="1350" w:type="dxa"/>
          </w:tcPr>
          <w:p w14:paraId="1A719C0E" w14:textId="77777777" w:rsidR="00DE3EB8" w:rsidRPr="0030518F" w:rsidRDefault="00DE3EB8" w:rsidP="008B0A6B">
            <w:pPr>
              <w:pStyle w:val="ListParagraph"/>
              <w:ind w:left="0"/>
              <w:rPr>
                <w:rFonts w:ascii="Arial" w:hAnsi="Arial" w:cs="Arial"/>
                <w:sz w:val="20"/>
                <w:szCs w:val="20"/>
                <w:lang w:val="es-MX"/>
              </w:rPr>
            </w:pPr>
          </w:p>
        </w:tc>
        <w:tc>
          <w:tcPr>
            <w:tcW w:w="1620" w:type="dxa"/>
          </w:tcPr>
          <w:p w14:paraId="137C75F1" w14:textId="77777777" w:rsidR="00DE3EB8" w:rsidRPr="0030518F" w:rsidRDefault="00DE3EB8" w:rsidP="008B0A6B">
            <w:pPr>
              <w:pStyle w:val="ListParagraph"/>
              <w:ind w:left="0"/>
              <w:rPr>
                <w:rFonts w:ascii="Arial" w:hAnsi="Arial" w:cs="Arial"/>
                <w:sz w:val="20"/>
                <w:szCs w:val="20"/>
                <w:lang w:val="es-MX"/>
              </w:rPr>
            </w:pPr>
          </w:p>
        </w:tc>
        <w:tc>
          <w:tcPr>
            <w:tcW w:w="1800" w:type="dxa"/>
          </w:tcPr>
          <w:p w14:paraId="28C56283" w14:textId="77777777" w:rsidR="00DE3EB8" w:rsidRPr="0030518F" w:rsidRDefault="00DE3EB8" w:rsidP="008B0A6B">
            <w:pPr>
              <w:pStyle w:val="ListParagraph"/>
              <w:ind w:left="0"/>
              <w:rPr>
                <w:rFonts w:ascii="Arial" w:hAnsi="Arial" w:cs="Arial"/>
                <w:sz w:val="20"/>
                <w:szCs w:val="20"/>
                <w:lang w:val="es-MX"/>
              </w:rPr>
            </w:pPr>
          </w:p>
        </w:tc>
        <w:tc>
          <w:tcPr>
            <w:tcW w:w="3060" w:type="dxa"/>
          </w:tcPr>
          <w:p w14:paraId="37610BC4" w14:textId="77777777" w:rsidR="00DE3EB8" w:rsidRPr="0030518F" w:rsidRDefault="00DE3EB8" w:rsidP="008B0A6B">
            <w:pPr>
              <w:pStyle w:val="ListParagraph"/>
              <w:ind w:left="0"/>
              <w:rPr>
                <w:rFonts w:ascii="Arial" w:hAnsi="Arial" w:cs="Arial"/>
                <w:sz w:val="20"/>
                <w:szCs w:val="20"/>
                <w:lang w:val="es-MX"/>
              </w:rPr>
            </w:pPr>
          </w:p>
        </w:tc>
      </w:tr>
      <w:tr w:rsidR="00DE3EB8" w:rsidRPr="00392E34" w14:paraId="313AA2D5" w14:textId="77777777" w:rsidTr="008B0A6B">
        <w:trPr>
          <w:trHeight w:val="253"/>
        </w:trPr>
        <w:tc>
          <w:tcPr>
            <w:tcW w:w="5220" w:type="dxa"/>
          </w:tcPr>
          <w:p w14:paraId="0F773A59" w14:textId="77777777" w:rsidR="00DE3EB8" w:rsidRPr="0030518F" w:rsidRDefault="00DE3EB8" w:rsidP="008B0A6B">
            <w:pPr>
              <w:rPr>
                <w:rFonts w:ascii="Arial" w:hAnsi="Arial" w:cs="Arial"/>
                <w:sz w:val="20"/>
                <w:szCs w:val="20"/>
                <w:lang w:val="es-MX"/>
              </w:rPr>
            </w:pPr>
            <w:r w:rsidRPr="0030518F">
              <w:rPr>
                <w:rFonts w:ascii="Arial" w:hAnsi="Arial" w:cs="Arial"/>
                <w:b/>
                <w:bCs/>
                <w:sz w:val="20"/>
                <w:szCs w:val="20"/>
                <w:lang w:val="es-MX"/>
              </w:rPr>
              <w:t xml:space="preserve">No existe transparencia sobre la asignación y ejecución del presupuesto </w:t>
            </w:r>
            <w:r w:rsidRPr="0030518F">
              <w:rPr>
                <w:rFonts w:ascii="Arial" w:hAnsi="Arial" w:cs="Arial"/>
                <w:sz w:val="20"/>
                <w:szCs w:val="20"/>
                <w:lang w:val="es-MX"/>
              </w:rPr>
              <w:t>de VIH y TB por objeto de gasto imposibilitando el monitoreo y rendición de cuentas, y los recursos de los donantes no se contabilizan en el presupuesto nacional</w:t>
            </w:r>
          </w:p>
        </w:tc>
        <w:tc>
          <w:tcPr>
            <w:tcW w:w="1440" w:type="dxa"/>
          </w:tcPr>
          <w:p w14:paraId="6C062C97" w14:textId="77777777" w:rsidR="00DE3EB8" w:rsidRPr="0030518F" w:rsidRDefault="00DE3EB8" w:rsidP="008B0A6B">
            <w:pPr>
              <w:pStyle w:val="ListParagraph"/>
              <w:ind w:left="0"/>
              <w:rPr>
                <w:rFonts w:ascii="Arial" w:hAnsi="Arial" w:cs="Arial"/>
                <w:sz w:val="20"/>
                <w:szCs w:val="20"/>
                <w:lang w:val="es-MX"/>
              </w:rPr>
            </w:pPr>
          </w:p>
        </w:tc>
        <w:tc>
          <w:tcPr>
            <w:tcW w:w="1350" w:type="dxa"/>
          </w:tcPr>
          <w:p w14:paraId="43E988E7" w14:textId="77777777" w:rsidR="00DE3EB8" w:rsidRPr="0030518F" w:rsidRDefault="00DE3EB8" w:rsidP="008B0A6B">
            <w:pPr>
              <w:pStyle w:val="ListParagraph"/>
              <w:ind w:left="0"/>
              <w:rPr>
                <w:rFonts w:ascii="Arial" w:hAnsi="Arial" w:cs="Arial"/>
                <w:sz w:val="20"/>
                <w:szCs w:val="20"/>
                <w:lang w:val="es-MX"/>
              </w:rPr>
            </w:pPr>
          </w:p>
        </w:tc>
        <w:tc>
          <w:tcPr>
            <w:tcW w:w="1620" w:type="dxa"/>
          </w:tcPr>
          <w:p w14:paraId="7135DD0F" w14:textId="77777777" w:rsidR="00DE3EB8" w:rsidRPr="0030518F" w:rsidRDefault="00DE3EB8" w:rsidP="008B0A6B">
            <w:pPr>
              <w:pStyle w:val="ListParagraph"/>
              <w:ind w:left="0"/>
              <w:rPr>
                <w:rFonts w:ascii="Arial" w:hAnsi="Arial" w:cs="Arial"/>
                <w:sz w:val="20"/>
                <w:szCs w:val="20"/>
                <w:lang w:val="es-MX"/>
              </w:rPr>
            </w:pPr>
          </w:p>
        </w:tc>
        <w:tc>
          <w:tcPr>
            <w:tcW w:w="1800" w:type="dxa"/>
          </w:tcPr>
          <w:p w14:paraId="3A6E6BCE" w14:textId="77777777" w:rsidR="00DE3EB8" w:rsidRPr="0030518F" w:rsidRDefault="00DE3EB8" w:rsidP="008B0A6B">
            <w:pPr>
              <w:pStyle w:val="ListParagraph"/>
              <w:ind w:left="0"/>
              <w:rPr>
                <w:rFonts w:ascii="Arial" w:hAnsi="Arial" w:cs="Arial"/>
                <w:sz w:val="20"/>
                <w:szCs w:val="20"/>
                <w:lang w:val="es-MX"/>
              </w:rPr>
            </w:pPr>
          </w:p>
        </w:tc>
        <w:tc>
          <w:tcPr>
            <w:tcW w:w="3060" w:type="dxa"/>
          </w:tcPr>
          <w:p w14:paraId="392A9248" w14:textId="77777777" w:rsidR="00DE3EB8" w:rsidRPr="0030518F" w:rsidRDefault="00DE3EB8" w:rsidP="008B0A6B">
            <w:pPr>
              <w:pStyle w:val="ListParagraph"/>
              <w:ind w:left="0"/>
              <w:rPr>
                <w:rFonts w:ascii="Arial" w:hAnsi="Arial" w:cs="Arial"/>
                <w:sz w:val="20"/>
                <w:szCs w:val="20"/>
                <w:lang w:val="es-MX"/>
              </w:rPr>
            </w:pPr>
          </w:p>
        </w:tc>
      </w:tr>
      <w:tr w:rsidR="00DE3EB8" w:rsidRPr="00DC2F53" w14:paraId="6CA1CB61" w14:textId="77777777" w:rsidTr="008B0A6B">
        <w:trPr>
          <w:trHeight w:val="253"/>
        </w:trPr>
        <w:tc>
          <w:tcPr>
            <w:tcW w:w="14490" w:type="dxa"/>
            <w:gridSpan w:val="6"/>
            <w:shd w:val="clear" w:color="auto" w:fill="D9D9D9" w:themeFill="background1" w:themeFillShade="D9"/>
          </w:tcPr>
          <w:p w14:paraId="31859494" w14:textId="77777777" w:rsidR="00DE3EB8" w:rsidRPr="0030518F" w:rsidRDefault="00DE3EB8" w:rsidP="008B0A6B">
            <w:pPr>
              <w:pStyle w:val="ListParagraph"/>
              <w:ind w:left="0"/>
              <w:rPr>
                <w:rFonts w:ascii="Arial" w:hAnsi="Arial" w:cs="Arial"/>
                <w:b/>
                <w:sz w:val="20"/>
                <w:szCs w:val="20"/>
                <w:lang w:val="es-MX"/>
              </w:rPr>
            </w:pPr>
            <w:r w:rsidRPr="0030518F">
              <w:rPr>
                <w:rFonts w:ascii="Arial" w:hAnsi="Arial" w:cs="Arial"/>
                <w:b/>
                <w:sz w:val="20"/>
                <w:szCs w:val="20"/>
                <w:lang w:val="es-MX"/>
              </w:rPr>
              <w:t>Provisión de servicios</w:t>
            </w:r>
          </w:p>
        </w:tc>
      </w:tr>
      <w:tr w:rsidR="00DE3EB8" w:rsidRPr="00392E34" w14:paraId="38C1F242" w14:textId="77777777" w:rsidTr="008B0A6B">
        <w:trPr>
          <w:trHeight w:val="253"/>
        </w:trPr>
        <w:tc>
          <w:tcPr>
            <w:tcW w:w="5220" w:type="dxa"/>
          </w:tcPr>
          <w:p w14:paraId="16042B5F" w14:textId="77777777" w:rsidR="00DE3EB8" w:rsidRPr="0030518F" w:rsidRDefault="00DE3EB8" w:rsidP="008B0A6B">
            <w:pPr>
              <w:rPr>
                <w:rFonts w:ascii="Arial" w:hAnsi="Arial" w:cs="Arial"/>
                <w:sz w:val="20"/>
                <w:szCs w:val="20"/>
                <w:lang w:val="es-MX"/>
              </w:rPr>
            </w:pPr>
            <w:r w:rsidRPr="0030518F">
              <w:rPr>
                <w:rFonts w:ascii="Arial" w:hAnsi="Arial" w:cs="Arial"/>
                <w:b/>
                <w:bCs/>
                <w:sz w:val="20"/>
                <w:szCs w:val="20"/>
                <w:lang w:val="es-MX"/>
              </w:rPr>
              <w:t xml:space="preserve">Los recursos humanos en locales y centrales poseen contratación irregular y alta rotación </w:t>
            </w:r>
            <w:r w:rsidRPr="0030518F">
              <w:rPr>
                <w:rFonts w:ascii="Arial" w:hAnsi="Arial" w:cs="Arial"/>
                <w:sz w:val="20"/>
                <w:szCs w:val="20"/>
                <w:lang w:val="es-MX"/>
              </w:rPr>
              <w:t>poniendo en riesgo la capacidad técnica y operativa de las intervenciones</w:t>
            </w:r>
          </w:p>
        </w:tc>
        <w:tc>
          <w:tcPr>
            <w:tcW w:w="1440" w:type="dxa"/>
          </w:tcPr>
          <w:p w14:paraId="39009AFA" w14:textId="77777777" w:rsidR="00DE3EB8" w:rsidRPr="0030518F" w:rsidRDefault="00DE3EB8" w:rsidP="008B0A6B">
            <w:pPr>
              <w:pStyle w:val="ListParagraph"/>
              <w:ind w:left="0"/>
              <w:rPr>
                <w:rFonts w:ascii="Arial" w:hAnsi="Arial" w:cs="Arial"/>
                <w:sz w:val="20"/>
                <w:szCs w:val="20"/>
                <w:lang w:val="es-MX"/>
              </w:rPr>
            </w:pPr>
          </w:p>
        </w:tc>
        <w:tc>
          <w:tcPr>
            <w:tcW w:w="1350" w:type="dxa"/>
          </w:tcPr>
          <w:p w14:paraId="67463CE3" w14:textId="77777777" w:rsidR="00DE3EB8" w:rsidRPr="0030518F" w:rsidRDefault="00DE3EB8" w:rsidP="008B0A6B">
            <w:pPr>
              <w:pStyle w:val="ListParagraph"/>
              <w:ind w:left="0"/>
              <w:rPr>
                <w:rFonts w:ascii="Arial" w:hAnsi="Arial" w:cs="Arial"/>
                <w:sz w:val="20"/>
                <w:szCs w:val="20"/>
                <w:lang w:val="es-MX"/>
              </w:rPr>
            </w:pPr>
          </w:p>
        </w:tc>
        <w:tc>
          <w:tcPr>
            <w:tcW w:w="1620" w:type="dxa"/>
          </w:tcPr>
          <w:p w14:paraId="0C9AC907" w14:textId="77777777" w:rsidR="00DE3EB8" w:rsidRPr="0030518F" w:rsidRDefault="00DE3EB8" w:rsidP="008B0A6B">
            <w:pPr>
              <w:pStyle w:val="ListParagraph"/>
              <w:ind w:left="0"/>
              <w:rPr>
                <w:rFonts w:ascii="Arial" w:hAnsi="Arial" w:cs="Arial"/>
                <w:sz w:val="20"/>
                <w:szCs w:val="20"/>
                <w:lang w:val="es-MX"/>
              </w:rPr>
            </w:pPr>
          </w:p>
        </w:tc>
        <w:tc>
          <w:tcPr>
            <w:tcW w:w="1800" w:type="dxa"/>
          </w:tcPr>
          <w:p w14:paraId="291ECEFC" w14:textId="77777777" w:rsidR="00DE3EB8" w:rsidRPr="0030518F" w:rsidRDefault="00DE3EB8" w:rsidP="008B0A6B">
            <w:pPr>
              <w:pStyle w:val="ListParagraph"/>
              <w:ind w:left="0"/>
              <w:rPr>
                <w:rFonts w:ascii="Arial" w:hAnsi="Arial" w:cs="Arial"/>
                <w:sz w:val="20"/>
                <w:szCs w:val="20"/>
                <w:lang w:val="es-MX"/>
              </w:rPr>
            </w:pPr>
          </w:p>
        </w:tc>
        <w:tc>
          <w:tcPr>
            <w:tcW w:w="3060" w:type="dxa"/>
          </w:tcPr>
          <w:p w14:paraId="1DF7714A" w14:textId="77777777" w:rsidR="00DE3EB8" w:rsidRPr="0030518F" w:rsidRDefault="00DE3EB8" w:rsidP="008B0A6B">
            <w:pPr>
              <w:pStyle w:val="ListParagraph"/>
              <w:ind w:left="0"/>
              <w:rPr>
                <w:rFonts w:ascii="Arial" w:hAnsi="Arial" w:cs="Arial"/>
                <w:sz w:val="20"/>
                <w:szCs w:val="20"/>
                <w:lang w:val="es-MX"/>
              </w:rPr>
            </w:pPr>
          </w:p>
        </w:tc>
      </w:tr>
      <w:tr w:rsidR="00DE3EB8" w:rsidRPr="00392E34" w14:paraId="004A9B39" w14:textId="77777777" w:rsidTr="008B0A6B">
        <w:trPr>
          <w:trHeight w:val="253"/>
        </w:trPr>
        <w:tc>
          <w:tcPr>
            <w:tcW w:w="5220" w:type="dxa"/>
          </w:tcPr>
          <w:p w14:paraId="0377A7AB" w14:textId="77777777" w:rsidR="00DE3EB8" w:rsidRPr="0030518F" w:rsidRDefault="00DE3EB8" w:rsidP="008B0A6B">
            <w:pPr>
              <w:rPr>
                <w:rFonts w:ascii="Arial" w:hAnsi="Arial" w:cs="Arial"/>
                <w:sz w:val="20"/>
                <w:szCs w:val="20"/>
                <w:lang w:val="es-MX"/>
              </w:rPr>
            </w:pPr>
            <w:r w:rsidRPr="0030518F">
              <w:rPr>
                <w:rFonts w:ascii="Arial" w:hAnsi="Arial" w:cs="Arial"/>
                <w:b/>
                <w:bCs/>
                <w:sz w:val="20"/>
                <w:szCs w:val="20"/>
                <w:lang w:val="es-MX"/>
              </w:rPr>
              <w:t>La promoción, prevención comunitaria y navegación para población clave se realiza por OSCs a través de proyectos de cooperación.</w:t>
            </w:r>
          </w:p>
        </w:tc>
        <w:tc>
          <w:tcPr>
            <w:tcW w:w="1440" w:type="dxa"/>
          </w:tcPr>
          <w:p w14:paraId="20680EDC" w14:textId="77777777" w:rsidR="00DE3EB8" w:rsidRPr="0030518F" w:rsidRDefault="00DE3EB8" w:rsidP="008B0A6B">
            <w:pPr>
              <w:pStyle w:val="ListParagraph"/>
              <w:ind w:left="0"/>
              <w:rPr>
                <w:rFonts w:ascii="Arial" w:hAnsi="Arial" w:cs="Arial"/>
                <w:sz w:val="20"/>
                <w:szCs w:val="20"/>
                <w:lang w:val="es-MX"/>
              </w:rPr>
            </w:pPr>
          </w:p>
        </w:tc>
        <w:tc>
          <w:tcPr>
            <w:tcW w:w="1350" w:type="dxa"/>
          </w:tcPr>
          <w:p w14:paraId="530EC930" w14:textId="77777777" w:rsidR="00DE3EB8" w:rsidRPr="0030518F" w:rsidRDefault="00DE3EB8" w:rsidP="008B0A6B">
            <w:pPr>
              <w:pStyle w:val="ListParagraph"/>
              <w:ind w:left="0"/>
              <w:rPr>
                <w:rFonts w:ascii="Arial" w:hAnsi="Arial" w:cs="Arial"/>
                <w:sz w:val="20"/>
                <w:szCs w:val="20"/>
                <w:lang w:val="es-MX"/>
              </w:rPr>
            </w:pPr>
          </w:p>
        </w:tc>
        <w:tc>
          <w:tcPr>
            <w:tcW w:w="1620" w:type="dxa"/>
          </w:tcPr>
          <w:p w14:paraId="79492A46" w14:textId="77777777" w:rsidR="00DE3EB8" w:rsidRPr="0030518F" w:rsidRDefault="00DE3EB8" w:rsidP="008B0A6B">
            <w:pPr>
              <w:pStyle w:val="ListParagraph"/>
              <w:ind w:left="0"/>
              <w:rPr>
                <w:rFonts w:ascii="Arial" w:hAnsi="Arial" w:cs="Arial"/>
                <w:sz w:val="20"/>
                <w:szCs w:val="20"/>
                <w:lang w:val="es-MX"/>
              </w:rPr>
            </w:pPr>
          </w:p>
        </w:tc>
        <w:tc>
          <w:tcPr>
            <w:tcW w:w="1800" w:type="dxa"/>
          </w:tcPr>
          <w:p w14:paraId="06E7B898" w14:textId="77777777" w:rsidR="00DE3EB8" w:rsidRPr="0030518F" w:rsidRDefault="00DE3EB8" w:rsidP="008B0A6B">
            <w:pPr>
              <w:pStyle w:val="ListParagraph"/>
              <w:ind w:left="0"/>
              <w:rPr>
                <w:rFonts w:ascii="Arial" w:hAnsi="Arial" w:cs="Arial"/>
                <w:sz w:val="20"/>
                <w:szCs w:val="20"/>
                <w:lang w:val="es-MX"/>
              </w:rPr>
            </w:pPr>
          </w:p>
        </w:tc>
        <w:tc>
          <w:tcPr>
            <w:tcW w:w="3060" w:type="dxa"/>
          </w:tcPr>
          <w:p w14:paraId="02A147C2" w14:textId="77777777" w:rsidR="00DE3EB8" w:rsidRPr="0030518F" w:rsidRDefault="00DE3EB8" w:rsidP="008B0A6B">
            <w:pPr>
              <w:pStyle w:val="ListParagraph"/>
              <w:ind w:left="0"/>
              <w:rPr>
                <w:rFonts w:ascii="Arial" w:hAnsi="Arial" w:cs="Arial"/>
                <w:sz w:val="20"/>
                <w:szCs w:val="20"/>
                <w:lang w:val="es-MX"/>
              </w:rPr>
            </w:pPr>
          </w:p>
        </w:tc>
      </w:tr>
      <w:tr w:rsidR="00DE3EB8" w:rsidRPr="00392E34" w14:paraId="0EC9D82B" w14:textId="77777777" w:rsidTr="008B0A6B">
        <w:trPr>
          <w:trHeight w:val="253"/>
        </w:trPr>
        <w:tc>
          <w:tcPr>
            <w:tcW w:w="5220" w:type="dxa"/>
          </w:tcPr>
          <w:p w14:paraId="49318099" w14:textId="77777777" w:rsidR="00DE3EB8" w:rsidRPr="0030518F" w:rsidRDefault="00DE3EB8" w:rsidP="008B0A6B">
            <w:pPr>
              <w:rPr>
                <w:rFonts w:ascii="Arial" w:hAnsi="Arial" w:cs="Arial"/>
                <w:b/>
                <w:bCs/>
                <w:sz w:val="20"/>
                <w:szCs w:val="20"/>
                <w:lang w:val="es-MX"/>
              </w:rPr>
            </w:pPr>
            <w:r w:rsidRPr="0030518F">
              <w:rPr>
                <w:rFonts w:ascii="Arial" w:hAnsi="Arial" w:cs="Arial"/>
                <w:b/>
                <w:bCs/>
                <w:sz w:val="20"/>
                <w:szCs w:val="20"/>
                <w:lang w:val="es-MX"/>
              </w:rPr>
              <w:t xml:space="preserve">Existe un sistema de información manual </w:t>
            </w:r>
            <w:r w:rsidRPr="0030518F">
              <w:rPr>
                <w:rFonts w:ascii="Arial" w:hAnsi="Arial" w:cs="Arial"/>
                <w:bCs/>
                <w:sz w:val="20"/>
                <w:szCs w:val="20"/>
                <w:lang w:val="es-MX"/>
              </w:rPr>
              <w:t xml:space="preserve">desde el nivel local, el dato no es oportuno y de calidad, y a nivel central no se vincula con los datos de otras fuentes para monitorear la cascada de tratamiento. No se difunden </w:t>
            </w:r>
            <w:r w:rsidRPr="0030518F">
              <w:rPr>
                <w:rFonts w:ascii="Arial" w:hAnsi="Arial" w:cs="Arial"/>
                <w:bCs/>
                <w:sz w:val="20"/>
                <w:szCs w:val="20"/>
                <w:lang w:val="es-MX"/>
              </w:rPr>
              <w:lastRenderedPageBreak/>
              <w:t>los reportes de información rutinaria dificultando su uso para la toma de decisiones.</w:t>
            </w:r>
          </w:p>
        </w:tc>
        <w:tc>
          <w:tcPr>
            <w:tcW w:w="1440" w:type="dxa"/>
          </w:tcPr>
          <w:p w14:paraId="0B1F4279" w14:textId="77777777" w:rsidR="00DE3EB8" w:rsidRPr="0030518F" w:rsidRDefault="00DE3EB8" w:rsidP="008B0A6B">
            <w:pPr>
              <w:pStyle w:val="ListParagraph"/>
              <w:ind w:left="0"/>
              <w:rPr>
                <w:rFonts w:ascii="Arial" w:hAnsi="Arial" w:cs="Arial"/>
                <w:sz w:val="20"/>
                <w:szCs w:val="20"/>
                <w:lang w:val="es-MX"/>
              </w:rPr>
            </w:pPr>
          </w:p>
        </w:tc>
        <w:tc>
          <w:tcPr>
            <w:tcW w:w="1350" w:type="dxa"/>
          </w:tcPr>
          <w:p w14:paraId="4945DDD2" w14:textId="77777777" w:rsidR="00DE3EB8" w:rsidRPr="0030518F" w:rsidRDefault="00DE3EB8" w:rsidP="008B0A6B">
            <w:pPr>
              <w:pStyle w:val="ListParagraph"/>
              <w:ind w:left="0"/>
              <w:rPr>
                <w:rFonts w:ascii="Arial" w:hAnsi="Arial" w:cs="Arial"/>
                <w:sz w:val="20"/>
                <w:szCs w:val="20"/>
                <w:lang w:val="es-MX"/>
              </w:rPr>
            </w:pPr>
          </w:p>
        </w:tc>
        <w:tc>
          <w:tcPr>
            <w:tcW w:w="1620" w:type="dxa"/>
          </w:tcPr>
          <w:p w14:paraId="185B8E2B" w14:textId="77777777" w:rsidR="00DE3EB8" w:rsidRPr="0030518F" w:rsidRDefault="00DE3EB8" w:rsidP="008B0A6B">
            <w:pPr>
              <w:pStyle w:val="ListParagraph"/>
              <w:ind w:left="0"/>
              <w:rPr>
                <w:rFonts w:ascii="Arial" w:hAnsi="Arial" w:cs="Arial"/>
                <w:sz w:val="20"/>
                <w:szCs w:val="20"/>
                <w:lang w:val="es-MX"/>
              </w:rPr>
            </w:pPr>
          </w:p>
        </w:tc>
        <w:tc>
          <w:tcPr>
            <w:tcW w:w="1800" w:type="dxa"/>
          </w:tcPr>
          <w:p w14:paraId="0B69C909" w14:textId="77777777" w:rsidR="00DE3EB8" w:rsidRPr="0030518F" w:rsidRDefault="00DE3EB8" w:rsidP="008B0A6B">
            <w:pPr>
              <w:pStyle w:val="ListParagraph"/>
              <w:ind w:left="0"/>
              <w:rPr>
                <w:rFonts w:ascii="Arial" w:hAnsi="Arial" w:cs="Arial"/>
                <w:sz w:val="20"/>
                <w:szCs w:val="20"/>
                <w:lang w:val="es-MX"/>
              </w:rPr>
            </w:pPr>
          </w:p>
        </w:tc>
        <w:tc>
          <w:tcPr>
            <w:tcW w:w="3060" w:type="dxa"/>
          </w:tcPr>
          <w:p w14:paraId="745227B2" w14:textId="77777777" w:rsidR="00DE3EB8" w:rsidRPr="0030518F" w:rsidRDefault="00DE3EB8" w:rsidP="008B0A6B">
            <w:pPr>
              <w:pStyle w:val="ListParagraph"/>
              <w:ind w:left="0"/>
              <w:rPr>
                <w:rFonts w:ascii="Arial" w:hAnsi="Arial" w:cs="Arial"/>
                <w:sz w:val="20"/>
                <w:szCs w:val="20"/>
                <w:lang w:val="es-MX"/>
              </w:rPr>
            </w:pPr>
          </w:p>
        </w:tc>
      </w:tr>
      <w:tr w:rsidR="00DE3EB8" w:rsidRPr="00392E34" w14:paraId="0BB18735" w14:textId="77777777" w:rsidTr="008B0A6B">
        <w:trPr>
          <w:trHeight w:val="253"/>
        </w:trPr>
        <w:tc>
          <w:tcPr>
            <w:tcW w:w="5220" w:type="dxa"/>
          </w:tcPr>
          <w:p w14:paraId="7076B0E0" w14:textId="77777777" w:rsidR="00DE3EB8" w:rsidRPr="0030518F" w:rsidRDefault="00DE3EB8" w:rsidP="008B0A6B">
            <w:pPr>
              <w:rPr>
                <w:rFonts w:ascii="Arial" w:hAnsi="Arial" w:cs="Arial"/>
                <w:b/>
                <w:bCs/>
                <w:sz w:val="20"/>
                <w:szCs w:val="20"/>
                <w:lang w:val="es-MX"/>
              </w:rPr>
            </w:pPr>
            <w:r w:rsidRPr="0030518F">
              <w:rPr>
                <w:rFonts w:ascii="Arial" w:hAnsi="Arial" w:cs="Arial"/>
                <w:b/>
                <w:bCs/>
                <w:sz w:val="20"/>
                <w:szCs w:val="20"/>
                <w:lang w:val="es-MX"/>
              </w:rPr>
              <w:t xml:space="preserve">Existe desabastecimiento de medicamentos y pruebas rápidas </w:t>
            </w:r>
            <w:r w:rsidRPr="0030518F">
              <w:rPr>
                <w:rFonts w:ascii="Arial" w:hAnsi="Arial" w:cs="Arial"/>
                <w:bCs/>
                <w:sz w:val="20"/>
                <w:szCs w:val="20"/>
                <w:lang w:val="es-MX"/>
              </w:rPr>
              <w:t>por múltiples factores (ie. estimación de necesidades, ausencia de información oportuna y tiempos prolongadas)</w:t>
            </w:r>
          </w:p>
        </w:tc>
        <w:tc>
          <w:tcPr>
            <w:tcW w:w="1440" w:type="dxa"/>
          </w:tcPr>
          <w:p w14:paraId="146C779D" w14:textId="77777777" w:rsidR="00DE3EB8" w:rsidRPr="0030518F" w:rsidRDefault="00DE3EB8" w:rsidP="008B0A6B">
            <w:pPr>
              <w:pStyle w:val="ListParagraph"/>
              <w:ind w:left="0"/>
              <w:rPr>
                <w:rFonts w:ascii="Arial" w:hAnsi="Arial" w:cs="Arial"/>
                <w:sz w:val="20"/>
                <w:szCs w:val="20"/>
                <w:lang w:val="es-MX"/>
              </w:rPr>
            </w:pPr>
          </w:p>
        </w:tc>
        <w:tc>
          <w:tcPr>
            <w:tcW w:w="1350" w:type="dxa"/>
          </w:tcPr>
          <w:p w14:paraId="20358DCA" w14:textId="77777777" w:rsidR="00DE3EB8" w:rsidRPr="0030518F" w:rsidRDefault="00DE3EB8" w:rsidP="008B0A6B">
            <w:pPr>
              <w:pStyle w:val="ListParagraph"/>
              <w:ind w:left="0"/>
              <w:rPr>
                <w:rFonts w:ascii="Arial" w:hAnsi="Arial" w:cs="Arial"/>
                <w:sz w:val="20"/>
                <w:szCs w:val="20"/>
                <w:lang w:val="es-MX"/>
              </w:rPr>
            </w:pPr>
          </w:p>
        </w:tc>
        <w:tc>
          <w:tcPr>
            <w:tcW w:w="1620" w:type="dxa"/>
          </w:tcPr>
          <w:p w14:paraId="418D4A5C" w14:textId="77777777" w:rsidR="00DE3EB8" w:rsidRPr="0030518F" w:rsidRDefault="00DE3EB8" w:rsidP="008B0A6B">
            <w:pPr>
              <w:pStyle w:val="ListParagraph"/>
              <w:ind w:left="0"/>
              <w:rPr>
                <w:rFonts w:ascii="Arial" w:hAnsi="Arial" w:cs="Arial"/>
                <w:sz w:val="20"/>
                <w:szCs w:val="20"/>
                <w:lang w:val="es-MX"/>
              </w:rPr>
            </w:pPr>
          </w:p>
        </w:tc>
        <w:tc>
          <w:tcPr>
            <w:tcW w:w="1800" w:type="dxa"/>
          </w:tcPr>
          <w:p w14:paraId="646A8C4D" w14:textId="77777777" w:rsidR="00DE3EB8" w:rsidRPr="0030518F" w:rsidRDefault="00DE3EB8" w:rsidP="008B0A6B">
            <w:pPr>
              <w:pStyle w:val="ListParagraph"/>
              <w:ind w:left="0"/>
              <w:rPr>
                <w:rFonts w:ascii="Arial" w:hAnsi="Arial" w:cs="Arial"/>
                <w:sz w:val="20"/>
                <w:szCs w:val="20"/>
                <w:lang w:val="es-MX"/>
              </w:rPr>
            </w:pPr>
          </w:p>
        </w:tc>
        <w:tc>
          <w:tcPr>
            <w:tcW w:w="3060" w:type="dxa"/>
          </w:tcPr>
          <w:p w14:paraId="669560DA" w14:textId="77777777" w:rsidR="00DE3EB8" w:rsidRPr="0030518F" w:rsidRDefault="00DE3EB8" w:rsidP="008B0A6B">
            <w:pPr>
              <w:pStyle w:val="ListParagraph"/>
              <w:ind w:left="0"/>
              <w:rPr>
                <w:rFonts w:ascii="Arial" w:hAnsi="Arial" w:cs="Arial"/>
                <w:sz w:val="20"/>
                <w:szCs w:val="20"/>
                <w:lang w:val="es-MX"/>
              </w:rPr>
            </w:pPr>
          </w:p>
        </w:tc>
      </w:tr>
      <w:tr w:rsidR="00DE3EB8" w:rsidRPr="00392E34" w14:paraId="37174315" w14:textId="77777777" w:rsidTr="008B0A6B">
        <w:trPr>
          <w:trHeight w:val="782"/>
        </w:trPr>
        <w:tc>
          <w:tcPr>
            <w:tcW w:w="5220" w:type="dxa"/>
          </w:tcPr>
          <w:p w14:paraId="349CA0F8" w14:textId="77777777" w:rsidR="00DE3EB8" w:rsidRPr="0030518F" w:rsidRDefault="00DE3EB8" w:rsidP="008B0A6B">
            <w:pPr>
              <w:rPr>
                <w:rFonts w:ascii="Arial" w:hAnsi="Arial" w:cs="Arial"/>
                <w:b/>
                <w:bCs/>
                <w:sz w:val="20"/>
                <w:szCs w:val="20"/>
                <w:lang w:val="es-MX"/>
              </w:rPr>
            </w:pPr>
            <w:r w:rsidRPr="0030518F">
              <w:rPr>
                <w:rFonts w:ascii="Arial" w:hAnsi="Arial" w:cs="Arial"/>
                <w:b/>
                <w:bCs/>
                <w:sz w:val="20"/>
                <w:szCs w:val="20"/>
                <w:lang w:val="es-MX"/>
              </w:rPr>
              <w:t xml:space="preserve">Resistencia a ARV de 1ª línea </w:t>
            </w:r>
            <w:r w:rsidRPr="0030518F">
              <w:rPr>
                <w:rFonts w:ascii="Arial" w:hAnsi="Arial" w:cs="Arial"/>
                <w:bCs/>
                <w:sz w:val="20"/>
                <w:szCs w:val="20"/>
                <w:lang w:val="es-MX"/>
              </w:rPr>
              <w:t>(29% de los pacientes pre-tratamiento tiene resistencia).</w:t>
            </w:r>
          </w:p>
        </w:tc>
        <w:tc>
          <w:tcPr>
            <w:tcW w:w="1440" w:type="dxa"/>
          </w:tcPr>
          <w:p w14:paraId="77D82414" w14:textId="77777777" w:rsidR="00DE3EB8" w:rsidRPr="0030518F" w:rsidRDefault="00DE3EB8" w:rsidP="008B0A6B">
            <w:pPr>
              <w:pStyle w:val="ListParagraph"/>
              <w:ind w:left="0"/>
              <w:rPr>
                <w:rFonts w:ascii="Arial" w:hAnsi="Arial" w:cs="Arial"/>
                <w:sz w:val="20"/>
                <w:szCs w:val="20"/>
                <w:lang w:val="es-MX"/>
              </w:rPr>
            </w:pPr>
          </w:p>
        </w:tc>
        <w:tc>
          <w:tcPr>
            <w:tcW w:w="1350" w:type="dxa"/>
          </w:tcPr>
          <w:p w14:paraId="39ED193D" w14:textId="77777777" w:rsidR="00DE3EB8" w:rsidRPr="0030518F" w:rsidRDefault="00DE3EB8" w:rsidP="008B0A6B">
            <w:pPr>
              <w:pStyle w:val="ListParagraph"/>
              <w:ind w:left="0"/>
              <w:rPr>
                <w:rFonts w:ascii="Arial" w:hAnsi="Arial" w:cs="Arial"/>
                <w:sz w:val="20"/>
                <w:szCs w:val="20"/>
                <w:lang w:val="es-MX"/>
              </w:rPr>
            </w:pPr>
          </w:p>
        </w:tc>
        <w:tc>
          <w:tcPr>
            <w:tcW w:w="1620" w:type="dxa"/>
          </w:tcPr>
          <w:p w14:paraId="57EE0A4E" w14:textId="77777777" w:rsidR="00DE3EB8" w:rsidRPr="0030518F" w:rsidRDefault="00DE3EB8" w:rsidP="008B0A6B">
            <w:pPr>
              <w:pStyle w:val="ListParagraph"/>
              <w:ind w:left="0"/>
              <w:rPr>
                <w:rFonts w:ascii="Arial" w:hAnsi="Arial" w:cs="Arial"/>
                <w:sz w:val="20"/>
                <w:szCs w:val="20"/>
                <w:lang w:val="es-MX"/>
              </w:rPr>
            </w:pPr>
          </w:p>
        </w:tc>
        <w:tc>
          <w:tcPr>
            <w:tcW w:w="1800" w:type="dxa"/>
          </w:tcPr>
          <w:p w14:paraId="620E47AC" w14:textId="77777777" w:rsidR="00DE3EB8" w:rsidRPr="0030518F" w:rsidRDefault="00DE3EB8" w:rsidP="008B0A6B">
            <w:pPr>
              <w:pStyle w:val="ListParagraph"/>
              <w:ind w:left="0"/>
              <w:rPr>
                <w:rFonts w:ascii="Arial" w:hAnsi="Arial" w:cs="Arial"/>
                <w:sz w:val="20"/>
                <w:szCs w:val="20"/>
                <w:lang w:val="es-MX"/>
              </w:rPr>
            </w:pPr>
          </w:p>
        </w:tc>
        <w:tc>
          <w:tcPr>
            <w:tcW w:w="3060" w:type="dxa"/>
          </w:tcPr>
          <w:p w14:paraId="58E07C8E" w14:textId="77777777" w:rsidR="00DE3EB8" w:rsidRPr="0030518F" w:rsidRDefault="00DE3EB8" w:rsidP="008B0A6B">
            <w:pPr>
              <w:pStyle w:val="ListParagraph"/>
              <w:ind w:left="0"/>
              <w:rPr>
                <w:rFonts w:ascii="Arial" w:hAnsi="Arial" w:cs="Arial"/>
                <w:sz w:val="20"/>
                <w:szCs w:val="20"/>
                <w:lang w:val="es-MX"/>
              </w:rPr>
            </w:pPr>
          </w:p>
        </w:tc>
      </w:tr>
      <w:tr w:rsidR="00DE3EB8" w:rsidRPr="00DC2F53" w14:paraId="36613ADC" w14:textId="77777777" w:rsidTr="008B0A6B">
        <w:trPr>
          <w:trHeight w:val="253"/>
        </w:trPr>
        <w:tc>
          <w:tcPr>
            <w:tcW w:w="14490" w:type="dxa"/>
            <w:gridSpan w:val="6"/>
            <w:shd w:val="clear" w:color="auto" w:fill="D9D9D9" w:themeFill="background1" w:themeFillShade="D9"/>
          </w:tcPr>
          <w:p w14:paraId="12753AE6" w14:textId="77777777" w:rsidR="00DE3EB8" w:rsidRPr="0030518F" w:rsidRDefault="00DE3EB8" w:rsidP="008B0A6B">
            <w:pPr>
              <w:pStyle w:val="ListParagraph"/>
              <w:ind w:left="0"/>
              <w:rPr>
                <w:rFonts w:ascii="Arial" w:hAnsi="Arial" w:cs="Arial"/>
                <w:sz w:val="20"/>
                <w:szCs w:val="20"/>
                <w:lang w:val="es-MX"/>
              </w:rPr>
            </w:pPr>
            <w:r w:rsidRPr="0030518F">
              <w:rPr>
                <w:rFonts w:ascii="Arial" w:hAnsi="Arial" w:cs="Arial"/>
                <w:b/>
                <w:sz w:val="20"/>
                <w:szCs w:val="20"/>
                <w:lang w:val="es-MX"/>
              </w:rPr>
              <w:t>Política, Regulación e Instituciones</w:t>
            </w:r>
          </w:p>
        </w:tc>
      </w:tr>
      <w:tr w:rsidR="00DE3EB8" w:rsidRPr="00392E34" w14:paraId="1CF9104B" w14:textId="77777777" w:rsidTr="008B0A6B">
        <w:trPr>
          <w:trHeight w:val="1241"/>
        </w:trPr>
        <w:tc>
          <w:tcPr>
            <w:tcW w:w="5220" w:type="dxa"/>
          </w:tcPr>
          <w:p w14:paraId="4B1BD154" w14:textId="77777777" w:rsidR="00DE3EB8" w:rsidRPr="0030518F" w:rsidRDefault="00DE3EB8" w:rsidP="008B0A6B">
            <w:pPr>
              <w:rPr>
                <w:rFonts w:ascii="Arial" w:hAnsi="Arial" w:cs="Arial"/>
                <w:b/>
                <w:bCs/>
                <w:sz w:val="20"/>
                <w:szCs w:val="20"/>
                <w:lang w:val="es-MX"/>
              </w:rPr>
            </w:pPr>
            <w:r w:rsidRPr="0030518F">
              <w:rPr>
                <w:rFonts w:ascii="Arial" w:hAnsi="Arial" w:cs="Arial"/>
                <w:b/>
                <w:bCs/>
                <w:sz w:val="20"/>
                <w:szCs w:val="20"/>
                <w:lang w:val="es-MX"/>
              </w:rPr>
              <w:t xml:space="preserve">La transversalización de servicios </w:t>
            </w:r>
            <w:r w:rsidRPr="0030518F">
              <w:rPr>
                <w:rFonts w:ascii="Arial" w:hAnsi="Arial" w:cs="Arial"/>
                <w:bCs/>
                <w:sz w:val="20"/>
                <w:szCs w:val="20"/>
                <w:lang w:val="es-MX"/>
              </w:rPr>
              <w:t>de VIH y TB a partir de la reforma ha creado falta de liderazgo, rendición de cuentas y pérdida de capacidad técnica de alto nivel.</w:t>
            </w:r>
          </w:p>
        </w:tc>
        <w:tc>
          <w:tcPr>
            <w:tcW w:w="1440" w:type="dxa"/>
          </w:tcPr>
          <w:p w14:paraId="053A6154" w14:textId="77777777" w:rsidR="00DE3EB8" w:rsidRPr="0030518F" w:rsidRDefault="00DE3EB8" w:rsidP="008B0A6B">
            <w:pPr>
              <w:pStyle w:val="ListParagraph"/>
              <w:ind w:left="0"/>
              <w:rPr>
                <w:rFonts w:ascii="Arial" w:hAnsi="Arial" w:cs="Arial"/>
                <w:sz w:val="20"/>
                <w:szCs w:val="20"/>
                <w:lang w:val="es-MX"/>
              </w:rPr>
            </w:pPr>
          </w:p>
        </w:tc>
        <w:tc>
          <w:tcPr>
            <w:tcW w:w="1350" w:type="dxa"/>
          </w:tcPr>
          <w:p w14:paraId="2BB496E1" w14:textId="77777777" w:rsidR="00DE3EB8" w:rsidRPr="0030518F" w:rsidRDefault="00DE3EB8" w:rsidP="008B0A6B">
            <w:pPr>
              <w:pStyle w:val="ListParagraph"/>
              <w:ind w:left="0"/>
              <w:rPr>
                <w:rFonts w:ascii="Arial" w:hAnsi="Arial" w:cs="Arial"/>
                <w:sz w:val="20"/>
                <w:szCs w:val="20"/>
                <w:lang w:val="es-MX"/>
              </w:rPr>
            </w:pPr>
          </w:p>
        </w:tc>
        <w:tc>
          <w:tcPr>
            <w:tcW w:w="1620" w:type="dxa"/>
          </w:tcPr>
          <w:p w14:paraId="4A0CF487" w14:textId="77777777" w:rsidR="00DE3EB8" w:rsidRPr="0030518F" w:rsidRDefault="00DE3EB8" w:rsidP="008B0A6B">
            <w:pPr>
              <w:pStyle w:val="ListParagraph"/>
              <w:ind w:left="0"/>
              <w:rPr>
                <w:rFonts w:ascii="Arial" w:hAnsi="Arial" w:cs="Arial"/>
                <w:sz w:val="20"/>
                <w:szCs w:val="20"/>
                <w:lang w:val="es-MX"/>
              </w:rPr>
            </w:pPr>
          </w:p>
        </w:tc>
        <w:tc>
          <w:tcPr>
            <w:tcW w:w="1800" w:type="dxa"/>
          </w:tcPr>
          <w:p w14:paraId="6E0DC11F" w14:textId="77777777" w:rsidR="00DE3EB8" w:rsidRPr="0030518F" w:rsidRDefault="00DE3EB8" w:rsidP="008B0A6B">
            <w:pPr>
              <w:pStyle w:val="ListParagraph"/>
              <w:ind w:left="0"/>
              <w:rPr>
                <w:rFonts w:ascii="Arial" w:hAnsi="Arial" w:cs="Arial"/>
                <w:sz w:val="20"/>
                <w:szCs w:val="20"/>
                <w:lang w:val="es-MX"/>
              </w:rPr>
            </w:pPr>
          </w:p>
        </w:tc>
        <w:tc>
          <w:tcPr>
            <w:tcW w:w="3060" w:type="dxa"/>
          </w:tcPr>
          <w:p w14:paraId="20B6B98D" w14:textId="77777777" w:rsidR="00DE3EB8" w:rsidRPr="0030518F" w:rsidRDefault="00DE3EB8" w:rsidP="008B0A6B">
            <w:pPr>
              <w:pStyle w:val="ListParagraph"/>
              <w:ind w:left="0"/>
              <w:rPr>
                <w:rFonts w:ascii="Arial" w:hAnsi="Arial" w:cs="Arial"/>
                <w:sz w:val="20"/>
                <w:szCs w:val="20"/>
                <w:lang w:val="es-MX"/>
              </w:rPr>
            </w:pPr>
          </w:p>
        </w:tc>
      </w:tr>
      <w:tr w:rsidR="00DE3EB8" w:rsidRPr="00392E34" w14:paraId="54861137" w14:textId="77777777" w:rsidTr="008B0A6B">
        <w:trPr>
          <w:trHeight w:val="1124"/>
        </w:trPr>
        <w:tc>
          <w:tcPr>
            <w:tcW w:w="5220" w:type="dxa"/>
          </w:tcPr>
          <w:p w14:paraId="19F2DE52" w14:textId="77777777" w:rsidR="00DE3EB8" w:rsidRPr="0030518F" w:rsidRDefault="00DE3EB8" w:rsidP="008B0A6B">
            <w:pPr>
              <w:rPr>
                <w:rFonts w:ascii="Arial" w:hAnsi="Arial" w:cs="Arial"/>
                <w:b/>
                <w:bCs/>
                <w:sz w:val="20"/>
                <w:szCs w:val="20"/>
                <w:lang w:val="es-MX"/>
              </w:rPr>
            </w:pPr>
            <w:r w:rsidRPr="0030518F">
              <w:rPr>
                <w:rFonts w:ascii="Arial" w:hAnsi="Arial" w:cs="Arial"/>
                <w:b/>
                <w:bCs/>
                <w:sz w:val="20"/>
                <w:szCs w:val="20"/>
                <w:lang w:val="es-ES_tradnl"/>
              </w:rPr>
              <w:t xml:space="preserve">Pluralidad y fragmentación institucional: </w:t>
            </w:r>
            <w:r w:rsidRPr="0030518F">
              <w:rPr>
                <w:rFonts w:ascii="Arial" w:hAnsi="Arial" w:cs="Arial"/>
                <w:bCs/>
                <w:sz w:val="20"/>
                <w:szCs w:val="20"/>
                <w:lang w:val="es-ES_tradnl"/>
              </w:rPr>
              <w:t>SESAL, CONADEH, Secretaria de Derechos Humanos, CONASIDA con mandatos competitivos y falta de coordinación.</w:t>
            </w:r>
            <w:r w:rsidRPr="0030518F">
              <w:rPr>
                <w:rFonts w:ascii="Arial" w:hAnsi="Arial" w:cs="Arial"/>
                <w:b/>
                <w:bCs/>
                <w:sz w:val="20"/>
                <w:szCs w:val="20"/>
                <w:lang w:val="es-ES_tradnl"/>
              </w:rPr>
              <w:t xml:space="preserve"> </w:t>
            </w:r>
          </w:p>
        </w:tc>
        <w:tc>
          <w:tcPr>
            <w:tcW w:w="1440" w:type="dxa"/>
          </w:tcPr>
          <w:p w14:paraId="1547B7CC" w14:textId="77777777" w:rsidR="00DE3EB8" w:rsidRPr="0030518F" w:rsidRDefault="00DE3EB8" w:rsidP="008B0A6B">
            <w:pPr>
              <w:pStyle w:val="ListParagraph"/>
              <w:ind w:left="0"/>
              <w:rPr>
                <w:rFonts w:ascii="Arial" w:hAnsi="Arial" w:cs="Arial"/>
                <w:sz w:val="20"/>
                <w:szCs w:val="20"/>
                <w:lang w:val="es-MX"/>
              </w:rPr>
            </w:pPr>
          </w:p>
        </w:tc>
        <w:tc>
          <w:tcPr>
            <w:tcW w:w="1350" w:type="dxa"/>
          </w:tcPr>
          <w:p w14:paraId="7B62D5F0" w14:textId="77777777" w:rsidR="00DE3EB8" w:rsidRPr="0030518F" w:rsidRDefault="00DE3EB8" w:rsidP="008B0A6B">
            <w:pPr>
              <w:pStyle w:val="ListParagraph"/>
              <w:ind w:left="0"/>
              <w:rPr>
                <w:rFonts w:ascii="Arial" w:hAnsi="Arial" w:cs="Arial"/>
                <w:sz w:val="20"/>
                <w:szCs w:val="20"/>
                <w:lang w:val="es-MX"/>
              </w:rPr>
            </w:pPr>
          </w:p>
        </w:tc>
        <w:tc>
          <w:tcPr>
            <w:tcW w:w="1620" w:type="dxa"/>
          </w:tcPr>
          <w:p w14:paraId="19B6474F" w14:textId="77777777" w:rsidR="00DE3EB8" w:rsidRPr="0030518F" w:rsidRDefault="00DE3EB8" w:rsidP="008B0A6B">
            <w:pPr>
              <w:pStyle w:val="ListParagraph"/>
              <w:ind w:left="0"/>
              <w:rPr>
                <w:rFonts w:ascii="Arial" w:hAnsi="Arial" w:cs="Arial"/>
                <w:sz w:val="20"/>
                <w:szCs w:val="20"/>
                <w:lang w:val="es-MX"/>
              </w:rPr>
            </w:pPr>
          </w:p>
        </w:tc>
        <w:tc>
          <w:tcPr>
            <w:tcW w:w="1800" w:type="dxa"/>
          </w:tcPr>
          <w:p w14:paraId="00DA6391" w14:textId="77777777" w:rsidR="00DE3EB8" w:rsidRPr="0030518F" w:rsidRDefault="00DE3EB8" w:rsidP="008B0A6B">
            <w:pPr>
              <w:pStyle w:val="ListParagraph"/>
              <w:ind w:left="0"/>
              <w:rPr>
                <w:rFonts w:ascii="Arial" w:hAnsi="Arial" w:cs="Arial"/>
                <w:sz w:val="20"/>
                <w:szCs w:val="20"/>
                <w:lang w:val="es-MX"/>
              </w:rPr>
            </w:pPr>
          </w:p>
        </w:tc>
        <w:tc>
          <w:tcPr>
            <w:tcW w:w="3060" w:type="dxa"/>
          </w:tcPr>
          <w:p w14:paraId="552A5830" w14:textId="77777777" w:rsidR="00DE3EB8" w:rsidRPr="0030518F" w:rsidRDefault="00DE3EB8" w:rsidP="008B0A6B">
            <w:pPr>
              <w:pStyle w:val="ListParagraph"/>
              <w:ind w:left="0"/>
              <w:rPr>
                <w:rFonts w:ascii="Arial" w:hAnsi="Arial" w:cs="Arial"/>
                <w:sz w:val="20"/>
                <w:szCs w:val="20"/>
                <w:lang w:val="es-MX"/>
              </w:rPr>
            </w:pPr>
          </w:p>
        </w:tc>
      </w:tr>
      <w:tr w:rsidR="00DE3EB8" w:rsidRPr="00392E34" w14:paraId="3F3BD68F" w14:textId="77777777" w:rsidTr="008B0A6B">
        <w:trPr>
          <w:trHeight w:val="1178"/>
        </w:trPr>
        <w:tc>
          <w:tcPr>
            <w:tcW w:w="5220" w:type="dxa"/>
          </w:tcPr>
          <w:p w14:paraId="364F3FE0" w14:textId="77777777" w:rsidR="00DE3EB8" w:rsidRPr="0030518F" w:rsidRDefault="00DE3EB8" w:rsidP="008B0A6B">
            <w:pPr>
              <w:rPr>
                <w:rFonts w:ascii="Arial" w:hAnsi="Arial" w:cs="Arial"/>
                <w:b/>
                <w:bCs/>
                <w:sz w:val="20"/>
                <w:szCs w:val="20"/>
                <w:lang w:val="es-MX"/>
              </w:rPr>
            </w:pPr>
            <w:r w:rsidRPr="0030518F">
              <w:rPr>
                <w:rFonts w:ascii="Arial" w:hAnsi="Arial" w:cs="Arial"/>
                <w:b/>
                <w:bCs/>
                <w:sz w:val="20"/>
                <w:szCs w:val="20"/>
                <w:lang w:val="es-ES_tradnl"/>
              </w:rPr>
              <w:t xml:space="preserve">Fragilidad institucional y estructural de la CONASIDA </w:t>
            </w:r>
            <w:r w:rsidRPr="0030518F">
              <w:rPr>
                <w:rFonts w:ascii="Arial" w:hAnsi="Arial" w:cs="Arial"/>
                <w:bCs/>
                <w:sz w:val="20"/>
                <w:szCs w:val="20"/>
                <w:lang w:val="es-ES_tradnl"/>
              </w:rPr>
              <w:t>“de nivel técnico” como organismo coordinador y desactivación de la CONASIDA “de nivel político”</w:t>
            </w:r>
          </w:p>
        </w:tc>
        <w:tc>
          <w:tcPr>
            <w:tcW w:w="1440" w:type="dxa"/>
          </w:tcPr>
          <w:p w14:paraId="19524680" w14:textId="77777777" w:rsidR="00DE3EB8" w:rsidRPr="0030518F" w:rsidRDefault="00DE3EB8" w:rsidP="008B0A6B">
            <w:pPr>
              <w:pStyle w:val="ListParagraph"/>
              <w:ind w:left="0"/>
              <w:rPr>
                <w:rFonts w:ascii="Arial" w:hAnsi="Arial" w:cs="Arial"/>
                <w:sz w:val="20"/>
                <w:szCs w:val="20"/>
                <w:lang w:val="es-MX"/>
              </w:rPr>
            </w:pPr>
          </w:p>
        </w:tc>
        <w:tc>
          <w:tcPr>
            <w:tcW w:w="1350" w:type="dxa"/>
          </w:tcPr>
          <w:p w14:paraId="046752FA" w14:textId="77777777" w:rsidR="00DE3EB8" w:rsidRPr="0030518F" w:rsidRDefault="00DE3EB8" w:rsidP="008B0A6B">
            <w:pPr>
              <w:pStyle w:val="ListParagraph"/>
              <w:ind w:left="0"/>
              <w:rPr>
                <w:rFonts w:ascii="Arial" w:hAnsi="Arial" w:cs="Arial"/>
                <w:sz w:val="20"/>
                <w:szCs w:val="20"/>
                <w:lang w:val="es-MX"/>
              </w:rPr>
            </w:pPr>
          </w:p>
        </w:tc>
        <w:tc>
          <w:tcPr>
            <w:tcW w:w="1620" w:type="dxa"/>
          </w:tcPr>
          <w:p w14:paraId="0AE6F653" w14:textId="77777777" w:rsidR="00DE3EB8" w:rsidRPr="0030518F" w:rsidRDefault="00DE3EB8" w:rsidP="008B0A6B">
            <w:pPr>
              <w:pStyle w:val="ListParagraph"/>
              <w:ind w:left="0"/>
              <w:rPr>
                <w:rFonts w:ascii="Arial" w:hAnsi="Arial" w:cs="Arial"/>
                <w:sz w:val="20"/>
                <w:szCs w:val="20"/>
                <w:lang w:val="es-MX"/>
              </w:rPr>
            </w:pPr>
          </w:p>
        </w:tc>
        <w:tc>
          <w:tcPr>
            <w:tcW w:w="1800" w:type="dxa"/>
          </w:tcPr>
          <w:p w14:paraId="598475CA" w14:textId="77777777" w:rsidR="00DE3EB8" w:rsidRPr="0030518F" w:rsidRDefault="00DE3EB8" w:rsidP="008B0A6B">
            <w:pPr>
              <w:pStyle w:val="ListParagraph"/>
              <w:ind w:left="0"/>
              <w:rPr>
                <w:rFonts w:ascii="Arial" w:hAnsi="Arial" w:cs="Arial"/>
                <w:sz w:val="20"/>
                <w:szCs w:val="20"/>
                <w:lang w:val="es-MX"/>
              </w:rPr>
            </w:pPr>
          </w:p>
        </w:tc>
        <w:tc>
          <w:tcPr>
            <w:tcW w:w="3060" w:type="dxa"/>
          </w:tcPr>
          <w:p w14:paraId="49A7A398" w14:textId="77777777" w:rsidR="00DE3EB8" w:rsidRPr="0030518F" w:rsidRDefault="00DE3EB8" w:rsidP="008B0A6B">
            <w:pPr>
              <w:pStyle w:val="ListParagraph"/>
              <w:ind w:left="0"/>
              <w:rPr>
                <w:rFonts w:ascii="Arial" w:hAnsi="Arial" w:cs="Arial"/>
                <w:sz w:val="20"/>
                <w:szCs w:val="20"/>
                <w:lang w:val="es-MX"/>
              </w:rPr>
            </w:pPr>
          </w:p>
        </w:tc>
      </w:tr>
      <w:tr w:rsidR="00DE3EB8" w:rsidRPr="00392E34" w14:paraId="0B04FDD7" w14:textId="77777777" w:rsidTr="008B0A6B">
        <w:trPr>
          <w:trHeight w:val="253"/>
        </w:trPr>
        <w:tc>
          <w:tcPr>
            <w:tcW w:w="14490" w:type="dxa"/>
            <w:gridSpan w:val="6"/>
            <w:shd w:val="clear" w:color="auto" w:fill="D9D9D9" w:themeFill="background1" w:themeFillShade="D9"/>
          </w:tcPr>
          <w:p w14:paraId="75A30BB4" w14:textId="77777777" w:rsidR="00DE3EB8" w:rsidRPr="0030518F" w:rsidRDefault="00DE3EB8" w:rsidP="008B0A6B">
            <w:pPr>
              <w:pStyle w:val="ListParagraph"/>
              <w:ind w:left="0"/>
              <w:rPr>
                <w:rFonts w:ascii="Arial" w:hAnsi="Arial" w:cs="Arial"/>
                <w:b/>
                <w:sz w:val="20"/>
                <w:szCs w:val="20"/>
                <w:lang w:val="es-MX"/>
              </w:rPr>
            </w:pPr>
            <w:r w:rsidRPr="0030518F">
              <w:rPr>
                <w:rFonts w:ascii="Arial" w:hAnsi="Arial" w:cs="Arial"/>
                <w:b/>
                <w:sz w:val="20"/>
                <w:szCs w:val="20"/>
                <w:lang w:val="es-MX"/>
              </w:rPr>
              <w:t>Derechos Humanos y sociedad civil</w:t>
            </w:r>
          </w:p>
        </w:tc>
      </w:tr>
      <w:tr w:rsidR="00DE3EB8" w:rsidRPr="00DC2F53" w14:paraId="40EFC86F" w14:textId="77777777" w:rsidTr="008B0A6B">
        <w:trPr>
          <w:trHeight w:val="253"/>
        </w:trPr>
        <w:tc>
          <w:tcPr>
            <w:tcW w:w="14490" w:type="dxa"/>
            <w:gridSpan w:val="6"/>
            <w:shd w:val="clear" w:color="auto" w:fill="D9D9D9" w:themeFill="background1" w:themeFillShade="D9"/>
          </w:tcPr>
          <w:p w14:paraId="598AE7E9" w14:textId="77777777" w:rsidR="00DE3EB8" w:rsidRPr="0030518F" w:rsidRDefault="00DE3EB8" w:rsidP="008B0A6B">
            <w:pPr>
              <w:pStyle w:val="ListParagraph"/>
              <w:ind w:left="0"/>
              <w:rPr>
                <w:rFonts w:ascii="Arial" w:hAnsi="Arial" w:cs="Arial"/>
                <w:sz w:val="20"/>
                <w:szCs w:val="20"/>
                <w:lang w:val="es-MX"/>
              </w:rPr>
            </w:pPr>
            <w:r w:rsidRPr="0030518F">
              <w:rPr>
                <w:rFonts w:ascii="Arial" w:hAnsi="Arial" w:cs="Arial"/>
                <w:sz w:val="20"/>
                <w:szCs w:val="20"/>
                <w:lang w:val="es-MX"/>
              </w:rPr>
              <w:t>Derechos Humanos</w:t>
            </w:r>
          </w:p>
        </w:tc>
      </w:tr>
      <w:tr w:rsidR="00DE3EB8" w:rsidRPr="00392E34" w14:paraId="39F39341" w14:textId="77777777" w:rsidTr="008B0A6B">
        <w:trPr>
          <w:trHeight w:val="253"/>
        </w:trPr>
        <w:tc>
          <w:tcPr>
            <w:tcW w:w="5220" w:type="dxa"/>
          </w:tcPr>
          <w:p w14:paraId="49E92EA7" w14:textId="77777777" w:rsidR="00DE3EB8" w:rsidRPr="0030518F" w:rsidRDefault="00DE3EB8" w:rsidP="008B0A6B">
            <w:pPr>
              <w:rPr>
                <w:rFonts w:ascii="Arial" w:hAnsi="Arial" w:cs="Arial"/>
                <w:b/>
                <w:bCs/>
                <w:sz w:val="20"/>
                <w:szCs w:val="20"/>
                <w:lang w:val="es-MX"/>
              </w:rPr>
            </w:pPr>
            <w:r w:rsidRPr="0030518F">
              <w:rPr>
                <w:rFonts w:ascii="Arial" w:hAnsi="Arial" w:cs="Arial"/>
                <w:b/>
                <w:bCs/>
                <w:sz w:val="20"/>
                <w:szCs w:val="20"/>
                <w:lang w:val="es-ES_tradnl"/>
              </w:rPr>
              <w:t xml:space="preserve">Falta de apoyo, voluntad política </w:t>
            </w:r>
            <w:r w:rsidRPr="0030518F">
              <w:rPr>
                <w:rFonts w:ascii="Arial" w:hAnsi="Arial" w:cs="Arial"/>
                <w:bCs/>
                <w:sz w:val="20"/>
                <w:szCs w:val="20"/>
                <w:lang w:val="es-ES_tradnl"/>
              </w:rPr>
              <w:t>(Plan de DD.HH (2013-2022) con 1.245 actividades sin costos ni presupuesto).</w:t>
            </w:r>
          </w:p>
          <w:p w14:paraId="11AF9ED4" w14:textId="77777777" w:rsidR="00DE3EB8" w:rsidRPr="0030518F" w:rsidRDefault="00DE3EB8" w:rsidP="008B0A6B">
            <w:pPr>
              <w:rPr>
                <w:rFonts w:ascii="Arial" w:hAnsi="Arial" w:cs="Arial"/>
                <w:b/>
                <w:bCs/>
                <w:sz w:val="20"/>
                <w:szCs w:val="20"/>
                <w:lang w:val="es-MX"/>
              </w:rPr>
            </w:pPr>
            <w:r w:rsidRPr="0030518F">
              <w:rPr>
                <w:rFonts w:ascii="Arial" w:hAnsi="Arial" w:cs="Arial"/>
                <w:b/>
                <w:bCs/>
                <w:sz w:val="20"/>
                <w:szCs w:val="20"/>
                <w:lang w:val="es-ES_tradnl"/>
              </w:rPr>
              <w:t xml:space="preserve">Legislación de DD.HH existe en papel, pero no es implementada </w:t>
            </w:r>
            <w:r w:rsidRPr="0030518F">
              <w:rPr>
                <w:rFonts w:ascii="Arial" w:hAnsi="Arial" w:cs="Arial"/>
                <w:bCs/>
                <w:sz w:val="20"/>
                <w:szCs w:val="20"/>
                <w:lang w:val="es-ES_tradnl"/>
              </w:rPr>
              <w:t>(i.e. Violación sistemática del Art. 52 de Ley Especial SIDA que impide exigir prueba de HIV para acceso al trabajo)</w:t>
            </w:r>
          </w:p>
        </w:tc>
        <w:tc>
          <w:tcPr>
            <w:tcW w:w="1440" w:type="dxa"/>
          </w:tcPr>
          <w:p w14:paraId="196CDC8C" w14:textId="77777777" w:rsidR="00DE3EB8" w:rsidRPr="0030518F" w:rsidRDefault="00DE3EB8" w:rsidP="008B0A6B">
            <w:pPr>
              <w:pStyle w:val="ListParagraph"/>
              <w:ind w:left="0"/>
              <w:rPr>
                <w:rFonts w:ascii="Arial" w:hAnsi="Arial" w:cs="Arial"/>
                <w:sz w:val="20"/>
                <w:szCs w:val="20"/>
                <w:lang w:val="es-MX"/>
              </w:rPr>
            </w:pPr>
          </w:p>
        </w:tc>
        <w:tc>
          <w:tcPr>
            <w:tcW w:w="1350" w:type="dxa"/>
          </w:tcPr>
          <w:p w14:paraId="00559CD0" w14:textId="77777777" w:rsidR="00DE3EB8" w:rsidRPr="0030518F" w:rsidRDefault="00DE3EB8" w:rsidP="008B0A6B">
            <w:pPr>
              <w:pStyle w:val="ListParagraph"/>
              <w:ind w:left="0"/>
              <w:rPr>
                <w:rFonts w:ascii="Arial" w:hAnsi="Arial" w:cs="Arial"/>
                <w:sz w:val="20"/>
                <w:szCs w:val="20"/>
                <w:lang w:val="es-MX"/>
              </w:rPr>
            </w:pPr>
          </w:p>
        </w:tc>
        <w:tc>
          <w:tcPr>
            <w:tcW w:w="1620" w:type="dxa"/>
          </w:tcPr>
          <w:p w14:paraId="6F6D82A5" w14:textId="77777777" w:rsidR="00DE3EB8" w:rsidRPr="0030518F" w:rsidRDefault="00DE3EB8" w:rsidP="008B0A6B">
            <w:pPr>
              <w:pStyle w:val="ListParagraph"/>
              <w:ind w:left="0"/>
              <w:rPr>
                <w:rFonts w:ascii="Arial" w:hAnsi="Arial" w:cs="Arial"/>
                <w:sz w:val="20"/>
                <w:szCs w:val="20"/>
                <w:lang w:val="es-MX"/>
              </w:rPr>
            </w:pPr>
          </w:p>
        </w:tc>
        <w:tc>
          <w:tcPr>
            <w:tcW w:w="1800" w:type="dxa"/>
          </w:tcPr>
          <w:p w14:paraId="5739DECA" w14:textId="77777777" w:rsidR="00DE3EB8" w:rsidRPr="0030518F" w:rsidRDefault="00DE3EB8" w:rsidP="008B0A6B">
            <w:pPr>
              <w:pStyle w:val="ListParagraph"/>
              <w:ind w:left="0"/>
              <w:rPr>
                <w:rFonts w:ascii="Arial" w:hAnsi="Arial" w:cs="Arial"/>
                <w:sz w:val="20"/>
                <w:szCs w:val="20"/>
                <w:lang w:val="es-MX"/>
              </w:rPr>
            </w:pPr>
          </w:p>
        </w:tc>
        <w:tc>
          <w:tcPr>
            <w:tcW w:w="3060" w:type="dxa"/>
          </w:tcPr>
          <w:p w14:paraId="6224D45B" w14:textId="77777777" w:rsidR="00DE3EB8" w:rsidRPr="0030518F" w:rsidRDefault="00DE3EB8" w:rsidP="008B0A6B">
            <w:pPr>
              <w:pStyle w:val="ListParagraph"/>
              <w:ind w:left="0"/>
              <w:rPr>
                <w:rFonts w:ascii="Arial" w:hAnsi="Arial" w:cs="Arial"/>
                <w:sz w:val="20"/>
                <w:szCs w:val="20"/>
                <w:lang w:val="es-MX"/>
              </w:rPr>
            </w:pPr>
          </w:p>
        </w:tc>
      </w:tr>
      <w:tr w:rsidR="00DE3EB8" w:rsidRPr="00392E34" w14:paraId="5EB1386F" w14:textId="77777777" w:rsidTr="008B0A6B">
        <w:trPr>
          <w:trHeight w:val="253"/>
        </w:trPr>
        <w:tc>
          <w:tcPr>
            <w:tcW w:w="5220" w:type="dxa"/>
          </w:tcPr>
          <w:p w14:paraId="5065098A" w14:textId="77777777" w:rsidR="00DE3EB8" w:rsidRPr="0030518F" w:rsidRDefault="00DE3EB8" w:rsidP="008B0A6B">
            <w:pPr>
              <w:rPr>
                <w:rFonts w:ascii="Arial" w:hAnsi="Arial" w:cs="Arial"/>
                <w:b/>
                <w:bCs/>
                <w:sz w:val="20"/>
                <w:szCs w:val="20"/>
                <w:lang w:val="es-MX"/>
              </w:rPr>
            </w:pPr>
            <w:r w:rsidRPr="0030518F">
              <w:rPr>
                <w:rFonts w:ascii="Arial" w:hAnsi="Arial" w:cs="Arial"/>
                <w:b/>
                <w:bCs/>
                <w:sz w:val="20"/>
                <w:szCs w:val="20"/>
                <w:lang w:val="es-ES_tradnl"/>
              </w:rPr>
              <w:t xml:space="preserve">Falta de monitoreo y documentación de violaciones de DD.HH, </w:t>
            </w:r>
            <w:r w:rsidRPr="0030518F">
              <w:rPr>
                <w:rFonts w:ascii="Arial" w:hAnsi="Arial" w:cs="Arial"/>
                <w:bCs/>
                <w:sz w:val="20"/>
                <w:szCs w:val="20"/>
                <w:lang w:val="es-ES_tradnl"/>
              </w:rPr>
              <w:t>y mínimo procesamiento de quejas correspondientes.</w:t>
            </w:r>
          </w:p>
        </w:tc>
        <w:tc>
          <w:tcPr>
            <w:tcW w:w="1440" w:type="dxa"/>
          </w:tcPr>
          <w:p w14:paraId="4F2BE6AC" w14:textId="77777777" w:rsidR="00DE3EB8" w:rsidRPr="0030518F" w:rsidRDefault="00DE3EB8" w:rsidP="008B0A6B">
            <w:pPr>
              <w:pStyle w:val="ListParagraph"/>
              <w:ind w:left="0"/>
              <w:rPr>
                <w:rFonts w:ascii="Arial" w:hAnsi="Arial" w:cs="Arial"/>
                <w:sz w:val="20"/>
                <w:szCs w:val="20"/>
                <w:lang w:val="es-MX"/>
              </w:rPr>
            </w:pPr>
          </w:p>
        </w:tc>
        <w:tc>
          <w:tcPr>
            <w:tcW w:w="1350" w:type="dxa"/>
          </w:tcPr>
          <w:p w14:paraId="623D31C5" w14:textId="77777777" w:rsidR="00DE3EB8" w:rsidRPr="0030518F" w:rsidRDefault="00DE3EB8" w:rsidP="008B0A6B">
            <w:pPr>
              <w:pStyle w:val="ListParagraph"/>
              <w:ind w:left="0"/>
              <w:rPr>
                <w:rFonts w:ascii="Arial" w:hAnsi="Arial" w:cs="Arial"/>
                <w:sz w:val="20"/>
                <w:szCs w:val="20"/>
                <w:lang w:val="es-MX"/>
              </w:rPr>
            </w:pPr>
          </w:p>
        </w:tc>
        <w:tc>
          <w:tcPr>
            <w:tcW w:w="1620" w:type="dxa"/>
          </w:tcPr>
          <w:p w14:paraId="60AB31E0" w14:textId="77777777" w:rsidR="00DE3EB8" w:rsidRPr="0030518F" w:rsidRDefault="00DE3EB8" w:rsidP="008B0A6B">
            <w:pPr>
              <w:pStyle w:val="ListParagraph"/>
              <w:ind w:left="0"/>
              <w:rPr>
                <w:rFonts w:ascii="Arial" w:hAnsi="Arial" w:cs="Arial"/>
                <w:sz w:val="20"/>
                <w:szCs w:val="20"/>
                <w:lang w:val="es-MX"/>
              </w:rPr>
            </w:pPr>
          </w:p>
        </w:tc>
        <w:tc>
          <w:tcPr>
            <w:tcW w:w="1800" w:type="dxa"/>
          </w:tcPr>
          <w:p w14:paraId="22A53A04" w14:textId="77777777" w:rsidR="00DE3EB8" w:rsidRPr="0030518F" w:rsidRDefault="00DE3EB8" w:rsidP="008B0A6B">
            <w:pPr>
              <w:pStyle w:val="ListParagraph"/>
              <w:ind w:left="0"/>
              <w:rPr>
                <w:rFonts w:ascii="Arial" w:hAnsi="Arial" w:cs="Arial"/>
                <w:sz w:val="20"/>
                <w:szCs w:val="20"/>
                <w:lang w:val="es-MX"/>
              </w:rPr>
            </w:pPr>
          </w:p>
        </w:tc>
        <w:tc>
          <w:tcPr>
            <w:tcW w:w="3060" w:type="dxa"/>
          </w:tcPr>
          <w:p w14:paraId="37AF648D" w14:textId="77777777" w:rsidR="00DE3EB8" w:rsidRPr="0030518F" w:rsidRDefault="00DE3EB8" w:rsidP="008B0A6B">
            <w:pPr>
              <w:pStyle w:val="ListParagraph"/>
              <w:ind w:left="0"/>
              <w:rPr>
                <w:rFonts w:ascii="Arial" w:hAnsi="Arial" w:cs="Arial"/>
                <w:sz w:val="20"/>
                <w:szCs w:val="20"/>
                <w:lang w:val="es-MX"/>
              </w:rPr>
            </w:pPr>
          </w:p>
        </w:tc>
      </w:tr>
      <w:tr w:rsidR="00DE3EB8" w:rsidRPr="00392E34" w14:paraId="61639AF0" w14:textId="77777777" w:rsidTr="008B0A6B">
        <w:trPr>
          <w:trHeight w:val="692"/>
        </w:trPr>
        <w:tc>
          <w:tcPr>
            <w:tcW w:w="5220" w:type="dxa"/>
          </w:tcPr>
          <w:p w14:paraId="4FCED18A" w14:textId="77777777" w:rsidR="00DE3EB8" w:rsidRPr="0030518F" w:rsidRDefault="00DE3EB8" w:rsidP="008B0A6B">
            <w:pPr>
              <w:rPr>
                <w:rFonts w:ascii="Arial" w:hAnsi="Arial" w:cs="Arial"/>
                <w:b/>
                <w:bCs/>
                <w:sz w:val="20"/>
                <w:szCs w:val="20"/>
                <w:lang w:val="es-MX"/>
              </w:rPr>
            </w:pPr>
            <w:r w:rsidRPr="0030518F">
              <w:rPr>
                <w:rFonts w:ascii="Arial" w:hAnsi="Arial" w:cs="Arial"/>
                <w:b/>
                <w:bCs/>
                <w:sz w:val="20"/>
                <w:szCs w:val="20"/>
                <w:lang w:val="es-ES_tradnl"/>
              </w:rPr>
              <w:lastRenderedPageBreak/>
              <w:t>Persistencia de estigma, discriminación y violencia hacia poblaciones trans y TS.</w:t>
            </w:r>
          </w:p>
        </w:tc>
        <w:tc>
          <w:tcPr>
            <w:tcW w:w="1440" w:type="dxa"/>
          </w:tcPr>
          <w:p w14:paraId="4C498575" w14:textId="77777777" w:rsidR="00DE3EB8" w:rsidRPr="0030518F" w:rsidRDefault="00DE3EB8" w:rsidP="008B0A6B">
            <w:pPr>
              <w:pStyle w:val="ListParagraph"/>
              <w:ind w:left="0"/>
              <w:rPr>
                <w:rFonts w:ascii="Arial" w:hAnsi="Arial" w:cs="Arial"/>
                <w:sz w:val="20"/>
                <w:szCs w:val="20"/>
                <w:lang w:val="es-MX"/>
              </w:rPr>
            </w:pPr>
          </w:p>
        </w:tc>
        <w:tc>
          <w:tcPr>
            <w:tcW w:w="1350" w:type="dxa"/>
          </w:tcPr>
          <w:p w14:paraId="3B91A9AE" w14:textId="77777777" w:rsidR="00DE3EB8" w:rsidRPr="0030518F" w:rsidRDefault="00DE3EB8" w:rsidP="008B0A6B">
            <w:pPr>
              <w:pStyle w:val="ListParagraph"/>
              <w:ind w:left="0"/>
              <w:rPr>
                <w:rFonts w:ascii="Arial" w:hAnsi="Arial" w:cs="Arial"/>
                <w:sz w:val="20"/>
                <w:szCs w:val="20"/>
                <w:lang w:val="es-MX"/>
              </w:rPr>
            </w:pPr>
          </w:p>
        </w:tc>
        <w:tc>
          <w:tcPr>
            <w:tcW w:w="1620" w:type="dxa"/>
          </w:tcPr>
          <w:p w14:paraId="5E273952" w14:textId="77777777" w:rsidR="00DE3EB8" w:rsidRPr="0030518F" w:rsidRDefault="00DE3EB8" w:rsidP="008B0A6B">
            <w:pPr>
              <w:pStyle w:val="ListParagraph"/>
              <w:ind w:left="0"/>
              <w:rPr>
                <w:rFonts w:ascii="Arial" w:hAnsi="Arial" w:cs="Arial"/>
                <w:sz w:val="20"/>
                <w:szCs w:val="20"/>
                <w:lang w:val="es-MX"/>
              </w:rPr>
            </w:pPr>
          </w:p>
        </w:tc>
        <w:tc>
          <w:tcPr>
            <w:tcW w:w="1800" w:type="dxa"/>
          </w:tcPr>
          <w:p w14:paraId="21CEF913" w14:textId="77777777" w:rsidR="00DE3EB8" w:rsidRPr="0030518F" w:rsidRDefault="00DE3EB8" w:rsidP="008B0A6B">
            <w:pPr>
              <w:pStyle w:val="ListParagraph"/>
              <w:ind w:left="0"/>
              <w:rPr>
                <w:rFonts w:ascii="Arial" w:hAnsi="Arial" w:cs="Arial"/>
                <w:sz w:val="20"/>
                <w:szCs w:val="20"/>
                <w:lang w:val="es-MX"/>
              </w:rPr>
            </w:pPr>
          </w:p>
        </w:tc>
        <w:tc>
          <w:tcPr>
            <w:tcW w:w="3060" w:type="dxa"/>
          </w:tcPr>
          <w:p w14:paraId="1C36122A" w14:textId="77777777" w:rsidR="00DE3EB8" w:rsidRPr="0030518F" w:rsidRDefault="00DE3EB8" w:rsidP="008B0A6B">
            <w:pPr>
              <w:pStyle w:val="ListParagraph"/>
              <w:ind w:left="0"/>
              <w:rPr>
                <w:rFonts w:ascii="Arial" w:hAnsi="Arial" w:cs="Arial"/>
                <w:sz w:val="20"/>
                <w:szCs w:val="20"/>
                <w:lang w:val="es-MX"/>
              </w:rPr>
            </w:pPr>
          </w:p>
        </w:tc>
      </w:tr>
      <w:tr w:rsidR="00DE3EB8" w:rsidRPr="00392E34" w14:paraId="482D8D24" w14:textId="77777777" w:rsidTr="008B0A6B">
        <w:trPr>
          <w:trHeight w:val="809"/>
        </w:trPr>
        <w:tc>
          <w:tcPr>
            <w:tcW w:w="5220" w:type="dxa"/>
          </w:tcPr>
          <w:p w14:paraId="453BE68B" w14:textId="77777777" w:rsidR="00DE3EB8" w:rsidRPr="0030518F" w:rsidRDefault="00DE3EB8" w:rsidP="008B0A6B">
            <w:pPr>
              <w:rPr>
                <w:rFonts w:ascii="Arial" w:hAnsi="Arial" w:cs="Arial"/>
                <w:b/>
                <w:bCs/>
                <w:sz w:val="20"/>
                <w:szCs w:val="20"/>
                <w:lang w:val="es-MX"/>
              </w:rPr>
            </w:pPr>
            <w:r w:rsidRPr="0030518F">
              <w:rPr>
                <w:rFonts w:ascii="Arial" w:hAnsi="Arial" w:cs="Arial"/>
                <w:b/>
                <w:bCs/>
                <w:sz w:val="20"/>
                <w:szCs w:val="20"/>
                <w:lang w:val="es-ES_tradnl"/>
              </w:rPr>
              <w:t>Limitado apoyo a protección legal de DD.HH en poblaciones clave.</w:t>
            </w:r>
          </w:p>
        </w:tc>
        <w:tc>
          <w:tcPr>
            <w:tcW w:w="1440" w:type="dxa"/>
          </w:tcPr>
          <w:p w14:paraId="260837EB" w14:textId="77777777" w:rsidR="00DE3EB8" w:rsidRPr="0030518F" w:rsidRDefault="00DE3EB8" w:rsidP="008B0A6B">
            <w:pPr>
              <w:pStyle w:val="ListParagraph"/>
              <w:ind w:left="0"/>
              <w:rPr>
                <w:rFonts w:ascii="Arial" w:hAnsi="Arial" w:cs="Arial"/>
                <w:sz w:val="20"/>
                <w:szCs w:val="20"/>
                <w:lang w:val="es-MX"/>
              </w:rPr>
            </w:pPr>
          </w:p>
        </w:tc>
        <w:tc>
          <w:tcPr>
            <w:tcW w:w="1350" w:type="dxa"/>
          </w:tcPr>
          <w:p w14:paraId="2455E88C" w14:textId="77777777" w:rsidR="00DE3EB8" w:rsidRPr="0030518F" w:rsidRDefault="00DE3EB8" w:rsidP="008B0A6B">
            <w:pPr>
              <w:pStyle w:val="ListParagraph"/>
              <w:ind w:left="0"/>
              <w:rPr>
                <w:rFonts w:ascii="Arial" w:hAnsi="Arial" w:cs="Arial"/>
                <w:sz w:val="20"/>
                <w:szCs w:val="20"/>
                <w:lang w:val="es-MX"/>
              </w:rPr>
            </w:pPr>
          </w:p>
        </w:tc>
        <w:tc>
          <w:tcPr>
            <w:tcW w:w="1620" w:type="dxa"/>
          </w:tcPr>
          <w:p w14:paraId="0EC702DA" w14:textId="77777777" w:rsidR="00DE3EB8" w:rsidRPr="0030518F" w:rsidRDefault="00DE3EB8" w:rsidP="008B0A6B">
            <w:pPr>
              <w:pStyle w:val="ListParagraph"/>
              <w:ind w:left="0"/>
              <w:rPr>
                <w:rFonts w:ascii="Arial" w:hAnsi="Arial" w:cs="Arial"/>
                <w:sz w:val="20"/>
                <w:szCs w:val="20"/>
                <w:lang w:val="es-MX"/>
              </w:rPr>
            </w:pPr>
          </w:p>
        </w:tc>
        <w:tc>
          <w:tcPr>
            <w:tcW w:w="1800" w:type="dxa"/>
          </w:tcPr>
          <w:p w14:paraId="03C51D52" w14:textId="77777777" w:rsidR="00DE3EB8" w:rsidRPr="0030518F" w:rsidRDefault="00DE3EB8" w:rsidP="008B0A6B">
            <w:pPr>
              <w:pStyle w:val="ListParagraph"/>
              <w:ind w:left="0"/>
              <w:rPr>
                <w:rFonts w:ascii="Arial" w:hAnsi="Arial" w:cs="Arial"/>
                <w:sz w:val="20"/>
                <w:szCs w:val="20"/>
                <w:lang w:val="es-MX"/>
              </w:rPr>
            </w:pPr>
          </w:p>
        </w:tc>
        <w:tc>
          <w:tcPr>
            <w:tcW w:w="3060" w:type="dxa"/>
          </w:tcPr>
          <w:p w14:paraId="3C028823" w14:textId="77777777" w:rsidR="00DE3EB8" w:rsidRPr="0030518F" w:rsidRDefault="00DE3EB8" w:rsidP="008B0A6B">
            <w:pPr>
              <w:pStyle w:val="ListParagraph"/>
              <w:ind w:left="0"/>
              <w:rPr>
                <w:rFonts w:ascii="Arial" w:hAnsi="Arial" w:cs="Arial"/>
                <w:sz w:val="20"/>
                <w:szCs w:val="20"/>
                <w:lang w:val="es-MX"/>
              </w:rPr>
            </w:pPr>
          </w:p>
        </w:tc>
      </w:tr>
      <w:tr w:rsidR="00DE3EB8" w:rsidRPr="00392E34" w14:paraId="17A10623" w14:textId="77777777" w:rsidTr="008B0A6B">
        <w:trPr>
          <w:trHeight w:val="881"/>
        </w:trPr>
        <w:tc>
          <w:tcPr>
            <w:tcW w:w="5220" w:type="dxa"/>
          </w:tcPr>
          <w:p w14:paraId="168C8389" w14:textId="77777777" w:rsidR="00DE3EB8" w:rsidRPr="0030518F" w:rsidRDefault="00DE3EB8" w:rsidP="008B0A6B">
            <w:pPr>
              <w:rPr>
                <w:rFonts w:ascii="Arial" w:hAnsi="Arial" w:cs="Arial"/>
                <w:b/>
                <w:bCs/>
                <w:sz w:val="20"/>
                <w:szCs w:val="20"/>
                <w:lang w:val="es-MX"/>
              </w:rPr>
            </w:pPr>
            <w:r w:rsidRPr="0030518F">
              <w:rPr>
                <w:rFonts w:ascii="Arial" w:hAnsi="Arial" w:cs="Arial"/>
                <w:b/>
                <w:bCs/>
                <w:sz w:val="20"/>
                <w:szCs w:val="20"/>
                <w:lang w:val="es-ES_tradnl"/>
              </w:rPr>
              <w:t>Dificultades en acceso habitacional y a educación para personas con VIH.</w:t>
            </w:r>
          </w:p>
        </w:tc>
        <w:tc>
          <w:tcPr>
            <w:tcW w:w="1440" w:type="dxa"/>
          </w:tcPr>
          <w:p w14:paraId="279ED000" w14:textId="77777777" w:rsidR="00DE3EB8" w:rsidRPr="0030518F" w:rsidRDefault="00DE3EB8" w:rsidP="008B0A6B">
            <w:pPr>
              <w:pStyle w:val="ListParagraph"/>
              <w:ind w:left="0"/>
              <w:rPr>
                <w:rFonts w:ascii="Arial" w:hAnsi="Arial" w:cs="Arial"/>
                <w:sz w:val="20"/>
                <w:szCs w:val="20"/>
                <w:lang w:val="es-MX"/>
              </w:rPr>
            </w:pPr>
          </w:p>
        </w:tc>
        <w:tc>
          <w:tcPr>
            <w:tcW w:w="1350" w:type="dxa"/>
          </w:tcPr>
          <w:p w14:paraId="129E5071" w14:textId="77777777" w:rsidR="00DE3EB8" w:rsidRPr="0030518F" w:rsidRDefault="00DE3EB8" w:rsidP="008B0A6B">
            <w:pPr>
              <w:pStyle w:val="ListParagraph"/>
              <w:ind w:left="0"/>
              <w:rPr>
                <w:rFonts w:ascii="Arial" w:hAnsi="Arial" w:cs="Arial"/>
                <w:sz w:val="20"/>
                <w:szCs w:val="20"/>
                <w:lang w:val="es-MX"/>
              </w:rPr>
            </w:pPr>
          </w:p>
        </w:tc>
        <w:tc>
          <w:tcPr>
            <w:tcW w:w="1620" w:type="dxa"/>
          </w:tcPr>
          <w:p w14:paraId="5E80BA9E" w14:textId="77777777" w:rsidR="00DE3EB8" w:rsidRPr="0030518F" w:rsidRDefault="00DE3EB8" w:rsidP="008B0A6B">
            <w:pPr>
              <w:pStyle w:val="ListParagraph"/>
              <w:ind w:left="0"/>
              <w:rPr>
                <w:rFonts w:ascii="Arial" w:hAnsi="Arial" w:cs="Arial"/>
                <w:sz w:val="20"/>
                <w:szCs w:val="20"/>
                <w:lang w:val="es-MX"/>
              </w:rPr>
            </w:pPr>
          </w:p>
        </w:tc>
        <w:tc>
          <w:tcPr>
            <w:tcW w:w="1800" w:type="dxa"/>
          </w:tcPr>
          <w:p w14:paraId="0B8428C0" w14:textId="77777777" w:rsidR="00DE3EB8" w:rsidRPr="0030518F" w:rsidRDefault="00DE3EB8" w:rsidP="008B0A6B">
            <w:pPr>
              <w:pStyle w:val="ListParagraph"/>
              <w:ind w:left="0"/>
              <w:rPr>
                <w:rFonts w:ascii="Arial" w:hAnsi="Arial" w:cs="Arial"/>
                <w:sz w:val="20"/>
                <w:szCs w:val="20"/>
                <w:lang w:val="es-MX"/>
              </w:rPr>
            </w:pPr>
          </w:p>
        </w:tc>
        <w:tc>
          <w:tcPr>
            <w:tcW w:w="3060" w:type="dxa"/>
          </w:tcPr>
          <w:p w14:paraId="681C100F" w14:textId="77777777" w:rsidR="00DE3EB8" w:rsidRPr="0030518F" w:rsidRDefault="00DE3EB8" w:rsidP="008B0A6B">
            <w:pPr>
              <w:pStyle w:val="ListParagraph"/>
              <w:ind w:left="0"/>
              <w:rPr>
                <w:rFonts w:ascii="Arial" w:hAnsi="Arial" w:cs="Arial"/>
                <w:sz w:val="20"/>
                <w:szCs w:val="20"/>
                <w:lang w:val="es-MX"/>
              </w:rPr>
            </w:pPr>
          </w:p>
        </w:tc>
      </w:tr>
      <w:tr w:rsidR="00DE3EB8" w:rsidRPr="00DC2F53" w14:paraId="078299E2" w14:textId="77777777" w:rsidTr="008B0A6B">
        <w:trPr>
          <w:trHeight w:val="253"/>
        </w:trPr>
        <w:tc>
          <w:tcPr>
            <w:tcW w:w="14490" w:type="dxa"/>
            <w:gridSpan w:val="6"/>
            <w:shd w:val="clear" w:color="auto" w:fill="D9D9D9" w:themeFill="background1" w:themeFillShade="D9"/>
          </w:tcPr>
          <w:p w14:paraId="17753BC4" w14:textId="77777777" w:rsidR="00DE3EB8" w:rsidRPr="0030518F" w:rsidRDefault="00DE3EB8" w:rsidP="008B0A6B">
            <w:pPr>
              <w:pStyle w:val="ListParagraph"/>
              <w:ind w:left="0"/>
              <w:rPr>
                <w:rFonts w:ascii="Arial" w:hAnsi="Arial" w:cs="Arial"/>
                <w:sz w:val="20"/>
                <w:szCs w:val="20"/>
                <w:lang w:val="es-MX"/>
              </w:rPr>
            </w:pPr>
            <w:r w:rsidRPr="0030518F">
              <w:rPr>
                <w:rFonts w:ascii="Arial" w:hAnsi="Arial" w:cs="Arial"/>
                <w:sz w:val="20"/>
                <w:szCs w:val="20"/>
                <w:lang w:val="es-MX"/>
              </w:rPr>
              <w:t>Sociedad civil</w:t>
            </w:r>
          </w:p>
        </w:tc>
      </w:tr>
      <w:tr w:rsidR="00DE3EB8" w:rsidRPr="00392E34" w14:paraId="2FFCC98F" w14:textId="77777777" w:rsidTr="008B0A6B">
        <w:trPr>
          <w:trHeight w:val="1835"/>
        </w:trPr>
        <w:tc>
          <w:tcPr>
            <w:tcW w:w="5220" w:type="dxa"/>
          </w:tcPr>
          <w:p w14:paraId="3856381C" w14:textId="77777777" w:rsidR="00DE3EB8" w:rsidRPr="0030518F" w:rsidRDefault="00DE3EB8" w:rsidP="008B0A6B">
            <w:pPr>
              <w:rPr>
                <w:rFonts w:ascii="Arial" w:hAnsi="Arial" w:cs="Arial"/>
                <w:b/>
                <w:bCs/>
                <w:sz w:val="20"/>
                <w:szCs w:val="20"/>
              </w:rPr>
            </w:pPr>
            <w:r w:rsidRPr="0030518F">
              <w:rPr>
                <w:rFonts w:ascii="Arial" w:hAnsi="Arial" w:cs="Arial"/>
                <w:b/>
                <w:bCs/>
                <w:sz w:val="20"/>
                <w:szCs w:val="20"/>
                <w:lang w:val="es-ES_tradnl"/>
              </w:rPr>
              <w:t>Sostenibilidad financiera</w:t>
            </w:r>
          </w:p>
          <w:p w14:paraId="5EB36F2C" w14:textId="77777777" w:rsidR="00DE3EB8" w:rsidRPr="0030518F" w:rsidRDefault="00DE3EB8" w:rsidP="0068285B">
            <w:pPr>
              <w:numPr>
                <w:ilvl w:val="0"/>
                <w:numId w:val="24"/>
              </w:numPr>
              <w:rPr>
                <w:rFonts w:ascii="Arial" w:hAnsi="Arial" w:cs="Arial"/>
                <w:bCs/>
                <w:sz w:val="20"/>
                <w:szCs w:val="20"/>
                <w:lang w:val="es-MX"/>
              </w:rPr>
            </w:pPr>
            <w:r w:rsidRPr="0030518F">
              <w:rPr>
                <w:rFonts w:ascii="Arial" w:hAnsi="Arial" w:cs="Arial"/>
                <w:bCs/>
                <w:sz w:val="20"/>
                <w:szCs w:val="20"/>
                <w:lang w:val="es-ES_tradnl"/>
              </w:rPr>
              <w:t>Ausencia política formal de financiamiento público de OSC de VIH (IHSS, SESAL, etc.)</w:t>
            </w:r>
          </w:p>
          <w:p w14:paraId="24BCE57E" w14:textId="77777777" w:rsidR="00DE3EB8" w:rsidRPr="0030518F" w:rsidRDefault="00DE3EB8" w:rsidP="0068285B">
            <w:pPr>
              <w:numPr>
                <w:ilvl w:val="0"/>
                <w:numId w:val="24"/>
              </w:numPr>
              <w:rPr>
                <w:rFonts w:ascii="Arial" w:hAnsi="Arial" w:cs="Arial"/>
                <w:bCs/>
                <w:sz w:val="20"/>
                <w:szCs w:val="20"/>
                <w:lang w:val="es-MX"/>
              </w:rPr>
            </w:pPr>
            <w:r w:rsidRPr="0030518F">
              <w:rPr>
                <w:rFonts w:ascii="Arial" w:hAnsi="Arial" w:cs="Arial"/>
                <w:bCs/>
                <w:sz w:val="20"/>
                <w:szCs w:val="20"/>
                <w:lang w:val="es-ES_tradnl"/>
              </w:rPr>
              <w:t>Ausencia de política de financiamiento privado de las OSC.</w:t>
            </w:r>
          </w:p>
          <w:p w14:paraId="7DBCEBEF" w14:textId="77777777" w:rsidR="00DE3EB8" w:rsidRPr="0030518F" w:rsidRDefault="00DE3EB8" w:rsidP="0068285B">
            <w:pPr>
              <w:numPr>
                <w:ilvl w:val="0"/>
                <w:numId w:val="24"/>
              </w:numPr>
              <w:rPr>
                <w:rFonts w:ascii="Arial" w:hAnsi="Arial" w:cs="Arial"/>
                <w:b/>
                <w:bCs/>
                <w:sz w:val="20"/>
                <w:szCs w:val="20"/>
                <w:lang w:val="es-MX"/>
              </w:rPr>
            </w:pPr>
            <w:r w:rsidRPr="0030518F">
              <w:rPr>
                <w:rFonts w:ascii="Arial" w:hAnsi="Arial" w:cs="Arial"/>
                <w:bCs/>
                <w:sz w:val="20"/>
                <w:szCs w:val="20"/>
                <w:lang w:val="es-ES_tradnl"/>
              </w:rPr>
              <w:t>Necesidad de legislación que exonere de impuesto OSC y Fundaciones.</w:t>
            </w:r>
          </w:p>
        </w:tc>
        <w:tc>
          <w:tcPr>
            <w:tcW w:w="1440" w:type="dxa"/>
          </w:tcPr>
          <w:p w14:paraId="53B435DF" w14:textId="77777777" w:rsidR="00DE3EB8" w:rsidRPr="0030518F" w:rsidRDefault="00DE3EB8" w:rsidP="008B0A6B">
            <w:pPr>
              <w:pStyle w:val="ListParagraph"/>
              <w:ind w:left="0"/>
              <w:rPr>
                <w:rFonts w:ascii="Arial" w:hAnsi="Arial" w:cs="Arial"/>
                <w:sz w:val="20"/>
                <w:szCs w:val="20"/>
                <w:lang w:val="es-MX"/>
              </w:rPr>
            </w:pPr>
          </w:p>
        </w:tc>
        <w:tc>
          <w:tcPr>
            <w:tcW w:w="1350" w:type="dxa"/>
          </w:tcPr>
          <w:p w14:paraId="43838434" w14:textId="77777777" w:rsidR="00DE3EB8" w:rsidRPr="0030518F" w:rsidRDefault="00DE3EB8" w:rsidP="008B0A6B">
            <w:pPr>
              <w:pStyle w:val="ListParagraph"/>
              <w:ind w:left="0"/>
              <w:rPr>
                <w:rFonts w:ascii="Arial" w:hAnsi="Arial" w:cs="Arial"/>
                <w:sz w:val="20"/>
                <w:szCs w:val="20"/>
                <w:lang w:val="es-MX"/>
              </w:rPr>
            </w:pPr>
          </w:p>
        </w:tc>
        <w:tc>
          <w:tcPr>
            <w:tcW w:w="1620" w:type="dxa"/>
          </w:tcPr>
          <w:p w14:paraId="277390B7" w14:textId="77777777" w:rsidR="00DE3EB8" w:rsidRPr="0030518F" w:rsidRDefault="00DE3EB8" w:rsidP="008B0A6B">
            <w:pPr>
              <w:pStyle w:val="ListParagraph"/>
              <w:ind w:left="0"/>
              <w:rPr>
                <w:rFonts w:ascii="Arial" w:hAnsi="Arial" w:cs="Arial"/>
                <w:sz w:val="20"/>
                <w:szCs w:val="20"/>
                <w:lang w:val="es-MX"/>
              </w:rPr>
            </w:pPr>
          </w:p>
        </w:tc>
        <w:tc>
          <w:tcPr>
            <w:tcW w:w="1800" w:type="dxa"/>
          </w:tcPr>
          <w:p w14:paraId="17837D72" w14:textId="77777777" w:rsidR="00DE3EB8" w:rsidRPr="0030518F" w:rsidRDefault="00DE3EB8" w:rsidP="008B0A6B">
            <w:pPr>
              <w:pStyle w:val="ListParagraph"/>
              <w:ind w:left="0"/>
              <w:rPr>
                <w:rFonts w:ascii="Arial" w:hAnsi="Arial" w:cs="Arial"/>
                <w:sz w:val="20"/>
                <w:szCs w:val="20"/>
                <w:lang w:val="es-MX"/>
              </w:rPr>
            </w:pPr>
          </w:p>
        </w:tc>
        <w:tc>
          <w:tcPr>
            <w:tcW w:w="3060" w:type="dxa"/>
          </w:tcPr>
          <w:p w14:paraId="2A704466" w14:textId="77777777" w:rsidR="00DE3EB8" w:rsidRPr="0030518F" w:rsidRDefault="00DE3EB8" w:rsidP="008B0A6B">
            <w:pPr>
              <w:pStyle w:val="ListParagraph"/>
              <w:ind w:left="0"/>
              <w:rPr>
                <w:rFonts w:ascii="Arial" w:hAnsi="Arial" w:cs="Arial"/>
                <w:sz w:val="20"/>
                <w:szCs w:val="20"/>
                <w:lang w:val="es-MX"/>
              </w:rPr>
            </w:pPr>
          </w:p>
        </w:tc>
      </w:tr>
      <w:tr w:rsidR="00DE3EB8" w:rsidRPr="00392E34" w14:paraId="1496EAAC" w14:textId="77777777" w:rsidTr="008B0A6B">
        <w:trPr>
          <w:trHeight w:val="253"/>
        </w:trPr>
        <w:tc>
          <w:tcPr>
            <w:tcW w:w="5220" w:type="dxa"/>
          </w:tcPr>
          <w:p w14:paraId="0FCD37E3" w14:textId="77777777" w:rsidR="00DE3EB8" w:rsidRPr="0030518F" w:rsidRDefault="00DE3EB8" w:rsidP="008B0A6B">
            <w:pPr>
              <w:rPr>
                <w:rFonts w:ascii="Arial" w:hAnsi="Arial" w:cs="Arial"/>
                <w:b/>
                <w:bCs/>
                <w:sz w:val="20"/>
                <w:szCs w:val="20"/>
              </w:rPr>
            </w:pPr>
            <w:r w:rsidRPr="0030518F">
              <w:rPr>
                <w:rFonts w:ascii="Arial" w:hAnsi="Arial" w:cs="Arial"/>
                <w:b/>
                <w:bCs/>
                <w:sz w:val="20"/>
                <w:szCs w:val="20"/>
                <w:lang w:val="es-ES_tradnl"/>
              </w:rPr>
              <w:t xml:space="preserve">Sostenibilidad operacional </w:t>
            </w:r>
          </w:p>
          <w:p w14:paraId="4EE5B723" w14:textId="77777777" w:rsidR="00DE3EB8" w:rsidRPr="0030518F" w:rsidRDefault="00DE3EB8" w:rsidP="0068285B">
            <w:pPr>
              <w:numPr>
                <w:ilvl w:val="0"/>
                <w:numId w:val="24"/>
              </w:numPr>
              <w:rPr>
                <w:rFonts w:ascii="Arial" w:hAnsi="Arial" w:cs="Arial"/>
                <w:bCs/>
                <w:sz w:val="20"/>
                <w:szCs w:val="20"/>
                <w:lang w:val="es-ES_tradnl"/>
              </w:rPr>
            </w:pPr>
            <w:r w:rsidRPr="0030518F">
              <w:rPr>
                <w:rFonts w:ascii="Arial" w:hAnsi="Arial" w:cs="Arial"/>
                <w:bCs/>
                <w:sz w:val="20"/>
                <w:szCs w:val="20"/>
                <w:lang w:val="es-ES_tradnl"/>
              </w:rPr>
              <w:t xml:space="preserve">Necesidades de capacitación administrativa, financiera, presentación propuestas y proyectos y provisión de servicios de protección social. </w:t>
            </w:r>
          </w:p>
          <w:p w14:paraId="5DAF91FB" w14:textId="77777777" w:rsidR="00DE3EB8" w:rsidRPr="0030518F" w:rsidRDefault="00DE3EB8" w:rsidP="0068285B">
            <w:pPr>
              <w:numPr>
                <w:ilvl w:val="0"/>
                <w:numId w:val="24"/>
              </w:numPr>
              <w:rPr>
                <w:rFonts w:ascii="Arial" w:hAnsi="Arial" w:cs="Arial"/>
                <w:bCs/>
                <w:sz w:val="20"/>
                <w:szCs w:val="20"/>
                <w:lang w:val="es-ES_tradnl"/>
              </w:rPr>
            </w:pPr>
            <w:r w:rsidRPr="0030518F">
              <w:rPr>
                <w:rFonts w:ascii="Arial" w:hAnsi="Arial" w:cs="Arial"/>
                <w:bCs/>
                <w:sz w:val="20"/>
                <w:szCs w:val="20"/>
                <w:lang w:val="es-ES_tradnl"/>
              </w:rPr>
              <w:t>Limitado acceso a servicios legales.</w:t>
            </w:r>
          </w:p>
          <w:p w14:paraId="338022FA" w14:textId="77777777" w:rsidR="00DE3EB8" w:rsidRPr="0030518F" w:rsidRDefault="00DE3EB8" w:rsidP="0068285B">
            <w:pPr>
              <w:numPr>
                <w:ilvl w:val="0"/>
                <w:numId w:val="24"/>
              </w:numPr>
              <w:rPr>
                <w:rFonts w:ascii="Arial" w:hAnsi="Arial" w:cs="Arial"/>
                <w:b/>
                <w:bCs/>
                <w:sz w:val="20"/>
                <w:szCs w:val="20"/>
                <w:lang w:val="es-MX"/>
              </w:rPr>
            </w:pPr>
            <w:r w:rsidRPr="0030518F">
              <w:rPr>
                <w:rFonts w:ascii="Arial" w:hAnsi="Arial" w:cs="Arial"/>
                <w:bCs/>
                <w:sz w:val="20"/>
                <w:szCs w:val="20"/>
                <w:lang w:val="es-ES_tradnl"/>
              </w:rPr>
              <w:t>Alta dependencia de trabajo voluntario.</w:t>
            </w:r>
          </w:p>
        </w:tc>
        <w:tc>
          <w:tcPr>
            <w:tcW w:w="1440" w:type="dxa"/>
          </w:tcPr>
          <w:p w14:paraId="55CA8DA9" w14:textId="77777777" w:rsidR="00DE3EB8" w:rsidRPr="0030518F" w:rsidRDefault="00DE3EB8" w:rsidP="008B0A6B">
            <w:pPr>
              <w:pStyle w:val="ListParagraph"/>
              <w:ind w:left="0"/>
              <w:rPr>
                <w:rFonts w:ascii="Arial" w:hAnsi="Arial" w:cs="Arial"/>
                <w:sz w:val="20"/>
                <w:szCs w:val="20"/>
                <w:lang w:val="es-MX"/>
              </w:rPr>
            </w:pPr>
          </w:p>
        </w:tc>
        <w:tc>
          <w:tcPr>
            <w:tcW w:w="1350" w:type="dxa"/>
          </w:tcPr>
          <w:p w14:paraId="56A9791D" w14:textId="77777777" w:rsidR="00DE3EB8" w:rsidRPr="0030518F" w:rsidRDefault="00DE3EB8" w:rsidP="008B0A6B">
            <w:pPr>
              <w:pStyle w:val="ListParagraph"/>
              <w:ind w:left="0"/>
              <w:rPr>
                <w:rFonts w:ascii="Arial" w:hAnsi="Arial" w:cs="Arial"/>
                <w:sz w:val="20"/>
                <w:szCs w:val="20"/>
                <w:lang w:val="es-MX"/>
              </w:rPr>
            </w:pPr>
          </w:p>
        </w:tc>
        <w:tc>
          <w:tcPr>
            <w:tcW w:w="1620" w:type="dxa"/>
          </w:tcPr>
          <w:p w14:paraId="3E983CE1" w14:textId="77777777" w:rsidR="00DE3EB8" w:rsidRPr="0030518F" w:rsidRDefault="00DE3EB8" w:rsidP="008B0A6B">
            <w:pPr>
              <w:pStyle w:val="ListParagraph"/>
              <w:ind w:left="0"/>
              <w:rPr>
                <w:rFonts w:ascii="Arial" w:hAnsi="Arial" w:cs="Arial"/>
                <w:sz w:val="20"/>
                <w:szCs w:val="20"/>
                <w:lang w:val="es-MX"/>
              </w:rPr>
            </w:pPr>
          </w:p>
        </w:tc>
        <w:tc>
          <w:tcPr>
            <w:tcW w:w="1800" w:type="dxa"/>
          </w:tcPr>
          <w:p w14:paraId="71645A6D" w14:textId="77777777" w:rsidR="00DE3EB8" w:rsidRPr="0030518F" w:rsidRDefault="00DE3EB8" w:rsidP="008B0A6B">
            <w:pPr>
              <w:pStyle w:val="ListParagraph"/>
              <w:ind w:left="0"/>
              <w:rPr>
                <w:rFonts w:ascii="Arial" w:hAnsi="Arial" w:cs="Arial"/>
                <w:sz w:val="20"/>
                <w:szCs w:val="20"/>
                <w:lang w:val="es-MX"/>
              </w:rPr>
            </w:pPr>
          </w:p>
        </w:tc>
        <w:tc>
          <w:tcPr>
            <w:tcW w:w="3060" w:type="dxa"/>
          </w:tcPr>
          <w:p w14:paraId="31EE0DDF" w14:textId="77777777" w:rsidR="00DE3EB8" w:rsidRPr="0030518F" w:rsidRDefault="00DE3EB8" w:rsidP="008B0A6B">
            <w:pPr>
              <w:pStyle w:val="ListParagraph"/>
              <w:ind w:left="0"/>
              <w:rPr>
                <w:rFonts w:ascii="Arial" w:hAnsi="Arial" w:cs="Arial"/>
                <w:sz w:val="20"/>
                <w:szCs w:val="20"/>
                <w:lang w:val="es-MX"/>
              </w:rPr>
            </w:pPr>
          </w:p>
        </w:tc>
      </w:tr>
      <w:tr w:rsidR="00DE3EB8" w:rsidRPr="00392E34" w14:paraId="709D3157" w14:textId="77777777" w:rsidTr="008B0A6B">
        <w:trPr>
          <w:trHeight w:val="253"/>
        </w:trPr>
        <w:tc>
          <w:tcPr>
            <w:tcW w:w="5220" w:type="dxa"/>
          </w:tcPr>
          <w:p w14:paraId="7CB586F9" w14:textId="77777777" w:rsidR="00DE3EB8" w:rsidRPr="0030518F" w:rsidRDefault="00DE3EB8" w:rsidP="008B0A6B">
            <w:pPr>
              <w:rPr>
                <w:rFonts w:ascii="Arial" w:hAnsi="Arial" w:cs="Arial"/>
                <w:b/>
                <w:bCs/>
                <w:sz w:val="20"/>
                <w:szCs w:val="20"/>
                <w:lang w:val="es-MX"/>
              </w:rPr>
            </w:pPr>
            <w:r w:rsidRPr="0030518F">
              <w:rPr>
                <w:rFonts w:ascii="Arial" w:hAnsi="Arial" w:cs="Arial"/>
                <w:b/>
                <w:bCs/>
                <w:sz w:val="20"/>
                <w:szCs w:val="20"/>
                <w:lang w:val="es-ES_tradnl"/>
              </w:rPr>
              <w:t xml:space="preserve">Falta de lineamientos para OSCs sobre provisión de servicios </w:t>
            </w:r>
            <w:r w:rsidRPr="0030518F">
              <w:rPr>
                <w:rFonts w:ascii="Arial" w:hAnsi="Arial" w:cs="Arial"/>
                <w:bCs/>
                <w:sz w:val="20"/>
                <w:szCs w:val="20"/>
                <w:lang w:val="es-ES_tradnl"/>
              </w:rPr>
              <w:t>(tipos de servicios, especialmente prevención y testeo rápido, requisitos, permisos, capacitación).</w:t>
            </w:r>
          </w:p>
        </w:tc>
        <w:tc>
          <w:tcPr>
            <w:tcW w:w="1440" w:type="dxa"/>
          </w:tcPr>
          <w:p w14:paraId="5B07EB07" w14:textId="77777777" w:rsidR="00DE3EB8" w:rsidRPr="0030518F" w:rsidRDefault="00DE3EB8" w:rsidP="008B0A6B">
            <w:pPr>
              <w:pStyle w:val="ListParagraph"/>
              <w:ind w:left="0"/>
              <w:rPr>
                <w:rFonts w:ascii="Arial" w:hAnsi="Arial" w:cs="Arial"/>
                <w:sz w:val="20"/>
                <w:szCs w:val="20"/>
                <w:lang w:val="es-MX"/>
              </w:rPr>
            </w:pPr>
          </w:p>
        </w:tc>
        <w:tc>
          <w:tcPr>
            <w:tcW w:w="1350" w:type="dxa"/>
          </w:tcPr>
          <w:p w14:paraId="59D04D06" w14:textId="77777777" w:rsidR="00DE3EB8" w:rsidRPr="0030518F" w:rsidRDefault="00DE3EB8" w:rsidP="008B0A6B">
            <w:pPr>
              <w:pStyle w:val="ListParagraph"/>
              <w:ind w:left="0"/>
              <w:rPr>
                <w:rFonts w:ascii="Arial" w:hAnsi="Arial" w:cs="Arial"/>
                <w:sz w:val="20"/>
                <w:szCs w:val="20"/>
                <w:lang w:val="es-MX"/>
              </w:rPr>
            </w:pPr>
          </w:p>
        </w:tc>
        <w:tc>
          <w:tcPr>
            <w:tcW w:w="1620" w:type="dxa"/>
          </w:tcPr>
          <w:p w14:paraId="2727C516" w14:textId="77777777" w:rsidR="00DE3EB8" w:rsidRPr="0030518F" w:rsidRDefault="00DE3EB8" w:rsidP="008B0A6B">
            <w:pPr>
              <w:pStyle w:val="ListParagraph"/>
              <w:ind w:left="0"/>
              <w:rPr>
                <w:rFonts w:ascii="Arial" w:hAnsi="Arial" w:cs="Arial"/>
                <w:sz w:val="20"/>
                <w:szCs w:val="20"/>
                <w:lang w:val="es-MX"/>
              </w:rPr>
            </w:pPr>
          </w:p>
        </w:tc>
        <w:tc>
          <w:tcPr>
            <w:tcW w:w="1800" w:type="dxa"/>
          </w:tcPr>
          <w:p w14:paraId="3BC091AB" w14:textId="77777777" w:rsidR="00DE3EB8" w:rsidRPr="0030518F" w:rsidRDefault="00DE3EB8" w:rsidP="008B0A6B">
            <w:pPr>
              <w:pStyle w:val="ListParagraph"/>
              <w:ind w:left="0"/>
              <w:rPr>
                <w:rFonts w:ascii="Arial" w:hAnsi="Arial" w:cs="Arial"/>
                <w:sz w:val="20"/>
                <w:szCs w:val="20"/>
                <w:lang w:val="es-MX"/>
              </w:rPr>
            </w:pPr>
          </w:p>
        </w:tc>
        <w:tc>
          <w:tcPr>
            <w:tcW w:w="3060" w:type="dxa"/>
          </w:tcPr>
          <w:p w14:paraId="65A11B32" w14:textId="77777777" w:rsidR="00DE3EB8" w:rsidRPr="0030518F" w:rsidRDefault="00DE3EB8" w:rsidP="008B0A6B">
            <w:pPr>
              <w:pStyle w:val="ListParagraph"/>
              <w:ind w:left="0"/>
              <w:rPr>
                <w:rFonts w:ascii="Arial" w:hAnsi="Arial" w:cs="Arial"/>
                <w:sz w:val="20"/>
                <w:szCs w:val="20"/>
                <w:lang w:val="es-MX"/>
              </w:rPr>
            </w:pPr>
          </w:p>
        </w:tc>
      </w:tr>
      <w:tr w:rsidR="00DE3EB8" w:rsidRPr="00392E34" w14:paraId="2A360428" w14:textId="77777777" w:rsidTr="008B0A6B">
        <w:trPr>
          <w:trHeight w:val="253"/>
        </w:trPr>
        <w:tc>
          <w:tcPr>
            <w:tcW w:w="5220" w:type="dxa"/>
          </w:tcPr>
          <w:p w14:paraId="597AD130" w14:textId="77777777" w:rsidR="00DE3EB8" w:rsidRPr="0030518F" w:rsidRDefault="00DE3EB8" w:rsidP="008B0A6B">
            <w:pPr>
              <w:rPr>
                <w:rFonts w:ascii="Arial" w:hAnsi="Arial" w:cs="Arial"/>
                <w:b/>
                <w:bCs/>
                <w:sz w:val="20"/>
                <w:szCs w:val="20"/>
                <w:lang w:val="es-MX"/>
              </w:rPr>
            </w:pPr>
            <w:r w:rsidRPr="0030518F">
              <w:rPr>
                <w:rFonts w:ascii="Arial" w:hAnsi="Arial" w:cs="Arial"/>
                <w:b/>
                <w:bCs/>
                <w:sz w:val="20"/>
                <w:szCs w:val="20"/>
                <w:lang w:val="es-ES_tradnl"/>
              </w:rPr>
              <w:t>Persistencia de falta de coordinación e integración de las actividades de las OSC con servicios de salud.</w:t>
            </w:r>
          </w:p>
          <w:p w14:paraId="57B7FE92" w14:textId="77777777" w:rsidR="00DE3EB8" w:rsidRPr="0030518F" w:rsidRDefault="00DE3EB8" w:rsidP="008B0A6B">
            <w:pPr>
              <w:rPr>
                <w:rFonts w:ascii="Arial" w:hAnsi="Arial" w:cs="Arial"/>
                <w:b/>
                <w:bCs/>
                <w:sz w:val="20"/>
                <w:szCs w:val="20"/>
                <w:lang w:val="es-MX"/>
              </w:rPr>
            </w:pPr>
          </w:p>
        </w:tc>
        <w:tc>
          <w:tcPr>
            <w:tcW w:w="1440" w:type="dxa"/>
          </w:tcPr>
          <w:p w14:paraId="48AE029A" w14:textId="77777777" w:rsidR="00DE3EB8" w:rsidRPr="0030518F" w:rsidRDefault="00DE3EB8" w:rsidP="008B0A6B">
            <w:pPr>
              <w:pStyle w:val="ListParagraph"/>
              <w:ind w:left="0"/>
              <w:rPr>
                <w:rFonts w:ascii="Arial" w:hAnsi="Arial" w:cs="Arial"/>
                <w:sz w:val="20"/>
                <w:szCs w:val="20"/>
                <w:lang w:val="es-MX"/>
              </w:rPr>
            </w:pPr>
          </w:p>
        </w:tc>
        <w:tc>
          <w:tcPr>
            <w:tcW w:w="1350" w:type="dxa"/>
          </w:tcPr>
          <w:p w14:paraId="56A6A66F" w14:textId="77777777" w:rsidR="00DE3EB8" w:rsidRPr="0030518F" w:rsidRDefault="00DE3EB8" w:rsidP="008B0A6B">
            <w:pPr>
              <w:pStyle w:val="ListParagraph"/>
              <w:ind w:left="0"/>
              <w:rPr>
                <w:rFonts w:ascii="Arial" w:hAnsi="Arial" w:cs="Arial"/>
                <w:sz w:val="20"/>
                <w:szCs w:val="20"/>
                <w:lang w:val="es-MX"/>
              </w:rPr>
            </w:pPr>
          </w:p>
        </w:tc>
        <w:tc>
          <w:tcPr>
            <w:tcW w:w="1620" w:type="dxa"/>
          </w:tcPr>
          <w:p w14:paraId="524BDE05" w14:textId="77777777" w:rsidR="00DE3EB8" w:rsidRPr="0030518F" w:rsidRDefault="00DE3EB8" w:rsidP="008B0A6B">
            <w:pPr>
              <w:pStyle w:val="ListParagraph"/>
              <w:ind w:left="0"/>
              <w:rPr>
                <w:rFonts w:ascii="Arial" w:hAnsi="Arial" w:cs="Arial"/>
                <w:sz w:val="20"/>
                <w:szCs w:val="20"/>
                <w:lang w:val="es-MX"/>
              </w:rPr>
            </w:pPr>
          </w:p>
        </w:tc>
        <w:tc>
          <w:tcPr>
            <w:tcW w:w="1800" w:type="dxa"/>
          </w:tcPr>
          <w:p w14:paraId="43913CA9" w14:textId="77777777" w:rsidR="00DE3EB8" w:rsidRPr="0030518F" w:rsidRDefault="00DE3EB8" w:rsidP="008B0A6B">
            <w:pPr>
              <w:pStyle w:val="ListParagraph"/>
              <w:ind w:left="0"/>
              <w:rPr>
                <w:rFonts w:ascii="Arial" w:hAnsi="Arial" w:cs="Arial"/>
                <w:sz w:val="20"/>
                <w:szCs w:val="20"/>
                <w:lang w:val="es-MX"/>
              </w:rPr>
            </w:pPr>
          </w:p>
        </w:tc>
        <w:tc>
          <w:tcPr>
            <w:tcW w:w="3060" w:type="dxa"/>
          </w:tcPr>
          <w:p w14:paraId="35D0E6E1" w14:textId="77777777" w:rsidR="00DE3EB8" w:rsidRPr="0030518F" w:rsidRDefault="00DE3EB8" w:rsidP="008B0A6B">
            <w:pPr>
              <w:pStyle w:val="ListParagraph"/>
              <w:ind w:left="0"/>
              <w:rPr>
                <w:rFonts w:ascii="Arial" w:hAnsi="Arial" w:cs="Arial"/>
                <w:sz w:val="20"/>
                <w:szCs w:val="20"/>
                <w:lang w:val="es-MX"/>
              </w:rPr>
            </w:pPr>
          </w:p>
        </w:tc>
      </w:tr>
    </w:tbl>
    <w:p w14:paraId="4C041B45" w14:textId="77777777" w:rsidR="00DE3EB8" w:rsidRDefault="00DE3EB8" w:rsidP="00DE3EB8">
      <w:pPr>
        <w:rPr>
          <w:rStyle w:val="IntenseReference"/>
          <w:rFonts w:ascii="Arial" w:hAnsi="Arial" w:cs="Arial"/>
          <w:sz w:val="20"/>
          <w:szCs w:val="20"/>
          <w:lang w:val="es-419"/>
        </w:rPr>
        <w:sectPr w:rsidR="00DE3EB8" w:rsidSect="008B0A6B">
          <w:pgSz w:w="15840" w:h="12240" w:orient="landscape"/>
          <w:pgMar w:top="1440" w:right="1440" w:bottom="1440" w:left="1440" w:header="720" w:footer="720" w:gutter="0"/>
          <w:cols w:space="720"/>
          <w:docGrid w:linePitch="360"/>
        </w:sectPr>
      </w:pPr>
    </w:p>
    <w:p w14:paraId="679C4116" w14:textId="72D4C80F" w:rsidR="00DE3EB8" w:rsidRPr="00086C1A" w:rsidRDefault="00DE3EB8" w:rsidP="00DE3EB8">
      <w:pPr>
        <w:pStyle w:val="Nota"/>
        <w:spacing w:after="240"/>
        <w:rPr>
          <w:sz w:val="22"/>
          <w:szCs w:val="22"/>
        </w:rPr>
      </w:pPr>
      <w:bookmarkStart w:id="150" w:name="_Hlk535502921"/>
      <w:r w:rsidRPr="00086C1A">
        <w:rPr>
          <w:rStyle w:val="IntenseReference"/>
          <w:sz w:val="22"/>
          <w:szCs w:val="22"/>
        </w:rPr>
        <w:lastRenderedPageBreak/>
        <w:t>.</w:t>
      </w:r>
      <w:r w:rsidR="00076F94" w:rsidRPr="00086C1A">
        <w:rPr>
          <w:sz w:val="22"/>
          <w:szCs w:val="22"/>
        </w:rPr>
        <w:t xml:space="preserve"> </w:t>
      </w:r>
      <w:r w:rsidR="00076F94" w:rsidRPr="00086C1A">
        <w:rPr>
          <w:rStyle w:val="IntenseReference"/>
          <w:sz w:val="22"/>
          <w:szCs w:val="22"/>
        </w:rPr>
        <w:t>ANEXO 4. Honduras: complejo institucional en derechos humanos</w:t>
      </w:r>
      <w:bookmarkEnd w:id="150"/>
    </w:p>
    <w:tbl>
      <w:tblPr>
        <w:tblStyle w:val="TableGrid"/>
        <w:tblW w:w="0" w:type="auto"/>
        <w:jc w:val="center"/>
        <w:tblLook w:val="04A0" w:firstRow="1" w:lastRow="0" w:firstColumn="1" w:lastColumn="0" w:noHBand="0" w:noVBand="1"/>
      </w:tblPr>
      <w:tblGrid>
        <w:gridCol w:w="1679"/>
        <w:gridCol w:w="1964"/>
        <w:gridCol w:w="1709"/>
        <w:gridCol w:w="1977"/>
        <w:gridCol w:w="1941"/>
      </w:tblGrid>
      <w:tr w:rsidR="00DE3EB8" w:rsidRPr="00392E34" w14:paraId="789CDBE6" w14:textId="77777777" w:rsidTr="008B0A6B">
        <w:trPr>
          <w:trHeight w:val="1277"/>
          <w:jc w:val="center"/>
        </w:trPr>
        <w:tc>
          <w:tcPr>
            <w:tcW w:w="1679" w:type="dxa"/>
            <w:shd w:val="clear" w:color="auto" w:fill="1F3864" w:themeFill="accent1" w:themeFillShade="80"/>
          </w:tcPr>
          <w:p w14:paraId="7079E05A" w14:textId="77777777" w:rsidR="00DE3EB8" w:rsidRPr="00C5451C" w:rsidRDefault="00DE3EB8" w:rsidP="008B0A6B">
            <w:pPr>
              <w:spacing w:after="240"/>
              <w:rPr>
                <w:rFonts w:ascii="Arial" w:hAnsi="Arial" w:cs="Arial"/>
                <w:b/>
                <w:lang w:val="es-ES"/>
              </w:rPr>
            </w:pPr>
            <w:r w:rsidRPr="00C5451C">
              <w:rPr>
                <w:rFonts w:ascii="Arial" w:hAnsi="Arial" w:cs="Arial"/>
                <w:b/>
                <w:lang w:val="es-ES"/>
              </w:rPr>
              <w:t>Título</w:t>
            </w:r>
          </w:p>
        </w:tc>
        <w:tc>
          <w:tcPr>
            <w:tcW w:w="1964" w:type="dxa"/>
            <w:shd w:val="clear" w:color="auto" w:fill="1F3864" w:themeFill="accent1" w:themeFillShade="80"/>
          </w:tcPr>
          <w:p w14:paraId="0EA0C41A" w14:textId="77777777" w:rsidR="00DE3EB8" w:rsidRPr="00C5451C" w:rsidRDefault="00DE3EB8" w:rsidP="008B0A6B">
            <w:pPr>
              <w:spacing w:after="240"/>
              <w:rPr>
                <w:rFonts w:ascii="Arial" w:hAnsi="Arial" w:cs="Arial"/>
                <w:b/>
                <w:lang w:val="es-ES"/>
              </w:rPr>
            </w:pPr>
            <w:r w:rsidRPr="00C5451C">
              <w:rPr>
                <w:rFonts w:ascii="Arial" w:hAnsi="Arial" w:cs="Arial"/>
                <w:b/>
                <w:lang w:val="es-ES"/>
              </w:rPr>
              <w:t>Secretaria Derechos Humanos, SEDH</w:t>
            </w:r>
          </w:p>
        </w:tc>
        <w:tc>
          <w:tcPr>
            <w:tcW w:w="1709" w:type="dxa"/>
            <w:shd w:val="clear" w:color="auto" w:fill="1F3864" w:themeFill="accent1" w:themeFillShade="80"/>
          </w:tcPr>
          <w:p w14:paraId="488FC008" w14:textId="77777777" w:rsidR="00DE3EB8" w:rsidRPr="00C5451C" w:rsidRDefault="00DE3EB8" w:rsidP="008B0A6B">
            <w:pPr>
              <w:spacing w:after="240"/>
              <w:rPr>
                <w:rFonts w:ascii="Arial" w:hAnsi="Arial" w:cs="Arial"/>
                <w:b/>
                <w:lang w:val="es-ES"/>
              </w:rPr>
            </w:pPr>
            <w:r w:rsidRPr="00C5451C">
              <w:rPr>
                <w:rFonts w:ascii="Arial" w:hAnsi="Arial" w:cs="Arial"/>
                <w:b/>
                <w:lang w:val="es-ES"/>
              </w:rPr>
              <w:t>Comisionado Nacional de Derechos Humanos, CONADEH</w:t>
            </w:r>
          </w:p>
        </w:tc>
        <w:tc>
          <w:tcPr>
            <w:tcW w:w="1977" w:type="dxa"/>
            <w:shd w:val="clear" w:color="auto" w:fill="1F3864" w:themeFill="accent1" w:themeFillShade="80"/>
          </w:tcPr>
          <w:p w14:paraId="4DC6E1A6" w14:textId="77777777" w:rsidR="00DE3EB8" w:rsidRPr="00C5451C" w:rsidRDefault="00DE3EB8" w:rsidP="008B0A6B">
            <w:pPr>
              <w:spacing w:after="240"/>
              <w:rPr>
                <w:rFonts w:ascii="Arial" w:hAnsi="Arial" w:cs="Arial"/>
                <w:b/>
                <w:lang w:val="es-ES"/>
              </w:rPr>
            </w:pPr>
            <w:r w:rsidRPr="00C5451C">
              <w:rPr>
                <w:rFonts w:ascii="Arial" w:hAnsi="Arial" w:cs="Arial"/>
                <w:b/>
                <w:lang w:val="es-ES"/>
              </w:rPr>
              <w:t>Comisión Nacional de Sida</w:t>
            </w:r>
          </w:p>
          <w:p w14:paraId="61CB88FA" w14:textId="77777777" w:rsidR="00DE3EB8" w:rsidRPr="00C5451C" w:rsidRDefault="00DE3EB8" w:rsidP="008B0A6B">
            <w:pPr>
              <w:spacing w:after="240"/>
              <w:rPr>
                <w:rFonts w:ascii="Arial" w:hAnsi="Arial" w:cs="Arial"/>
                <w:b/>
                <w:lang w:val="es-ES"/>
              </w:rPr>
            </w:pPr>
            <w:r w:rsidRPr="00C5451C">
              <w:rPr>
                <w:rFonts w:ascii="Arial" w:hAnsi="Arial" w:cs="Arial"/>
                <w:b/>
                <w:lang w:val="es-ES"/>
              </w:rPr>
              <w:t>CONASIDA</w:t>
            </w:r>
          </w:p>
        </w:tc>
        <w:tc>
          <w:tcPr>
            <w:tcW w:w="1941" w:type="dxa"/>
            <w:shd w:val="clear" w:color="auto" w:fill="1F3864" w:themeFill="accent1" w:themeFillShade="80"/>
          </w:tcPr>
          <w:p w14:paraId="5852B955" w14:textId="77777777" w:rsidR="00DE3EB8" w:rsidRPr="00C5451C" w:rsidRDefault="00DE3EB8" w:rsidP="008B0A6B">
            <w:pPr>
              <w:spacing w:after="240"/>
              <w:rPr>
                <w:rFonts w:ascii="Arial" w:hAnsi="Arial" w:cs="Arial"/>
                <w:b/>
                <w:lang w:val="es-ES"/>
              </w:rPr>
            </w:pPr>
            <w:r w:rsidRPr="00C5451C">
              <w:rPr>
                <w:rFonts w:ascii="Arial" w:hAnsi="Arial" w:cs="Arial"/>
                <w:b/>
                <w:lang w:val="es-ES"/>
              </w:rPr>
              <w:t>Fiscalía Especial de Derechos Humanos</w:t>
            </w:r>
          </w:p>
        </w:tc>
      </w:tr>
      <w:tr w:rsidR="00DE3EB8" w:rsidRPr="00392E34" w14:paraId="12911C90" w14:textId="77777777" w:rsidTr="008B0A6B">
        <w:trPr>
          <w:jc w:val="center"/>
        </w:trPr>
        <w:tc>
          <w:tcPr>
            <w:tcW w:w="1679" w:type="dxa"/>
          </w:tcPr>
          <w:p w14:paraId="34AD0795" w14:textId="77777777" w:rsidR="00DE3EB8" w:rsidRPr="00DD37EC" w:rsidRDefault="00DE3EB8" w:rsidP="008B0A6B">
            <w:pPr>
              <w:spacing w:after="240"/>
              <w:rPr>
                <w:rFonts w:ascii="Arial" w:hAnsi="Arial" w:cs="Arial"/>
                <w:lang w:val="es-ES"/>
              </w:rPr>
            </w:pPr>
            <w:r w:rsidRPr="00DD37EC">
              <w:rPr>
                <w:rFonts w:ascii="Arial" w:hAnsi="Arial" w:cs="Arial"/>
                <w:lang w:val="es-ES"/>
              </w:rPr>
              <w:t>Tipo de Entidad</w:t>
            </w:r>
          </w:p>
        </w:tc>
        <w:tc>
          <w:tcPr>
            <w:tcW w:w="1964" w:type="dxa"/>
          </w:tcPr>
          <w:p w14:paraId="6D08B0E0" w14:textId="77777777" w:rsidR="00DE3EB8" w:rsidRPr="00DD37EC" w:rsidRDefault="00DE3EB8" w:rsidP="008B0A6B">
            <w:pPr>
              <w:spacing w:after="240"/>
              <w:rPr>
                <w:rFonts w:ascii="Arial" w:hAnsi="Arial" w:cs="Arial"/>
                <w:lang w:val="es-ES"/>
              </w:rPr>
            </w:pPr>
            <w:r w:rsidRPr="00DD37EC">
              <w:rPr>
                <w:rFonts w:ascii="Arial" w:hAnsi="Arial" w:cs="Arial"/>
                <w:lang w:val="es-ES"/>
              </w:rPr>
              <w:t>Secretaria de Estado</w:t>
            </w:r>
          </w:p>
        </w:tc>
        <w:tc>
          <w:tcPr>
            <w:tcW w:w="1709" w:type="dxa"/>
          </w:tcPr>
          <w:p w14:paraId="017661BD" w14:textId="77777777" w:rsidR="00DE3EB8" w:rsidRPr="00DD37EC" w:rsidRDefault="00DE3EB8" w:rsidP="008B0A6B">
            <w:pPr>
              <w:spacing w:after="240"/>
              <w:rPr>
                <w:rFonts w:ascii="Arial" w:hAnsi="Arial" w:cs="Arial"/>
                <w:lang w:val="es-ES"/>
              </w:rPr>
            </w:pPr>
            <w:r w:rsidRPr="00DD37EC">
              <w:rPr>
                <w:rFonts w:ascii="Arial" w:hAnsi="Arial" w:cs="Arial"/>
                <w:lang w:val="es-ES"/>
              </w:rPr>
              <w:t>Ente autónomo nombrado por el Congreso Nacional</w:t>
            </w:r>
          </w:p>
        </w:tc>
        <w:tc>
          <w:tcPr>
            <w:tcW w:w="1977" w:type="dxa"/>
          </w:tcPr>
          <w:p w14:paraId="3590338D" w14:textId="77777777" w:rsidR="00DE3EB8" w:rsidRPr="00DD37EC" w:rsidRDefault="00DE3EB8" w:rsidP="008B0A6B">
            <w:pPr>
              <w:spacing w:after="240"/>
              <w:rPr>
                <w:rFonts w:ascii="Arial" w:hAnsi="Arial" w:cs="Arial"/>
                <w:lang w:val="es-ES"/>
              </w:rPr>
            </w:pPr>
            <w:r w:rsidRPr="00DD37EC">
              <w:rPr>
                <w:rFonts w:ascii="Arial" w:hAnsi="Arial" w:cs="Arial"/>
                <w:lang w:val="es-ES"/>
              </w:rPr>
              <w:t>Órgano descentralizado de la Secretaria de Salud como órgano superior multisectorial</w:t>
            </w:r>
          </w:p>
        </w:tc>
        <w:tc>
          <w:tcPr>
            <w:tcW w:w="1941" w:type="dxa"/>
          </w:tcPr>
          <w:p w14:paraId="78168249" w14:textId="77777777" w:rsidR="00DE3EB8" w:rsidRPr="00DD37EC" w:rsidRDefault="00DE3EB8" w:rsidP="008B0A6B">
            <w:pPr>
              <w:spacing w:after="240"/>
              <w:rPr>
                <w:rFonts w:ascii="Arial" w:hAnsi="Arial" w:cs="Arial"/>
                <w:lang w:val="es-ES"/>
              </w:rPr>
            </w:pPr>
            <w:r w:rsidRPr="00DD37EC">
              <w:rPr>
                <w:rFonts w:ascii="Arial" w:hAnsi="Arial" w:cs="Arial"/>
                <w:lang w:val="es-ES"/>
              </w:rPr>
              <w:t>Fiscalía Especial del Ministerio Publico</w:t>
            </w:r>
          </w:p>
        </w:tc>
      </w:tr>
      <w:tr w:rsidR="00DE3EB8" w:rsidRPr="00392E34" w14:paraId="351E9B6D" w14:textId="77777777" w:rsidTr="008B0A6B">
        <w:trPr>
          <w:jc w:val="center"/>
        </w:trPr>
        <w:tc>
          <w:tcPr>
            <w:tcW w:w="1679" w:type="dxa"/>
          </w:tcPr>
          <w:p w14:paraId="64018578" w14:textId="77777777" w:rsidR="00DE3EB8" w:rsidRPr="00DD37EC" w:rsidRDefault="00DE3EB8" w:rsidP="008B0A6B">
            <w:pPr>
              <w:spacing w:after="240"/>
              <w:rPr>
                <w:rFonts w:ascii="Arial" w:hAnsi="Arial" w:cs="Arial"/>
                <w:lang w:val="es-ES"/>
              </w:rPr>
            </w:pPr>
            <w:r w:rsidRPr="00DD37EC">
              <w:rPr>
                <w:rFonts w:ascii="Arial" w:hAnsi="Arial" w:cs="Arial"/>
                <w:lang w:val="es-ES"/>
              </w:rPr>
              <w:t>Objetivos</w:t>
            </w:r>
          </w:p>
        </w:tc>
        <w:tc>
          <w:tcPr>
            <w:tcW w:w="1964" w:type="dxa"/>
          </w:tcPr>
          <w:p w14:paraId="296A3F89" w14:textId="77777777" w:rsidR="00DE3EB8" w:rsidRPr="00DD37EC" w:rsidRDefault="00DE3EB8" w:rsidP="008B0A6B">
            <w:pPr>
              <w:spacing w:after="240"/>
              <w:rPr>
                <w:rFonts w:ascii="Arial" w:hAnsi="Arial" w:cs="Arial"/>
                <w:lang w:val="es-ES"/>
              </w:rPr>
            </w:pPr>
            <w:r w:rsidRPr="00DD37EC">
              <w:rPr>
                <w:rFonts w:ascii="Arial" w:hAnsi="Arial" w:cs="Arial"/>
                <w:b/>
                <w:lang w:val="es-ES"/>
              </w:rPr>
              <w:t>Ejercer la rectoría y coordinación de la Ejecución de la Política Pública y Plan Nacional de Acción en Derechos Humanos</w:t>
            </w:r>
            <w:r w:rsidRPr="00DD37EC">
              <w:rPr>
                <w:rFonts w:ascii="Arial" w:hAnsi="Arial" w:cs="Arial"/>
                <w:lang w:val="es-ES"/>
              </w:rPr>
              <w:t>, y en el diseño, seguimiento y coordinación de las políticas públicas en materia de derechos humanos, especialmente para todas las personas y grupos en situación de vulnerabilidad, que requieren de especial promoción y protección a sus derechos humanos.</w:t>
            </w:r>
          </w:p>
        </w:tc>
        <w:tc>
          <w:tcPr>
            <w:tcW w:w="1709" w:type="dxa"/>
          </w:tcPr>
          <w:p w14:paraId="6C1436AB" w14:textId="77777777" w:rsidR="00DE3EB8" w:rsidRPr="00DD37EC" w:rsidRDefault="00DE3EB8" w:rsidP="008B0A6B">
            <w:pPr>
              <w:pStyle w:val="NormalWeb"/>
              <w:spacing w:before="0" w:beforeAutospacing="0" w:after="240" w:afterAutospacing="0"/>
              <w:rPr>
                <w:rFonts w:ascii="Arial" w:hAnsi="Arial" w:cs="Arial"/>
                <w:sz w:val="22"/>
                <w:szCs w:val="22"/>
                <w:lang w:val="es-US"/>
              </w:rPr>
            </w:pPr>
            <w:r w:rsidRPr="00DD37EC">
              <w:rPr>
                <w:rFonts w:ascii="Arial" w:hAnsi="Arial" w:cs="Arial"/>
                <w:b/>
                <w:sz w:val="22"/>
                <w:szCs w:val="22"/>
                <w:lang w:val="es-US"/>
              </w:rPr>
              <w:t>Garantizar la vigencia de los derechos y libertades</w:t>
            </w:r>
            <w:r w:rsidRPr="00DD37EC">
              <w:rPr>
                <w:rFonts w:ascii="Arial" w:hAnsi="Arial" w:cs="Arial"/>
                <w:sz w:val="22"/>
                <w:szCs w:val="22"/>
                <w:lang w:val="es-US"/>
              </w:rPr>
              <w:t xml:space="preserve"> reconocidas en la Constitución de la República y los Tratados y Convenios Internacionales Ratificados por Honduras. </w:t>
            </w:r>
          </w:p>
        </w:tc>
        <w:tc>
          <w:tcPr>
            <w:tcW w:w="1977" w:type="dxa"/>
          </w:tcPr>
          <w:p w14:paraId="5E823E66" w14:textId="77777777" w:rsidR="00DE3EB8" w:rsidRPr="00DD37EC" w:rsidRDefault="00DE3EB8" w:rsidP="008B0A6B">
            <w:pPr>
              <w:spacing w:after="240"/>
              <w:rPr>
                <w:rFonts w:ascii="Arial" w:hAnsi="Arial" w:cs="Arial"/>
                <w:lang w:val="es-ES"/>
              </w:rPr>
            </w:pPr>
            <w:r w:rsidRPr="00DD37EC">
              <w:rPr>
                <w:rFonts w:ascii="Arial" w:hAnsi="Arial" w:cs="Arial"/>
                <w:b/>
                <w:lang w:val="es-ES"/>
              </w:rPr>
              <w:t>Gestión y coordinación intersectorial e interdisciplinaria en la formulación de políticas generales en materia de VIH/Sida,</w:t>
            </w:r>
            <w:r w:rsidRPr="00DD37EC">
              <w:rPr>
                <w:rFonts w:ascii="Arial" w:hAnsi="Arial" w:cs="Arial"/>
                <w:lang w:val="es-ES"/>
              </w:rPr>
              <w:t xml:space="preserve"> responsable además de la gestión de recursos técnicos y financieros y en la formulación de estrategias generales para la promoción integral de la salud, protección, prevención, investigación, control, tratamiento, educación e información en materia de salud sexual y reproductiva, así como el VIH/SIDA</w:t>
            </w:r>
          </w:p>
        </w:tc>
        <w:tc>
          <w:tcPr>
            <w:tcW w:w="1941" w:type="dxa"/>
          </w:tcPr>
          <w:p w14:paraId="45A0A7B2" w14:textId="77777777" w:rsidR="00DE3EB8" w:rsidRPr="00DD37EC" w:rsidRDefault="00DE3EB8" w:rsidP="008B0A6B">
            <w:pPr>
              <w:spacing w:after="240"/>
              <w:rPr>
                <w:rFonts w:ascii="Arial" w:hAnsi="Arial" w:cs="Arial"/>
                <w:lang w:val="es-US"/>
              </w:rPr>
            </w:pPr>
            <w:r w:rsidRPr="00DD37EC">
              <w:rPr>
                <w:rFonts w:ascii="Arial" w:hAnsi="Arial" w:cs="Arial"/>
                <w:b/>
                <w:color w:val="000000"/>
                <w:shd w:val="clear" w:color="auto" w:fill="FFFFFF"/>
                <w:lang w:val="es-ES"/>
              </w:rPr>
              <w:t>Elaboración de</w:t>
            </w:r>
            <w:r w:rsidRPr="00DD37EC">
              <w:rPr>
                <w:rFonts w:ascii="Arial" w:hAnsi="Arial" w:cs="Arial"/>
                <w:b/>
                <w:color w:val="000000"/>
                <w:shd w:val="clear" w:color="auto" w:fill="FFFFFF"/>
                <w:lang w:val="es-US"/>
              </w:rPr>
              <w:t xml:space="preserve"> los lineamientos estratégicos enfocados a la lucha contra los hechos punibles que atenten contra los derechos humanos</w:t>
            </w:r>
            <w:r w:rsidRPr="00DD37EC">
              <w:rPr>
                <w:rFonts w:ascii="Arial" w:hAnsi="Arial" w:cs="Arial"/>
                <w:color w:val="000000"/>
                <w:shd w:val="clear" w:color="auto" w:fill="FFFFFF"/>
                <w:lang w:val="es-US"/>
              </w:rPr>
              <w:t>, desde el rol de titular de la acción penal pública y en estricta consonancia con la política institucional de la Fiscalía General del Estado.</w:t>
            </w:r>
          </w:p>
          <w:p w14:paraId="3F4E2CEF" w14:textId="77777777" w:rsidR="00DE3EB8" w:rsidRPr="00DD37EC" w:rsidRDefault="00DE3EB8" w:rsidP="008B0A6B">
            <w:pPr>
              <w:spacing w:after="240"/>
              <w:rPr>
                <w:rFonts w:ascii="Arial" w:hAnsi="Arial" w:cs="Arial"/>
                <w:lang w:val="es-US"/>
              </w:rPr>
            </w:pPr>
          </w:p>
        </w:tc>
      </w:tr>
    </w:tbl>
    <w:p w14:paraId="689FFC86" w14:textId="77777777" w:rsidR="00351635" w:rsidRDefault="00351635" w:rsidP="00351635">
      <w:pPr>
        <w:rPr>
          <w:lang w:val="es-MX"/>
        </w:rPr>
      </w:pPr>
    </w:p>
    <w:p w14:paraId="131D217B" w14:textId="7170133B" w:rsidR="00354D0A" w:rsidRDefault="00DE3EB8" w:rsidP="00354D0A">
      <w:pPr>
        <w:pStyle w:val="Heading4"/>
        <w:rPr>
          <w:rStyle w:val="IntenseReference"/>
          <w:rFonts w:ascii="Arial" w:hAnsi="Arial" w:cs="Arial"/>
          <w:i w:val="0"/>
          <w:lang w:val="es-419"/>
        </w:rPr>
      </w:pPr>
      <w:r w:rsidRPr="00086C1A">
        <w:rPr>
          <w:rStyle w:val="IntenseReference"/>
          <w:rFonts w:ascii="Arial" w:hAnsi="Arial" w:cs="Arial"/>
          <w:i w:val="0"/>
          <w:lang w:val="es-419"/>
        </w:rPr>
        <w:lastRenderedPageBreak/>
        <w:t xml:space="preserve">Anexo </w:t>
      </w:r>
      <w:r w:rsidR="00086C1A">
        <w:rPr>
          <w:rStyle w:val="IntenseReference"/>
          <w:rFonts w:ascii="Arial" w:hAnsi="Arial" w:cs="Arial"/>
          <w:i w:val="0"/>
          <w:lang w:val="es-419"/>
        </w:rPr>
        <w:t>5</w:t>
      </w:r>
      <w:r w:rsidRPr="00086C1A">
        <w:rPr>
          <w:rStyle w:val="IntenseReference"/>
          <w:rFonts w:ascii="Arial" w:hAnsi="Arial" w:cs="Arial"/>
          <w:i w:val="0"/>
          <w:lang w:val="es-419"/>
        </w:rPr>
        <w:t xml:space="preserve">. Resumen del apoyo del FM en el país e historial de absorción </w:t>
      </w:r>
    </w:p>
    <w:p w14:paraId="739EC407" w14:textId="77777777" w:rsidR="00354D0A" w:rsidRPr="00354D0A" w:rsidRDefault="00354D0A" w:rsidP="00354D0A">
      <w:pPr>
        <w:rPr>
          <w:lang w:val="es-419"/>
        </w:rPr>
      </w:pPr>
    </w:p>
    <w:p w14:paraId="3984DEC0" w14:textId="77777777" w:rsidR="00DE3EB8" w:rsidRPr="00C036E9" w:rsidRDefault="00DE3EB8" w:rsidP="00DE3EB8">
      <w:pPr>
        <w:spacing w:after="240" w:line="240" w:lineRule="auto"/>
        <w:jc w:val="both"/>
        <w:rPr>
          <w:rFonts w:ascii="Arial" w:hAnsi="Arial" w:cs="Arial"/>
          <w:color w:val="000000" w:themeColor="text1"/>
          <w:lang w:val="es-419"/>
        </w:rPr>
      </w:pPr>
      <w:r w:rsidRPr="00485DF1">
        <w:rPr>
          <w:rFonts w:ascii="Arial" w:hAnsi="Arial" w:cs="Arial"/>
          <w:color w:val="000000" w:themeColor="text1"/>
        </w:rPr>
        <w:t xml:space="preserve">El programa </w:t>
      </w:r>
      <w:r w:rsidRPr="00485DF1">
        <w:rPr>
          <w:rFonts w:ascii="Arial" w:hAnsi="Arial" w:cs="Arial"/>
          <w:i/>
          <w:color w:val="000000" w:themeColor="text1"/>
        </w:rPr>
        <w:t xml:space="preserve">Strengthening the National Response for Health Protection and Promotion in HIV/AIDS with an emphasis on </w:t>
      </w:r>
      <w:r w:rsidRPr="00DD37EC">
        <w:rPr>
          <w:rFonts w:ascii="Arial" w:hAnsi="Arial" w:cs="Arial"/>
          <w:i/>
          <w:color w:val="000000" w:themeColor="text1"/>
        </w:rPr>
        <w:t>orphans and vulnerable children</w:t>
      </w:r>
      <w:r w:rsidRPr="00485DF1">
        <w:rPr>
          <w:rFonts w:ascii="Arial" w:hAnsi="Arial" w:cs="Arial"/>
          <w:i/>
          <w:color w:val="000000" w:themeColor="text1"/>
        </w:rPr>
        <w:t xml:space="preserve"> </w:t>
      </w:r>
      <w:r w:rsidRPr="00485DF1">
        <w:rPr>
          <w:rFonts w:ascii="Arial" w:hAnsi="Arial" w:cs="Arial"/>
          <w:color w:val="000000" w:themeColor="text1"/>
        </w:rPr>
        <w:t xml:space="preserve">es la subvención actual del Fondo Mundial para Honduras. </w:t>
      </w:r>
      <w:r w:rsidRPr="00485DF1">
        <w:rPr>
          <w:rFonts w:ascii="Arial" w:hAnsi="Arial" w:cs="Arial"/>
          <w:color w:val="000000" w:themeColor="text1"/>
          <w:lang w:val="es-DO"/>
        </w:rPr>
        <w:t>El período de implementación comprende d</w:t>
      </w:r>
      <w:r>
        <w:rPr>
          <w:rFonts w:ascii="Arial" w:hAnsi="Arial" w:cs="Arial"/>
          <w:color w:val="000000" w:themeColor="text1"/>
          <w:lang w:val="es-DO"/>
        </w:rPr>
        <w:t>e mayo 2011</w:t>
      </w:r>
      <w:r w:rsidRPr="00485DF1">
        <w:rPr>
          <w:rFonts w:ascii="Arial" w:hAnsi="Arial" w:cs="Arial"/>
          <w:color w:val="000000" w:themeColor="text1"/>
          <w:lang w:val="es-DO"/>
        </w:rPr>
        <w:t xml:space="preserve"> hasta julio 2019. Los fondos de la subvención son US$9.0 millones, y el beneficiario principal es la Cooperative Housing Foundation, actualmente denominado</w:t>
      </w:r>
      <w:r w:rsidRPr="00485DF1">
        <w:rPr>
          <w:rFonts w:ascii="Arial" w:hAnsi="Arial" w:cs="Arial"/>
          <w:color w:val="000000" w:themeColor="text1"/>
          <w:lang w:val="es-MX"/>
        </w:rPr>
        <w:t xml:space="preserve"> </w:t>
      </w:r>
      <w:r w:rsidRPr="00485DF1">
        <w:rPr>
          <w:rFonts w:ascii="Arial" w:hAnsi="Arial" w:cs="Arial"/>
          <w:color w:val="000000" w:themeColor="text1"/>
          <w:lang w:val="es-DO"/>
        </w:rPr>
        <w:t>Global Communities</w:t>
      </w:r>
      <w:r w:rsidRPr="00C036E9">
        <w:rPr>
          <w:rFonts w:ascii="Arial" w:hAnsi="Arial" w:cs="Arial"/>
          <w:color w:val="000000" w:themeColor="text1"/>
          <w:lang w:val="es-419"/>
        </w:rPr>
        <w:t>.</w:t>
      </w:r>
      <w:r w:rsidRPr="00485DF1">
        <w:rPr>
          <w:rStyle w:val="FootnoteReference"/>
          <w:rFonts w:ascii="Arial" w:hAnsi="Arial" w:cs="Arial"/>
          <w:color w:val="000000" w:themeColor="text1"/>
          <w:lang w:val="es-DO"/>
        </w:rPr>
        <w:footnoteReference w:id="137"/>
      </w:r>
    </w:p>
    <w:p w14:paraId="39624E95" w14:textId="03DADEA4" w:rsidR="00DE3EB8" w:rsidRPr="002331A7" w:rsidRDefault="00DE3EB8" w:rsidP="00DE3EB8">
      <w:pPr>
        <w:spacing w:after="240" w:line="240" w:lineRule="auto"/>
        <w:jc w:val="both"/>
        <w:rPr>
          <w:rFonts w:ascii="Arial" w:hAnsi="Arial" w:cs="Arial"/>
          <w:color w:val="000000" w:themeColor="text1"/>
          <w:lang w:val="es-DO"/>
        </w:rPr>
      </w:pPr>
      <w:r w:rsidRPr="00485DF1">
        <w:rPr>
          <w:rFonts w:ascii="Arial" w:hAnsi="Arial" w:cs="Arial"/>
          <w:color w:val="000000" w:themeColor="text1"/>
          <w:lang w:val="es-DO"/>
        </w:rPr>
        <w:t xml:space="preserve">Los objetivos generales del programa apoyado por el FM son reducir la prevalencia del VIH y el Sida, mejorar y mantener la tasa de supervivencia entre las </w:t>
      </w:r>
      <w:r>
        <w:rPr>
          <w:rFonts w:ascii="Arial" w:hAnsi="Arial" w:cs="Arial"/>
          <w:color w:val="000000" w:themeColor="text1"/>
          <w:lang w:val="es-DO"/>
        </w:rPr>
        <w:t>PVIH</w:t>
      </w:r>
      <w:r w:rsidRPr="00485DF1">
        <w:rPr>
          <w:rFonts w:ascii="Arial" w:hAnsi="Arial" w:cs="Arial"/>
          <w:color w:val="000000" w:themeColor="text1"/>
          <w:lang w:val="es-DO"/>
        </w:rPr>
        <w:t xml:space="preserve">. Someterse </w:t>
      </w:r>
      <w:r>
        <w:rPr>
          <w:rFonts w:ascii="Arial" w:hAnsi="Arial" w:cs="Arial"/>
          <w:color w:val="000000" w:themeColor="text1"/>
          <w:lang w:val="es-DO"/>
        </w:rPr>
        <w:t>a TARV</w:t>
      </w:r>
      <w:r w:rsidRPr="00485DF1">
        <w:rPr>
          <w:rFonts w:ascii="Arial" w:hAnsi="Arial" w:cs="Arial"/>
          <w:color w:val="000000" w:themeColor="text1"/>
          <w:lang w:val="es-DO"/>
        </w:rPr>
        <w:t xml:space="preserve">, disminuir la transmisión de madre a hijo y mejorar la calidad de vida, y reducir el impacto del VIH y el </w:t>
      </w:r>
      <w:r>
        <w:rPr>
          <w:rFonts w:ascii="Arial" w:hAnsi="Arial" w:cs="Arial"/>
          <w:color w:val="000000" w:themeColor="text1"/>
          <w:lang w:val="es-DO"/>
        </w:rPr>
        <w:t>SIDA</w:t>
      </w:r>
      <w:r w:rsidRPr="00485DF1">
        <w:rPr>
          <w:rFonts w:ascii="Arial" w:hAnsi="Arial" w:cs="Arial"/>
          <w:color w:val="000000" w:themeColor="text1"/>
          <w:lang w:val="es-DO"/>
        </w:rPr>
        <w:t xml:space="preserve"> en niños huérfanos y vulnerables. El programa está logrando estos objetivos mediante la prevención del VIH medidas a través de la comunicación con la comunidad y el cambio de comportamiento, dirigidos a jóvenes, estudiantes, mujeres embarazadas, trabajadores del sexo comercial, </w:t>
      </w:r>
      <w:r>
        <w:rPr>
          <w:rFonts w:ascii="Arial" w:hAnsi="Arial" w:cs="Arial"/>
          <w:color w:val="000000" w:themeColor="text1"/>
          <w:lang w:val="es-DO"/>
        </w:rPr>
        <w:t>HSH,</w:t>
      </w:r>
      <w:r w:rsidRPr="00485DF1">
        <w:rPr>
          <w:rFonts w:ascii="Arial" w:hAnsi="Arial" w:cs="Arial"/>
          <w:color w:val="000000" w:themeColor="text1"/>
          <w:lang w:val="es-DO"/>
        </w:rPr>
        <w:t xml:space="preserve"> </w:t>
      </w:r>
      <w:r w:rsidRPr="002331A7">
        <w:rPr>
          <w:rFonts w:ascii="Arial" w:hAnsi="Arial" w:cs="Arial"/>
          <w:color w:val="000000" w:themeColor="text1"/>
          <w:lang w:val="es-DO"/>
        </w:rPr>
        <w:t xml:space="preserve">prisioneros y la población garífuna adulta. </w:t>
      </w:r>
    </w:p>
    <w:p w14:paraId="0B6D7403" w14:textId="5CA7A048" w:rsidR="00DE3EB8" w:rsidRPr="002331A7" w:rsidRDefault="00DE3EB8" w:rsidP="00DE3EB8">
      <w:pPr>
        <w:spacing w:after="240" w:line="240" w:lineRule="auto"/>
        <w:jc w:val="both"/>
        <w:rPr>
          <w:rFonts w:ascii="Arial" w:hAnsi="Arial" w:cs="Arial"/>
          <w:color w:val="000000" w:themeColor="text1"/>
          <w:lang w:val="es-DO"/>
        </w:rPr>
      </w:pPr>
      <w:r w:rsidRPr="002331A7">
        <w:rPr>
          <w:rFonts w:ascii="Arial" w:hAnsi="Arial" w:cs="Arial"/>
          <w:color w:val="000000" w:themeColor="text1"/>
          <w:lang w:val="es-DO"/>
        </w:rPr>
        <w:t xml:space="preserve">La subvención está proporcionando medidas de prevención del VIH y </w:t>
      </w:r>
      <w:r>
        <w:rPr>
          <w:rFonts w:ascii="Arial" w:hAnsi="Arial" w:cs="Arial"/>
          <w:color w:val="000000" w:themeColor="text1"/>
          <w:lang w:val="es-DO"/>
        </w:rPr>
        <w:t>SIDA</w:t>
      </w:r>
      <w:r w:rsidRPr="002331A7">
        <w:rPr>
          <w:rFonts w:ascii="Arial" w:hAnsi="Arial" w:cs="Arial"/>
          <w:color w:val="000000" w:themeColor="text1"/>
          <w:lang w:val="es-DO"/>
        </w:rPr>
        <w:t xml:space="preserve"> y apoyo a las PVIH mediante la reducción del estigma y discriminación. Además, proporciona ARV, servicio de capacitación para los proveedores de cuidados para pacientes con VIH, y puntos de entrega de servicios para medicamentos. Garantiza el acceso de OVC a los servicios de prevención, atención y apoyo a través de un plan estandarizado y un paquete de servicios básicos. El programa también está utilizando la subvención para promover alianzas estratégicas y la organización de redes a través de la coordinación con socios implementadores</w:t>
      </w:r>
    </w:p>
    <w:p w14:paraId="01084E51" w14:textId="77777777" w:rsidR="00DE3EB8" w:rsidRPr="002331A7" w:rsidRDefault="00DE3EB8" w:rsidP="00DE3EB8">
      <w:pPr>
        <w:spacing w:after="240" w:line="240" w:lineRule="auto"/>
        <w:jc w:val="both"/>
        <w:rPr>
          <w:rFonts w:ascii="Arial" w:hAnsi="Arial" w:cs="Arial"/>
          <w:color w:val="000000" w:themeColor="text1"/>
          <w:lang w:val="es-DO"/>
        </w:rPr>
      </w:pPr>
      <w:r w:rsidRPr="002331A7">
        <w:rPr>
          <w:rFonts w:ascii="Arial" w:hAnsi="Arial" w:cs="Arial"/>
          <w:color w:val="000000" w:themeColor="text1"/>
          <w:lang w:val="es-DO"/>
        </w:rPr>
        <w:t>El financiamiento del</w:t>
      </w:r>
      <w:r w:rsidRPr="002331A7">
        <w:rPr>
          <w:rFonts w:ascii="Arial" w:hAnsi="Arial" w:cs="Arial"/>
          <w:lang w:val="es-DO"/>
        </w:rPr>
        <w:t xml:space="preserve"> Fondo Mundial también ha fortalecido la respuesta nacional a la TB durante los últimos 15 años. Sin embargo, la subvención actual de TB del Fondo Mundial,</w:t>
      </w:r>
      <w:r w:rsidRPr="002331A7">
        <w:rPr>
          <w:rFonts w:ascii="Arial" w:hAnsi="Arial" w:cs="Arial"/>
          <w:i/>
          <w:lang w:val="es-DO"/>
        </w:rPr>
        <w:t xml:space="preserve"> Steng</w:t>
      </w:r>
      <w:r>
        <w:rPr>
          <w:rFonts w:ascii="Arial" w:hAnsi="Arial" w:cs="Arial"/>
          <w:i/>
          <w:lang w:val="es-DO"/>
        </w:rPr>
        <w:t>th</w:t>
      </w:r>
      <w:r w:rsidRPr="002331A7">
        <w:rPr>
          <w:rFonts w:ascii="Arial" w:hAnsi="Arial" w:cs="Arial"/>
          <w:i/>
          <w:lang w:val="es-DO"/>
        </w:rPr>
        <w:t>ening the END of TB Strategy,</w:t>
      </w:r>
      <w:r w:rsidRPr="002331A7">
        <w:rPr>
          <w:rFonts w:ascii="Arial" w:hAnsi="Arial" w:cs="Arial"/>
          <w:lang w:val="es-DO"/>
        </w:rPr>
        <w:t xml:space="preserve"> in Honduras apoya únicamente la contratación de recurso humano y la compra de insumos, reactivos y equipo de laboratorio ya que los medicamentos antituberculosos son cubiertos con fondos nacionales en su totalidad.  El monto de esta subvención es de </w:t>
      </w:r>
      <w:r w:rsidRPr="002331A7">
        <w:rPr>
          <w:rFonts w:ascii="Arial" w:hAnsi="Arial" w:cs="Arial"/>
          <w:color w:val="000000" w:themeColor="text1"/>
          <w:lang w:val="es-DO"/>
        </w:rPr>
        <w:t xml:space="preserve">US$ 6.8 millones, y el beneficiario principal </w:t>
      </w:r>
      <w:r w:rsidRPr="002331A7">
        <w:rPr>
          <w:rFonts w:ascii="Arial" w:hAnsi="Arial" w:cs="Arial"/>
          <w:lang w:val="es-DO"/>
        </w:rPr>
        <w:t xml:space="preserve">es la </w:t>
      </w:r>
      <w:r w:rsidRPr="002331A7">
        <w:rPr>
          <w:rFonts w:ascii="Arial" w:hAnsi="Arial" w:cs="Arial"/>
          <w:shd w:val="clear" w:color="auto" w:fill="FFFFFF"/>
          <w:lang w:val="es-419"/>
        </w:rPr>
        <w:t>Unidad Administradora de Fondos de Cooperación Externos (UAFCE)</w:t>
      </w:r>
      <w:r w:rsidRPr="002331A7" w:rsidDel="00746C32">
        <w:rPr>
          <w:rFonts w:ascii="Arial" w:hAnsi="Arial" w:cs="Arial"/>
          <w:lang w:val="es-DO"/>
        </w:rPr>
        <w:t xml:space="preserve"> </w:t>
      </w:r>
      <w:r w:rsidRPr="002331A7">
        <w:rPr>
          <w:rFonts w:ascii="Arial" w:hAnsi="Arial" w:cs="Arial"/>
          <w:color w:val="000000" w:themeColor="text1"/>
          <w:lang w:val="es-DO"/>
        </w:rPr>
        <w:t>de la SESAL.</w:t>
      </w:r>
    </w:p>
    <w:p w14:paraId="36B127E2" w14:textId="77777777" w:rsidR="00DE3EB8" w:rsidRPr="002331A7" w:rsidRDefault="00DE3EB8" w:rsidP="00DE3EB8">
      <w:pPr>
        <w:spacing w:after="240" w:line="240" w:lineRule="auto"/>
        <w:rPr>
          <w:rFonts w:ascii="Arial" w:hAnsi="Arial" w:cs="Arial"/>
          <w:lang w:val="es-DO"/>
        </w:rPr>
      </w:pPr>
      <w:r w:rsidRPr="002331A7">
        <w:rPr>
          <w:rFonts w:ascii="Arial" w:hAnsi="Arial" w:cs="Arial"/>
          <w:lang w:val="es-DO"/>
        </w:rPr>
        <w:t>Uno de los insumos de laboratorio con mayores riesgos en la sostenibilidad son los cartuchos que se utilizan en el Gene-Xpert MTB/RIF ya que son financiados en su totalidad. Actualmente hay 5 equipos de Gene-Xpert MTB/RIF a nivel nacional ubicados de la siguiente forma: dos en el Instituto Cardiopulmonar en Tegucigalpa, uno en el Laboratorio Nacional de Vigilancia de TB, uno en la RS de Cortés y uno en la RS Metropolitana de San Pedro Sula.</w:t>
      </w:r>
    </w:p>
    <w:p w14:paraId="4553D441" w14:textId="417FC607" w:rsidR="00DE3EB8" w:rsidRPr="00004563" w:rsidRDefault="008F5360" w:rsidP="008F5360">
      <w:pPr>
        <w:pStyle w:val="Caption"/>
        <w:rPr>
          <w:rStyle w:val="IntenseReference"/>
          <w:rFonts w:ascii="Arial" w:hAnsi="Arial" w:cs="Arial"/>
          <w:i/>
          <w:color w:val="auto"/>
          <w:sz w:val="22"/>
          <w:szCs w:val="22"/>
          <w:lang w:val="es-MX"/>
        </w:rPr>
      </w:pPr>
      <w:bookmarkStart w:id="151" w:name="_Toc8904519"/>
      <w:bookmarkStart w:id="152" w:name="_Hlk535504755"/>
      <w:r w:rsidRPr="00004563">
        <w:rPr>
          <w:rFonts w:ascii="Arial" w:hAnsi="Arial" w:cs="Arial"/>
          <w:color w:val="auto"/>
          <w:sz w:val="22"/>
          <w:szCs w:val="22"/>
        </w:rPr>
        <w:t xml:space="preserve">Tabla </w:t>
      </w:r>
      <w:r w:rsidRPr="00004563">
        <w:rPr>
          <w:rFonts w:ascii="Arial" w:hAnsi="Arial" w:cs="Arial"/>
          <w:color w:val="auto"/>
          <w:sz w:val="22"/>
          <w:szCs w:val="22"/>
        </w:rPr>
        <w:fldChar w:fldCharType="begin"/>
      </w:r>
      <w:r w:rsidRPr="00004563">
        <w:rPr>
          <w:rFonts w:ascii="Arial" w:hAnsi="Arial" w:cs="Arial"/>
          <w:color w:val="auto"/>
          <w:sz w:val="22"/>
          <w:szCs w:val="22"/>
        </w:rPr>
        <w:instrText xml:space="preserve"> SEQ Tabla \* ARABIC </w:instrText>
      </w:r>
      <w:r w:rsidRPr="00004563">
        <w:rPr>
          <w:rFonts w:ascii="Arial" w:hAnsi="Arial" w:cs="Arial"/>
          <w:color w:val="auto"/>
          <w:sz w:val="22"/>
          <w:szCs w:val="22"/>
        </w:rPr>
        <w:fldChar w:fldCharType="separate"/>
      </w:r>
      <w:r w:rsidR="00D447AE" w:rsidRPr="00004563">
        <w:rPr>
          <w:rFonts w:ascii="Arial" w:hAnsi="Arial" w:cs="Arial"/>
          <w:noProof/>
          <w:color w:val="auto"/>
          <w:sz w:val="22"/>
          <w:szCs w:val="22"/>
        </w:rPr>
        <w:t>17</w:t>
      </w:r>
      <w:r w:rsidRPr="00004563">
        <w:rPr>
          <w:rFonts w:ascii="Arial" w:hAnsi="Arial" w:cs="Arial"/>
          <w:color w:val="auto"/>
          <w:sz w:val="22"/>
          <w:szCs w:val="22"/>
        </w:rPr>
        <w:fldChar w:fldCharType="end"/>
      </w:r>
      <w:r w:rsidRPr="00004563">
        <w:rPr>
          <w:rFonts w:ascii="Arial" w:hAnsi="Arial" w:cs="Arial"/>
          <w:color w:val="auto"/>
          <w:sz w:val="22"/>
          <w:szCs w:val="22"/>
        </w:rPr>
        <w:t>. Subvenciones del FM en Honduras</w:t>
      </w:r>
      <w:bookmarkEnd w:id="151"/>
    </w:p>
    <w:tbl>
      <w:tblPr>
        <w:tblStyle w:val="LightList-Accent1"/>
        <w:tblW w:w="10021" w:type="dxa"/>
        <w:tblBorders>
          <w:insideH w:val="single" w:sz="8" w:space="0" w:color="4472C4" w:themeColor="accent1"/>
          <w:insideV w:val="single" w:sz="8" w:space="0" w:color="4472C4" w:themeColor="accent1"/>
        </w:tblBorders>
        <w:tblLayout w:type="fixed"/>
        <w:tblLook w:val="04A0" w:firstRow="1" w:lastRow="0" w:firstColumn="1" w:lastColumn="0" w:noHBand="0" w:noVBand="1"/>
      </w:tblPr>
      <w:tblGrid>
        <w:gridCol w:w="1671"/>
        <w:gridCol w:w="1391"/>
        <w:gridCol w:w="1367"/>
        <w:gridCol w:w="1591"/>
        <w:gridCol w:w="1182"/>
        <w:gridCol w:w="1455"/>
        <w:gridCol w:w="1364"/>
      </w:tblGrid>
      <w:tr w:rsidR="00DE3EB8" w:rsidRPr="00DD37EC" w14:paraId="1F5187EA" w14:textId="77777777" w:rsidTr="008B0A6B">
        <w:trPr>
          <w:cnfStyle w:val="100000000000" w:firstRow="1" w:lastRow="0" w:firstColumn="0" w:lastColumn="0" w:oddVBand="0" w:evenVBand="0" w:oddHBand="0"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1671" w:type="dxa"/>
            <w:tcBorders>
              <w:bottom w:val="single" w:sz="8" w:space="0" w:color="4472C4" w:themeColor="accent1"/>
            </w:tcBorders>
            <w:hideMark/>
          </w:tcPr>
          <w:bookmarkEnd w:id="152"/>
          <w:p w14:paraId="3C02AE09" w14:textId="77777777" w:rsidR="00DE3EB8" w:rsidRPr="00DD37EC" w:rsidRDefault="00DE3EB8" w:rsidP="008B0A6B">
            <w:pPr>
              <w:spacing w:after="240"/>
              <w:jc w:val="center"/>
              <w:rPr>
                <w:rFonts w:ascii="Arial" w:eastAsia="Times New Roman" w:hAnsi="Arial" w:cs="Arial"/>
                <w:color w:val="000000"/>
                <w:sz w:val="22"/>
                <w:szCs w:val="22"/>
                <w:lang w:val="es-ES_tradnl"/>
              </w:rPr>
            </w:pPr>
            <w:r w:rsidRPr="00DD37EC">
              <w:rPr>
                <w:rFonts w:ascii="Arial" w:eastAsia="Times New Roman" w:hAnsi="Arial" w:cs="Arial"/>
                <w:color w:val="000000"/>
                <w:sz w:val="22"/>
                <w:szCs w:val="22"/>
                <w:lang w:val="es-ES_tradnl"/>
              </w:rPr>
              <w:t>Componente</w:t>
            </w:r>
          </w:p>
        </w:tc>
        <w:tc>
          <w:tcPr>
            <w:tcW w:w="2758" w:type="dxa"/>
            <w:gridSpan w:val="2"/>
            <w:tcBorders>
              <w:bottom w:val="single" w:sz="8" w:space="0" w:color="4472C4" w:themeColor="accent1"/>
            </w:tcBorders>
            <w:hideMark/>
          </w:tcPr>
          <w:p w14:paraId="4DDB62BD" w14:textId="77777777" w:rsidR="00DE3EB8" w:rsidRPr="00DD37EC" w:rsidRDefault="00DE3EB8" w:rsidP="008B0A6B">
            <w:pPr>
              <w:spacing w:after="24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lang w:val="es-ES_tradnl"/>
              </w:rPr>
            </w:pPr>
            <w:r w:rsidRPr="00DD37EC">
              <w:rPr>
                <w:rFonts w:ascii="Arial" w:eastAsia="Times New Roman" w:hAnsi="Arial" w:cs="Arial"/>
                <w:color w:val="000000"/>
                <w:sz w:val="22"/>
                <w:szCs w:val="22"/>
                <w:lang w:val="es-ES_tradnl"/>
              </w:rPr>
              <w:t>Firmados</w:t>
            </w:r>
          </w:p>
        </w:tc>
        <w:tc>
          <w:tcPr>
            <w:tcW w:w="2773" w:type="dxa"/>
            <w:gridSpan w:val="2"/>
            <w:tcBorders>
              <w:bottom w:val="single" w:sz="8" w:space="0" w:color="4472C4" w:themeColor="accent1"/>
            </w:tcBorders>
            <w:hideMark/>
          </w:tcPr>
          <w:p w14:paraId="7467D3D5" w14:textId="77777777" w:rsidR="00DE3EB8" w:rsidRPr="00DD37EC" w:rsidRDefault="00DE3EB8" w:rsidP="008B0A6B">
            <w:pPr>
              <w:spacing w:after="24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lang w:val="es-ES_tradnl"/>
              </w:rPr>
            </w:pPr>
            <w:r w:rsidRPr="00DD37EC">
              <w:rPr>
                <w:rFonts w:ascii="Arial" w:eastAsia="Times New Roman" w:hAnsi="Arial" w:cs="Arial"/>
                <w:color w:val="000000"/>
                <w:sz w:val="22"/>
                <w:szCs w:val="22"/>
                <w:lang w:val="es-ES_tradnl"/>
              </w:rPr>
              <w:t>Compromisos</w:t>
            </w:r>
          </w:p>
        </w:tc>
        <w:tc>
          <w:tcPr>
            <w:tcW w:w="2819" w:type="dxa"/>
            <w:gridSpan w:val="2"/>
            <w:tcBorders>
              <w:bottom w:val="single" w:sz="8" w:space="0" w:color="4472C4" w:themeColor="accent1"/>
            </w:tcBorders>
            <w:hideMark/>
          </w:tcPr>
          <w:p w14:paraId="4E369727" w14:textId="77777777" w:rsidR="00DE3EB8" w:rsidRPr="00DD37EC" w:rsidRDefault="00DE3EB8" w:rsidP="008B0A6B">
            <w:pPr>
              <w:spacing w:after="24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lang w:val="es-ES_tradnl"/>
              </w:rPr>
            </w:pPr>
            <w:r w:rsidRPr="00DD37EC">
              <w:rPr>
                <w:rFonts w:ascii="Arial" w:eastAsia="Times New Roman" w:hAnsi="Arial" w:cs="Arial"/>
                <w:color w:val="000000"/>
                <w:sz w:val="22"/>
                <w:szCs w:val="22"/>
                <w:lang w:val="es-ES_tradnl"/>
              </w:rPr>
              <w:t>Desembolsados</w:t>
            </w:r>
          </w:p>
        </w:tc>
      </w:tr>
      <w:tr w:rsidR="00DE3EB8" w:rsidRPr="00DD37EC" w14:paraId="3A53186E" w14:textId="77777777" w:rsidTr="008B0A6B">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1671" w:type="dxa"/>
            <w:shd w:val="clear" w:color="auto" w:fill="6DA1DC"/>
            <w:hideMark/>
          </w:tcPr>
          <w:p w14:paraId="15D7E032" w14:textId="77777777" w:rsidR="00DE3EB8" w:rsidRPr="00DD37EC" w:rsidRDefault="00DE3EB8" w:rsidP="008B0A6B">
            <w:pPr>
              <w:spacing w:after="240"/>
              <w:jc w:val="both"/>
              <w:rPr>
                <w:rFonts w:ascii="Arial" w:eastAsia="Times New Roman" w:hAnsi="Arial" w:cs="Arial"/>
                <w:color w:val="000000"/>
                <w:sz w:val="22"/>
                <w:szCs w:val="22"/>
                <w:lang w:val="es-ES_tradnl"/>
              </w:rPr>
            </w:pPr>
            <w:r w:rsidRPr="00DD37EC">
              <w:rPr>
                <w:rFonts w:ascii="Arial" w:eastAsia="Times New Roman" w:hAnsi="Arial" w:cs="Arial"/>
                <w:color w:val="000000"/>
                <w:sz w:val="22"/>
                <w:szCs w:val="22"/>
                <w:lang w:val="es-ES_tradnl"/>
              </w:rPr>
              <w:t> </w:t>
            </w:r>
          </w:p>
        </w:tc>
        <w:tc>
          <w:tcPr>
            <w:tcW w:w="1391" w:type="dxa"/>
            <w:shd w:val="clear" w:color="auto" w:fill="6DA1DC"/>
            <w:hideMark/>
          </w:tcPr>
          <w:p w14:paraId="15C09CE2" w14:textId="77777777" w:rsidR="00DE3EB8" w:rsidRPr="00DD37EC" w:rsidRDefault="00DE3EB8" w:rsidP="008B0A6B">
            <w:pPr>
              <w:spacing w:after="24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szCs w:val="22"/>
                <w:lang w:val="es-ES_tradnl"/>
              </w:rPr>
            </w:pPr>
            <w:r w:rsidRPr="00DD37EC">
              <w:rPr>
                <w:rFonts w:ascii="Arial" w:eastAsia="Times New Roman" w:hAnsi="Arial" w:cs="Arial"/>
                <w:color w:val="000000"/>
                <w:sz w:val="22"/>
                <w:szCs w:val="22"/>
                <w:lang w:val="es-ES_tradnl"/>
              </w:rPr>
              <w:t>Monto</w:t>
            </w:r>
          </w:p>
        </w:tc>
        <w:tc>
          <w:tcPr>
            <w:tcW w:w="1367" w:type="dxa"/>
            <w:shd w:val="clear" w:color="auto" w:fill="6DA1DC"/>
            <w:hideMark/>
          </w:tcPr>
          <w:p w14:paraId="194F3EDB" w14:textId="77777777" w:rsidR="00DE3EB8" w:rsidRPr="00DD37EC" w:rsidRDefault="00DE3EB8" w:rsidP="008B0A6B">
            <w:pPr>
              <w:spacing w:after="24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szCs w:val="22"/>
                <w:lang w:val="es-ES_tradnl"/>
              </w:rPr>
            </w:pPr>
            <w:r w:rsidRPr="00DD37EC">
              <w:rPr>
                <w:rFonts w:ascii="Arial" w:eastAsia="Times New Roman" w:hAnsi="Arial" w:cs="Arial"/>
                <w:color w:val="000000"/>
                <w:sz w:val="22"/>
                <w:szCs w:val="22"/>
                <w:lang w:val="es-ES_tradnl"/>
              </w:rPr>
              <w:t>Porcentaje del total</w:t>
            </w:r>
          </w:p>
        </w:tc>
        <w:tc>
          <w:tcPr>
            <w:tcW w:w="1591" w:type="dxa"/>
            <w:shd w:val="clear" w:color="auto" w:fill="6DA1DC"/>
            <w:hideMark/>
          </w:tcPr>
          <w:p w14:paraId="102B063E" w14:textId="77777777" w:rsidR="00DE3EB8" w:rsidRPr="00DD37EC" w:rsidRDefault="00DE3EB8" w:rsidP="008B0A6B">
            <w:pPr>
              <w:spacing w:after="24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szCs w:val="22"/>
                <w:lang w:val="es-ES_tradnl"/>
              </w:rPr>
            </w:pPr>
            <w:r w:rsidRPr="00DD37EC">
              <w:rPr>
                <w:rFonts w:ascii="Arial" w:eastAsia="Times New Roman" w:hAnsi="Arial" w:cs="Arial"/>
                <w:color w:val="000000"/>
                <w:sz w:val="22"/>
                <w:szCs w:val="22"/>
                <w:lang w:val="es-ES_tradnl"/>
              </w:rPr>
              <w:t>Monto</w:t>
            </w:r>
          </w:p>
        </w:tc>
        <w:tc>
          <w:tcPr>
            <w:tcW w:w="1182" w:type="dxa"/>
            <w:shd w:val="clear" w:color="auto" w:fill="6DA1DC"/>
            <w:hideMark/>
          </w:tcPr>
          <w:p w14:paraId="5D9B3237" w14:textId="77777777" w:rsidR="00DE3EB8" w:rsidRPr="00DD37EC" w:rsidRDefault="00DE3EB8" w:rsidP="008B0A6B">
            <w:pPr>
              <w:spacing w:after="24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szCs w:val="22"/>
                <w:lang w:val="es-ES_tradnl"/>
              </w:rPr>
            </w:pPr>
            <w:r w:rsidRPr="00DD37EC">
              <w:rPr>
                <w:rFonts w:ascii="Arial" w:eastAsia="Times New Roman" w:hAnsi="Arial" w:cs="Arial"/>
                <w:color w:val="000000"/>
                <w:sz w:val="22"/>
                <w:szCs w:val="22"/>
                <w:lang w:val="es-ES_tradnl"/>
              </w:rPr>
              <w:t>Porcentaje del total</w:t>
            </w:r>
          </w:p>
        </w:tc>
        <w:tc>
          <w:tcPr>
            <w:tcW w:w="1455" w:type="dxa"/>
            <w:shd w:val="clear" w:color="auto" w:fill="6DA1DC"/>
            <w:hideMark/>
          </w:tcPr>
          <w:p w14:paraId="25E262F1" w14:textId="77777777" w:rsidR="00DE3EB8" w:rsidRPr="00DD37EC" w:rsidRDefault="00DE3EB8" w:rsidP="008B0A6B">
            <w:pPr>
              <w:spacing w:after="24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szCs w:val="22"/>
                <w:lang w:val="es-ES_tradnl"/>
              </w:rPr>
            </w:pPr>
            <w:r w:rsidRPr="00DD37EC">
              <w:rPr>
                <w:rFonts w:ascii="Arial" w:eastAsia="Times New Roman" w:hAnsi="Arial" w:cs="Arial"/>
                <w:color w:val="000000"/>
                <w:sz w:val="22"/>
                <w:szCs w:val="22"/>
                <w:lang w:val="es-ES_tradnl"/>
              </w:rPr>
              <w:t>Monto</w:t>
            </w:r>
          </w:p>
        </w:tc>
        <w:tc>
          <w:tcPr>
            <w:tcW w:w="1364" w:type="dxa"/>
            <w:shd w:val="clear" w:color="auto" w:fill="6DA1DC"/>
            <w:hideMark/>
          </w:tcPr>
          <w:p w14:paraId="78FA6DCC" w14:textId="77777777" w:rsidR="00DE3EB8" w:rsidRPr="00DD37EC" w:rsidRDefault="00DE3EB8" w:rsidP="008B0A6B">
            <w:pPr>
              <w:spacing w:after="24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szCs w:val="22"/>
                <w:lang w:val="es-ES_tradnl"/>
              </w:rPr>
            </w:pPr>
            <w:r w:rsidRPr="00DD37EC">
              <w:rPr>
                <w:rFonts w:ascii="Arial" w:eastAsia="Times New Roman" w:hAnsi="Arial" w:cs="Arial"/>
                <w:color w:val="000000"/>
                <w:sz w:val="22"/>
                <w:szCs w:val="22"/>
                <w:lang w:val="es-ES_tradnl"/>
              </w:rPr>
              <w:t>Porcentaje del total</w:t>
            </w:r>
          </w:p>
        </w:tc>
      </w:tr>
      <w:tr w:rsidR="00DE3EB8" w:rsidRPr="00DD37EC" w14:paraId="5757B959" w14:textId="77777777" w:rsidTr="008B0A6B">
        <w:trPr>
          <w:trHeight w:hRule="exact" w:val="288"/>
        </w:trPr>
        <w:tc>
          <w:tcPr>
            <w:cnfStyle w:val="001000000000" w:firstRow="0" w:lastRow="0" w:firstColumn="1" w:lastColumn="0" w:oddVBand="0" w:evenVBand="0" w:oddHBand="0" w:evenHBand="0" w:firstRowFirstColumn="0" w:firstRowLastColumn="0" w:lastRowFirstColumn="0" w:lastRowLastColumn="0"/>
            <w:tcW w:w="1671" w:type="dxa"/>
            <w:hideMark/>
          </w:tcPr>
          <w:p w14:paraId="20DD0E67" w14:textId="77777777" w:rsidR="00DE3EB8" w:rsidRPr="00DD37EC" w:rsidRDefault="00DE3EB8" w:rsidP="008B0A6B">
            <w:pPr>
              <w:spacing w:after="240"/>
              <w:jc w:val="both"/>
              <w:rPr>
                <w:rFonts w:ascii="Arial" w:eastAsia="Times New Roman" w:hAnsi="Arial" w:cs="Arial"/>
                <w:color w:val="000000"/>
                <w:sz w:val="22"/>
                <w:szCs w:val="22"/>
                <w:lang w:val="es-ES_tradnl"/>
              </w:rPr>
            </w:pPr>
            <w:r w:rsidRPr="00DD37EC">
              <w:rPr>
                <w:rFonts w:ascii="Arial" w:eastAsia="Times New Roman" w:hAnsi="Arial" w:cs="Arial"/>
                <w:color w:val="000000"/>
                <w:sz w:val="22"/>
                <w:szCs w:val="22"/>
                <w:lang w:val="es-ES_tradnl"/>
              </w:rPr>
              <w:t>HIV/AIDS</w:t>
            </w:r>
          </w:p>
        </w:tc>
        <w:tc>
          <w:tcPr>
            <w:tcW w:w="1391" w:type="dxa"/>
          </w:tcPr>
          <w:p w14:paraId="5B7E421C" w14:textId="77777777" w:rsidR="00DE3EB8" w:rsidRPr="00DD37EC" w:rsidRDefault="00DE3EB8" w:rsidP="008B0A6B">
            <w:pPr>
              <w:spacing w:after="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lang w:val="es-ES_tradnl"/>
              </w:rPr>
            </w:pPr>
            <w:r w:rsidRPr="00DD37EC">
              <w:rPr>
                <w:rFonts w:ascii="Arial" w:eastAsia="Times New Roman" w:hAnsi="Arial" w:cs="Arial"/>
                <w:color w:val="000000"/>
                <w:sz w:val="22"/>
                <w:szCs w:val="22"/>
              </w:rPr>
              <w:t>96,502,161</w:t>
            </w:r>
          </w:p>
        </w:tc>
        <w:tc>
          <w:tcPr>
            <w:tcW w:w="1367" w:type="dxa"/>
          </w:tcPr>
          <w:p w14:paraId="15BB0AF6" w14:textId="77777777" w:rsidR="00DE3EB8" w:rsidRPr="00DD37EC" w:rsidRDefault="00DE3EB8" w:rsidP="008B0A6B">
            <w:pPr>
              <w:spacing w:after="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lang w:val="es-ES_tradnl"/>
              </w:rPr>
            </w:pPr>
            <w:r w:rsidRPr="00DD37EC">
              <w:rPr>
                <w:rFonts w:ascii="Arial" w:eastAsia="Times New Roman" w:hAnsi="Arial" w:cs="Arial"/>
                <w:color w:val="000000"/>
                <w:sz w:val="22"/>
                <w:szCs w:val="22"/>
                <w:lang w:val="es-ES_tradnl"/>
              </w:rPr>
              <w:t>67%</w:t>
            </w:r>
          </w:p>
        </w:tc>
        <w:tc>
          <w:tcPr>
            <w:tcW w:w="1591" w:type="dxa"/>
          </w:tcPr>
          <w:p w14:paraId="43A02A3A" w14:textId="77777777" w:rsidR="00DE3EB8" w:rsidRPr="00DD37EC" w:rsidRDefault="00DE3EB8" w:rsidP="008B0A6B">
            <w:pPr>
              <w:spacing w:after="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lang w:val="es-ES_tradnl"/>
              </w:rPr>
            </w:pPr>
            <w:r w:rsidRPr="00DD37EC">
              <w:rPr>
                <w:rFonts w:ascii="Arial" w:eastAsia="Times New Roman" w:hAnsi="Arial" w:cs="Arial"/>
                <w:color w:val="000000"/>
                <w:sz w:val="22"/>
                <w:szCs w:val="22"/>
              </w:rPr>
              <w:t>93,348,295</w:t>
            </w:r>
          </w:p>
        </w:tc>
        <w:tc>
          <w:tcPr>
            <w:tcW w:w="1182" w:type="dxa"/>
          </w:tcPr>
          <w:p w14:paraId="7280C903" w14:textId="77777777" w:rsidR="00DE3EB8" w:rsidRPr="00DD37EC" w:rsidRDefault="00DE3EB8" w:rsidP="008B0A6B">
            <w:pPr>
              <w:spacing w:after="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lang w:val="es-ES_tradnl"/>
              </w:rPr>
            </w:pPr>
            <w:r w:rsidRPr="00DD37EC">
              <w:rPr>
                <w:rFonts w:ascii="Arial" w:eastAsia="Times New Roman" w:hAnsi="Arial" w:cs="Arial"/>
                <w:color w:val="000000"/>
                <w:sz w:val="22"/>
                <w:szCs w:val="22"/>
                <w:lang w:val="es-ES_tradnl"/>
              </w:rPr>
              <w:t>71%</w:t>
            </w:r>
          </w:p>
        </w:tc>
        <w:tc>
          <w:tcPr>
            <w:tcW w:w="1455" w:type="dxa"/>
          </w:tcPr>
          <w:p w14:paraId="51AC5F0A" w14:textId="77777777" w:rsidR="00DE3EB8" w:rsidRPr="00DD37EC" w:rsidRDefault="00DE3EB8" w:rsidP="008B0A6B">
            <w:pPr>
              <w:spacing w:after="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lang w:val="es-ES_tradnl"/>
              </w:rPr>
            </w:pPr>
            <w:r w:rsidRPr="00DD37EC">
              <w:rPr>
                <w:rFonts w:ascii="Arial" w:eastAsia="Times New Roman" w:hAnsi="Arial" w:cs="Arial"/>
                <w:color w:val="000000"/>
                <w:sz w:val="22"/>
                <w:szCs w:val="22"/>
              </w:rPr>
              <w:t>92,208,059</w:t>
            </w:r>
          </w:p>
        </w:tc>
        <w:tc>
          <w:tcPr>
            <w:tcW w:w="1364" w:type="dxa"/>
          </w:tcPr>
          <w:p w14:paraId="5CC6F2A6" w14:textId="77777777" w:rsidR="00DE3EB8" w:rsidRPr="00DD37EC" w:rsidRDefault="00DE3EB8" w:rsidP="008B0A6B">
            <w:pPr>
              <w:spacing w:after="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lang w:val="es-ES_tradnl"/>
              </w:rPr>
            </w:pPr>
            <w:r w:rsidRPr="00DD37EC">
              <w:rPr>
                <w:rFonts w:ascii="Arial" w:eastAsia="Times New Roman" w:hAnsi="Arial" w:cs="Arial"/>
                <w:color w:val="000000"/>
                <w:sz w:val="22"/>
                <w:szCs w:val="22"/>
                <w:lang w:val="es-ES_tradnl"/>
              </w:rPr>
              <w:t>71%</w:t>
            </w:r>
          </w:p>
        </w:tc>
      </w:tr>
      <w:tr w:rsidR="00DE3EB8" w:rsidRPr="00DD37EC" w14:paraId="4937407B" w14:textId="77777777" w:rsidTr="008B0A6B">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1671" w:type="dxa"/>
            <w:hideMark/>
          </w:tcPr>
          <w:p w14:paraId="5B6E6C83" w14:textId="77777777" w:rsidR="00DE3EB8" w:rsidRPr="00DD37EC" w:rsidRDefault="00DE3EB8" w:rsidP="008B0A6B">
            <w:pPr>
              <w:spacing w:after="240"/>
              <w:jc w:val="both"/>
              <w:rPr>
                <w:rFonts w:ascii="Arial" w:eastAsia="Times New Roman" w:hAnsi="Arial" w:cs="Arial"/>
                <w:color w:val="000000"/>
                <w:sz w:val="22"/>
                <w:szCs w:val="22"/>
                <w:lang w:val="es-ES_tradnl"/>
              </w:rPr>
            </w:pPr>
            <w:r w:rsidRPr="00DD37EC">
              <w:rPr>
                <w:rFonts w:ascii="Arial" w:eastAsia="Times New Roman" w:hAnsi="Arial" w:cs="Arial"/>
                <w:color w:val="000000"/>
                <w:sz w:val="22"/>
                <w:szCs w:val="22"/>
                <w:lang w:val="es-ES_tradnl"/>
              </w:rPr>
              <w:t>Tuberculosis</w:t>
            </w:r>
          </w:p>
        </w:tc>
        <w:tc>
          <w:tcPr>
            <w:tcW w:w="1391" w:type="dxa"/>
          </w:tcPr>
          <w:p w14:paraId="3645CDFC" w14:textId="77777777" w:rsidR="00DE3EB8" w:rsidRPr="00DD37EC" w:rsidRDefault="00DE3EB8" w:rsidP="008B0A6B">
            <w:pPr>
              <w:spacing w:after="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szCs w:val="22"/>
                <w:lang w:val="es-ES_tradnl"/>
              </w:rPr>
            </w:pPr>
            <w:r w:rsidRPr="00DD37EC">
              <w:rPr>
                <w:rFonts w:ascii="Arial" w:eastAsia="Times New Roman" w:hAnsi="Arial" w:cs="Arial"/>
                <w:color w:val="000000"/>
                <w:sz w:val="22"/>
                <w:szCs w:val="22"/>
              </w:rPr>
              <w:t>18,873,515</w:t>
            </w:r>
          </w:p>
        </w:tc>
        <w:tc>
          <w:tcPr>
            <w:tcW w:w="1367" w:type="dxa"/>
          </w:tcPr>
          <w:p w14:paraId="2EFC01B5" w14:textId="77777777" w:rsidR="00DE3EB8" w:rsidRPr="00DD37EC" w:rsidRDefault="00DE3EB8" w:rsidP="008B0A6B">
            <w:pPr>
              <w:spacing w:after="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szCs w:val="22"/>
                <w:lang w:val="es-ES_tradnl"/>
              </w:rPr>
            </w:pPr>
            <w:r w:rsidRPr="00DD37EC">
              <w:rPr>
                <w:rFonts w:ascii="Arial" w:eastAsia="Times New Roman" w:hAnsi="Arial" w:cs="Arial"/>
                <w:color w:val="000000"/>
                <w:sz w:val="22"/>
                <w:szCs w:val="22"/>
                <w:lang w:val="es-ES_tradnl"/>
              </w:rPr>
              <w:t>13%</w:t>
            </w:r>
          </w:p>
        </w:tc>
        <w:tc>
          <w:tcPr>
            <w:tcW w:w="1591" w:type="dxa"/>
          </w:tcPr>
          <w:p w14:paraId="14DA4955" w14:textId="77777777" w:rsidR="00DE3EB8" w:rsidRPr="00DD37EC" w:rsidRDefault="00DE3EB8" w:rsidP="008B0A6B">
            <w:pPr>
              <w:spacing w:after="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szCs w:val="22"/>
                <w:lang w:val="es-ES_tradnl"/>
              </w:rPr>
            </w:pPr>
            <w:r w:rsidRPr="00DD37EC">
              <w:rPr>
                <w:rFonts w:ascii="Arial" w:eastAsia="Times New Roman" w:hAnsi="Arial" w:cs="Arial"/>
                <w:color w:val="000000"/>
                <w:sz w:val="22"/>
                <w:szCs w:val="22"/>
              </w:rPr>
              <w:t>16,325,392</w:t>
            </w:r>
          </w:p>
        </w:tc>
        <w:tc>
          <w:tcPr>
            <w:tcW w:w="1182" w:type="dxa"/>
          </w:tcPr>
          <w:p w14:paraId="153C0DC9" w14:textId="77777777" w:rsidR="00DE3EB8" w:rsidRPr="00DD37EC" w:rsidRDefault="00DE3EB8" w:rsidP="008B0A6B">
            <w:pPr>
              <w:spacing w:after="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szCs w:val="22"/>
                <w:lang w:val="es-ES_tradnl"/>
              </w:rPr>
            </w:pPr>
            <w:r w:rsidRPr="00DD37EC">
              <w:rPr>
                <w:rFonts w:ascii="Arial" w:eastAsia="Times New Roman" w:hAnsi="Arial" w:cs="Arial"/>
                <w:color w:val="000000"/>
                <w:sz w:val="22"/>
                <w:szCs w:val="22"/>
                <w:lang w:val="es-ES_tradnl"/>
              </w:rPr>
              <w:t>12%</w:t>
            </w:r>
          </w:p>
        </w:tc>
        <w:tc>
          <w:tcPr>
            <w:tcW w:w="1455" w:type="dxa"/>
          </w:tcPr>
          <w:p w14:paraId="3BE98B92" w14:textId="77777777" w:rsidR="00DE3EB8" w:rsidRPr="00DD37EC" w:rsidRDefault="00DE3EB8" w:rsidP="008B0A6B">
            <w:pPr>
              <w:spacing w:after="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szCs w:val="22"/>
                <w:lang w:val="es-ES_tradnl"/>
              </w:rPr>
            </w:pPr>
            <w:r w:rsidRPr="00DD37EC">
              <w:rPr>
                <w:rFonts w:ascii="Arial" w:eastAsia="Times New Roman" w:hAnsi="Arial" w:cs="Arial"/>
                <w:color w:val="000000"/>
                <w:sz w:val="22"/>
                <w:szCs w:val="22"/>
              </w:rPr>
              <w:t>16,325,392</w:t>
            </w:r>
          </w:p>
        </w:tc>
        <w:tc>
          <w:tcPr>
            <w:tcW w:w="1364" w:type="dxa"/>
          </w:tcPr>
          <w:p w14:paraId="099C38AF" w14:textId="77777777" w:rsidR="00DE3EB8" w:rsidRPr="00DD37EC" w:rsidRDefault="00DE3EB8" w:rsidP="008B0A6B">
            <w:pPr>
              <w:spacing w:after="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szCs w:val="22"/>
                <w:lang w:val="es-ES_tradnl"/>
              </w:rPr>
            </w:pPr>
            <w:r w:rsidRPr="00DD37EC">
              <w:rPr>
                <w:rFonts w:ascii="Arial" w:eastAsia="Times New Roman" w:hAnsi="Arial" w:cs="Arial"/>
                <w:color w:val="000000"/>
                <w:sz w:val="22"/>
                <w:szCs w:val="22"/>
                <w:lang w:val="es-ES_tradnl"/>
              </w:rPr>
              <w:t>13%</w:t>
            </w:r>
          </w:p>
        </w:tc>
      </w:tr>
      <w:tr w:rsidR="00DE3EB8" w:rsidRPr="00DD37EC" w14:paraId="50B8D1D3" w14:textId="77777777" w:rsidTr="008B0A6B">
        <w:trPr>
          <w:trHeight w:hRule="exact" w:val="288"/>
        </w:trPr>
        <w:tc>
          <w:tcPr>
            <w:cnfStyle w:val="001000000000" w:firstRow="0" w:lastRow="0" w:firstColumn="1" w:lastColumn="0" w:oddVBand="0" w:evenVBand="0" w:oddHBand="0" w:evenHBand="0" w:firstRowFirstColumn="0" w:firstRowLastColumn="0" w:lastRowFirstColumn="0" w:lastRowLastColumn="0"/>
            <w:tcW w:w="1671" w:type="dxa"/>
            <w:hideMark/>
          </w:tcPr>
          <w:p w14:paraId="67B17D48" w14:textId="77777777" w:rsidR="00DE3EB8" w:rsidRPr="00DD37EC" w:rsidRDefault="00DE3EB8" w:rsidP="008B0A6B">
            <w:pPr>
              <w:spacing w:after="240"/>
              <w:jc w:val="both"/>
              <w:rPr>
                <w:rFonts w:ascii="Arial" w:eastAsia="Times New Roman" w:hAnsi="Arial" w:cs="Arial"/>
                <w:color w:val="000000"/>
                <w:sz w:val="22"/>
                <w:szCs w:val="22"/>
                <w:lang w:val="es-ES_tradnl"/>
              </w:rPr>
            </w:pPr>
            <w:r w:rsidRPr="00DD37EC">
              <w:rPr>
                <w:rFonts w:ascii="Arial" w:eastAsia="Times New Roman" w:hAnsi="Arial" w:cs="Arial"/>
                <w:color w:val="000000"/>
                <w:sz w:val="22"/>
                <w:szCs w:val="22"/>
                <w:lang w:val="es-ES_tradnl"/>
              </w:rPr>
              <w:t>Malaria</w:t>
            </w:r>
          </w:p>
        </w:tc>
        <w:tc>
          <w:tcPr>
            <w:tcW w:w="1391" w:type="dxa"/>
          </w:tcPr>
          <w:p w14:paraId="1F2021C1" w14:textId="77777777" w:rsidR="00DE3EB8" w:rsidRPr="00DD37EC" w:rsidRDefault="00DE3EB8" w:rsidP="008B0A6B">
            <w:pPr>
              <w:spacing w:after="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lang w:val="es-ES_tradnl"/>
              </w:rPr>
            </w:pPr>
            <w:r w:rsidRPr="00DD37EC">
              <w:rPr>
                <w:rFonts w:ascii="Arial" w:eastAsia="Times New Roman" w:hAnsi="Arial" w:cs="Arial"/>
                <w:color w:val="000000"/>
                <w:sz w:val="22"/>
                <w:szCs w:val="22"/>
              </w:rPr>
              <w:t>28,307,440</w:t>
            </w:r>
          </w:p>
        </w:tc>
        <w:tc>
          <w:tcPr>
            <w:tcW w:w="1367" w:type="dxa"/>
          </w:tcPr>
          <w:p w14:paraId="2EBBA07D" w14:textId="77777777" w:rsidR="00DE3EB8" w:rsidRPr="00DD37EC" w:rsidRDefault="00DE3EB8" w:rsidP="008B0A6B">
            <w:pPr>
              <w:spacing w:after="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lang w:val="es-ES_tradnl"/>
              </w:rPr>
            </w:pPr>
            <w:r w:rsidRPr="00DD37EC">
              <w:rPr>
                <w:rFonts w:ascii="Arial" w:eastAsia="Times New Roman" w:hAnsi="Arial" w:cs="Arial"/>
                <w:color w:val="000000"/>
                <w:sz w:val="22"/>
                <w:szCs w:val="22"/>
                <w:lang w:val="es-ES_tradnl"/>
              </w:rPr>
              <w:t>20%</w:t>
            </w:r>
          </w:p>
        </w:tc>
        <w:tc>
          <w:tcPr>
            <w:tcW w:w="1591" w:type="dxa"/>
          </w:tcPr>
          <w:p w14:paraId="6F0897CD" w14:textId="77777777" w:rsidR="00DE3EB8" w:rsidRPr="00DD37EC" w:rsidRDefault="00DE3EB8" w:rsidP="008B0A6B">
            <w:pPr>
              <w:spacing w:after="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lang w:val="es-ES_tradnl"/>
              </w:rPr>
            </w:pPr>
            <w:r w:rsidRPr="00DD37EC">
              <w:rPr>
                <w:rFonts w:ascii="Arial" w:eastAsia="Times New Roman" w:hAnsi="Arial" w:cs="Arial"/>
                <w:color w:val="000000"/>
                <w:sz w:val="22"/>
                <w:szCs w:val="22"/>
              </w:rPr>
              <w:t>22,060,819</w:t>
            </w:r>
          </w:p>
        </w:tc>
        <w:tc>
          <w:tcPr>
            <w:tcW w:w="1182" w:type="dxa"/>
          </w:tcPr>
          <w:p w14:paraId="37B47CBF" w14:textId="77777777" w:rsidR="00DE3EB8" w:rsidRPr="00DD37EC" w:rsidRDefault="00DE3EB8" w:rsidP="008B0A6B">
            <w:pPr>
              <w:spacing w:after="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lang w:val="es-ES_tradnl"/>
              </w:rPr>
            </w:pPr>
            <w:r w:rsidRPr="00DD37EC">
              <w:rPr>
                <w:rFonts w:ascii="Arial" w:eastAsia="Times New Roman" w:hAnsi="Arial" w:cs="Arial"/>
                <w:color w:val="000000"/>
                <w:sz w:val="22"/>
                <w:szCs w:val="22"/>
                <w:lang w:val="es-ES_tradnl"/>
              </w:rPr>
              <w:t>17%</w:t>
            </w:r>
          </w:p>
        </w:tc>
        <w:tc>
          <w:tcPr>
            <w:tcW w:w="1455" w:type="dxa"/>
          </w:tcPr>
          <w:p w14:paraId="22228D2C" w14:textId="77777777" w:rsidR="00DE3EB8" w:rsidRPr="00DD37EC" w:rsidRDefault="00DE3EB8" w:rsidP="008B0A6B">
            <w:pPr>
              <w:spacing w:after="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lang w:val="es-ES_tradnl"/>
              </w:rPr>
            </w:pPr>
            <w:r w:rsidRPr="00DD37EC">
              <w:rPr>
                <w:rFonts w:ascii="Arial" w:eastAsia="Times New Roman" w:hAnsi="Arial" w:cs="Arial"/>
                <w:color w:val="000000"/>
                <w:sz w:val="22"/>
                <w:szCs w:val="22"/>
              </w:rPr>
              <w:t>21,326,561</w:t>
            </w:r>
          </w:p>
        </w:tc>
        <w:tc>
          <w:tcPr>
            <w:tcW w:w="1364" w:type="dxa"/>
          </w:tcPr>
          <w:p w14:paraId="228E8609" w14:textId="77777777" w:rsidR="00DE3EB8" w:rsidRPr="00DD37EC" w:rsidRDefault="00DE3EB8" w:rsidP="008B0A6B">
            <w:pPr>
              <w:spacing w:after="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lang w:val="es-ES_tradnl"/>
              </w:rPr>
            </w:pPr>
            <w:r w:rsidRPr="00DD37EC">
              <w:rPr>
                <w:rFonts w:ascii="Arial" w:eastAsia="Times New Roman" w:hAnsi="Arial" w:cs="Arial"/>
                <w:color w:val="000000"/>
                <w:sz w:val="22"/>
                <w:szCs w:val="22"/>
                <w:lang w:val="es-ES_tradnl"/>
              </w:rPr>
              <w:t>16%</w:t>
            </w:r>
          </w:p>
        </w:tc>
      </w:tr>
      <w:tr w:rsidR="00DE3EB8" w:rsidRPr="00DD37EC" w14:paraId="4981AC35" w14:textId="77777777" w:rsidTr="008B0A6B">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1671" w:type="dxa"/>
            <w:hideMark/>
          </w:tcPr>
          <w:p w14:paraId="5D565B3A" w14:textId="77777777" w:rsidR="00DE3EB8" w:rsidRPr="00DD37EC" w:rsidRDefault="00DE3EB8" w:rsidP="008B0A6B">
            <w:pPr>
              <w:spacing w:after="240"/>
              <w:jc w:val="both"/>
              <w:rPr>
                <w:rFonts w:ascii="Arial" w:eastAsia="Times New Roman" w:hAnsi="Arial" w:cs="Arial"/>
                <w:color w:val="000000"/>
                <w:sz w:val="22"/>
                <w:szCs w:val="22"/>
                <w:lang w:val="es-ES_tradnl"/>
              </w:rPr>
            </w:pPr>
            <w:r w:rsidRPr="00DD37EC">
              <w:rPr>
                <w:rFonts w:ascii="Arial" w:eastAsia="Times New Roman" w:hAnsi="Arial" w:cs="Arial"/>
                <w:color w:val="000000"/>
                <w:sz w:val="22"/>
                <w:szCs w:val="22"/>
                <w:lang w:val="es-ES_tradnl"/>
              </w:rPr>
              <w:t>Total</w:t>
            </w:r>
          </w:p>
        </w:tc>
        <w:tc>
          <w:tcPr>
            <w:tcW w:w="1391" w:type="dxa"/>
          </w:tcPr>
          <w:p w14:paraId="54F69629" w14:textId="77777777" w:rsidR="00DE3EB8" w:rsidRPr="00DD37EC" w:rsidRDefault="00DE3EB8" w:rsidP="008B0A6B">
            <w:pPr>
              <w:spacing w:after="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szCs w:val="22"/>
                <w:lang w:val="es-ES_tradnl"/>
              </w:rPr>
            </w:pPr>
            <w:r w:rsidRPr="00DD37EC">
              <w:rPr>
                <w:rFonts w:ascii="Arial" w:eastAsia="Times New Roman" w:hAnsi="Arial" w:cs="Arial"/>
                <w:color w:val="000000"/>
                <w:sz w:val="22"/>
                <w:szCs w:val="22"/>
              </w:rPr>
              <w:t>143,683,116</w:t>
            </w:r>
          </w:p>
        </w:tc>
        <w:tc>
          <w:tcPr>
            <w:tcW w:w="1367" w:type="dxa"/>
          </w:tcPr>
          <w:p w14:paraId="12EB97C9" w14:textId="77777777" w:rsidR="00DE3EB8" w:rsidRPr="00DD37EC" w:rsidRDefault="00DE3EB8" w:rsidP="008B0A6B">
            <w:pPr>
              <w:spacing w:after="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szCs w:val="22"/>
                <w:lang w:val="es-ES_tradnl"/>
              </w:rPr>
            </w:pPr>
            <w:r w:rsidRPr="00DD37EC">
              <w:rPr>
                <w:rFonts w:ascii="Arial" w:eastAsia="Times New Roman" w:hAnsi="Arial" w:cs="Arial"/>
                <w:color w:val="000000"/>
                <w:sz w:val="22"/>
                <w:szCs w:val="22"/>
                <w:lang w:val="es-ES_tradnl"/>
              </w:rPr>
              <w:t>100%</w:t>
            </w:r>
          </w:p>
        </w:tc>
        <w:tc>
          <w:tcPr>
            <w:tcW w:w="1591" w:type="dxa"/>
          </w:tcPr>
          <w:p w14:paraId="732ABB47" w14:textId="77777777" w:rsidR="00DE3EB8" w:rsidRPr="00DD37EC" w:rsidRDefault="00DE3EB8" w:rsidP="008B0A6B">
            <w:pPr>
              <w:spacing w:after="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szCs w:val="22"/>
                <w:lang w:val="es-ES_tradnl"/>
              </w:rPr>
            </w:pPr>
            <w:r w:rsidRPr="00DD37EC">
              <w:rPr>
                <w:rFonts w:ascii="Arial" w:eastAsia="Times New Roman" w:hAnsi="Arial" w:cs="Arial"/>
                <w:color w:val="000000"/>
                <w:sz w:val="22"/>
                <w:szCs w:val="22"/>
              </w:rPr>
              <w:t>131,734,506</w:t>
            </w:r>
          </w:p>
        </w:tc>
        <w:tc>
          <w:tcPr>
            <w:tcW w:w="1182" w:type="dxa"/>
          </w:tcPr>
          <w:p w14:paraId="495F9B03" w14:textId="77777777" w:rsidR="00DE3EB8" w:rsidRPr="00DD37EC" w:rsidRDefault="00DE3EB8" w:rsidP="008B0A6B">
            <w:pPr>
              <w:spacing w:after="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szCs w:val="22"/>
                <w:lang w:val="es-ES_tradnl"/>
              </w:rPr>
            </w:pPr>
            <w:r w:rsidRPr="00DD37EC">
              <w:rPr>
                <w:rFonts w:ascii="Arial" w:eastAsia="Times New Roman" w:hAnsi="Arial" w:cs="Arial"/>
                <w:color w:val="000000"/>
                <w:sz w:val="22"/>
                <w:szCs w:val="22"/>
                <w:lang w:val="es-ES_tradnl"/>
              </w:rPr>
              <w:t>100%</w:t>
            </w:r>
          </w:p>
        </w:tc>
        <w:tc>
          <w:tcPr>
            <w:tcW w:w="1455" w:type="dxa"/>
          </w:tcPr>
          <w:p w14:paraId="73CAA49E" w14:textId="77777777" w:rsidR="00DE3EB8" w:rsidRPr="00DD37EC" w:rsidRDefault="00DE3EB8" w:rsidP="008B0A6B">
            <w:pPr>
              <w:spacing w:after="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szCs w:val="22"/>
                <w:lang w:val="es-ES_tradnl"/>
              </w:rPr>
            </w:pPr>
            <w:r w:rsidRPr="00DD37EC">
              <w:rPr>
                <w:rFonts w:ascii="Arial" w:eastAsia="Times New Roman" w:hAnsi="Arial" w:cs="Arial"/>
                <w:color w:val="000000"/>
                <w:sz w:val="22"/>
                <w:szCs w:val="22"/>
              </w:rPr>
              <w:t>129,860,012</w:t>
            </w:r>
          </w:p>
        </w:tc>
        <w:tc>
          <w:tcPr>
            <w:tcW w:w="1364" w:type="dxa"/>
          </w:tcPr>
          <w:p w14:paraId="401A3C22" w14:textId="77777777" w:rsidR="00DE3EB8" w:rsidRPr="00DD37EC" w:rsidRDefault="00DE3EB8" w:rsidP="008B0A6B">
            <w:pPr>
              <w:spacing w:after="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szCs w:val="22"/>
                <w:lang w:val="es-ES_tradnl"/>
              </w:rPr>
            </w:pPr>
            <w:r w:rsidRPr="00DD37EC">
              <w:rPr>
                <w:rFonts w:ascii="Arial" w:eastAsia="Times New Roman" w:hAnsi="Arial" w:cs="Arial"/>
                <w:color w:val="000000"/>
                <w:sz w:val="22"/>
                <w:szCs w:val="22"/>
                <w:lang w:val="es-ES_tradnl"/>
              </w:rPr>
              <w:t>100%</w:t>
            </w:r>
          </w:p>
        </w:tc>
      </w:tr>
    </w:tbl>
    <w:p w14:paraId="01D7D2D4" w14:textId="35FDC154" w:rsidR="00E2152A" w:rsidRPr="00354D0A" w:rsidRDefault="00E2152A" w:rsidP="00E2152A">
      <w:pPr>
        <w:pStyle w:val="Heading4"/>
        <w:rPr>
          <w:rStyle w:val="IntenseReference"/>
          <w:rFonts w:ascii="Arial" w:hAnsi="Arial" w:cs="Arial"/>
          <w:i w:val="0"/>
          <w:lang w:val="es-419"/>
        </w:rPr>
      </w:pPr>
      <w:r w:rsidRPr="006B5344">
        <w:rPr>
          <w:rStyle w:val="IntenseReference"/>
          <w:rFonts w:ascii="Arial" w:hAnsi="Arial" w:cs="Arial"/>
          <w:i w:val="0"/>
          <w:lang w:val="es-MX"/>
        </w:rPr>
        <w:lastRenderedPageBreak/>
        <w:t xml:space="preserve">ANEXO </w:t>
      </w:r>
      <w:r w:rsidR="00354D0A" w:rsidRPr="006B5344">
        <w:rPr>
          <w:rStyle w:val="IntenseReference"/>
          <w:rFonts w:ascii="Arial" w:hAnsi="Arial" w:cs="Arial"/>
          <w:i w:val="0"/>
          <w:lang w:val="es-MX"/>
        </w:rPr>
        <w:t>6</w:t>
      </w:r>
      <w:r w:rsidRPr="006B5344">
        <w:rPr>
          <w:rStyle w:val="IntenseReference"/>
          <w:rFonts w:ascii="Arial" w:hAnsi="Arial" w:cs="Arial"/>
          <w:i w:val="0"/>
          <w:lang w:val="es-MX"/>
        </w:rPr>
        <w:t xml:space="preserve">. </w:t>
      </w:r>
      <w:r w:rsidRPr="00354D0A">
        <w:rPr>
          <w:rStyle w:val="IntenseReference"/>
          <w:rFonts w:ascii="Arial" w:hAnsi="Arial" w:cs="Arial"/>
          <w:i w:val="0"/>
          <w:lang w:val="es-419"/>
        </w:rPr>
        <w:t>Financiamiento Público de las Organizaciones de la Sociedad Civil en Honduras</w:t>
      </w:r>
    </w:p>
    <w:p w14:paraId="4FBFCD95" w14:textId="77777777" w:rsidR="00E2152A" w:rsidRPr="00216BAC" w:rsidRDefault="00E2152A" w:rsidP="00E2152A">
      <w:pPr>
        <w:rPr>
          <w:rFonts w:cstheme="minorHAnsi"/>
          <w:lang w:val="es-ES"/>
        </w:rPr>
      </w:pPr>
    </w:p>
    <w:p w14:paraId="0C3E9A50" w14:textId="77777777" w:rsidR="00E2152A" w:rsidRPr="00AB54A5" w:rsidRDefault="00E2152A" w:rsidP="00E2152A">
      <w:pPr>
        <w:rPr>
          <w:rFonts w:ascii="Arial" w:hAnsi="Arial" w:cs="Arial"/>
          <w:b/>
          <w:lang w:val="es-ES"/>
        </w:rPr>
      </w:pPr>
      <w:r w:rsidRPr="00AB54A5">
        <w:rPr>
          <w:rFonts w:ascii="Arial" w:hAnsi="Arial" w:cs="Arial"/>
          <w:b/>
          <w:lang w:val="es-ES"/>
        </w:rPr>
        <w:t>Problema:</w:t>
      </w:r>
    </w:p>
    <w:p w14:paraId="58B296A0" w14:textId="77777777" w:rsidR="00E2152A" w:rsidRPr="00AB54A5" w:rsidRDefault="00E2152A" w:rsidP="00E2152A">
      <w:pPr>
        <w:rPr>
          <w:rFonts w:ascii="Arial" w:hAnsi="Arial" w:cs="Arial"/>
          <w:lang w:val="es-ES"/>
        </w:rPr>
      </w:pPr>
      <w:r w:rsidRPr="00AB54A5">
        <w:rPr>
          <w:rFonts w:ascii="Arial" w:hAnsi="Arial" w:cs="Arial"/>
          <w:lang w:val="es-ES"/>
        </w:rPr>
        <w:t xml:space="preserve">Necesidad de un mecanismo formal de asignación de recursos financieros públicos para la contratación de Organizaciones de la Sociedad Civil (OSC) para de servicios de apoyo y complementarios en la respuesta a la epidemia del VIH/Sida. </w:t>
      </w:r>
    </w:p>
    <w:p w14:paraId="56494E5E" w14:textId="77777777" w:rsidR="00E2152A" w:rsidRPr="00AB54A5" w:rsidRDefault="00E2152A" w:rsidP="00E2152A">
      <w:pPr>
        <w:rPr>
          <w:rFonts w:ascii="Arial" w:hAnsi="Arial" w:cs="Arial"/>
          <w:lang w:val="es-ES"/>
        </w:rPr>
      </w:pPr>
      <w:r w:rsidRPr="00AB54A5">
        <w:rPr>
          <w:rFonts w:ascii="Arial" w:hAnsi="Arial" w:cs="Arial"/>
          <w:lang w:val="es-ES"/>
        </w:rPr>
        <w:t>Ejemplos: Censida en México, organismo descentralizado adscrito a la Secretaria de Salud para el manejo de recursos presupuestarios para la contratación de OSC en VIH. República Dominicana: CONAVIHSIDA, organismo descentralizado adscrito al Ministerio de Salud Pública con fondos presupuestarios e internacionales (receptor del FM) para financiar a las OSC en VIH.</w:t>
      </w:r>
    </w:p>
    <w:p w14:paraId="5550489C" w14:textId="77777777" w:rsidR="00E2152A" w:rsidRPr="00AB54A5" w:rsidRDefault="00E2152A" w:rsidP="00E2152A">
      <w:pPr>
        <w:rPr>
          <w:rFonts w:ascii="Arial" w:hAnsi="Arial" w:cs="Arial"/>
          <w:b/>
          <w:lang w:val="es-ES"/>
        </w:rPr>
      </w:pPr>
      <w:r w:rsidRPr="00AB54A5">
        <w:rPr>
          <w:rFonts w:ascii="Arial" w:hAnsi="Arial" w:cs="Arial"/>
          <w:b/>
          <w:lang w:val="es-ES"/>
        </w:rPr>
        <w:t xml:space="preserve">Interpretación de la Ley Especial VIH/SIDA (2015) y CONASIDA </w:t>
      </w:r>
    </w:p>
    <w:p w14:paraId="03FE680F" w14:textId="77777777" w:rsidR="00E2152A" w:rsidRPr="00AB54A5" w:rsidRDefault="00E2152A" w:rsidP="00E2152A">
      <w:pPr>
        <w:pStyle w:val="ListParagraph"/>
        <w:numPr>
          <w:ilvl w:val="0"/>
          <w:numId w:val="38"/>
        </w:numPr>
        <w:spacing w:after="0" w:line="240" w:lineRule="auto"/>
        <w:jc w:val="both"/>
        <w:rPr>
          <w:rFonts w:ascii="Arial" w:hAnsi="Arial" w:cs="Arial"/>
          <w:lang w:val="es-ES"/>
        </w:rPr>
      </w:pPr>
      <w:bookmarkStart w:id="153" w:name="_Hlk8901974"/>
      <w:r w:rsidRPr="00AB54A5">
        <w:rPr>
          <w:rFonts w:ascii="Arial" w:hAnsi="Arial" w:cs="Arial"/>
          <w:lang w:val="es-ES"/>
        </w:rPr>
        <w:t>En Honduras la Ley Especial de VIH/SIDA del 2015 ofrece un potencial marco conceptual y legislativo para explorar mecanismos de financiamiento, proyectos y apoyo para la respuesta al VIH por parte de OSC.</w:t>
      </w:r>
    </w:p>
    <w:bookmarkEnd w:id="153"/>
    <w:p w14:paraId="51EAC3B1" w14:textId="69649E87" w:rsidR="00E2152A" w:rsidRDefault="00E2152A" w:rsidP="00E2152A">
      <w:pPr>
        <w:pStyle w:val="ListParagraph"/>
        <w:numPr>
          <w:ilvl w:val="0"/>
          <w:numId w:val="38"/>
        </w:numPr>
        <w:spacing w:after="0" w:line="240" w:lineRule="auto"/>
        <w:jc w:val="both"/>
        <w:rPr>
          <w:rFonts w:ascii="Arial" w:hAnsi="Arial" w:cs="Arial"/>
          <w:lang w:val="es-ES"/>
        </w:rPr>
      </w:pPr>
      <w:r w:rsidRPr="00AB54A5">
        <w:rPr>
          <w:rFonts w:ascii="Arial" w:hAnsi="Arial" w:cs="Arial"/>
          <w:lang w:val="es-ES"/>
        </w:rPr>
        <w:t>Un análisis preliminar de la Ley ofrece oportunidades para interpretar diversos artículos y conformar un mecanismo financiador de las OSC en VIH en la estructura del CONASIDA.</w:t>
      </w:r>
    </w:p>
    <w:p w14:paraId="54229136" w14:textId="77777777" w:rsidR="002C1F51" w:rsidRPr="00AB54A5" w:rsidRDefault="002C1F51" w:rsidP="002C1F51">
      <w:pPr>
        <w:pStyle w:val="ListParagraph"/>
        <w:spacing w:after="0" w:line="240" w:lineRule="auto"/>
        <w:jc w:val="both"/>
        <w:rPr>
          <w:rFonts w:ascii="Arial" w:hAnsi="Arial" w:cs="Arial"/>
          <w:lang w:val="es-ES"/>
        </w:rPr>
      </w:pPr>
    </w:p>
    <w:p w14:paraId="537D9E28" w14:textId="15293861" w:rsidR="002C1F51" w:rsidRPr="00AB54A5" w:rsidRDefault="00E2152A" w:rsidP="00E2152A">
      <w:pPr>
        <w:rPr>
          <w:rFonts w:ascii="Arial" w:hAnsi="Arial" w:cs="Arial"/>
          <w:lang w:val="es-ES"/>
        </w:rPr>
      </w:pPr>
      <w:r w:rsidRPr="00AB54A5">
        <w:rPr>
          <w:rFonts w:ascii="Arial" w:hAnsi="Arial" w:cs="Arial"/>
          <w:b/>
          <w:lang w:val="es-ES"/>
        </w:rPr>
        <w:t>Interpretación</w:t>
      </w:r>
      <w:r w:rsidRPr="00AB54A5">
        <w:rPr>
          <w:rFonts w:ascii="Arial" w:hAnsi="Arial" w:cs="Arial"/>
          <w:lang w:val="es-ES"/>
        </w:rPr>
        <w:t xml:space="preserve">: </w:t>
      </w:r>
    </w:p>
    <w:p w14:paraId="7123AF29" w14:textId="77777777" w:rsidR="00E2152A" w:rsidRPr="00AB54A5" w:rsidRDefault="00E2152A" w:rsidP="00E2152A">
      <w:pPr>
        <w:rPr>
          <w:rFonts w:ascii="Arial" w:hAnsi="Arial" w:cs="Arial"/>
          <w:b/>
          <w:lang w:val="es-ES"/>
        </w:rPr>
      </w:pPr>
      <w:r w:rsidRPr="00AB54A5">
        <w:rPr>
          <w:rFonts w:ascii="Arial" w:hAnsi="Arial" w:cs="Arial"/>
          <w:lang w:val="es-ES"/>
        </w:rPr>
        <w:t xml:space="preserve">1. En el marco general de la Ley (Considerando 4) el estado garantiza la </w:t>
      </w:r>
      <w:r w:rsidRPr="00AB54A5">
        <w:rPr>
          <w:rFonts w:ascii="Arial" w:hAnsi="Arial" w:cs="Arial"/>
          <w:b/>
          <w:lang w:val="es-ES"/>
        </w:rPr>
        <w:t>asignación de recursos.</w:t>
      </w:r>
    </w:p>
    <w:p w14:paraId="0103B1F5" w14:textId="77777777" w:rsidR="00E2152A" w:rsidRPr="00AB54A5" w:rsidRDefault="00E2152A" w:rsidP="00E2152A">
      <w:pPr>
        <w:ind w:left="360"/>
        <w:rPr>
          <w:rFonts w:ascii="Arial" w:hAnsi="Arial" w:cs="Arial"/>
          <w:lang w:val="es-ES"/>
        </w:rPr>
      </w:pPr>
      <w:r w:rsidRPr="00AB54A5">
        <w:rPr>
          <w:rFonts w:ascii="Arial" w:hAnsi="Arial" w:cs="Arial"/>
          <w:lang w:val="es-ES"/>
        </w:rPr>
        <w:t>1.2. Interpretar que el concepto de “asignación de recursos” debe incluir recursos financieros públicos.</w:t>
      </w:r>
    </w:p>
    <w:p w14:paraId="05CEB370" w14:textId="77777777" w:rsidR="00E2152A" w:rsidRPr="00AB54A5" w:rsidRDefault="00E2152A" w:rsidP="00E2152A">
      <w:pPr>
        <w:rPr>
          <w:rFonts w:ascii="Arial" w:hAnsi="Arial" w:cs="Arial"/>
          <w:lang w:val="es-ES"/>
        </w:rPr>
      </w:pPr>
      <w:r w:rsidRPr="00AB54A5">
        <w:rPr>
          <w:rFonts w:ascii="Arial" w:hAnsi="Arial" w:cs="Arial"/>
          <w:lang w:val="es-ES"/>
        </w:rPr>
        <w:t>2. Dentro de las atribuciones de la CONASIDA (Art. 10.A):</w:t>
      </w:r>
    </w:p>
    <w:p w14:paraId="65C68257" w14:textId="77777777" w:rsidR="00E2152A" w:rsidRPr="00AB54A5" w:rsidRDefault="00E2152A" w:rsidP="00E2152A">
      <w:pPr>
        <w:pStyle w:val="ListParagraph"/>
        <w:numPr>
          <w:ilvl w:val="0"/>
          <w:numId w:val="39"/>
        </w:numPr>
        <w:spacing w:after="0" w:line="240" w:lineRule="auto"/>
        <w:jc w:val="both"/>
        <w:rPr>
          <w:rFonts w:ascii="Arial" w:hAnsi="Arial" w:cs="Arial"/>
          <w:lang w:val="es-ES"/>
        </w:rPr>
      </w:pPr>
      <w:r w:rsidRPr="00AB54A5">
        <w:rPr>
          <w:rFonts w:ascii="Arial" w:hAnsi="Arial" w:cs="Arial"/>
          <w:lang w:val="es-ES"/>
        </w:rPr>
        <w:t xml:space="preserve">“Incidir en el cumplimiento, armonización, alineamiento de políticas, estrategias y </w:t>
      </w:r>
      <w:r w:rsidRPr="00AB54A5">
        <w:rPr>
          <w:rFonts w:ascii="Arial" w:hAnsi="Arial" w:cs="Arial"/>
          <w:b/>
          <w:lang w:val="es-ES"/>
        </w:rPr>
        <w:t>financiamiento</w:t>
      </w:r>
      <w:r w:rsidRPr="00AB54A5">
        <w:rPr>
          <w:rFonts w:ascii="Arial" w:hAnsi="Arial" w:cs="Arial"/>
          <w:lang w:val="es-ES"/>
        </w:rPr>
        <w:t xml:space="preserve"> en el marco de acuerdos nacionales e internacionales” Art. 10A.3).</w:t>
      </w:r>
    </w:p>
    <w:p w14:paraId="0B8320DA" w14:textId="77777777" w:rsidR="00E2152A" w:rsidRPr="00AB54A5" w:rsidRDefault="00E2152A" w:rsidP="00E2152A">
      <w:pPr>
        <w:pStyle w:val="ListParagraph"/>
        <w:numPr>
          <w:ilvl w:val="0"/>
          <w:numId w:val="39"/>
        </w:numPr>
        <w:spacing w:after="0" w:line="240" w:lineRule="auto"/>
        <w:jc w:val="both"/>
        <w:rPr>
          <w:rFonts w:ascii="Arial" w:hAnsi="Arial" w:cs="Arial"/>
          <w:lang w:val="es-ES"/>
        </w:rPr>
      </w:pPr>
      <w:r w:rsidRPr="00AB54A5">
        <w:rPr>
          <w:rFonts w:ascii="Arial" w:hAnsi="Arial" w:cs="Arial"/>
          <w:lang w:val="es-ES"/>
        </w:rPr>
        <w:t xml:space="preserve">“Impulsar el complimiento de los compromisos financieros derivados de compromisos internacionales relacionados con el VIH” (Art. 10A.5). </w:t>
      </w:r>
    </w:p>
    <w:p w14:paraId="40900C3C" w14:textId="77777777" w:rsidR="00E2152A" w:rsidRPr="00AB54A5" w:rsidRDefault="00E2152A" w:rsidP="00E2152A">
      <w:pPr>
        <w:ind w:left="720" w:hanging="360"/>
        <w:rPr>
          <w:rFonts w:ascii="Arial" w:hAnsi="Arial" w:cs="Arial"/>
          <w:lang w:val="es-ES"/>
        </w:rPr>
      </w:pPr>
      <w:r w:rsidRPr="00AB54A5">
        <w:rPr>
          <w:rFonts w:ascii="Arial" w:hAnsi="Arial" w:cs="Arial"/>
          <w:lang w:val="es-ES"/>
        </w:rPr>
        <w:t>2.1. Interpretar que en el cumplimiento de estas atribuciones están los compromisos del gobierno con el FM de financiar el sostenimiento de las OSC en VIH durante y después el financiamiento externo y que es la responsabilidad del Estado de cumplir estos compromisos por medio de la CONASIDA en el financiamiento público de las OSC en VH. La misma interpretación se aplica a otros compromisos del Estado con diversas fuentes de apoyo de la cooperación internacional.</w:t>
      </w:r>
    </w:p>
    <w:p w14:paraId="713226BF" w14:textId="77777777" w:rsidR="00E2152A" w:rsidRPr="00AB54A5" w:rsidRDefault="00E2152A" w:rsidP="00E2152A">
      <w:pPr>
        <w:rPr>
          <w:rFonts w:ascii="Arial" w:hAnsi="Arial" w:cs="Arial"/>
          <w:lang w:val="es-ES"/>
        </w:rPr>
      </w:pPr>
      <w:r w:rsidRPr="00AB54A5">
        <w:rPr>
          <w:rFonts w:ascii="Arial" w:hAnsi="Arial" w:cs="Arial"/>
          <w:lang w:val="es-ES"/>
        </w:rPr>
        <w:t>3. “</w:t>
      </w:r>
      <w:r w:rsidRPr="00AB54A5">
        <w:rPr>
          <w:rFonts w:ascii="Arial" w:hAnsi="Arial" w:cs="Arial"/>
          <w:b/>
          <w:lang w:val="es-ES"/>
        </w:rPr>
        <w:t>Apoyar la gestión de recursos financieros,</w:t>
      </w:r>
      <w:r w:rsidRPr="00AB54A5">
        <w:rPr>
          <w:rFonts w:ascii="Arial" w:hAnsi="Arial" w:cs="Arial"/>
          <w:lang w:val="es-ES"/>
        </w:rPr>
        <w:t xml:space="preserve"> </w:t>
      </w:r>
      <w:r w:rsidRPr="00AB54A5">
        <w:rPr>
          <w:rFonts w:ascii="Arial" w:hAnsi="Arial" w:cs="Arial"/>
          <w:b/>
          <w:lang w:val="es-ES"/>
        </w:rPr>
        <w:t>tecnológicos y de otra índole</w:t>
      </w:r>
      <w:r w:rsidRPr="00AB54A5">
        <w:rPr>
          <w:rFonts w:ascii="Arial" w:hAnsi="Arial" w:cs="Arial"/>
          <w:lang w:val="es-ES"/>
        </w:rPr>
        <w:t xml:space="preserve"> nacional e internacional de </w:t>
      </w:r>
      <w:r w:rsidRPr="00AB54A5">
        <w:rPr>
          <w:rFonts w:ascii="Arial" w:hAnsi="Arial" w:cs="Arial"/>
          <w:b/>
          <w:lang w:val="es-ES"/>
        </w:rPr>
        <w:t xml:space="preserve">iniciativa </w:t>
      </w:r>
      <w:r w:rsidRPr="00AB54A5">
        <w:rPr>
          <w:rFonts w:ascii="Arial" w:hAnsi="Arial" w:cs="Arial"/>
          <w:lang w:val="es-ES"/>
        </w:rPr>
        <w:t>propia o petición de otras instancias…”.(Art. 10A.7).</w:t>
      </w:r>
    </w:p>
    <w:p w14:paraId="2C055C22" w14:textId="77777777" w:rsidR="00E2152A" w:rsidRPr="00AB54A5" w:rsidRDefault="00E2152A" w:rsidP="00E2152A">
      <w:pPr>
        <w:ind w:left="720" w:hanging="360"/>
        <w:rPr>
          <w:rFonts w:ascii="Arial" w:hAnsi="Arial" w:cs="Arial"/>
          <w:lang w:val="es-ES"/>
        </w:rPr>
      </w:pPr>
      <w:r w:rsidRPr="00AB54A5">
        <w:rPr>
          <w:rFonts w:ascii="Arial" w:hAnsi="Arial" w:cs="Arial"/>
          <w:lang w:val="es-ES"/>
        </w:rPr>
        <w:t xml:space="preserve">3.1. Interpretar que el mandato de CONASIDA de apoyar la gestión de recursos financieros </w:t>
      </w:r>
      <w:r w:rsidRPr="00AB54A5">
        <w:rPr>
          <w:rFonts w:ascii="Arial" w:hAnsi="Arial" w:cs="Arial"/>
          <w:b/>
          <w:lang w:val="es-ES"/>
        </w:rPr>
        <w:t xml:space="preserve">incluye la gestión y administración </w:t>
      </w:r>
      <w:r w:rsidRPr="00AB54A5">
        <w:rPr>
          <w:rFonts w:ascii="Arial" w:hAnsi="Arial" w:cs="Arial"/>
          <w:lang w:val="es-ES"/>
        </w:rPr>
        <w:t>propiamente</w:t>
      </w:r>
      <w:r w:rsidRPr="00AB54A5">
        <w:rPr>
          <w:rFonts w:ascii="Arial" w:hAnsi="Arial" w:cs="Arial"/>
          <w:b/>
          <w:lang w:val="es-ES"/>
        </w:rPr>
        <w:t xml:space="preserve"> tal de recursos financieros</w:t>
      </w:r>
      <w:r w:rsidRPr="00AB54A5">
        <w:rPr>
          <w:rFonts w:ascii="Arial" w:hAnsi="Arial" w:cs="Arial"/>
          <w:lang w:val="es-ES"/>
        </w:rPr>
        <w:t xml:space="preserve"> para la contratación de las OSC en VIH para la prestación de servicios e investigaciones (como en Argentina, México, Republica Dominicana y Malasia). </w:t>
      </w:r>
    </w:p>
    <w:p w14:paraId="64AC49CF" w14:textId="77777777" w:rsidR="00E2152A" w:rsidRPr="00AB54A5" w:rsidRDefault="00E2152A" w:rsidP="00E2152A">
      <w:pPr>
        <w:rPr>
          <w:rFonts w:ascii="Arial" w:hAnsi="Arial" w:cs="Arial"/>
          <w:lang w:val="es-ES"/>
        </w:rPr>
      </w:pPr>
      <w:r w:rsidRPr="00AB54A5">
        <w:rPr>
          <w:rFonts w:ascii="Arial" w:hAnsi="Arial" w:cs="Arial"/>
          <w:lang w:val="es-ES"/>
        </w:rPr>
        <w:t xml:space="preserve">4. “Proponer </w:t>
      </w:r>
      <w:r w:rsidRPr="00AB54A5">
        <w:rPr>
          <w:rFonts w:ascii="Arial" w:hAnsi="Arial" w:cs="Arial"/>
          <w:b/>
          <w:lang w:val="es-ES"/>
        </w:rPr>
        <w:t>proyectos</w:t>
      </w:r>
      <w:r w:rsidRPr="00AB54A5">
        <w:rPr>
          <w:rFonts w:ascii="Arial" w:hAnsi="Arial" w:cs="Arial"/>
          <w:lang w:val="es-ES"/>
        </w:rPr>
        <w:t>” Art. 10B.1)</w:t>
      </w:r>
    </w:p>
    <w:p w14:paraId="409872A6" w14:textId="77777777" w:rsidR="00E2152A" w:rsidRPr="00AB54A5" w:rsidRDefault="00E2152A" w:rsidP="00E2152A">
      <w:pPr>
        <w:ind w:left="720" w:hanging="360"/>
        <w:rPr>
          <w:rFonts w:ascii="Arial" w:hAnsi="Arial" w:cs="Arial"/>
          <w:lang w:val="es-ES"/>
        </w:rPr>
      </w:pPr>
      <w:r w:rsidRPr="00AB54A5">
        <w:rPr>
          <w:rFonts w:ascii="Arial" w:hAnsi="Arial" w:cs="Arial"/>
          <w:lang w:val="es-ES"/>
        </w:rPr>
        <w:lastRenderedPageBreak/>
        <w:t>4.1. Interpretar que “proyectos” que se propongan para la prestación de servicios de las OSC en VIH tengan presupuesto cuya gestión financiera en el manejo y adjudicación de recursos financieros se haga por CONASIDA.</w:t>
      </w:r>
    </w:p>
    <w:p w14:paraId="33732C16" w14:textId="77777777" w:rsidR="00E2152A" w:rsidRPr="00AB54A5" w:rsidRDefault="00E2152A" w:rsidP="00E2152A">
      <w:pPr>
        <w:rPr>
          <w:rFonts w:ascii="Arial" w:hAnsi="Arial" w:cs="Arial"/>
          <w:lang w:val="es-ES"/>
        </w:rPr>
      </w:pPr>
      <w:r w:rsidRPr="00AB54A5">
        <w:rPr>
          <w:rFonts w:ascii="Arial" w:hAnsi="Arial" w:cs="Arial"/>
          <w:lang w:val="es-ES"/>
        </w:rPr>
        <w:t>5. “Formular políticas</w:t>
      </w:r>
      <w:r w:rsidRPr="00AB54A5">
        <w:rPr>
          <w:rFonts w:ascii="Arial" w:hAnsi="Arial" w:cs="Arial"/>
          <w:b/>
          <w:lang w:val="es-ES"/>
        </w:rPr>
        <w:t xml:space="preserve"> de apoyo</w:t>
      </w:r>
      <w:r w:rsidRPr="00AB54A5">
        <w:rPr>
          <w:rFonts w:ascii="Arial" w:hAnsi="Arial" w:cs="Arial"/>
          <w:lang w:val="es-ES"/>
        </w:rPr>
        <w:t>” (Art10.B.2).</w:t>
      </w:r>
    </w:p>
    <w:p w14:paraId="646F2367" w14:textId="77777777" w:rsidR="00E2152A" w:rsidRPr="00AB54A5" w:rsidRDefault="00E2152A" w:rsidP="00E2152A">
      <w:pPr>
        <w:ind w:left="810" w:hanging="450"/>
        <w:rPr>
          <w:rFonts w:ascii="Arial" w:hAnsi="Arial" w:cs="Arial"/>
          <w:lang w:val="es-ES"/>
        </w:rPr>
      </w:pPr>
      <w:r w:rsidRPr="00AB54A5">
        <w:rPr>
          <w:rFonts w:ascii="Arial" w:hAnsi="Arial" w:cs="Arial"/>
          <w:lang w:val="es-ES"/>
        </w:rPr>
        <w:t>5.1. Interpretar que dentro de las políticas de apoyo está el apoyo financiero a las OSC en VIH, por medio de la CONASIDA.</w:t>
      </w:r>
    </w:p>
    <w:p w14:paraId="16AE1756" w14:textId="77777777" w:rsidR="00E2152A" w:rsidRPr="00AB54A5" w:rsidRDefault="00E2152A" w:rsidP="00E2152A">
      <w:pPr>
        <w:rPr>
          <w:rFonts w:ascii="Arial" w:hAnsi="Arial" w:cs="Arial"/>
          <w:lang w:val="es-ES"/>
        </w:rPr>
      </w:pPr>
      <w:r w:rsidRPr="00AB54A5">
        <w:rPr>
          <w:rFonts w:ascii="Arial" w:hAnsi="Arial" w:cs="Arial"/>
          <w:lang w:val="es-ES"/>
        </w:rPr>
        <w:t xml:space="preserve">6. “Sector Publico debe </w:t>
      </w:r>
      <w:r w:rsidRPr="00AB54A5">
        <w:rPr>
          <w:rFonts w:ascii="Arial" w:hAnsi="Arial" w:cs="Arial"/>
          <w:b/>
          <w:lang w:val="es-ES"/>
        </w:rPr>
        <w:t>incluir en Planes Operativos Anuales las partidas necesarias</w:t>
      </w:r>
      <w:r w:rsidRPr="00AB54A5">
        <w:rPr>
          <w:rFonts w:ascii="Arial" w:hAnsi="Arial" w:cs="Arial"/>
          <w:lang w:val="es-ES"/>
        </w:rPr>
        <w:t xml:space="preserve"> para llevarlas a cabo” (Art. 13).</w:t>
      </w:r>
    </w:p>
    <w:p w14:paraId="2FC20DD1" w14:textId="77777777" w:rsidR="00E2152A" w:rsidRPr="00AB54A5" w:rsidRDefault="00E2152A" w:rsidP="00E2152A">
      <w:pPr>
        <w:ind w:left="810" w:hanging="450"/>
        <w:rPr>
          <w:rFonts w:ascii="Arial" w:hAnsi="Arial" w:cs="Arial"/>
          <w:lang w:val="es-ES"/>
        </w:rPr>
      </w:pPr>
      <w:r w:rsidRPr="00AB54A5">
        <w:rPr>
          <w:rFonts w:ascii="Arial" w:hAnsi="Arial" w:cs="Arial"/>
          <w:lang w:val="es-ES"/>
        </w:rPr>
        <w:t>6.1. Interpretar (a) que los programas y actividades del Sector Publico se coordinen bajo el papel de CONASIDA como ente administrador financiero de las OSC en VIH; (b) consolidar un programa nacional de financiamiento del Sector Público de las OSC en VIH y (c) coordinar en un Plan Operativo Anual el financiamiento para las OSC provenientes de fuentes externas como el FM y otras fuentes, con las actividades financiadas por Sector Publico para las OSC en VIH.</w:t>
      </w:r>
    </w:p>
    <w:p w14:paraId="4298E105" w14:textId="77777777" w:rsidR="00E2152A" w:rsidRPr="00AB54A5" w:rsidRDefault="00E2152A" w:rsidP="00E2152A">
      <w:pPr>
        <w:rPr>
          <w:rFonts w:ascii="Arial" w:hAnsi="Arial" w:cs="Arial"/>
          <w:lang w:val="es-ES"/>
        </w:rPr>
      </w:pPr>
      <w:r w:rsidRPr="00AB54A5">
        <w:rPr>
          <w:rFonts w:ascii="Arial" w:hAnsi="Arial" w:cs="Arial"/>
          <w:lang w:val="es-ES"/>
        </w:rPr>
        <w:t>7. “</w:t>
      </w:r>
      <w:r w:rsidRPr="00AB54A5">
        <w:rPr>
          <w:rFonts w:ascii="Arial" w:hAnsi="Arial" w:cs="Arial"/>
          <w:b/>
          <w:lang w:val="es-ES"/>
        </w:rPr>
        <w:t xml:space="preserve">Papel </w:t>
      </w:r>
      <w:r w:rsidRPr="00AB54A5">
        <w:rPr>
          <w:rFonts w:ascii="Arial" w:hAnsi="Arial" w:cs="Arial"/>
          <w:lang w:val="es-ES"/>
        </w:rPr>
        <w:t>coordinador</w:t>
      </w:r>
      <w:r w:rsidRPr="00AB54A5">
        <w:rPr>
          <w:rFonts w:ascii="Arial" w:hAnsi="Arial" w:cs="Arial"/>
          <w:b/>
          <w:lang w:val="es-ES"/>
        </w:rPr>
        <w:t xml:space="preserve"> de la CONASIDA con SESAL y gobiernos municipales</w:t>
      </w:r>
      <w:r w:rsidRPr="00AB54A5">
        <w:rPr>
          <w:rFonts w:ascii="Arial" w:hAnsi="Arial" w:cs="Arial"/>
          <w:lang w:val="es-ES"/>
        </w:rPr>
        <w:t xml:space="preserve"> en ofrecer programas y proyectos de prevención integral sobre VIH con enfoque de derechos” (Art. 39).</w:t>
      </w:r>
    </w:p>
    <w:p w14:paraId="7DFD4B56" w14:textId="77777777" w:rsidR="00E2152A" w:rsidRPr="00AB54A5" w:rsidRDefault="00E2152A" w:rsidP="00E2152A">
      <w:pPr>
        <w:ind w:left="810" w:hanging="450"/>
        <w:rPr>
          <w:rFonts w:ascii="Arial" w:hAnsi="Arial" w:cs="Arial"/>
          <w:lang w:val="es-ES"/>
        </w:rPr>
      </w:pPr>
      <w:r w:rsidRPr="00AB54A5">
        <w:rPr>
          <w:rFonts w:ascii="Arial" w:hAnsi="Arial" w:cs="Arial"/>
          <w:lang w:val="es-ES"/>
        </w:rPr>
        <w:t xml:space="preserve">7.1. Interpretar que los proyectos municipales deben tener los recursos financieros y que se ejecutaran por medio de las OSC en VIH, contratos que pueden ser complementados financieramente por CONASIDA, especialmente en municipalidades de menores recursos. </w:t>
      </w:r>
    </w:p>
    <w:p w14:paraId="7940303A" w14:textId="77777777" w:rsidR="00E2152A" w:rsidRPr="00AB54A5" w:rsidRDefault="00E2152A" w:rsidP="00E2152A">
      <w:pPr>
        <w:rPr>
          <w:rFonts w:ascii="Arial" w:hAnsi="Arial" w:cs="Arial"/>
          <w:lang w:val="es-ES"/>
        </w:rPr>
      </w:pPr>
      <w:r w:rsidRPr="00AB54A5">
        <w:rPr>
          <w:rFonts w:ascii="Arial" w:hAnsi="Arial" w:cs="Arial"/>
          <w:lang w:val="es-ES"/>
        </w:rPr>
        <w:t xml:space="preserve">8. “Las </w:t>
      </w:r>
      <w:r w:rsidRPr="00AB54A5">
        <w:rPr>
          <w:rFonts w:ascii="Arial" w:hAnsi="Arial" w:cs="Arial"/>
          <w:b/>
          <w:lang w:val="es-ES"/>
        </w:rPr>
        <w:t>personas privadas de libertad con VIH tienen el derecho a la atención médico-hospitalaria</w:t>
      </w:r>
      <w:r w:rsidRPr="00AB54A5">
        <w:rPr>
          <w:rFonts w:ascii="Arial" w:hAnsi="Arial" w:cs="Arial"/>
          <w:lang w:val="es-ES"/>
        </w:rPr>
        <w:t>” (Art. 64)</w:t>
      </w:r>
    </w:p>
    <w:p w14:paraId="2E87295E" w14:textId="77777777" w:rsidR="00E2152A" w:rsidRPr="00AB54A5" w:rsidRDefault="00E2152A" w:rsidP="00E2152A">
      <w:pPr>
        <w:ind w:left="810" w:hanging="450"/>
        <w:rPr>
          <w:rFonts w:ascii="Arial" w:hAnsi="Arial" w:cs="Arial"/>
          <w:lang w:val="es-ES"/>
        </w:rPr>
      </w:pPr>
      <w:r w:rsidRPr="00AB54A5">
        <w:rPr>
          <w:rFonts w:ascii="Arial" w:hAnsi="Arial" w:cs="Arial"/>
          <w:lang w:val="es-ES"/>
        </w:rPr>
        <w:t>8.1. Interpretar que parte de la atención a las personas privadas de libertad incluye los servicios que proporcionan las OSC en VIH y en coinfección VIH yTB por medio de contratos con el Sistema Penitenciario o por medio de CONASIDA.</w:t>
      </w:r>
    </w:p>
    <w:p w14:paraId="124ABE36" w14:textId="77777777" w:rsidR="00E2152A" w:rsidRPr="00AB54A5" w:rsidRDefault="00E2152A" w:rsidP="00E2152A">
      <w:pPr>
        <w:rPr>
          <w:rFonts w:ascii="Arial" w:hAnsi="Arial" w:cs="Arial"/>
          <w:b/>
          <w:lang w:val="es-ES"/>
        </w:rPr>
      </w:pPr>
      <w:r w:rsidRPr="00AB54A5">
        <w:rPr>
          <w:rFonts w:ascii="Arial" w:hAnsi="Arial" w:cs="Arial"/>
          <w:b/>
          <w:lang w:val="es-ES"/>
        </w:rPr>
        <w:t>Soluciones (a explorar)</w:t>
      </w:r>
    </w:p>
    <w:p w14:paraId="586FE6E5" w14:textId="77777777" w:rsidR="00E2152A" w:rsidRPr="00AB54A5" w:rsidRDefault="00E2152A" w:rsidP="00E2152A">
      <w:pPr>
        <w:pStyle w:val="ListParagraph"/>
        <w:numPr>
          <w:ilvl w:val="0"/>
          <w:numId w:val="38"/>
        </w:numPr>
        <w:spacing w:after="0" w:line="240" w:lineRule="auto"/>
        <w:jc w:val="both"/>
        <w:rPr>
          <w:rFonts w:ascii="Arial" w:hAnsi="Arial" w:cs="Arial"/>
          <w:lang w:val="es-ES"/>
        </w:rPr>
      </w:pPr>
      <w:r w:rsidRPr="00AB54A5">
        <w:rPr>
          <w:rFonts w:ascii="Arial" w:hAnsi="Arial" w:cs="Arial"/>
          <w:lang w:val="es-ES"/>
        </w:rPr>
        <w:t xml:space="preserve">Usar el contexto conceptual de la Ley Especial de VIH/SIDA (2015) y el marco institucional de la CONASIDA para definir para CONASIDA un papel de administración financiera de recursos presupuestarios públicos para el financiamiento de las OSC en VHI, tomando como modelos las experiencias de México y República Dominicana, entre otros. </w:t>
      </w:r>
    </w:p>
    <w:p w14:paraId="57F9D1C1" w14:textId="77777777" w:rsidR="00E2152A" w:rsidRPr="00AB54A5" w:rsidRDefault="00E2152A" w:rsidP="00E2152A">
      <w:pPr>
        <w:pStyle w:val="ListParagraph"/>
        <w:numPr>
          <w:ilvl w:val="0"/>
          <w:numId w:val="38"/>
        </w:numPr>
        <w:spacing w:after="0" w:line="240" w:lineRule="auto"/>
        <w:jc w:val="both"/>
        <w:rPr>
          <w:rFonts w:ascii="Arial" w:hAnsi="Arial" w:cs="Arial"/>
          <w:lang w:val="es-ES"/>
        </w:rPr>
      </w:pPr>
      <w:r w:rsidRPr="00AB54A5">
        <w:rPr>
          <w:rFonts w:ascii="Arial" w:hAnsi="Arial" w:cs="Arial"/>
          <w:lang w:val="es-ES"/>
        </w:rPr>
        <w:t>El propósito del financiamiento es la contratación de las OSC para la prestación de servicios en VIH. Servicios tales como promoción, prevención, alcance, testeo, acceso a los servicios de salud, seguimiento; servicios de apoyo social; y apoyo emocional.</w:t>
      </w:r>
    </w:p>
    <w:p w14:paraId="25F0CEE7" w14:textId="77777777" w:rsidR="00E2152A" w:rsidRPr="00AB54A5" w:rsidRDefault="00E2152A" w:rsidP="00E2152A">
      <w:pPr>
        <w:pStyle w:val="ListParagraph"/>
        <w:numPr>
          <w:ilvl w:val="0"/>
          <w:numId w:val="38"/>
        </w:numPr>
        <w:spacing w:after="0" w:line="240" w:lineRule="auto"/>
        <w:jc w:val="both"/>
        <w:rPr>
          <w:rFonts w:ascii="Arial" w:hAnsi="Arial" w:cs="Arial"/>
          <w:lang w:val="es-ES"/>
        </w:rPr>
      </w:pPr>
      <w:r w:rsidRPr="00AB54A5">
        <w:rPr>
          <w:rFonts w:ascii="Arial" w:hAnsi="Arial" w:cs="Arial"/>
          <w:lang w:val="es-ES"/>
        </w:rPr>
        <w:t>Usar la oportunidad de la Reglamentación de la Ley de Sida para incluir, entre otros:</w:t>
      </w:r>
    </w:p>
    <w:p w14:paraId="223E3C13" w14:textId="77777777" w:rsidR="00E2152A" w:rsidRPr="00AB54A5" w:rsidRDefault="00E2152A" w:rsidP="00E2152A">
      <w:pPr>
        <w:pStyle w:val="ListParagraph"/>
        <w:numPr>
          <w:ilvl w:val="1"/>
          <w:numId w:val="38"/>
        </w:numPr>
        <w:spacing w:after="0" w:line="240" w:lineRule="auto"/>
        <w:jc w:val="both"/>
        <w:rPr>
          <w:rFonts w:ascii="Arial" w:hAnsi="Arial" w:cs="Arial"/>
          <w:lang w:val="es-ES"/>
        </w:rPr>
      </w:pPr>
      <w:r w:rsidRPr="00AB54A5">
        <w:rPr>
          <w:rFonts w:ascii="Arial" w:hAnsi="Arial" w:cs="Arial"/>
          <w:lang w:val="es-ES"/>
        </w:rPr>
        <w:t>Un Capítulo que defina el papel financiador del CONASIDA dentro del marco de la Ley Especial de VIH de Sida</w:t>
      </w:r>
    </w:p>
    <w:p w14:paraId="48937BAB" w14:textId="77777777" w:rsidR="00E2152A" w:rsidRPr="00AB54A5" w:rsidRDefault="00E2152A" w:rsidP="00E2152A">
      <w:pPr>
        <w:pStyle w:val="ListParagraph"/>
        <w:numPr>
          <w:ilvl w:val="1"/>
          <w:numId w:val="38"/>
        </w:numPr>
        <w:spacing w:after="0" w:line="240" w:lineRule="auto"/>
        <w:jc w:val="both"/>
        <w:rPr>
          <w:rFonts w:ascii="Arial" w:hAnsi="Arial" w:cs="Arial"/>
          <w:lang w:val="es-ES"/>
        </w:rPr>
      </w:pPr>
      <w:r w:rsidRPr="00AB54A5">
        <w:rPr>
          <w:rFonts w:ascii="Arial" w:hAnsi="Arial" w:cs="Arial"/>
          <w:lang w:val="es-ES"/>
        </w:rPr>
        <w:t>Definir cómo se asignarán y administrarán los recursos presupuestarios públicos por medio de la CONASIDA</w:t>
      </w:r>
    </w:p>
    <w:p w14:paraId="5CFC35FF" w14:textId="77777777" w:rsidR="00E2152A" w:rsidRPr="00AB54A5" w:rsidRDefault="00E2152A" w:rsidP="00E2152A">
      <w:pPr>
        <w:pStyle w:val="ListParagraph"/>
        <w:numPr>
          <w:ilvl w:val="1"/>
          <w:numId w:val="38"/>
        </w:numPr>
        <w:spacing w:after="0" w:line="240" w:lineRule="auto"/>
        <w:jc w:val="both"/>
        <w:rPr>
          <w:rFonts w:ascii="Arial" w:hAnsi="Arial" w:cs="Arial"/>
          <w:lang w:val="es-ES"/>
        </w:rPr>
      </w:pPr>
      <w:r w:rsidRPr="00AB54A5">
        <w:rPr>
          <w:rFonts w:ascii="Arial" w:hAnsi="Arial" w:cs="Arial"/>
          <w:lang w:val="es-ES"/>
        </w:rPr>
        <w:t xml:space="preserve"> Los recursos presupuestarios para la contratación de OSC en VIH será exclusivamente para la contratación de OSC, </w:t>
      </w:r>
      <w:r w:rsidRPr="00AB54A5">
        <w:rPr>
          <w:rFonts w:ascii="Arial" w:hAnsi="Arial" w:cs="Arial"/>
          <w:i/>
          <w:lang w:val="es-ES"/>
        </w:rPr>
        <w:t>separados</w:t>
      </w:r>
      <w:r w:rsidRPr="00AB54A5">
        <w:rPr>
          <w:rFonts w:ascii="Arial" w:hAnsi="Arial" w:cs="Arial"/>
          <w:lang w:val="es-ES"/>
        </w:rPr>
        <w:t xml:space="preserve"> de los recursos para el financiamiento de la administración de CONASIDA</w:t>
      </w:r>
    </w:p>
    <w:p w14:paraId="52B06089" w14:textId="77777777" w:rsidR="00E2152A" w:rsidRPr="00AB54A5" w:rsidRDefault="00E2152A" w:rsidP="00E2152A">
      <w:pPr>
        <w:pStyle w:val="ListParagraph"/>
        <w:numPr>
          <w:ilvl w:val="1"/>
          <w:numId w:val="38"/>
        </w:numPr>
        <w:spacing w:after="0" w:line="240" w:lineRule="auto"/>
        <w:jc w:val="both"/>
        <w:rPr>
          <w:rFonts w:ascii="Arial" w:hAnsi="Arial" w:cs="Arial"/>
          <w:lang w:val="es-ES"/>
        </w:rPr>
      </w:pPr>
      <w:r w:rsidRPr="00AB54A5">
        <w:rPr>
          <w:rFonts w:ascii="Arial" w:hAnsi="Arial" w:cs="Arial"/>
          <w:lang w:val="es-ES"/>
        </w:rPr>
        <w:t>Diseñar mecanismos transparentes de convocatoria y asignación de contratos, monitoreo, y rendición de cuentas por parte de CONASIDA.</w:t>
      </w:r>
    </w:p>
    <w:p w14:paraId="53744CFF" w14:textId="77777777" w:rsidR="00E2152A" w:rsidRPr="00AB54A5" w:rsidRDefault="00E2152A" w:rsidP="00E2152A">
      <w:pPr>
        <w:pStyle w:val="ListParagraph"/>
        <w:numPr>
          <w:ilvl w:val="1"/>
          <w:numId w:val="38"/>
        </w:numPr>
        <w:spacing w:after="0" w:line="240" w:lineRule="auto"/>
        <w:jc w:val="both"/>
        <w:rPr>
          <w:rFonts w:ascii="Arial" w:hAnsi="Arial" w:cs="Arial"/>
          <w:lang w:val="es-ES"/>
        </w:rPr>
      </w:pPr>
      <w:r w:rsidRPr="00AB54A5">
        <w:rPr>
          <w:rFonts w:ascii="Arial" w:hAnsi="Arial" w:cs="Arial"/>
          <w:lang w:val="es-ES"/>
        </w:rPr>
        <w:lastRenderedPageBreak/>
        <w:t xml:space="preserve">En adición, usar la oportunidad de la Reglamentación de la Ley Especial de VH/Sida para: </w:t>
      </w:r>
    </w:p>
    <w:p w14:paraId="2FBABBB0" w14:textId="77777777" w:rsidR="00E2152A" w:rsidRPr="00AB54A5" w:rsidRDefault="00E2152A" w:rsidP="00E2152A">
      <w:pPr>
        <w:pStyle w:val="ListParagraph"/>
        <w:numPr>
          <w:ilvl w:val="2"/>
          <w:numId w:val="38"/>
        </w:numPr>
        <w:spacing w:after="0" w:line="240" w:lineRule="auto"/>
        <w:jc w:val="both"/>
        <w:rPr>
          <w:rFonts w:ascii="Arial" w:hAnsi="Arial" w:cs="Arial"/>
          <w:lang w:val="es-ES"/>
        </w:rPr>
      </w:pPr>
      <w:r w:rsidRPr="00AB54A5">
        <w:rPr>
          <w:rFonts w:ascii="Arial" w:hAnsi="Arial" w:cs="Arial"/>
          <w:lang w:val="es-ES"/>
        </w:rPr>
        <w:t>Regular las sanciones a aplicar por violaciones al Artículo 52 por parte de empleadores públicos y privados.</w:t>
      </w:r>
    </w:p>
    <w:p w14:paraId="29BF1BBE" w14:textId="77777777" w:rsidR="00E2152A" w:rsidRPr="00AB54A5" w:rsidRDefault="00E2152A" w:rsidP="00E2152A">
      <w:pPr>
        <w:pStyle w:val="ListParagraph"/>
        <w:numPr>
          <w:ilvl w:val="2"/>
          <w:numId w:val="38"/>
        </w:numPr>
        <w:spacing w:after="0" w:line="240" w:lineRule="auto"/>
        <w:jc w:val="both"/>
        <w:rPr>
          <w:rFonts w:ascii="Arial" w:hAnsi="Arial" w:cs="Arial"/>
          <w:lang w:val="es-ES"/>
        </w:rPr>
      </w:pPr>
      <w:r w:rsidRPr="00AB54A5">
        <w:rPr>
          <w:rFonts w:ascii="Arial" w:hAnsi="Arial" w:cs="Arial"/>
          <w:lang w:val="es-ES"/>
        </w:rPr>
        <w:t>Elección de miembros de la OSC en el CONASIDA Político.</w:t>
      </w:r>
    </w:p>
    <w:p w14:paraId="23980278" w14:textId="77777777" w:rsidR="00E2152A" w:rsidRPr="00AB54A5" w:rsidRDefault="00E2152A" w:rsidP="00E2152A">
      <w:pPr>
        <w:pStyle w:val="ListParagraph"/>
        <w:numPr>
          <w:ilvl w:val="2"/>
          <w:numId w:val="38"/>
        </w:numPr>
        <w:spacing w:after="0" w:line="240" w:lineRule="auto"/>
        <w:jc w:val="both"/>
        <w:rPr>
          <w:rFonts w:ascii="Arial" w:hAnsi="Arial" w:cs="Arial"/>
          <w:lang w:val="es-ES"/>
        </w:rPr>
      </w:pPr>
      <w:r w:rsidRPr="00AB54A5">
        <w:rPr>
          <w:rFonts w:ascii="Arial" w:hAnsi="Arial" w:cs="Arial"/>
          <w:lang w:val="es-ES"/>
        </w:rPr>
        <w:t>Definir el papel del CONASIDA Político a nivel rector general de políticas de financiamiento, sin facultades operacionales.</w:t>
      </w:r>
    </w:p>
    <w:p w14:paraId="19A38326" w14:textId="77777777" w:rsidR="00E2152A" w:rsidRPr="00AB54A5" w:rsidRDefault="00E2152A" w:rsidP="00E2152A">
      <w:pPr>
        <w:pStyle w:val="ListParagraph"/>
        <w:numPr>
          <w:ilvl w:val="2"/>
          <w:numId w:val="38"/>
        </w:numPr>
        <w:spacing w:after="0" w:line="240" w:lineRule="auto"/>
        <w:jc w:val="both"/>
        <w:rPr>
          <w:rFonts w:ascii="Arial" w:hAnsi="Arial" w:cs="Arial"/>
          <w:lang w:val="es-ES"/>
        </w:rPr>
      </w:pPr>
      <w:r w:rsidRPr="00AB54A5">
        <w:rPr>
          <w:rFonts w:ascii="Arial" w:hAnsi="Arial" w:cs="Arial"/>
          <w:lang w:val="es-ES"/>
        </w:rPr>
        <w:t xml:space="preserve">Fortalecer el CONASIDA Técnico como ente financiador y consecuentemente definir su estructura, funciones y tipo de personal. </w:t>
      </w:r>
    </w:p>
    <w:p w14:paraId="54F32510" w14:textId="00BC17E5" w:rsidR="0048574E" w:rsidRDefault="00E2152A" w:rsidP="004168F5">
      <w:pPr>
        <w:pStyle w:val="ListParagraph"/>
        <w:numPr>
          <w:ilvl w:val="2"/>
          <w:numId w:val="38"/>
        </w:numPr>
        <w:spacing w:after="0" w:line="240" w:lineRule="auto"/>
        <w:jc w:val="both"/>
        <w:rPr>
          <w:lang w:val="es-ES"/>
        </w:rPr>
      </w:pPr>
      <w:r w:rsidRPr="00AB54A5">
        <w:rPr>
          <w:rFonts w:ascii="Arial" w:hAnsi="Arial" w:cs="Arial"/>
          <w:lang w:val="es-ES"/>
        </w:rPr>
        <w:t>Hacer un análisis completo de las disposiciones de la Ley Especial para determinar aspectos a regular con definiciones y procedimientos para incluir en la Reglamentación de la Ley para asegurar su cumplimiento e implementación</w:t>
      </w:r>
      <w:r w:rsidR="00AB54A5">
        <w:rPr>
          <w:rFonts w:ascii="Arial" w:hAnsi="Arial" w:cs="Arial"/>
          <w:lang w:val="es-ES"/>
        </w:rPr>
        <w:t>.</w:t>
      </w:r>
      <w:bookmarkEnd w:id="149"/>
      <w:r w:rsidR="004168F5" w:rsidRPr="00AB54A5">
        <w:rPr>
          <w:lang w:val="es-ES"/>
        </w:rPr>
        <w:t xml:space="preserve"> </w:t>
      </w:r>
    </w:p>
    <w:p w14:paraId="4AED6F07" w14:textId="36E09992" w:rsidR="00086C1A" w:rsidRDefault="00086C1A" w:rsidP="00086C1A">
      <w:pPr>
        <w:spacing w:after="0" w:line="240" w:lineRule="auto"/>
        <w:jc w:val="both"/>
        <w:rPr>
          <w:lang w:val="es-ES"/>
        </w:rPr>
      </w:pPr>
    </w:p>
    <w:p w14:paraId="617046E3" w14:textId="2B5C4BEE" w:rsidR="00086C1A" w:rsidRDefault="00086C1A" w:rsidP="00086C1A">
      <w:pPr>
        <w:spacing w:after="0" w:line="240" w:lineRule="auto"/>
        <w:jc w:val="both"/>
        <w:rPr>
          <w:lang w:val="es-ES"/>
        </w:rPr>
      </w:pPr>
    </w:p>
    <w:p w14:paraId="3EA439EE" w14:textId="06C53E4C" w:rsidR="00354D0A" w:rsidRPr="00354D0A" w:rsidRDefault="00354D0A" w:rsidP="00354D0A">
      <w:pPr>
        <w:pStyle w:val="Heading4"/>
        <w:rPr>
          <w:rStyle w:val="IntenseReference"/>
          <w:rFonts w:ascii="Arial" w:hAnsi="Arial" w:cs="Arial"/>
          <w:i w:val="0"/>
          <w:lang w:val="es-419"/>
        </w:rPr>
      </w:pPr>
      <w:r w:rsidRPr="00354D0A">
        <w:rPr>
          <w:rStyle w:val="IntenseReference"/>
          <w:rFonts w:ascii="Arial" w:hAnsi="Arial" w:cs="Arial"/>
          <w:i w:val="0"/>
          <w:lang w:val="es-MX"/>
        </w:rPr>
        <w:t xml:space="preserve">ANEXO </w:t>
      </w:r>
      <w:r>
        <w:rPr>
          <w:rStyle w:val="IntenseReference"/>
          <w:rFonts w:ascii="Arial" w:hAnsi="Arial" w:cs="Arial"/>
          <w:i w:val="0"/>
          <w:lang w:val="es-MX"/>
        </w:rPr>
        <w:t>7</w:t>
      </w:r>
      <w:r w:rsidRPr="00354D0A">
        <w:rPr>
          <w:rStyle w:val="IntenseReference"/>
          <w:rFonts w:ascii="Arial" w:hAnsi="Arial" w:cs="Arial"/>
          <w:i w:val="0"/>
          <w:lang w:val="es-MX"/>
        </w:rPr>
        <w:t xml:space="preserve">. </w:t>
      </w:r>
      <w:r>
        <w:rPr>
          <w:rStyle w:val="IntenseReference"/>
          <w:rFonts w:ascii="Arial" w:hAnsi="Arial" w:cs="Arial"/>
          <w:i w:val="0"/>
          <w:lang w:val="es-419"/>
        </w:rPr>
        <w:t>Tablas y figuras varias</w:t>
      </w:r>
    </w:p>
    <w:p w14:paraId="0ED9BEA8" w14:textId="5273FAA9" w:rsidR="00086C1A" w:rsidRPr="00D447AE" w:rsidRDefault="00086C1A" w:rsidP="00086C1A">
      <w:pPr>
        <w:spacing w:after="0" w:line="240" w:lineRule="auto"/>
        <w:jc w:val="both"/>
        <w:rPr>
          <w:rFonts w:ascii="Arial" w:hAnsi="Arial" w:cs="Arial"/>
          <w:lang w:val="es-419"/>
        </w:rPr>
      </w:pPr>
    </w:p>
    <w:p w14:paraId="4664181C" w14:textId="08FDC789" w:rsidR="00086C1A" w:rsidRPr="00D447AE" w:rsidRDefault="00086C1A" w:rsidP="00086C1A">
      <w:pPr>
        <w:spacing w:after="0" w:line="240" w:lineRule="auto"/>
        <w:jc w:val="both"/>
        <w:rPr>
          <w:rFonts w:ascii="Arial" w:hAnsi="Arial" w:cs="Arial"/>
          <w:lang w:val="es-ES"/>
        </w:rPr>
      </w:pPr>
    </w:p>
    <w:p w14:paraId="4AF41B17" w14:textId="642CA30B" w:rsidR="00086C1A" w:rsidRPr="00004563" w:rsidRDefault="00D447AE" w:rsidP="00D447AE">
      <w:pPr>
        <w:pStyle w:val="Caption"/>
        <w:rPr>
          <w:rStyle w:val="IntenseReference"/>
          <w:rFonts w:ascii="Arial" w:hAnsi="Arial" w:cs="Arial"/>
          <w:i/>
          <w:color w:val="auto"/>
          <w:sz w:val="22"/>
          <w:szCs w:val="22"/>
          <w:lang w:val="es-MX"/>
        </w:rPr>
      </w:pPr>
      <w:bookmarkStart w:id="154" w:name="_Toc8904520"/>
      <w:r w:rsidRPr="00004563">
        <w:rPr>
          <w:rFonts w:ascii="Arial" w:hAnsi="Arial" w:cs="Arial"/>
          <w:color w:val="auto"/>
          <w:sz w:val="22"/>
          <w:szCs w:val="22"/>
        </w:rPr>
        <w:t xml:space="preserve">Tabla </w:t>
      </w:r>
      <w:r w:rsidRPr="00004563">
        <w:rPr>
          <w:rFonts w:ascii="Arial" w:hAnsi="Arial" w:cs="Arial"/>
          <w:color w:val="auto"/>
          <w:sz w:val="22"/>
          <w:szCs w:val="22"/>
        </w:rPr>
        <w:fldChar w:fldCharType="begin"/>
      </w:r>
      <w:r w:rsidRPr="00004563">
        <w:rPr>
          <w:rFonts w:ascii="Arial" w:hAnsi="Arial" w:cs="Arial"/>
          <w:color w:val="auto"/>
          <w:sz w:val="22"/>
          <w:szCs w:val="22"/>
        </w:rPr>
        <w:instrText xml:space="preserve"> SEQ Tabla \* ARABIC </w:instrText>
      </w:r>
      <w:r w:rsidRPr="00004563">
        <w:rPr>
          <w:rFonts w:ascii="Arial" w:hAnsi="Arial" w:cs="Arial"/>
          <w:color w:val="auto"/>
          <w:sz w:val="22"/>
          <w:szCs w:val="22"/>
        </w:rPr>
        <w:fldChar w:fldCharType="separate"/>
      </w:r>
      <w:r w:rsidRPr="00004563">
        <w:rPr>
          <w:rFonts w:ascii="Arial" w:hAnsi="Arial" w:cs="Arial"/>
          <w:noProof/>
          <w:color w:val="auto"/>
          <w:sz w:val="22"/>
          <w:szCs w:val="22"/>
        </w:rPr>
        <w:t>18</w:t>
      </w:r>
      <w:r w:rsidRPr="00004563">
        <w:rPr>
          <w:rFonts w:ascii="Arial" w:hAnsi="Arial" w:cs="Arial"/>
          <w:color w:val="auto"/>
          <w:sz w:val="22"/>
          <w:szCs w:val="22"/>
        </w:rPr>
        <w:fldChar w:fldCharType="end"/>
      </w:r>
      <w:r w:rsidRPr="00004563">
        <w:rPr>
          <w:rFonts w:ascii="Arial" w:hAnsi="Arial" w:cs="Arial"/>
          <w:color w:val="auto"/>
          <w:sz w:val="22"/>
          <w:szCs w:val="22"/>
        </w:rPr>
        <w:t>. Carga de enfermedad medida por mortalidad en Honduras 1990-2017</w:t>
      </w:r>
      <w:bookmarkEnd w:id="154"/>
    </w:p>
    <w:p w14:paraId="11C02131" w14:textId="77777777" w:rsidR="00086C1A" w:rsidRDefault="00086C1A" w:rsidP="00086C1A">
      <w:pPr>
        <w:spacing w:after="240" w:line="240" w:lineRule="auto"/>
        <w:rPr>
          <w:rFonts w:ascii="Arial" w:hAnsi="Arial" w:cs="Arial"/>
          <w:lang w:val="es-419"/>
        </w:rPr>
      </w:pPr>
      <w:r>
        <w:rPr>
          <w:rFonts w:ascii="Arial" w:hAnsi="Arial" w:cs="Arial"/>
          <w:noProof/>
          <w:lang w:val="es-419"/>
        </w:rPr>
        <w:drawing>
          <wp:inline distT="0" distB="0" distL="0" distR="0" wp14:anchorId="30863CCF" wp14:editId="28D79FCD">
            <wp:extent cx="5943600" cy="28956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0" cy="2895600"/>
                    </a:xfrm>
                    <a:prstGeom prst="rect">
                      <a:avLst/>
                    </a:prstGeom>
                    <a:noFill/>
                    <a:ln>
                      <a:noFill/>
                    </a:ln>
                  </pic:spPr>
                </pic:pic>
              </a:graphicData>
            </a:graphic>
          </wp:inline>
        </w:drawing>
      </w:r>
    </w:p>
    <w:p w14:paraId="12C6147E" w14:textId="77777777" w:rsidR="00086C1A" w:rsidRPr="00C036E9" w:rsidRDefault="00086C1A" w:rsidP="00086C1A">
      <w:pPr>
        <w:spacing w:after="240" w:line="240" w:lineRule="auto"/>
        <w:rPr>
          <w:rFonts w:ascii="Arial" w:hAnsi="Arial" w:cs="Arial"/>
          <w:i/>
          <w:sz w:val="20"/>
          <w:lang w:val="es-419"/>
        </w:rPr>
      </w:pPr>
      <w:r w:rsidRPr="00C036E9">
        <w:rPr>
          <w:rFonts w:ascii="Arial" w:hAnsi="Arial" w:cs="Arial"/>
          <w:i/>
          <w:sz w:val="20"/>
          <w:lang w:val="es-419"/>
        </w:rPr>
        <w:t>Fuente: IHME, consultado en 2019.</w:t>
      </w:r>
    </w:p>
    <w:p w14:paraId="18D546F4" w14:textId="77777777" w:rsidR="00D447AE" w:rsidRPr="006B5344" w:rsidRDefault="00D447AE" w:rsidP="00D447AE">
      <w:pPr>
        <w:rPr>
          <w:lang w:val="es-MX"/>
        </w:rPr>
      </w:pPr>
      <w:bookmarkStart w:id="155" w:name="_Hlk535502195"/>
    </w:p>
    <w:p w14:paraId="7C4D6241" w14:textId="77777777" w:rsidR="00D447AE" w:rsidRPr="006B5344" w:rsidRDefault="00D447AE" w:rsidP="00D447AE">
      <w:pPr>
        <w:rPr>
          <w:lang w:val="es-MX"/>
        </w:rPr>
      </w:pPr>
    </w:p>
    <w:p w14:paraId="29680C62" w14:textId="77777777" w:rsidR="00D447AE" w:rsidRPr="006B5344" w:rsidRDefault="00D447AE" w:rsidP="00D447AE">
      <w:pPr>
        <w:rPr>
          <w:lang w:val="es-MX"/>
        </w:rPr>
      </w:pPr>
    </w:p>
    <w:p w14:paraId="4F756F14" w14:textId="77777777" w:rsidR="00D447AE" w:rsidRPr="006B5344" w:rsidRDefault="00D447AE" w:rsidP="00D447AE">
      <w:pPr>
        <w:rPr>
          <w:lang w:val="es-MX"/>
        </w:rPr>
      </w:pPr>
    </w:p>
    <w:p w14:paraId="3354E0C8" w14:textId="77777777" w:rsidR="00D447AE" w:rsidRPr="006B5344" w:rsidRDefault="00D447AE" w:rsidP="00D447AE">
      <w:pPr>
        <w:rPr>
          <w:lang w:val="es-MX"/>
        </w:rPr>
      </w:pPr>
    </w:p>
    <w:p w14:paraId="68D306DB" w14:textId="77777777" w:rsidR="00D447AE" w:rsidRPr="006B5344" w:rsidRDefault="00D447AE" w:rsidP="00D447AE">
      <w:pPr>
        <w:rPr>
          <w:lang w:val="es-MX"/>
        </w:rPr>
      </w:pPr>
    </w:p>
    <w:p w14:paraId="540CE862" w14:textId="5A401E30" w:rsidR="00086C1A" w:rsidRPr="00004563" w:rsidRDefault="00D447AE" w:rsidP="00D447AE">
      <w:pPr>
        <w:pStyle w:val="Caption"/>
        <w:rPr>
          <w:rStyle w:val="IntenseReference"/>
          <w:rFonts w:ascii="Arial" w:hAnsi="Arial" w:cs="Arial"/>
          <w:i/>
          <w:color w:val="auto"/>
          <w:sz w:val="22"/>
          <w:szCs w:val="22"/>
          <w:lang w:val="es-MX"/>
        </w:rPr>
      </w:pPr>
      <w:bookmarkStart w:id="156" w:name="_Toc8904521"/>
      <w:r w:rsidRPr="00004563">
        <w:rPr>
          <w:rFonts w:ascii="Arial" w:hAnsi="Arial" w:cs="Arial"/>
          <w:color w:val="auto"/>
          <w:sz w:val="22"/>
          <w:szCs w:val="22"/>
        </w:rPr>
        <w:lastRenderedPageBreak/>
        <w:t xml:space="preserve">Tabla </w:t>
      </w:r>
      <w:r w:rsidRPr="00004563">
        <w:rPr>
          <w:rFonts w:ascii="Arial" w:hAnsi="Arial" w:cs="Arial"/>
          <w:color w:val="auto"/>
          <w:sz w:val="22"/>
          <w:szCs w:val="22"/>
        </w:rPr>
        <w:fldChar w:fldCharType="begin"/>
      </w:r>
      <w:r w:rsidRPr="00004563">
        <w:rPr>
          <w:rFonts w:ascii="Arial" w:hAnsi="Arial" w:cs="Arial"/>
          <w:color w:val="auto"/>
          <w:sz w:val="22"/>
          <w:szCs w:val="22"/>
        </w:rPr>
        <w:instrText xml:space="preserve"> SEQ Tabla \* ARABIC </w:instrText>
      </w:r>
      <w:r w:rsidRPr="00004563">
        <w:rPr>
          <w:rFonts w:ascii="Arial" w:hAnsi="Arial" w:cs="Arial"/>
          <w:color w:val="auto"/>
          <w:sz w:val="22"/>
          <w:szCs w:val="22"/>
        </w:rPr>
        <w:fldChar w:fldCharType="separate"/>
      </w:r>
      <w:r w:rsidRPr="00004563">
        <w:rPr>
          <w:rFonts w:ascii="Arial" w:hAnsi="Arial" w:cs="Arial"/>
          <w:noProof/>
          <w:color w:val="auto"/>
          <w:sz w:val="22"/>
          <w:szCs w:val="22"/>
        </w:rPr>
        <w:t>19</w:t>
      </w:r>
      <w:r w:rsidRPr="00004563">
        <w:rPr>
          <w:rFonts w:ascii="Arial" w:hAnsi="Arial" w:cs="Arial"/>
          <w:color w:val="auto"/>
          <w:sz w:val="22"/>
          <w:szCs w:val="22"/>
        </w:rPr>
        <w:fldChar w:fldCharType="end"/>
      </w:r>
      <w:r w:rsidRPr="00004563">
        <w:rPr>
          <w:rFonts w:ascii="Arial" w:hAnsi="Arial" w:cs="Arial"/>
          <w:color w:val="auto"/>
          <w:sz w:val="22"/>
          <w:szCs w:val="22"/>
        </w:rPr>
        <w:t>. Incidencia, prevalencia y mortalidad</w:t>
      </w:r>
      <w:bookmarkEnd w:id="156"/>
    </w:p>
    <w:tbl>
      <w:tblPr>
        <w:tblW w:w="8828" w:type="dxa"/>
        <w:tblLayout w:type="fixed"/>
        <w:tblCellMar>
          <w:left w:w="70" w:type="dxa"/>
          <w:right w:w="70" w:type="dxa"/>
        </w:tblCellMar>
        <w:tblLook w:val="04A0" w:firstRow="1" w:lastRow="0" w:firstColumn="1" w:lastColumn="0" w:noHBand="0" w:noVBand="1"/>
      </w:tblPr>
      <w:tblGrid>
        <w:gridCol w:w="2471"/>
        <w:gridCol w:w="970"/>
        <w:gridCol w:w="922"/>
        <w:gridCol w:w="922"/>
        <w:gridCol w:w="920"/>
        <w:gridCol w:w="2623"/>
      </w:tblGrid>
      <w:tr w:rsidR="00086C1A" w:rsidRPr="00DD37EC" w14:paraId="26FCE05C" w14:textId="77777777" w:rsidTr="00DF682C">
        <w:trPr>
          <w:trHeight w:val="20"/>
        </w:trPr>
        <w:tc>
          <w:tcPr>
            <w:tcW w:w="247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F3864" w:themeFill="accent1" w:themeFillShade="80"/>
            <w:noWrap/>
            <w:vAlign w:val="bottom"/>
            <w:hideMark/>
          </w:tcPr>
          <w:bookmarkEnd w:id="155"/>
          <w:p w14:paraId="0E3BE3CD" w14:textId="77777777" w:rsidR="00086C1A" w:rsidRPr="00DD37EC" w:rsidRDefault="00086C1A" w:rsidP="00DF682C">
            <w:pPr>
              <w:spacing w:after="240" w:line="240" w:lineRule="auto"/>
              <w:jc w:val="center"/>
              <w:rPr>
                <w:rFonts w:ascii="Arial" w:hAnsi="Arial" w:cs="Arial"/>
                <w:b/>
                <w:bCs/>
                <w:color w:val="FFFFFF" w:themeColor="background1"/>
                <w:lang w:val="es-MX"/>
              </w:rPr>
            </w:pPr>
            <w:r w:rsidRPr="00DD37EC">
              <w:rPr>
                <w:rFonts w:ascii="Arial" w:hAnsi="Arial" w:cs="Arial"/>
                <w:b/>
                <w:bCs/>
                <w:color w:val="FFFFFF" w:themeColor="background1"/>
                <w:lang w:val="es-MX"/>
              </w:rPr>
              <w:t>VIH</w:t>
            </w:r>
          </w:p>
        </w:tc>
        <w:tc>
          <w:tcPr>
            <w:tcW w:w="2814" w:type="dxa"/>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F3864" w:themeFill="accent1" w:themeFillShade="80"/>
            <w:noWrap/>
            <w:vAlign w:val="bottom"/>
            <w:hideMark/>
          </w:tcPr>
          <w:p w14:paraId="2A9EEE0A" w14:textId="77777777" w:rsidR="00086C1A" w:rsidRPr="00DD37EC" w:rsidRDefault="00086C1A" w:rsidP="00DF682C">
            <w:pPr>
              <w:spacing w:after="240" w:line="240" w:lineRule="auto"/>
              <w:jc w:val="center"/>
              <w:rPr>
                <w:rFonts w:ascii="Arial" w:hAnsi="Arial" w:cs="Arial"/>
                <w:b/>
                <w:bCs/>
                <w:color w:val="FFFFFF" w:themeColor="background1"/>
                <w:lang w:val="es-MX"/>
              </w:rPr>
            </w:pPr>
          </w:p>
        </w:tc>
        <w:tc>
          <w:tcPr>
            <w:tcW w:w="92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F3864" w:themeFill="accent1" w:themeFillShade="80"/>
            <w:noWrap/>
            <w:vAlign w:val="bottom"/>
            <w:hideMark/>
          </w:tcPr>
          <w:p w14:paraId="2E1EC2CF" w14:textId="77777777" w:rsidR="00086C1A" w:rsidRPr="00DD37EC" w:rsidRDefault="00086C1A" w:rsidP="00DF682C">
            <w:pPr>
              <w:spacing w:after="240" w:line="240" w:lineRule="auto"/>
              <w:jc w:val="center"/>
              <w:rPr>
                <w:rFonts w:ascii="Arial" w:hAnsi="Arial" w:cs="Arial"/>
                <w:b/>
                <w:bCs/>
                <w:color w:val="FFFFFF" w:themeColor="background1"/>
                <w:lang w:val="es-MX"/>
              </w:rPr>
            </w:pPr>
            <w:r w:rsidRPr="00DD37EC">
              <w:rPr>
                <w:rFonts w:ascii="Arial" w:hAnsi="Arial" w:cs="Arial"/>
                <w:b/>
                <w:bCs/>
                <w:color w:val="FFFFFF" w:themeColor="background1"/>
                <w:lang w:val="es-MX"/>
              </w:rPr>
              <w:t>Año</w:t>
            </w:r>
          </w:p>
        </w:tc>
        <w:tc>
          <w:tcPr>
            <w:tcW w:w="262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F3864" w:themeFill="accent1" w:themeFillShade="80"/>
            <w:noWrap/>
            <w:vAlign w:val="bottom"/>
            <w:hideMark/>
          </w:tcPr>
          <w:p w14:paraId="6D245C7C" w14:textId="77777777" w:rsidR="00086C1A" w:rsidRPr="00DD37EC" w:rsidRDefault="00086C1A" w:rsidP="00DF682C">
            <w:pPr>
              <w:spacing w:after="240" w:line="240" w:lineRule="auto"/>
              <w:jc w:val="center"/>
              <w:rPr>
                <w:rFonts w:ascii="Arial" w:hAnsi="Arial" w:cs="Arial"/>
                <w:b/>
                <w:bCs/>
                <w:color w:val="FFFFFF" w:themeColor="background1"/>
                <w:lang w:val="es-MX"/>
              </w:rPr>
            </w:pPr>
            <w:r w:rsidRPr="00DD37EC">
              <w:rPr>
                <w:rFonts w:ascii="Arial" w:hAnsi="Arial" w:cs="Arial"/>
                <w:b/>
                <w:bCs/>
                <w:color w:val="FFFFFF" w:themeColor="background1"/>
                <w:lang w:val="es-MX"/>
              </w:rPr>
              <w:t>Fuente</w:t>
            </w:r>
          </w:p>
        </w:tc>
      </w:tr>
      <w:tr w:rsidR="00086C1A" w:rsidRPr="00DD37EC" w14:paraId="48327E6A" w14:textId="77777777" w:rsidTr="00DF682C">
        <w:trPr>
          <w:trHeight w:val="20"/>
        </w:trPr>
        <w:tc>
          <w:tcPr>
            <w:tcW w:w="247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F3864" w:themeFill="accent1" w:themeFillShade="80"/>
            <w:noWrap/>
            <w:vAlign w:val="bottom"/>
            <w:hideMark/>
          </w:tcPr>
          <w:p w14:paraId="4E37DEB2" w14:textId="77777777" w:rsidR="00086C1A" w:rsidRPr="00DD37EC" w:rsidRDefault="00086C1A" w:rsidP="00DF682C">
            <w:pPr>
              <w:spacing w:after="240" w:line="240" w:lineRule="auto"/>
              <w:jc w:val="center"/>
              <w:rPr>
                <w:rFonts w:ascii="Arial" w:hAnsi="Arial" w:cs="Arial"/>
                <w:b/>
                <w:bCs/>
                <w:color w:val="FFFFFF" w:themeColor="background1"/>
                <w:lang w:val="es-MX"/>
              </w:rPr>
            </w:pPr>
          </w:p>
        </w:tc>
        <w:tc>
          <w:tcPr>
            <w:tcW w:w="97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F3864" w:themeFill="accent1" w:themeFillShade="80"/>
            <w:noWrap/>
            <w:vAlign w:val="bottom"/>
            <w:hideMark/>
          </w:tcPr>
          <w:p w14:paraId="5067321F" w14:textId="77777777" w:rsidR="00086C1A" w:rsidRPr="00DD37EC" w:rsidRDefault="00086C1A" w:rsidP="00DF682C">
            <w:pPr>
              <w:spacing w:after="240" w:line="240" w:lineRule="auto"/>
              <w:jc w:val="center"/>
              <w:rPr>
                <w:rFonts w:ascii="Arial" w:hAnsi="Arial" w:cs="Arial"/>
                <w:b/>
                <w:bCs/>
                <w:color w:val="FFFFFF" w:themeColor="background1"/>
                <w:lang w:val="es-MX"/>
              </w:rPr>
            </w:pPr>
            <w:r w:rsidRPr="00DD37EC">
              <w:rPr>
                <w:rFonts w:ascii="Arial" w:hAnsi="Arial" w:cs="Arial"/>
                <w:b/>
                <w:bCs/>
                <w:color w:val="FFFFFF" w:themeColor="background1"/>
                <w:lang w:val="es-MX"/>
              </w:rPr>
              <w:t>Total</w:t>
            </w:r>
          </w:p>
        </w:tc>
        <w:tc>
          <w:tcPr>
            <w:tcW w:w="92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F3864" w:themeFill="accent1" w:themeFillShade="80"/>
            <w:noWrap/>
            <w:vAlign w:val="bottom"/>
            <w:hideMark/>
          </w:tcPr>
          <w:p w14:paraId="21FAB8D6" w14:textId="77777777" w:rsidR="00086C1A" w:rsidRPr="00DD37EC" w:rsidRDefault="00086C1A" w:rsidP="00DF682C">
            <w:pPr>
              <w:spacing w:after="240" w:line="240" w:lineRule="auto"/>
              <w:jc w:val="center"/>
              <w:rPr>
                <w:rFonts w:ascii="Arial" w:hAnsi="Arial" w:cs="Arial"/>
                <w:b/>
                <w:bCs/>
                <w:color w:val="FFFFFF" w:themeColor="background1"/>
                <w:lang w:val="es-MX"/>
              </w:rPr>
            </w:pPr>
            <w:r w:rsidRPr="00DD37EC">
              <w:rPr>
                <w:rFonts w:ascii="Arial" w:hAnsi="Arial" w:cs="Arial"/>
                <w:b/>
                <w:bCs/>
                <w:color w:val="FFFFFF" w:themeColor="background1"/>
                <w:lang w:val="es-MX"/>
              </w:rPr>
              <w:t>M            (n, %)</w:t>
            </w:r>
          </w:p>
        </w:tc>
        <w:tc>
          <w:tcPr>
            <w:tcW w:w="92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F3864" w:themeFill="accent1" w:themeFillShade="80"/>
            <w:noWrap/>
            <w:vAlign w:val="bottom"/>
            <w:hideMark/>
          </w:tcPr>
          <w:p w14:paraId="2A91C0F6" w14:textId="77777777" w:rsidR="00086C1A" w:rsidRPr="00DD37EC" w:rsidRDefault="00086C1A" w:rsidP="00DF682C">
            <w:pPr>
              <w:spacing w:after="240" w:line="240" w:lineRule="auto"/>
              <w:jc w:val="center"/>
              <w:rPr>
                <w:rFonts w:ascii="Arial" w:hAnsi="Arial" w:cs="Arial"/>
                <w:b/>
                <w:bCs/>
                <w:color w:val="FFFFFF" w:themeColor="background1"/>
                <w:lang w:val="es-MX"/>
              </w:rPr>
            </w:pPr>
            <w:r w:rsidRPr="00DD37EC">
              <w:rPr>
                <w:rFonts w:ascii="Arial" w:hAnsi="Arial" w:cs="Arial"/>
                <w:b/>
                <w:bCs/>
                <w:color w:val="FFFFFF" w:themeColor="background1"/>
                <w:lang w:val="es-MX"/>
              </w:rPr>
              <w:t>F              (n, %)</w:t>
            </w:r>
          </w:p>
        </w:tc>
        <w:tc>
          <w:tcPr>
            <w:tcW w:w="92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F3864" w:themeFill="accent1" w:themeFillShade="80"/>
            <w:noWrap/>
            <w:vAlign w:val="bottom"/>
            <w:hideMark/>
          </w:tcPr>
          <w:p w14:paraId="34A46154" w14:textId="77777777" w:rsidR="00086C1A" w:rsidRPr="00DD37EC" w:rsidRDefault="00086C1A" w:rsidP="00DF682C">
            <w:pPr>
              <w:spacing w:after="240" w:line="240" w:lineRule="auto"/>
              <w:jc w:val="center"/>
              <w:rPr>
                <w:rFonts w:ascii="Arial" w:hAnsi="Arial" w:cs="Arial"/>
                <w:b/>
                <w:bCs/>
                <w:color w:val="FFFFFF" w:themeColor="background1"/>
                <w:lang w:val="es-MX"/>
              </w:rPr>
            </w:pPr>
          </w:p>
        </w:tc>
        <w:tc>
          <w:tcPr>
            <w:tcW w:w="2623" w:type="dxa"/>
            <w:tcBorders>
              <w:top w:val="single" w:sz="8" w:space="0" w:color="FFFFFF" w:themeColor="background1"/>
              <w:left w:val="single" w:sz="8" w:space="0" w:color="FFFFFF" w:themeColor="background1"/>
              <w:bottom w:val="single" w:sz="4" w:space="0" w:color="auto"/>
              <w:right w:val="single" w:sz="8" w:space="0" w:color="FFFFFF" w:themeColor="background1"/>
            </w:tcBorders>
            <w:shd w:val="clear" w:color="auto" w:fill="1F3864" w:themeFill="accent1" w:themeFillShade="80"/>
            <w:noWrap/>
            <w:vAlign w:val="bottom"/>
            <w:hideMark/>
          </w:tcPr>
          <w:p w14:paraId="2136A3B1" w14:textId="77777777" w:rsidR="00086C1A" w:rsidRPr="00DD37EC" w:rsidRDefault="00086C1A" w:rsidP="00DF682C">
            <w:pPr>
              <w:spacing w:after="240" w:line="240" w:lineRule="auto"/>
              <w:jc w:val="center"/>
              <w:rPr>
                <w:rFonts w:ascii="Arial" w:hAnsi="Arial" w:cs="Arial"/>
                <w:b/>
                <w:bCs/>
                <w:color w:val="FFFFFF" w:themeColor="background1"/>
                <w:lang w:val="es-MX"/>
              </w:rPr>
            </w:pPr>
          </w:p>
        </w:tc>
      </w:tr>
      <w:tr w:rsidR="00086C1A" w:rsidRPr="00DD37EC" w14:paraId="7685C6BB" w14:textId="77777777" w:rsidTr="00DF682C">
        <w:trPr>
          <w:trHeight w:val="20"/>
        </w:trPr>
        <w:tc>
          <w:tcPr>
            <w:tcW w:w="2471" w:type="dxa"/>
            <w:vMerge w:val="restart"/>
            <w:tcBorders>
              <w:top w:val="single" w:sz="8" w:space="0" w:color="FFFFFF" w:themeColor="background1"/>
              <w:left w:val="single" w:sz="4" w:space="0" w:color="auto"/>
              <w:right w:val="single" w:sz="4" w:space="0" w:color="auto"/>
            </w:tcBorders>
            <w:shd w:val="clear" w:color="auto" w:fill="auto"/>
            <w:noWrap/>
            <w:vAlign w:val="center"/>
            <w:hideMark/>
          </w:tcPr>
          <w:p w14:paraId="54287C6D" w14:textId="77777777" w:rsidR="00086C1A" w:rsidRPr="00DD37EC" w:rsidRDefault="00086C1A" w:rsidP="00DF682C">
            <w:pPr>
              <w:spacing w:after="240" w:line="240" w:lineRule="auto"/>
              <w:jc w:val="center"/>
              <w:rPr>
                <w:rFonts w:ascii="Arial" w:hAnsi="Arial" w:cs="Arial"/>
                <w:b/>
                <w:color w:val="000000"/>
                <w:lang w:val="es-MX"/>
              </w:rPr>
            </w:pPr>
            <w:r w:rsidRPr="00DD37EC">
              <w:rPr>
                <w:rFonts w:ascii="Arial" w:hAnsi="Arial" w:cs="Arial"/>
                <w:b/>
                <w:color w:val="000000"/>
                <w:lang w:val="es-MX"/>
              </w:rPr>
              <w:t>Proporción de Incidencia x 1000 habitantes todos</w:t>
            </w:r>
          </w:p>
        </w:tc>
        <w:tc>
          <w:tcPr>
            <w:tcW w:w="970" w:type="dxa"/>
            <w:tcBorders>
              <w:top w:val="single" w:sz="8" w:space="0" w:color="FFFFFF" w:themeColor="background1"/>
              <w:left w:val="nil"/>
              <w:bottom w:val="single" w:sz="4" w:space="0" w:color="auto"/>
              <w:right w:val="single" w:sz="4" w:space="0" w:color="auto"/>
            </w:tcBorders>
            <w:shd w:val="clear" w:color="auto" w:fill="auto"/>
            <w:noWrap/>
            <w:hideMark/>
          </w:tcPr>
          <w:p w14:paraId="303A4C39" w14:textId="77777777" w:rsidR="00086C1A" w:rsidRPr="00DD37EC" w:rsidRDefault="00086C1A" w:rsidP="00DF682C">
            <w:pPr>
              <w:spacing w:after="240" w:line="240" w:lineRule="auto"/>
              <w:jc w:val="center"/>
              <w:rPr>
                <w:rFonts w:ascii="Arial" w:hAnsi="Arial" w:cs="Arial"/>
                <w:color w:val="000000"/>
                <w:lang w:val="es-MX"/>
              </w:rPr>
            </w:pPr>
            <w:r w:rsidRPr="00DD37EC">
              <w:rPr>
                <w:rFonts w:ascii="Arial" w:hAnsi="Arial" w:cs="Arial"/>
                <w:color w:val="000000"/>
                <w:lang w:val="es-MX"/>
              </w:rPr>
              <w:t xml:space="preserve">  0,10</w:t>
            </w:r>
          </w:p>
        </w:tc>
        <w:tc>
          <w:tcPr>
            <w:tcW w:w="922" w:type="dxa"/>
            <w:tcBorders>
              <w:top w:val="single" w:sz="8" w:space="0" w:color="FFFFFF" w:themeColor="background1"/>
              <w:left w:val="nil"/>
              <w:bottom w:val="single" w:sz="4" w:space="0" w:color="auto"/>
              <w:right w:val="single" w:sz="4" w:space="0" w:color="auto"/>
            </w:tcBorders>
            <w:shd w:val="clear" w:color="auto" w:fill="auto"/>
            <w:noWrap/>
            <w:hideMark/>
          </w:tcPr>
          <w:p w14:paraId="478AEC64" w14:textId="77777777" w:rsidR="00086C1A" w:rsidRPr="00DD37EC" w:rsidRDefault="00086C1A" w:rsidP="00DF682C">
            <w:pPr>
              <w:spacing w:after="240" w:line="240" w:lineRule="auto"/>
              <w:jc w:val="center"/>
              <w:rPr>
                <w:rFonts w:ascii="Arial" w:hAnsi="Arial" w:cs="Arial"/>
                <w:color w:val="000000"/>
                <w:lang w:val="es-MX"/>
              </w:rPr>
            </w:pPr>
          </w:p>
        </w:tc>
        <w:tc>
          <w:tcPr>
            <w:tcW w:w="922" w:type="dxa"/>
            <w:tcBorders>
              <w:top w:val="single" w:sz="8" w:space="0" w:color="FFFFFF" w:themeColor="background1"/>
              <w:left w:val="nil"/>
              <w:bottom w:val="single" w:sz="4" w:space="0" w:color="auto"/>
              <w:right w:val="single" w:sz="4" w:space="0" w:color="auto"/>
            </w:tcBorders>
            <w:shd w:val="clear" w:color="auto" w:fill="auto"/>
            <w:noWrap/>
            <w:hideMark/>
          </w:tcPr>
          <w:p w14:paraId="379B8F52" w14:textId="77777777" w:rsidR="00086C1A" w:rsidRPr="00DD37EC" w:rsidRDefault="00086C1A" w:rsidP="00DF682C">
            <w:pPr>
              <w:spacing w:after="240" w:line="240" w:lineRule="auto"/>
              <w:jc w:val="center"/>
              <w:rPr>
                <w:rFonts w:ascii="Arial" w:hAnsi="Arial" w:cs="Arial"/>
                <w:color w:val="000000"/>
                <w:lang w:val="es-MX"/>
              </w:rPr>
            </w:pPr>
          </w:p>
        </w:tc>
        <w:tc>
          <w:tcPr>
            <w:tcW w:w="920" w:type="dxa"/>
            <w:tcBorders>
              <w:top w:val="single" w:sz="8" w:space="0" w:color="FFFFFF" w:themeColor="background1"/>
              <w:left w:val="nil"/>
              <w:bottom w:val="single" w:sz="4" w:space="0" w:color="auto"/>
              <w:right w:val="single" w:sz="4" w:space="0" w:color="auto"/>
            </w:tcBorders>
            <w:shd w:val="clear" w:color="auto" w:fill="auto"/>
            <w:noWrap/>
            <w:hideMark/>
          </w:tcPr>
          <w:p w14:paraId="65D61235" w14:textId="77777777" w:rsidR="00086C1A" w:rsidRPr="00DD37EC" w:rsidRDefault="00086C1A" w:rsidP="00DF682C">
            <w:pPr>
              <w:spacing w:after="240" w:line="240" w:lineRule="auto"/>
              <w:jc w:val="center"/>
              <w:rPr>
                <w:rFonts w:ascii="Arial" w:hAnsi="Arial" w:cs="Arial"/>
                <w:color w:val="000000"/>
                <w:lang w:val="es-MX"/>
              </w:rPr>
            </w:pPr>
            <w:r w:rsidRPr="00DD37EC">
              <w:rPr>
                <w:rFonts w:ascii="Arial" w:hAnsi="Arial" w:cs="Arial"/>
                <w:color w:val="000000"/>
                <w:lang w:val="es-MX"/>
              </w:rPr>
              <w:t>2017</w:t>
            </w:r>
          </w:p>
        </w:tc>
        <w:tc>
          <w:tcPr>
            <w:tcW w:w="2623" w:type="dxa"/>
            <w:tcBorders>
              <w:top w:val="single" w:sz="4" w:space="0" w:color="auto"/>
              <w:left w:val="nil"/>
              <w:bottom w:val="single" w:sz="4" w:space="0" w:color="auto"/>
              <w:right w:val="single" w:sz="4" w:space="0" w:color="auto"/>
            </w:tcBorders>
            <w:shd w:val="clear" w:color="auto" w:fill="auto"/>
            <w:noWrap/>
            <w:hideMark/>
          </w:tcPr>
          <w:p w14:paraId="608557CA" w14:textId="77777777" w:rsidR="00086C1A" w:rsidRPr="00DD37EC" w:rsidRDefault="00086C1A" w:rsidP="00DF682C">
            <w:pPr>
              <w:spacing w:after="240" w:line="240" w:lineRule="auto"/>
              <w:jc w:val="center"/>
              <w:rPr>
                <w:rFonts w:ascii="Arial" w:hAnsi="Arial" w:cs="Arial"/>
                <w:color w:val="000000"/>
                <w:lang w:val="es-MX"/>
              </w:rPr>
            </w:pPr>
            <w:r w:rsidRPr="00DD37EC">
              <w:rPr>
                <w:rFonts w:ascii="Arial" w:hAnsi="Arial" w:cs="Arial"/>
                <w:color w:val="000000"/>
                <w:lang w:val="es-MX"/>
              </w:rPr>
              <w:t>ONUSIDA country data, 2018</w:t>
            </w:r>
            <w:r w:rsidRPr="00DD37EC">
              <w:rPr>
                <w:rStyle w:val="FootnoteReference"/>
                <w:rFonts w:ascii="Arial" w:hAnsi="Arial" w:cs="Arial"/>
                <w:color w:val="000000"/>
                <w:lang w:val="es-MX"/>
              </w:rPr>
              <w:footnoteReference w:id="138"/>
            </w:r>
          </w:p>
        </w:tc>
      </w:tr>
      <w:tr w:rsidR="00086C1A" w:rsidRPr="00DD37EC" w14:paraId="42C6860A" w14:textId="77777777" w:rsidTr="00DF682C">
        <w:trPr>
          <w:trHeight w:val="20"/>
        </w:trPr>
        <w:tc>
          <w:tcPr>
            <w:tcW w:w="2471" w:type="dxa"/>
            <w:vMerge/>
            <w:tcBorders>
              <w:left w:val="single" w:sz="4" w:space="0" w:color="auto"/>
              <w:right w:val="single" w:sz="4" w:space="0" w:color="auto"/>
            </w:tcBorders>
            <w:shd w:val="clear" w:color="auto" w:fill="auto"/>
            <w:noWrap/>
            <w:vAlign w:val="center"/>
            <w:hideMark/>
          </w:tcPr>
          <w:p w14:paraId="0525F8C9" w14:textId="77777777" w:rsidR="00086C1A" w:rsidRPr="00DD37EC" w:rsidRDefault="00086C1A" w:rsidP="00DF682C">
            <w:pPr>
              <w:spacing w:after="240" w:line="240" w:lineRule="auto"/>
              <w:jc w:val="center"/>
              <w:rPr>
                <w:rFonts w:ascii="Arial" w:hAnsi="Arial" w:cs="Arial"/>
                <w:b/>
                <w:color w:val="000000"/>
                <w:lang w:val="es-MX"/>
              </w:rPr>
            </w:pPr>
          </w:p>
        </w:tc>
        <w:tc>
          <w:tcPr>
            <w:tcW w:w="970" w:type="dxa"/>
            <w:tcBorders>
              <w:top w:val="nil"/>
              <w:left w:val="nil"/>
              <w:bottom w:val="single" w:sz="4" w:space="0" w:color="auto"/>
              <w:right w:val="single" w:sz="4" w:space="0" w:color="auto"/>
            </w:tcBorders>
            <w:shd w:val="clear" w:color="auto" w:fill="auto"/>
            <w:noWrap/>
          </w:tcPr>
          <w:p w14:paraId="1CC5EC72" w14:textId="77777777" w:rsidR="00086C1A" w:rsidRPr="00DD37EC" w:rsidRDefault="00086C1A" w:rsidP="00DF682C">
            <w:pPr>
              <w:spacing w:after="240" w:line="240" w:lineRule="auto"/>
              <w:jc w:val="center"/>
              <w:rPr>
                <w:rFonts w:ascii="Arial" w:hAnsi="Arial" w:cs="Arial"/>
                <w:color w:val="000000"/>
                <w:lang w:val="es-MX"/>
              </w:rPr>
            </w:pPr>
            <w:r w:rsidRPr="00DD37EC">
              <w:rPr>
                <w:rFonts w:ascii="Arial" w:hAnsi="Arial" w:cs="Arial"/>
                <w:color w:val="000000"/>
                <w:lang w:val="es-MX"/>
              </w:rPr>
              <w:t>0.11</w:t>
            </w:r>
          </w:p>
        </w:tc>
        <w:tc>
          <w:tcPr>
            <w:tcW w:w="922" w:type="dxa"/>
            <w:tcBorders>
              <w:top w:val="nil"/>
              <w:left w:val="nil"/>
              <w:bottom w:val="single" w:sz="4" w:space="0" w:color="auto"/>
              <w:right w:val="single" w:sz="4" w:space="0" w:color="auto"/>
            </w:tcBorders>
            <w:shd w:val="clear" w:color="auto" w:fill="auto"/>
            <w:noWrap/>
          </w:tcPr>
          <w:p w14:paraId="700C9872" w14:textId="77777777" w:rsidR="00086C1A" w:rsidRPr="00DD37EC" w:rsidRDefault="00086C1A" w:rsidP="00DF682C">
            <w:pPr>
              <w:spacing w:after="240" w:line="240" w:lineRule="auto"/>
              <w:jc w:val="center"/>
              <w:rPr>
                <w:rFonts w:ascii="Arial" w:hAnsi="Arial" w:cs="Arial"/>
                <w:color w:val="000000"/>
                <w:lang w:val="es-MX"/>
              </w:rPr>
            </w:pPr>
          </w:p>
        </w:tc>
        <w:tc>
          <w:tcPr>
            <w:tcW w:w="922" w:type="dxa"/>
            <w:tcBorders>
              <w:top w:val="nil"/>
              <w:left w:val="nil"/>
              <w:bottom w:val="single" w:sz="4" w:space="0" w:color="auto"/>
              <w:right w:val="single" w:sz="4" w:space="0" w:color="auto"/>
            </w:tcBorders>
            <w:shd w:val="clear" w:color="auto" w:fill="auto"/>
            <w:noWrap/>
          </w:tcPr>
          <w:p w14:paraId="2E412EBF" w14:textId="77777777" w:rsidR="00086C1A" w:rsidRPr="00DD37EC" w:rsidRDefault="00086C1A" w:rsidP="00DF682C">
            <w:pPr>
              <w:spacing w:after="240" w:line="240" w:lineRule="auto"/>
              <w:jc w:val="center"/>
              <w:rPr>
                <w:rFonts w:ascii="Arial" w:hAnsi="Arial" w:cs="Arial"/>
                <w:color w:val="000000"/>
                <w:lang w:val="es-MX"/>
              </w:rPr>
            </w:pPr>
          </w:p>
        </w:tc>
        <w:tc>
          <w:tcPr>
            <w:tcW w:w="920" w:type="dxa"/>
            <w:tcBorders>
              <w:top w:val="nil"/>
              <w:left w:val="nil"/>
              <w:bottom w:val="single" w:sz="4" w:space="0" w:color="auto"/>
              <w:right w:val="single" w:sz="4" w:space="0" w:color="auto"/>
            </w:tcBorders>
            <w:shd w:val="clear" w:color="auto" w:fill="auto"/>
            <w:noWrap/>
          </w:tcPr>
          <w:p w14:paraId="15AB2D6E" w14:textId="77777777" w:rsidR="00086C1A" w:rsidRPr="00DD37EC" w:rsidRDefault="00086C1A" w:rsidP="00DF682C">
            <w:pPr>
              <w:spacing w:after="240" w:line="240" w:lineRule="auto"/>
              <w:jc w:val="center"/>
              <w:rPr>
                <w:rFonts w:ascii="Arial" w:hAnsi="Arial" w:cs="Arial"/>
                <w:color w:val="000000"/>
                <w:lang w:val="es-MX"/>
              </w:rPr>
            </w:pPr>
            <w:r w:rsidRPr="00DD37EC">
              <w:rPr>
                <w:rFonts w:ascii="Arial" w:hAnsi="Arial" w:cs="Arial"/>
                <w:color w:val="000000"/>
                <w:lang w:val="es-MX"/>
              </w:rPr>
              <w:t>2010</w:t>
            </w:r>
          </w:p>
        </w:tc>
        <w:tc>
          <w:tcPr>
            <w:tcW w:w="2623" w:type="dxa"/>
            <w:tcBorders>
              <w:top w:val="single" w:sz="4" w:space="0" w:color="auto"/>
              <w:left w:val="nil"/>
              <w:bottom w:val="single" w:sz="4" w:space="0" w:color="auto"/>
              <w:right w:val="single" w:sz="4" w:space="0" w:color="auto"/>
            </w:tcBorders>
            <w:shd w:val="clear" w:color="auto" w:fill="auto"/>
            <w:noWrap/>
          </w:tcPr>
          <w:p w14:paraId="62FA98D8" w14:textId="77777777" w:rsidR="00086C1A" w:rsidRPr="00DD37EC" w:rsidRDefault="00086C1A" w:rsidP="00DF682C">
            <w:pPr>
              <w:spacing w:after="240" w:line="240" w:lineRule="auto"/>
              <w:jc w:val="center"/>
              <w:rPr>
                <w:rFonts w:ascii="Arial" w:hAnsi="Arial" w:cs="Arial"/>
                <w:color w:val="000000"/>
                <w:lang w:val="es-MX"/>
              </w:rPr>
            </w:pPr>
            <w:r w:rsidRPr="00DD37EC">
              <w:rPr>
                <w:rFonts w:ascii="Arial" w:hAnsi="Arial" w:cs="Arial"/>
                <w:color w:val="000000"/>
                <w:lang w:val="es-MX"/>
              </w:rPr>
              <w:t>ONUSIDA Country Data, 2018</w:t>
            </w:r>
            <w:r w:rsidRPr="00DD37EC">
              <w:rPr>
                <w:rStyle w:val="FootnoteReference"/>
                <w:rFonts w:ascii="Arial" w:hAnsi="Arial" w:cs="Arial"/>
                <w:color w:val="000000"/>
                <w:lang w:val="es-MX"/>
              </w:rPr>
              <w:footnoteReference w:id="139"/>
            </w:r>
          </w:p>
        </w:tc>
      </w:tr>
      <w:tr w:rsidR="00086C1A" w:rsidRPr="00DD37EC" w14:paraId="6721A896" w14:textId="77777777" w:rsidTr="00DF682C">
        <w:trPr>
          <w:trHeight w:val="20"/>
        </w:trPr>
        <w:tc>
          <w:tcPr>
            <w:tcW w:w="2471" w:type="dxa"/>
            <w:vMerge/>
            <w:tcBorders>
              <w:left w:val="single" w:sz="4" w:space="0" w:color="auto"/>
              <w:bottom w:val="single" w:sz="4" w:space="0" w:color="auto"/>
              <w:right w:val="single" w:sz="4" w:space="0" w:color="auto"/>
            </w:tcBorders>
            <w:shd w:val="clear" w:color="auto" w:fill="auto"/>
            <w:noWrap/>
            <w:vAlign w:val="center"/>
          </w:tcPr>
          <w:p w14:paraId="5510F2DE" w14:textId="77777777" w:rsidR="00086C1A" w:rsidRPr="00DD37EC" w:rsidRDefault="00086C1A" w:rsidP="00DF682C">
            <w:pPr>
              <w:spacing w:after="240" w:line="240" w:lineRule="auto"/>
              <w:jc w:val="center"/>
              <w:rPr>
                <w:rFonts w:ascii="Arial" w:hAnsi="Arial" w:cs="Arial"/>
                <w:b/>
                <w:color w:val="000000"/>
                <w:lang w:val="es-MX"/>
              </w:rPr>
            </w:pPr>
          </w:p>
        </w:tc>
        <w:tc>
          <w:tcPr>
            <w:tcW w:w="970" w:type="dxa"/>
            <w:tcBorders>
              <w:top w:val="nil"/>
              <w:left w:val="nil"/>
              <w:bottom w:val="single" w:sz="4" w:space="0" w:color="auto"/>
              <w:right w:val="single" w:sz="4" w:space="0" w:color="auto"/>
            </w:tcBorders>
            <w:shd w:val="clear" w:color="auto" w:fill="auto"/>
            <w:noWrap/>
          </w:tcPr>
          <w:p w14:paraId="06420233" w14:textId="77777777" w:rsidR="00086C1A" w:rsidRPr="00DD37EC" w:rsidRDefault="00086C1A" w:rsidP="00DF682C">
            <w:pPr>
              <w:spacing w:after="240" w:line="240" w:lineRule="auto"/>
              <w:jc w:val="center"/>
              <w:rPr>
                <w:rFonts w:ascii="Arial" w:hAnsi="Arial" w:cs="Arial"/>
                <w:color w:val="000000"/>
                <w:lang w:val="es-MX"/>
              </w:rPr>
            </w:pPr>
            <w:r w:rsidRPr="00DD37EC">
              <w:rPr>
                <w:rFonts w:ascii="Arial" w:hAnsi="Arial" w:cs="Arial"/>
                <w:color w:val="000000"/>
                <w:lang w:val="es-MX"/>
              </w:rPr>
              <w:t>0,15</w:t>
            </w:r>
          </w:p>
        </w:tc>
        <w:tc>
          <w:tcPr>
            <w:tcW w:w="922" w:type="dxa"/>
            <w:tcBorders>
              <w:top w:val="nil"/>
              <w:left w:val="nil"/>
              <w:bottom w:val="single" w:sz="4" w:space="0" w:color="auto"/>
              <w:right w:val="single" w:sz="4" w:space="0" w:color="auto"/>
            </w:tcBorders>
            <w:shd w:val="clear" w:color="auto" w:fill="auto"/>
            <w:noWrap/>
          </w:tcPr>
          <w:p w14:paraId="2D5AFFF2" w14:textId="77777777" w:rsidR="00086C1A" w:rsidRPr="00DD37EC" w:rsidRDefault="00086C1A" w:rsidP="00DF682C">
            <w:pPr>
              <w:spacing w:after="240" w:line="240" w:lineRule="auto"/>
              <w:jc w:val="center"/>
              <w:rPr>
                <w:rFonts w:ascii="Arial" w:hAnsi="Arial" w:cs="Arial"/>
                <w:color w:val="000000"/>
                <w:lang w:val="es-MX"/>
              </w:rPr>
            </w:pPr>
          </w:p>
        </w:tc>
        <w:tc>
          <w:tcPr>
            <w:tcW w:w="922" w:type="dxa"/>
            <w:tcBorders>
              <w:top w:val="nil"/>
              <w:left w:val="nil"/>
              <w:bottom w:val="single" w:sz="4" w:space="0" w:color="auto"/>
              <w:right w:val="single" w:sz="4" w:space="0" w:color="auto"/>
            </w:tcBorders>
            <w:shd w:val="clear" w:color="auto" w:fill="auto"/>
            <w:noWrap/>
          </w:tcPr>
          <w:p w14:paraId="1719C135" w14:textId="77777777" w:rsidR="00086C1A" w:rsidRPr="00DD37EC" w:rsidRDefault="00086C1A" w:rsidP="00DF682C">
            <w:pPr>
              <w:spacing w:after="240" w:line="240" w:lineRule="auto"/>
              <w:jc w:val="center"/>
              <w:rPr>
                <w:rFonts w:ascii="Arial" w:hAnsi="Arial" w:cs="Arial"/>
                <w:color w:val="000000"/>
                <w:lang w:val="es-MX"/>
              </w:rPr>
            </w:pPr>
          </w:p>
        </w:tc>
        <w:tc>
          <w:tcPr>
            <w:tcW w:w="920" w:type="dxa"/>
            <w:tcBorders>
              <w:top w:val="nil"/>
              <w:left w:val="nil"/>
              <w:bottom w:val="single" w:sz="4" w:space="0" w:color="auto"/>
              <w:right w:val="single" w:sz="4" w:space="0" w:color="auto"/>
            </w:tcBorders>
            <w:shd w:val="clear" w:color="auto" w:fill="auto"/>
            <w:noWrap/>
          </w:tcPr>
          <w:p w14:paraId="5215BD02" w14:textId="77777777" w:rsidR="00086C1A" w:rsidRPr="00DD37EC" w:rsidRDefault="00086C1A" w:rsidP="00DF682C">
            <w:pPr>
              <w:spacing w:after="240" w:line="240" w:lineRule="auto"/>
              <w:jc w:val="center"/>
              <w:rPr>
                <w:rFonts w:ascii="Arial" w:hAnsi="Arial" w:cs="Arial"/>
                <w:color w:val="000000"/>
                <w:lang w:val="es-MX"/>
              </w:rPr>
            </w:pPr>
            <w:r w:rsidRPr="00DD37EC">
              <w:rPr>
                <w:rFonts w:ascii="Arial" w:hAnsi="Arial" w:cs="Arial"/>
                <w:color w:val="000000"/>
                <w:lang w:val="es-MX"/>
              </w:rPr>
              <w:t>2005</w:t>
            </w:r>
          </w:p>
        </w:tc>
        <w:tc>
          <w:tcPr>
            <w:tcW w:w="2623" w:type="dxa"/>
            <w:tcBorders>
              <w:top w:val="nil"/>
              <w:left w:val="nil"/>
              <w:bottom w:val="single" w:sz="4" w:space="0" w:color="auto"/>
              <w:right w:val="single" w:sz="4" w:space="0" w:color="auto"/>
            </w:tcBorders>
            <w:shd w:val="clear" w:color="auto" w:fill="auto"/>
            <w:noWrap/>
          </w:tcPr>
          <w:p w14:paraId="2700DCC1" w14:textId="77777777" w:rsidR="00086C1A" w:rsidRPr="00DD37EC" w:rsidRDefault="00086C1A" w:rsidP="00DF682C">
            <w:pPr>
              <w:spacing w:after="240" w:line="240" w:lineRule="auto"/>
              <w:jc w:val="center"/>
              <w:rPr>
                <w:rFonts w:ascii="Arial" w:hAnsi="Arial" w:cs="Arial"/>
                <w:color w:val="000000"/>
                <w:lang w:val="es-MX"/>
              </w:rPr>
            </w:pPr>
            <w:r w:rsidRPr="00DD37EC">
              <w:rPr>
                <w:rFonts w:ascii="Arial" w:hAnsi="Arial" w:cs="Arial"/>
                <w:color w:val="000000"/>
                <w:lang w:val="es-MX"/>
              </w:rPr>
              <w:t>ONUSIDA Country Data, 2018</w:t>
            </w:r>
            <w:r w:rsidRPr="00DD37EC">
              <w:rPr>
                <w:rStyle w:val="FootnoteReference"/>
                <w:rFonts w:ascii="Arial" w:hAnsi="Arial" w:cs="Arial"/>
                <w:color w:val="000000"/>
                <w:lang w:val="es-MX"/>
              </w:rPr>
              <w:footnoteReference w:id="140"/>
            </w:r>
          </w:p>
        </w:tc>
      </w:tr>
      <w:tr w:rsidR="00086C1A" w:rsidRPr="00DD37EC" w14:paraId="1CF6A309" w14:textId="77777777" w:rsidTr="00DF682C">
        <w:trPr>
          <w:trHeight w:val="20"/>
        </w:trPr>
        <w:tc>
          <w:tcPr>
            <w:tcW w:w="24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4D5F7B" w14:textId="77777777" w:rsidR="00086C1A" w:rsidRPr="00DD37EC" w:rsidRDefault="00086C1A" w:rsidP="00DF682C">
            <w:pPr>
              <w:spacing w:after="240" w:line="240" w:lineRule="auto"/>
              <w:jc w:val="center"/>
              <w:rPr>
                <w:rFonts w:ascii="Arial" w:hAnsi="Arial" w:cs="Arial"/>
                <w:b/>
                <w:color w:val="000000"/>
              </w:rPr>
            </w:pPr>
            <w:r w:rsidRPr="00DD37EC">
              <w:rPr>
                <w:rFonts w:ascii="Arial" w:hAnsi="Arial" w:cs="Arial"/>
                <w:b/>
                <w:color w:val="000000"/>
              </w:rPr>
              <w:t>Prevalencia (adultos, 15-49, estimado)*</w:t>
            </w:r>
          </w:p>
        </w:tc>
        <w:tc>
          <w:tcPr>
            <w:tcW w:w="970" w:type="dxa"/>
            <w:tcBorders>
              <w:top w:val="single" w:sz="4" w:space="0" w:color="auto"/>
              <w:left w:val="nil"/>
              <w:bottom w:val="single" w:sz="4" w:space="0" w:color="auto"/>
              <w:right w:val="single" w:sz="4" w:space="0" w:color="auto"/>
            </w:tcBorders>
            <w:shd w:val="clear" w:color="auto" w:fill="auto"/>
            <w:noWrap/>
            <w:hideMark/>
          </w:tcPr>
          <w:p w14:paraId="6054B51E" w14:textId="77777777" w:rsidR="00086C1A" w:rsidRPr="00DD37EC" w:rsidRDefault="00086C1A" w:rsidP="00DF682C">
            <w:pPr>
              <w:spacing w:after="240" w:line="240" w:lineRule="auto"/>
              <w:jc w:val="center"/>
              <w:rPr>
                <w:rFonts w:ascii="Arial" w:hAnsi="Arial" w:cs="Arial"/>
                <w:color w:val="000000"/>
              </w:rPr>
            </w:pPr>
            <w:r w:rsidRPr="00DD37EC">
              <w:rPr>
                <w:rFonts w:ascii="Arial" w:hAnsi="Arial" w:cs="Arial"/>
                <w:color w:val="000000"/>
              </w:rPr>
              <w:t>0,1</w:t>
            </w:r>
          </w:p>
        </w:tc>
        <w:tc>
          <w:tcPr>
            <w:tcW w:w="922" w:type="dxa"/>
            <w:tcBorders>
              <w:top w:val="single" w:sz="4" w:space="0" w:color="auto"/>
              <w:left w:val="nil"/>
              <w:bottom w:val="single" w:sz="4" w:space="0" w:color="auto"/>
              <w:right w:val="single" w:sz="4" w:space="0" w:color="auto"/>
            </w:tcBorders>
            <w:shd w:val="clear" w:color="auto" w:fill="auto"/>
            <w:noWrap/>
            <w:hideMark/>
          </w:tcPr>
          <w:p w14:paraId="2CB52C05" w14:textId="77777777" w:rsidR="00086C1A" w:rsidRPr="00DD37EC" w:rsidRDefault="00086C1A" w:rsidP="00DF682C">
            <w:pPr>
              <w:spacing w:after="240" w:line="240" w:lineRule="auto"/>
              <w:jc w:val="center"/>
              <w:rPr>
                <w:rFonts w:ascii="Arial" w:hAnsi="Arial" w:cs="Arial"/>
                <w:color w:val="000000"/>
              </w:rPr>
            </w:pPr>
            <w:r w:rsidRPr="00DD37EC">
              <w:rPr>
                <w:rFonts w:ascii="Arial" w:hAnsi="Arial" w:cs="Arial"/>
                <w:color w:val="000000"/>
              </w:rPr>
              <w:t>0,4</w:t>
            </w:r>
          </w:p>
        </w:tc>
        <w:tc>
          <w:tcPr>
            <w:tcW w:w="922" w:type="dxa"/>
            <w:tcBorders>
              <w:top w:val="single" w:sz="4" w:space="0" w:color="auto"/>
              <w:left w:val="nil"/>
              <w:bottom w:val="single" w:sz="4" w:space="0" w:color="auto"/>
              <w:right w:val="single" w:sz="4" w:space="0" w:color="auto"/>
            </w:tcBorders>
            <w:shd w:val="clear" w:color="auto" w:fill="auto"/>
            <w:noWrap/>
            <w:hideMark/>
          </w:tcPr>
          <w:p w14:paraId="3D6699C7" w14:textId="77777777" w:rsidR="00086C1A" w:rsidRPr="00DD37EC" w:rsidRDefault="00086C1A" w:rsidP="00DF682C">
            <w:pPr>
              <w:spacing w:after="240" w:line="240" w:lineRule="auto"/>
              <w:jc w:val="center"/>
              <w:rPr>
                <w:rFonts w:ascii="Arial" w:hAnsi="Arial" w:cs="Arial"/>
                <w:color w:val="000000"/>
              </w:rPr>
            </w:pPr>
            <w:r w:rsidRPr="00DD37EC">
              <w:rPr>
                <w:rFonts w:ascii="Arial" w:hAnsi="Arial" w:cs="Arial"/>
                <w:color w:val="000000"/>
              </w:rPr>
              <w:t>0,3</w:t>
            </w:r>
          </w:p>
        </w:tc>
        <w:tc>
          <w:tcPr>
            <w:tcW w:w="920" w:type="dxa"/>
            <w:tcBorders>
              <w:top w:val="single" w:sz="4" w:space="0" w:color="auto"/>
              <w:left w:val="nil"/>
              <w:bottom w:val="single" w:sz="4" w:space="0" w:color="auto"/>
              <w:right w:val="single" w:sz="4" w:space="0" w:color="auto"/>
            </w:tcBorders>
            <w:shd w:val="clear" w:color="auto" w:fill="auto"/>
            <w:noWrap/>
            <w:hideMark/>
          </w:tcPr>
          <w:p w14:paraId="24263898" w14:textId="77777777" w:rsidR="00086C1A" w:rsidRPr="00DD37EC" w:rsidRDefault="00086C1A" w:rsidP="00DF682C">
            <w:pPr>
              <w:spacing w:after="240" w:line="240" w:lineRule="auto"/>
              <w:jc w:val="center"/>
              <w:rPr>
                <w:rFonts w:ascii="Arial" w:hAnsi="Arial" w:cs="Arial"/>
                <w:color w:val="000000"/>
              </w:rPr>
            </w:pPr>
            <w:r w:rsidRPr="00DD37EC">
              <w:rPr>
                <w:rFonts w:ascii="Arial" w:hAnsi="Arial" w:cs="Arial"/>
                <w:color w:val="000000"/>
              </w:rPr>
              <w:t>2017</w:t>
            </w:r>
          </w:p>
        </w:tc>
        <w:tc>
          <w:tcPr>
            <w:tcW w:w="2623" w:type="dxa"/>
            <w:tcBorders>
              <w:top w:val="single" w:sz="4" w:space="0" w:color="auto"/>
              <w:left w:val="nil"/>
              <w:bottom w:val="single" w:sz="4" w:space="0" w:color="auto"/>
              <w:right w:val="single" w:sz="4" w:space="0" w:color="auto"/>
            </w:tcBorders>
            <w:shd w:val="clear" w:color="auto" w:fill="auto"/>
            <w:noWrap/>
          </w:tcPr>
          <w:p w14:paraId="6955D5C4" w14:textId="77777777" w:rsidR="00086C1A" w:rsidRPr="00DD37EC" w:rsidRDefault="00086C1A" w:rsidP="00DF682C">
            <w:pPr>
              <w:spacing w:after="240" w:line="240" w:lineRule="auto"/>
              <w:jc w:val="center"/>
              <w:rPr>
                <w:rFonts w:ascii="Arial" w:hAnsi="Arial" w:cs="Arial"/>
                <w:color w:val="000000"/>
              </w:rPr>
            </w:pPr>
            <w:r w:rsidRPr="00DD37EC">
              <w:rPr>
                <w:rFonts w:ascii="Arial" w:hAnsi="Arial" w:cs="Arial"/>
                <w:color w:val="000000"/>
                <w:lang w:val="es-MX"/>
              </w:rPr>
              <w:t>Factsheet ONUSIDA, 2017</w:t>
            </w:r>
            <w:r w:rsidRPr="00DD37EC">
              <w:rPr>
                <w:rStyle w:val="FootnoteReference"/>
                <w:rFonts w:ascii="Arial" w:hAnsi="Arial" w:cs="Arial"/>
                <w:color w:val="000000"/>
                <w:lang w:val="es-MX"/>
              </w:rPr>
              <w:footnoteReference w:id="141"/>
            </w:r>
          </w:p>
        </w:tc>
      </w:tr>
      <w:tr w:rsidR="00086C1A" w:rsidRPr="00DD37EC" w14:paraId="4B8D4415" w14:textId="77777777" w:rsidTr="00DF682C">
        <w:trPr>
          <w:trHeight w:val="20"/>
        </w:trPr>
        <w:tc>
          <w:tcPr>
            <w:tcW w:w="247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D95A26" w14:textId="77777777" w:rsidR="00086C1A" w:rsidRPr="00DD37EC" w:rsidRDefault="00086C1A" w:rsidP="00DF682C">
            <w:pPr>
              <w:spacing w:after="240" w:line="240" w:lineRule="auto"/>
              <w:jc w:val="center"/>
              <w:rPr>
                <w:rFonts w:ascii="Arial" w:hAnsi="Arial" w:cs="Arial"/>
                <w:b/>
                <w:color w:val="000000"/>
              </w:rPr>
            </w:pPr>
            <w:r w:rsidRPr="00DD37EC">
              <w:rPr>
                <w:rFonts w:ascii="Arial" w:hAnsi="Arial" w:cs="Arial"/>
                <w:b/>
                <w:color w:val="000000"/>
              </w:rPr>
              <w:t>Nuevas infecciones diagnosticadas</w:t>
            </w:r>
          </w:p>
        </w:tc>
        <w:tc>
          <w:tcPr>
            <w:tcW w:w="970" w:type="dxa"/>
            <w:tcBorders>
              <w:top w:val="single" w:sz="4" w:space="0" w:color="auto"/>
              <w:left w:val="nil"/>
              <w:bottom w:val="single" w:sz="4" w:space="0" w:color="auto"/>
              <w:right w:val="single" w:sz="4" w:space="0" w:color="auto"/>
            </w:tcBorders>
            <w:shd w:val="clear" w:color="auto" w:fill="auto"/>
            <w:noWrap/>
          </w:tcPr>
          <w:p w14:paraId="79644163" w14:textId="77777777" w:rsidR="00086C1A" w:rsidRPr="00DD37EC" w:rsidRDefault="00086C1A" w:rsidP="00DF682C">
            <w:pPr>
              <w:spacing w:after="240" w:line="240" w:lineRule="auto"/>
              <w:jc w:val="center"/>
              <w:rPr>
                <w:rFonts w:ascii="Arial" w:hAnsi="Arial" w:cs="Arial"/>
                <w:color w:val="000000"/>
              </w:rPr>
            </w:pPr>
            <w:r w:rsidRPr="00DD37EC">
              <w:rPr>
                <w:rFonts w:ascii="Arial" w:hAnsi="Arial" w:cs="Arial"/>
                <w:color w:val="000000"/>
              </w:rPr>
              <w:t>880</w:t>
            </w:r>
          </w:p>
        </w:tc>
        <w:tc>
          <w:tcPr>
            <w:tcW w:w="922" w:type="dxa"/>
            <w:tcBorders>
              <w:top w:val="single" w:sz="4" w:space="0" w:color="auto"/>
              <w:left w:val="nil"/>
              <w:bottom w:val="single" w:sz="4" w:space="0" w:color="auto"/>
              <w:right w:val="single" w:sz="4" w:space="0" w:color="auto"/>
            </w:tcBorders>
            <w:shd w:val="clear" w:color="auto" w:fill="auto"/>
            <w:noWrap/>
          </w:tcPr>
          <w:p w14:paraId="162D6E26" w14:textId="77777777" w:rsidR="00086C1A" w:rsidRPr="00DD37EC" w:rsidRDefault="00086C1A" w:rsidP="00DF682C">
            <w:pPr>
              <w:spacing w:after="240" w:line="240" w:lineRule="auto"/>
              <w:jc w:val="center"/>
              <w:rPr>
                <w:rFonts w:ascii="Arial" w:hAnsi="Arial" w:cs="Arial"/>
                <w:color w:val="000000"/>
              </w:rPr>
            </w:pPr>
            <w:r w:rsidRPr="00DD37EC">
              <w:rPr>
                <w:rFonts w:ascii="Arial" w:hAnsi="Arial" w:cs="Arial"/>
                <w:color w:val="000000"/>
              </w:rPr>
              <w:t>580</w:t>
            </w:r>
          </w:p>
        </w:tc>
        <w:tc>
          <w:tcPr>
            <w:tcW w:w="922" w:type="dxa"/>
            <w:tcBorders>
              <w:top w:val="single" w:sz="4" w:space="0" w:color="auto"/>
              <w:left w:val="nil"/>
              <w:bottom w:val="single" w:sz="4" w:space="0" w:color="auto"/>
              <w:right w:val="single" w:sz="4" w:space="0" w:color="auto"/>
            </w:tcBorders>
            <w:shd w:val="clear" w:color="auto" w:fill="auto"/>
            <w:noWrap/>
          </w:tcPr>
          <w:p w14:paraId="67E772F5" w14:textId="77777777" w:rsidR="00086C1A" w:rsidRPr="00DD37EC" w:rsidRDefault="00086C1A" w:rsidP="00DF682C">
            <w:pPr>
              <w:spacing w:after="240" w:line="240" w:lineRule="auto"/>
              <w:jc w:val="center"/>
              <w:rPr>
                <w:rFonts w:ascii="Arial" w:hAnsi="Arial" w:cs="Arial"/>
                <w:color w:val="000000"/>
              </w:rPr>
            </w:pPr>
            <w:r w:rsidRPr="00DD37EC">
              <w:rPr>
                <w:rFonts w:ascii="Arial" w:hAnsi="Arial" w:cs="Arial"/>
                <w:color w:val="000000"/>
              </w:rPr>
              <w:t>500</w:t>
            </w:r>
          </w:p>
        </w:tc>
        <w:tc>
          <w:tcPr>
            <w:tcW w:w="920" w:type="dxa"/>
            <w:tcBorders>
              <w:top w:val="single" w:sz="4" w:space="0" w:color="auto"/>
              <w:left w:val="nil"/>
              <w:bottom w:val="single" w:sz="4" w:space="0" w:color="auto"/>
              <w:right w:val="single" w:sz="4" w:space="0" w:color="auto"/>
            </w:tcBorders>
            <w:shd w:val="clear" w:color="auto" w:fill="auto"/>
            <w:noWrap/>
          </w:tcPr>
          <w:p w14:paraId="353201F6" w14:textId="77777777" w:rsidR="00086C1A" w:rsidRPr="00DD37EC" w:rsidRDefault="00086C1A" w:rsidP="00DF682C">
            <w:pPr>
              <w:spacing w:after="240" w:line="240" w:lineRule="auto"/>
              <w:jc w:val="center"/>
              <w:rPr>
                <w:rFonts w:ascii="Arial" w:hAnsi="Arial" w:cs="Arial"/>
                <w:color w:val="000000"/>
              </w:rPr>
            </w:pPr>
            <w:r w:rsidRPr="00DD37EC">
              <w:rPr>
                <w:rFonts w:ascii="Arial" w:hAnsi="Arial" w:cs="Arial"/>
                <w:color w:val="000000"/>
              </w:rPr>
              <w:t>2017</w:t>
            </w:r>
          </w:p>
        </w:tc>
        <w:tc>
          <w:tcPr>
            <w:tcW w:w="2623" w:type="dxa"/>
            <w:tcBorders>
              <w:top w:val="single" w:sz="4" w:space="0" w:color="auto"/>
              <w:left w:val="nil"/>
              <w:bottom w:val="single" w:sz="4" w:space="0" w:color="auto"/>
              <w:right w:val="single" w:sz="4" w:space="0" w:color="auto"/>
            </w:tcBorders>
            <w:shd w:val="clear" w:color="auto" w:fill="auto"/>
            <w:noWrap/>
          </w:tcPr>
          <w:p w14:paraId="5A8215DA" w14:textId="77777777" w:rsidR="00086C1A" w:rsidRPr="00DD37EC" w:rsidRDefault="00086C1A" w:rsidP="00DF682C">
            <w:pPr>
              <w:spacing w:after="240" w:line="240" w:lineRule="auto"/>
              <w:jc w:val="center"/>
              <w:rPr>
                <w:rFonts w:ascii="Arial" w:hAnsi="Arial" w:cs="Arial"/>
                <w:vertAlign w:val="superscript"/>
              </w:rPr>
            </w:pPr>
            <w:r w:rsidRPr="00DD37EC">
              <w:rPr>
                <w:rFonts w:ascii="Arial" w:hAnsi="Arial" w:cs="Arial"/>
                <w:color w:val="000000"/>
                <w:lang w:val="es-MX"/>
              </w:rPr>
              <w:t>Factsheet ONUSIDA, 2017</w:t>
            </w:r>
            <w:r w:rsidRPr="00DD37EC">
              <w:rPr>
                <w:rStyle w:val="FootnoteReference"/>
                <w:rFonts w:ascii="Arial" w:hAnsi="Arial" w:cs="Arial"/>
                <w:color w:val="000000"/>
                <w:lang w:val="es-MX"/>
              </w:rPr>
              <w:footnoteReference w:id="142"/>
            </w:r>
          </w:p>
        </w:tc>
      </w:tr>
      <w:tr w:rsidR="00086C1A" w:rsidRPr="00DD37EC" w14:paraId="244EF150" w14:textId="77777777" w:rsidTr="00DF682C">
        <w:trPr>
          <w:trHeight w:val="20"/>
        </w:trPr>
        <w:tc>
          <w:tcPr>
            <w:tcW w:w="2471" w:type="dxa"/>
            <w:vMerge/>
            <w:tcBorders>
              <w:top w:val="single" w:sz="4" w:space="0" w:color="auto"/>
              <w:left w:val="single" w:sz="4" w:space="0" w:color="auto"/>
              <w:right w:val="single" w:sz="4" w:space="0" w:color="auto"/>
            </w:tcBorders>
            <w:shd w:val="clear" w:color="auto" w:fill="auto"/>
            <w:noWrap/>
            <w:vAlign w:val="center"/>
            <w:hideMark/>
          </w:tcPr>
          <w:p w14:paraId="0579A516" w14:textId="77777777" w:rsidR="00086C1A" w:rsidRPr="00DD37EC" w:rsidRDefault="00086C1A" w:rsidP="00DF682C">
            <w:pPr>
              <w:spacing w:after="240" w:line="240" w:lineRule="auto"/>
              <w:jc w:val="center"/>
              <w:rPr>
                <w:rFonts w:ascii="Arial" w:hAnsi="Arial" w:cs="Arial"/>
                <w:b/>
                <w:color w:val="000000"/>
              </w:rPr>
            </w:pPr>
          </w:p>
        </w:tc>
        <w:tc>
          <w:tcPr>
            <w:tcW w:w="970" w:type="dxa"/>
            <w:tcBorders>
              <w:top w:val="single" w:sz="4" w:space="0" w:color="auto"/>
              <w:left w:val="nil"/>
              <w:bottom w:val="single" w:sz="4" w:space="0" w:color="auto"/>
              <w:right w:val="single" w:sz="4" w:space="0" w:color="auto"/>
            </w:tcBorders>
            <w:shd w:val="clear" w:color="auto" w:fill="auto"/>
            <w:noWrap/>
          </w:tcPr>
          <w:p w14:paraId="26BEED19" w14:textId="77777777" w:rsidR="00086C1A" w:rsidRPr="00DD37EC" w:rsidRDefault="00086C1A" w:rsidP="00DF682C">
            <w:pPr>
              <w:spacing w:after="240" w:line="240" w:lineRule="auto"/>
              <w:jc w:val="center"/>
              <w:rPr>
                <w:rFonts w:ascii="Arial" w:hAnsi="Arial" w:cs="Arial"/>
                <w:color w:val="000000"/>
              </w:rPr>
            </w:pPr>
            <w:r w:rsidRPr="00DD37EC">
              <w:rPr>
                <w:rFonts w:ascii="Arial" w:hAnsi="Arial" w:cs="Arial"/>
              </w:rPr>
              <w:t>840</w:t>
            </w:r>
          </w:p>
        </w:tc>
        <w:tc>
          <w:tcPr>
            <w:tcW w:w="922" w:type="dxa"/>
            <w:tcBorders>
              <w:top w:val="single" w:sz="4" w:space="0" w:color="auto"/>
              <w:left w:val="nil"/>
              <w:bottom w:val="single" w:sz="4" w:space="0" w:color="auto"/>
              <w:right w:val="single" w:sz="4" w:space="0" w:color="auto"/>
            </w:tcBorders>
            <w:shd w:val="clear" w:color="auto" w:fill="auto"/>
            <w:noWrap/>
          </w:tcPr>
          <w:p w14:paraId="059AA317" w14:textId="77777777" w:rsidR="00086C1A" w:rsidRPr="00DD37EC" w:rsidRDefault="00086C1A" w:rsidP="00DF682C">
            <w:pPr>
              <w:spacing w:after="240" w:line="240" w:lineRule="auto"/>
              <w:jc w:val="center"/>
              <w:rPr>
                <w:rFonts w:ascii="Arial" w:hAnsi="Arial" w:cs="Arial"/>
                <w:color w:val="000000"/>
              </w:rPr>
            </w:pPr>
            <w:r w:rsidRPr="00DD37EC">
              <w:rPr>
                <w:rFonts w:ascii="Arial" w:hAnsi="Arial" w:cs="Arial"/>
              </w:rPr>
              <w:t>530</w:t>
            </w:r>
          </w:p>
        </w:tc>
        <w:tc>
          <w:tcPr>
            <w:tcW w:w="922" w:type="dxa"/>
            <w:tcBorders>
              <w:top w:val="single" w:sz="4" w:space="0" w:color="auto"/>
              <w:left w:val="nil"/>
              <w:bottom w:val="single" w:sz="4" w:space="0" w:color="auto"/>
              <w:right w:val="single" w:sz="4" w:space="0" w:color="auto"/>
            </w:tcBorders>
            <w:shd w:val="clear" w:color="auto" w:fill="auto"/>
            <w:noWrap/>
          </w:tcPr>
          <w:p w14:paraId="186F5604" w14:textId="77777777" w:rsidR="00086C1A" w:rsidRPr="00DD37EC" w:rsidRDefault="00086C1A" w:rsidP="00DF682C">
            <w:pPr>
              <w:spacing w:after="240" w:line="240" w:lineRule="auto"/>
              <w:jc w:val="center"/>
              <w:rPr>
                <w:rFonts w:ascii="Arial" w:hAnsi="Arial" w:cs="Arial"/>
                <w:color w:val="000000"/>
              </w:rPr>
            </w:pPr>
            <w:r w:rsidRPr="00DD37EC">
              <w:rPr>
                <w:rFonts w:ascii="Arial" w:hAnsi="Arial" w:cs="Arial"/>
              </w:rPr>
              <w:t>500</w:t>
            </w:r>
          </w:p>
        </w:tc>
        <w:tc>
          <w:tcPr>
            <w:tcW w:w="920" w:type="dxa"/>
            <w:tcBorders>
              <w:top w:val="single" w:sz="4" w:space="0" w:color="auto"/>
              <w:left w:val="nil"/>
              <w:bottom w:val="single" w:sz="4" w:space="0" w:color="auto"/>
              <w:right w:val="single" w:sz="4" w:space="0" w:color="auto"/>
            </w:tcBorders>
            <w:shd w:val="clear" w:color="auto" w:fill="auto"/>
            <w:noWrap/>
          </w:tcPr>
          <w:p w14:paraId="024394D3" w14:textId="77777777" w:rsidR="00086C1A" w:rsidRPr="00DD37EC" w:rsidRDefault="00086C1A" w:rsidP="00DF682C">
            <w:pPr>
              <w:spacing w:after="240" w:line="240" w:lineRule="auto"/>
              <w:jc w:val="center"/>
              <w:rPr>
                <w:rFonts w:ascii="Arial" w:hAnsi="Arial" w:cs="Arial"/>
                <w:color w:val="000000"/>
              </w:rPr>
            </w:pPr>
            <w:r w:rsidRPr="00DD37EC">
              <w:rPr>
                <w:rFonts w:ascii="Arial" w:hAnsi="Arial" w:cs="Arial"/>
                <w:color w:val="000000"/>
              </w:rPr>
              <w:t>2010</w:t>
            </w:r>
          </w:p>
        </w:tc>
        <w:tc>
          <w:tcPr>
            <w:tcW w:w="2623" w:type="dxa"/>
            <w:tcBorders>
              <w:top w:val="single" w:sz="4" w:space="0" w:color="auto"/>
              <w:left w:val="nil"/>
              <w:bottom w:val="single" w:sz="4" w:space="0" w:color="auto"/>
              <w:right w:val="single" w:sz="4" w:space="0" w:color="auto"/>
            </w:tcBorders>
            <w:shd w:val="clear" w:color="auto" w:fill="auto"/>
            <w:noWrap/>
          </w:tcPr>
          <w:p w14:paraId="75B10D0F" w14:textId="77777777" w:rsidR="00086C1A" w:rsidRPr="00DD37EC" w:rsidRDefault="00086C1A" w:rsidP="00DF682C">
            <w:pPr>
              <w:spacing w:after="240" w:line="240" w:lineRule="auto"/>
              <w:jc w:val="center"/>
              <w:rPr>
                <w:rFonts w:ascii="Arial" w:hAnsi="Arial" w:cs="Arial"/>
                <w:color w:val="000000"/>
              </w:rPr>
            </w:pPr>
            <w:r w:rsidRPr="00DD37EC">
              <w:rPr>
                <w:rFonts w:ascii="Arial" w:hAnsi="Arial" w:cs="Arial"/>
                <w:color w:val="000000"/>
                <w:lang w:val="es-MX"/>
              </w:rPr>
              <w:t>Factsheet ONUSIDA, 2017</w:t>
            </w:r>
            <w:r w:rsidRPr="00DD37EC">
              <w:rPr>
                <w:rStyle w:val="FootnoteReference"/>
                <w:rFonts w:ascii="Arial" w:hAnsi="Arial" w:cs="Arial"/>
                <w:color w:val="000000"/>
                <w:lang w:val="es-MX"/>
              </w:rPr>
              <w:footnoteReference w:id="143"/>
            </w:r>
          </w:p>
        </w:tc>
      </w:tr>
      <w:tr w:rsidR="00086C1A" w:rsidRPr="00DD37EC" w14:paraId="23885910" w14:textId="77777777" w:rsidTr="00DF682C">
        <w:trPr>
          <w:trHeight w:val="20"/>
        </w:trPr>
        <w:tc>
          <w:tcPr>
            <w:tcW w:w="2471" w:type="dxa"/>
            <w:vMerge/>
            <w:tcBorders>
              <w:left w:val="single" w:sz="4" w:space="0" w:color="auto"/>
              <w:bottom w:val="single" w:sz="4" w:space="0" w:color="auto"/>
              <w:right w:val="single" w:sz="4" w:space="0" w:color="auto"/>
            </w:tcBorders>
            <w:shd w:val="clear" w:color="auto" w:fill="auto"/>
            <w:noWrap/>
            <w:vAlign w:val="center"/>
            <w:hideMark/>
          </w:tcPr>
          <w:p w14:paraId="038C5405" w14:textId="77777777" w:rsidR="00086C1A" w:rsidRPr="00DD37EC" w:rsidRDefault="00086C1A" w:rsidP="00DF682C">
            <w:pPr>
              <w:spacing w:after="240" w:line="240" w:lineRule="auto"/>
              <w:jc w:val="center"/>
              <w:rPr>
                <w:rFonts w:ascii="Arial" w:hAnsi="Arial" w:cs="Arial"/>
                <w:b/>
                <w:color w:val="000000"/>
              </w:rPr>
            </w:pPr>
          </w:p>
        </w:tc>
        <w:tc>
          <w:tcPr>
            <w:tcW w:w="970" w:type="dxa"/>
            <w:tcBorders>
              <w:top w:val="nil"/>
              <w:left w:val="nil"/>
              <w:bottom w:val="single" w:sz="4" w:space="0" w:color="auto"/>
              <w:right w:val="single" w:sz="4" w:space="0" w:color="auto"/>
            </w:tcBorders>
            <w:shd w:val="clear" w:color="auto" w:fill="auto"/>
            <w:noWrap/>
          </w:tcPr>
          <w:p w14:paraId="39800202" w14:textId="77777777" w:rsidR="00086C1A" w:rsidRPr="00DD37EC" w:rsidRDefault="00086C1A" w:rsidP="00DF682C">
            <w:pPr>
              <w:spacing w:after="240" w:line="240" w:lineRule="auto"/>
              <w:jc w:val="center"/>
              <w:rPr>
                <w:rFonts w:ascii="Arial" w:hAnsi="Arial" w:cs="Arial"/>
                <w:color w:val="000000"/>
              </w:rPr>
            </w:pPr>
            <w:r w:rsidRPr="00DD37EC">
              <w:rPr>
                <w:rFonts w:ascii="Arial" w:hAnsi="Arial" w:cs="Arial"/>
                <w:color w:val="000000"/>
              </w:rPr>
              <w:t>1,000</w:t>
            </w:r>
          </w:p>
        </w:tc>
        <w:tc>
          <w:tcPr>
            <w:tcW w:w="922" w:type="dxa"/>
            <w:tcBorders>
              <w:top w:val="nil"/>
              <w:left w:val="nil"/>
              <w:bottom w:val="single" w:sz="4" w:space="0" w:color="auto"/>
              <w:right w:val="single" w:sz="4" w:space="0" w:color="auto"/>
            </w:tcBorders>
            <w:shd w:val="clear" w:color="auto" w:fill="auto"/>
            <w:noWrap/>
          </w:tcPr>
          <w:p w14:paraId="7ED9D76C" w14:textId="77777777" w:rsidR="00086C1A" w:rsidRPr="00DD37EC" w:rsidRDefault="00086C1A" w:rsidP="00DF682C">
            <w:pPr>
              <w:spacing w:after="240" w:line="240" w:lineRule="auto"/>
              <w:jc w:val="center"/>
              <w:rPr>
                <w:rFonts w:ascii="Arial" w:hAnsi="Arial" w:cs="Arial"/>
                <w:color w:val="000000"/>
              </w:rPr>
            </w:pPr>
            <w:r w:rsidRPr="00DD37EC">
              <w:rPr>
                <w:rFonts w:ascii="Arial" w:hAnsi="Arial" w:cs="Arial"/>
                <w:color w:val="000000"/>
              </w:rPr>
              <w:t>610</w:t>
            </w:r>
          </w:p>
        </w:tc>
        <w:tc>
          <w:tcPr>
            <w:tcW w:w="922" w:type="dxa"/>
            <w:tcBorders>
              <w:top w:val="nil"/>
              <w:left w:val="nil"/>
              <w:bottom w:val="single" w:sz="4" w:space="0" w:color="auto"/>
              <w:right w:val="single" w:sz="4" w:space="0" w:color="auto"/>
            </w:tcBorders>
            <w:shd w:val="clear" w:color="auto" w:fill="auto"/>
            <w:noWrap/>
          </w:tcPr>
          <w:p w14:paraId="062A3C21" w14:textId="77777777" w:rsidR="00086C1A" w:rsidRPr="00DD37EC" w:rsidRDefault="00086C1A" w:rsidP="00DF682C">
            <w:pPr>
              <w:spacing w:after="240" w:line="240" w:lineRule="auto"/>
              <w:rPr>
                <w:rFonts w:ascii="Arial" w:hAnsi="Arial" w:cs="Arial"/>
                <w:color w:val="000000"/>
              </w:rPr>
            </w:pPr>
            <w:r w:rsidRPr="00DD37EC">
              <w:rPr>
                <w:rFonts w:ascii="Arial" w:hAnsi="Arial" w:cs="Arial"/>
                <w:color w:val="000000"/>
              </w:rPr>
              <w:t>500</w:t>
            </w:r>
          </w:p>
        </w:tc>
        <w:tc>
          <w:tcPr>
            <w:tcW w:w="920" w:type="dxa"/>
            <w:tcBorders>
              <w:top w:val="nil"/>
              <w:left w:val="nil"/>
              <w:bottom w:val="single" w:sz="4" w:space="0" w:color="auto"/>
              <w:right w:val="single" w:sz="4" w:space="0" w:color="auto"/>
            </w:tcBorders>
            <w:shd w:val="clear" w:color="auto" w:fill="auto"/>
            <w:noWrap/>
          </w:tcPr>
          <w:p w14:paraId="1D517510" w14:textId="77777777" w:rsidR="00086C1A" w:rsidRPr="00DD37EC" w:rsidRDefault="00086C1A" w:rsidP="00DF682C">
            <w:pPr>
              <w:spacing w:after="240" w:line="240" w:lineRule="auto"/>
              <w:jc w:val="center"/>
              <w:rPr>
                <w:rFonts w:ascii="Arial" w:hAnsi="Arial" w:cs="Arial"/>
                <w:color w:val="000000"/>
              </w:rPr>
            </w:pPr>
            <w:r w:rsidRPr="00DD37EC">
              <w:rPr>
                <w:rFonts w:ascii="Arial" w:hAnsi="Arial" w:cs="Arial"/>
                <w:color w:val="000000"/>
              </w:rPr>
              <w:t>2005</w:t>
            </w:r>
          </w:p>
        </w:tc>
        <w:tc>
          <w:tcPr>
            <w:tcW w:w="2623" w:type="dxa"/>
            <w:tcBorders>
              <w:top w:val="nil"/>
              <w:left w:val="nil"/>
              <w:bottom w:val="single" w:sz="4" w:space="0" w:color="auto"/>
              <w:right w:val="single" w:sz="4" w:space="0" w:color="auto"/>
            </w:tcBorders>
            <w:shd w:val="clear" w:color="auto" w:fill="auto"/>
            <w:noWrap/>
          </w:tcPr>
          <w:p w14:paraId="5904ADB2" w14:textId="77777777" w:rsidR="00086C1A" w:rsidRPr="00DD37EC" w:rsidRDefault="00086C1A" w:rsidP="00DF682C">
            <w:pPr>
              <w:spacing w:after="240" w:line="240" w:lineRule="auto"/>
              <w:jc w:val="center"/>
              <w:rPr>
                <w:rFonts w:ascii="Arial" w:hAnsi="Arial" w:cs="Arial"/>
                <w:color w:val="000000"/>
              </w:rPr>
            </w:pPr>
            <w:r w:rsidRPr="00DD37EC">
              <w:rPr>
                <w:rFonts w:ascii="Arial" w:hAnsi="Arial" w:cs="Arial"/>
                <w:color w:val="000000"/>
                <w:lang w:val="es-MX"/>
              </w:rPr>
              <w:t>Factsheet ONUSIDA, 2017</w:t>
            </w:r>
            <w:r w:rsidRPr="00DD37EC">
              <w:rPr>
                <w:rStyle w:val="FootnoteReference"/>
                <w:rFonts w:ascii="Arial" w:hAnsi="Arial" w:cs="Arial"/>
                <w:color w:val="000000"/>
                <w:lang w:val="es-MX"/>
              </w:rPr>
              <w:footnoteReference w:id="144"/>
            </w:r>
          </w:p>
        </w:tc>
      </w:tr>
      <w:tr w:rsidR="00086C1A" w:rsidRPr="00DD37EC" w14:paraId="7B0779F0" w14:textId="77777777" w:rsidTr="00DF682C">
        <w:trPr>
          <w:trHeight w:val="20"/>
        </w:trPr>
        <w:tc>
          <w:tcPr>
            <w:tcW w:w="2471" w:type="dxa"/>
            <w:vMerge w:val="restart"/>
            <w:tcBorders>
              <w:top w:val="nil"/>
              <w:left w:val="single" w:sz="4" w:space="0" w:color="auto"/>
              <w:right w:val="single" w:sz="4" w:space="0" w:color="auto"/>
            </w:tcBorders>
            <w:shd w:val="clear" w:color="auto" w:fill="auto"/>
            <w:noWrap/>
            <w:vAlign w:val="center"/>
            <w:hideMark/>
          </w:tcPr>
          <w:p w14:paraId="40CD74A8" w14:textId="77777777" w:rsidR="00086C1A" w:rsidRPr="00DD37EC" w:rsidRDefault="00086C1A" w:rsidP="00DF682C">
            <w:pPr>
              <w:spacing w:after="240" w:line="240" w:lineRule="auto"/>
              <w:jc w:val="center"/>
              <w:rPr>
                <w:rFonts w:ascii="Arial" w:hAnsi="Arial" w:cs="Arial"/>
                <w:b/>
                <w:color w:val="000000"/>
                <w:lang w:val="es-MX"/>
              </w:rPr>
            </w:pPr>
            <w:r w:rsidRPr="00DD37EC">
              <w:rPr>
                <w:rFonts w:ascii="Arial" w:hAnsi="Arial" w:cs="Arial"/>
                <w:b/>
                <w:color w:val="000000"/>
                <w:lang w:val="es-MX"/>
              </w:rPr>
              <w:t>Número de Personas que viven con VIH (PVIH)**</w:t>
            </w:r>
          </w:p>
          <w:p w14:paraId="25013390" w14:textId="77777777" w:rsidR="00086C1A" w:rsidRPr="00DD37EC" w:rsidRDefault="00086C1A" w:rsidP="00DF682C">
            <w:pPr>
              <w:spacing w:after="240" w:line="240" w:lineRule="auto"/>
              <w:jc w:val="center"/>
              <w:rPr>
                <w:rFonts w:ascii="Arial" w:hAnsi="Arial" w:cs="Arial"/>
                <w:b/>
                <w:color w:val="000000"/>
                <w:lang w:val="es-MX"/>
              </w:rPr>
            </w:pPr>
          </w:p>
        </w:tc>
        <w:tc>
          <w:tcPr>
            <w:tcW w:w="970" w:type="dxa"/>
            <w:tcBorders>
              <w:top w:val="nil"/>
              <w:left w:val="nil"/>
              <w:bottom w:val="single" w:sz="4" w:space="0" w:color="auto"/>
              <w:right w:val="single" w:sz="4" w:space="0" w:color="auto"/>
            </w:tcBorders>
            <w:shd w:val="clear" w:color="auto" w:fill="auto"/>
            <w:noWrap/>
            <w:vAlign w:val="bottom"/>
          </w:tcPr>
          <w:p w14:paraId="3A23EFAF" w14:textId="77777777" w:rsidR="00086C1A" w:rsidRPr="00DD37EC" w:rsidRDefault="00086C1A" w:rsidP="00DF682C">
            <w:pPr>
              <w:spacing w:after="240" w:line="240" w:lineRule="auto"/>
              <w:jc w:val="center"/>
              <w:rPr>
                <w:rFonts w:ascii="Arial" w:hAnsi="Arial" w:cs="Arial"/>
                <w:color w:val="000000"/>
              </w:rPr>
            </w:pPr>
            <w:r w:rsidRPr="00DD37EC">
              <w:rPr>
                <w:rFonts w:ascii="Arial" w:hAnsi="Arial" w:cs="Arial"/>
                <w:color w:val="000000"/>
              </w:rPr>
              <w:t>22,000</w:t>
            </w:r>
          </w:p>
        </w:tc>
        <w:tc>
          <w:tcPr>
            <w:tcW w:w="922" w:type="dxa"/>
            <w:tcBorders>
              <w:top w:val="nil"/>
              <w:left w:val="nil"/>
              <w:bottom w:val="single" w:sz="4" w:space="0" w:color="auto"/>
              <w:right w:val="single" w:sz="4" w:space="0" w:color="auto"/>
            </w:tcBorders>
            <w:shd w:val="clear" w:color="auto" w:fill="auto"/>
            <w:noWrap/>
            <w:vAlign w:val="bottom"/>
          </w:tcPr>
          <w:p w14:paraId="0FAED449" w14:textId="77777777" w:rsidR="00086C1A" w:rsidRPr="00DD37EC" w:rsidRDefault="00086C1A" w:rsidP="00DF682C">
            <w:pPr>
              <w:spacing w:after="240" w:line="240" w:lineRule="auto"/>
              <w:jc w:val="center"/>
              <w:rPr>
                <w:rFonts w:ascii="Arial" w:hAnsi="Arial" w:cs="Arial"/>
                <w:color w:val="000000"/>
              </w:rPr>
            </w:pPr>
            <w:r w:rsidRPr="00DD37EC">
              <w:rPr>
                <w:rFonts w:ascii="Arial" w:hAnsi="Arial" w:cs="Arial"/>
                <w:color w:val="000000"/>
              </w:rPr>
              <w:t>13,000</w:t>
            </w:r>
          </w:p>
        </w:tc>
        <w:tc>
          <w:tcPr>
            <w:tcW w:w="922" w:type="dxa"/>
            <w:tcBorders>
              <w:top w:val="nil"/>
              <w:left w:val="nil"/>
              <w:bottom w:val="single" w:sz="4" w:space="0" w:color="auto"/>
              <w:right w:val="single" w:sz="4" w:space="0" w:color="auto"/>
            </w:tcBorders>
            <w:shd w:val="clear" w:color="auto" w:fill="auto"/>
            <w:noWrap/>
            <w:vAlign w:val="bottom"/>
          </w:tcPr>
          <w:p w14:paraId="4112A17A" w14:textId="77777777" w:rsidR="00086C1A" w:rsidRPr="00DD37EC" w:rsidRDefault="00086C1A" w:rsidP="00DF682C">
            <w:pPr>
              <w:spacing w:after="240" w:line="240" w:lineRule="auto"/>
              <w:jc w:val="center"/>
              <w:rPr>
                <w:rFonts w:ascii="Arial" w:hAnsi="Arial" w:cs="Arial"/>
                <w:color w:val="000000"/>
              </w:rPr>
            </w:pPr>
            <w:r w:rsidRPr="00DD37EC">
              <w:rPr>
                <w:rFonts w:ascii="Arial" w:hAnsi="Arial" w:cs="Arial"/>
                <w:color w:val="000000"/>
              </w:rPr>
              <w:t>8,200</w:t>
            </w:r>
          </w:p>
        </w:tc>
        <w:tc>
          <w:tcPr>
            <w:tcW w:w="920" w:type="dxa"/>
            <w:tcBorders>
              <w:top w:val="nil"/>
              <w:left w:val="nil"/>
              <w:bottom w:val="single" w:sz="4" w:space="0" w:color="auto"/>
              <w:right w:val="single" w:sz="4" w:space="0" w:color="auto"/>
            </w:tcBorders>
            <w:shd w:val="clear" w:color="auto" w:fill="auto"/>
            <w:noWrap/>
            <w:vAlign w:val="bottom"/>
          </w:tcPr>
          <w:p w14:paraId="02C99E90" w14:textId="77777777" w:rsidR="00086C1A" w:rsidRPr="00DD37EC" w:rsidRDefault="00086C1A" w:rsidP="00DF682C">
            <w:pPr>
              <w:spacing w:after="240" w:line="240" w:lineRule="auto"/>
              <w:jc w:val="center"/>
              <w:rPr>
                <w:rFonts w:ascii="Arial" w:hAnsi="Arial" w:cs="Arial"/>
                <w:color w:val="000000"/>
              </w:rPr>
            </w:pPr>
            <w:r w:rsidRPr="00DD37EC">
              <w:rPr>
                <w:rFonts w:ascii="Arial" w:hAnsi="Arial" w:cs="Arial"/>
                <w:color w:val="000000"/>
              </w:rPr>
              <w:t>2017</w:t>
            </w:r>
          </w:p>
        </w:tc>
        <w:tc>
          <w:tcPr>
            <w:tcW w:w="2623" w:type="dxa"/>
            <w:tcBorders>
              <w:top w:val="nil"/>
              <w:left w:val="nil"/>
              <w:bottom w:val="single" w:sz="4" w:space="0" w:color="auto"/>
              <w:right w:val="single" w:sz="4" w:space="0" w:color="auto"/>
            </w:tcBorders>
            <w:shd w:val="clear" w:color="auto" w:fill="auto"/>
            <w:noWrap/>
            <w:vAlign w:val="bottom"/>
          </w:tcPr>
          <w:p w14:paraId="0BD4BA9B" w14:textId="77777777" w:rsidR="00086C1A" w:rsidRPr="00DD37EC" w:rsidRDefault="00086C1A" w:rsidP="00DF682C">
            <w:pPr>
              <w:pStyle w:val="FootnoteText"/>
              <w:spacing w:after="240"/>
              <w:jc w:val="center"/>
              <w:rPr>
                <w:rFonts w:ascii="Arial" w:hAnsi="Arial" w:cs="Arial"/>
                <w:sz w:val="22"/>
                <w:szCs w:val="22"/>
                <w:lang w:val="es-ES"/>
              </w:rPr>
            </w:pPr>
            <w:r w:rsidRPr="00DD37EC">
              <w:rPr>
                <w:rFonts w:ascii="Arial" w:hAnsi="Arial" w:cs="Arial"/>
                <w:color w:val="000000"/>
                <w:sz w:val="22"/>
                <w:szCs w:val="22"/>
                <w:lang w:val="es-MX"/>
              </w:rPr>
              <w:t>ONUSIDA Country Data, 2018</w:t>
            </w:r>
            <w:r w:rsidRPr="00DD37EC">
              <w:rPr>
                <w:rStyle w:val="FootnoteReference"/>
                <w:rFonts w:ascii="Arial" w:hAnsi="Arial" w:cs="Arial"/>
                <w:color w:val="000000"/>
                <w:sz w:val="22"/>
                <w:szCs w:val="22"/>
                <w:lang w:val="es-MX"/>
              </w:rPr>
              <w:footnoteReference w:id="145"/>
            </w:r>
          </w:p>
        </w:tc>
      </w:tr>
      <w:tr w:rsidR="00086C1A" w:rsidRPr="00DD37EC" w14:paraId="1075C11C" w14:textId="77777777" w:rsidTr="00DF682C">
        <w:trPr>
          <w:trHeight w:val="20"/>
        </w:trPr>
        <w:tc>
          <w:tcPr>
            <w:tcW w:w="2471" w:type="dxa"/>
            <w:vMerge/>
            <w:tcBorders>
              <w:left w:val="single" w:sz="4" w:space="0" w:color="auto"/>
              <w:right w:val="single" w:sz="4" w:space="0" w:color="auto"/>
            </w:tcBorders>
            <w:shd w:val="clear" w:color="auto" w:fill="auto"/>
            <w:noWrap/>
            <w:vAlign w:val="center"/>
            <w:hideMark/>
          </w:tcPr>
          <w:p w14:paraId="68DDF4C5" w14:textId="77777777" w:rsidR="00086C1A" w:rsidRPr="00DD37EC" w:rsidRDefault="00086C1A" w:rsidP="00DF682C">
            <w:pPr>
              <w:spacing w:after="240" w:line="240" w:lineRule="auto"/>
              <w:jc w:val="center"/>
              <w:rPr>
                <w:rFonts w:ascii="Arial" w:hAnsi="Arial" w:cs="Arial"/>
                <w:b/>
                <w:color w:val="000000"/>
              </w:rPr>
            </w:pPr>
          </w:p>
        </w:tc>
        <w:tc>
          <w:tcPr>
            <w:tcW w:w="970" w:type="dxa"/>
            <w:tcBorders>
              <w:top w:val="nil"/>
              <w:left w:val="nil"/>
              <w:bottom w:val="single" w:sz="4" w:space="0" w:color="auto"/>
              <w:right w:val="single" w:sz="4" w:space="0" w:color="auto"/>
            </w:tcBorders>
            <w:shd w:val="clear" w:color="auto" w:fill="auto"/>
            <w:noWrap/>
            <w:vAlign w:val="bottom"/>
          </w:tcPr>
          <w:p w14:paraId="26041F95" w14:textId="77777777" w:rsidR="00086C1A" w:rsidRPr="00DD37EC" w:rsidRDefault="00086C1A" w:rsidP="00DF682C">
            <w:pPr>
              <w:spacing w:after="240" w:line="240" w:lineRule="auto"/>
              <w:jc w:val="center"/>
              <w:rPr>
                <w:rFonts w:ascii="Arial" w:hAnsi="Arial" w:cs="Arial"/>
                <w:color w:val="000000"/>
              </w:rPr>
            </w:pPr>
            <w:r w:rsidRPr="00DD37EC">
              <w:rPr>
                <w:rFonts w:ascii="Arial" w:hAnsi="Arial" w:cs="Arial"/>
                <w:color w:val="000000"/>
              </w:rPr>
              <w:t>26,000</w:t>
            </w:r>
          </w:p>
        </w:tc>
        <w:tc>
          <w:tcPr>
            <w:tcW w:w="922" w:type="dxa"/>
            <w:tcBorders>
              <w:top w:val="nil"/>
              <w:left w:val="nil"/>
              <w:bottom w:val="single" w:sz="4" w:space="0" w:color="auto"/>
              <w:right w:val="single" w:sz="4" w:space="0" w:color="auto"/>
            </w:tcBorders>
            <w:shd w:val="clear" w:color="auto" w:fill="auto"/>
            <w:noWrap/>
            <w:vAlign w:val="bottom"/>
          </w:tcPr>
          <w:p w14:paraId="073C4DD5" w14:textId="77777777" w:rsidR="00086C1A" w:rsidRPr="00DD37EC" w:rsidRDefault="00086C1A" w:rsidP="00DF682C">
            <w:pPr>
              <w:spacing w:after="240" w:line="240" w:lineRule="auto"/>
              <w:jc w:val="center"/>
              <w:rPr>
                <w:rFonts w:ascii="Arial" w:hAnsi="Arial" w:cs="Arial"/>
                <w:color w:val="000000"/>
              </w:rPr>
            </w:pPr>
            <w:r w:rsidRPr="00DD37EC">
              <w:rPr>
                <w:rFonts w:ascii="Arial" w:hAnsi="Arial" w:cs="Arial"/>
                <w:color w:val="000000"/>
              </w:rPr>
              <w:t>16,000</w:t>
            </w:r>
          </w:p>
        </w:tc>
        <w:tc>
          <w:tcPr>
            <w:tcW w:w="922" w:type="dxa"/>
            <w:tcBorders>
              <w:top w:val="nil"/>
              <w:left w:val="nil"/>
              <w:bottom w:val="single" w:sz="4" w:space="0" w:color="auto"/>
              <w:right w:val="single" w:sz="4" w:space="0" w:color="auto"/>
            </w:tcBorders>
            <w:shd w:val="clear" w:color="auto" w:fill="auto"/>
            <w:noWrap/>
            <w:vAlign w:val="bottom"/>
          </w:tcPr>
          <w:p w14:paraId="2F82886C" w14:textId="77777777" w:rsidR="00086C1A" w:rsidRPr="00DD37EC" w:rsidRDefault="00086C1A" w:rsidP="00DF682C">
            <w:pPr>
              <w:spacing w:after="240" w:line="240" w:lineRule="auto"/>
              <w:jc w:val="center"/>
              <w:rPr>
                <w:rFonts w:ascii="Arial" w:hAnsi="Arial" w:cs="Arial"/>
                <w:color w:val="000000"/>
              </w:rPr>
            </w:pPr>
            <w:r w:rsidRPr="00DD37EC">
              <w:rPr>
                <w:rFonts w:ascii="Arial" w:hAnsi="Arial" w:cs="Arial"/>
                <w:color w:val="000000"/>
              </w:rPr>
              <w:t>8,600</w:t>
            </w:r>
          </w:p>
        </w:tc>
        <w:tc>
          <w:tcPr>
            <w:tcW w:w="920" w:type="dxa"/>
            <w:tcBorders>
              <w:top w:val="nil"/>
              <w:left w:val="nil"/>
              <w:bottom w:val="single" w:sz="4" w:space="0" w:color="auto"/>
              <w:right w:val="single" w:sz="4" w:space="0" w:color="auto"/>
            </w:tcBorders>
            <w:shd w:val="clear" w:color="auto" w:fill="auto"/>
            <w:noWrap/>
            <w:vAlign w:val="bottom"/>
          </w:tcPr>
          <w:p w14:paraId="3DB858DF" w14:textId="77777777" w:rsidR="00086C1A" w:rsidRPr="00DD37EC" w:rsidRDefault="00086C1A" w:rsidP="00DF682C">
            <w:pPr>
              <w:spacing w:after="240" w:line="240" w:lineRule="auto"/>
              <w:jc w:val="center"/>
              <w:rPr>
                <w:rFonts w:ascii="Arial" w:hAnsi="Arial" w:cs="Arial"/>
                <w:color w:val="000000"/>
              </w:rPr>
            </w:pPr>
            <w:r w:rsidRPr="00DD37EC">
              <w:rPr>
                <w:rFonts w:ascii="Arial" w:hAnsi="Arial" w:cs="Arial"/>
                <w:color w:val="000000"/>
              </w:rPr>
              <w:t>2010</w:t>
            </w:r>
          </w:p>
        </w:tc>
        <w:tc>
          <w:tcPr>
            <w:tcW w:w="2623" w:type="dxa"/>
            <w:tcBorders>
              <w:top w:val="nil"/>
              <w:left w:val="nil"/>
              <w:bottom w:val="single" w:sz="4" w:space="0" w:color="auto"/>
              <w:right w:val="single" w:sz="4" w:space="0" w:color="auto"/>
            </w:tcBorders>
            <w:shd w:val="clear" w:color="auto" w:fill="auto"/>
            <w:noWrap/>
          </w:tcPr>
          <w:p w14:paraId="64364158" w14:textId="77777777" w:rsidR="00086C1A" w:rsidRPr="00DD37EC" w:rsidRDefault="00086C1A" w:rsidP="00DF682C">
            <w:pPr>
              <w:spacing w:after="240" w:line="240" w:lineRule="auto"/>
              <w:jc w:val="center"/>
              <w:rPr>
                <w:rFonts w:ascii="Arial" w:hAnsi="Arial" w:cs="Arial"/>
                <w:color w:val="000000"/>
              </w:rPr>
            </w:pPr>
            <w:r w:rsidRPr="00DD37EC">
              <w:rPr>
                <w:rFonts w:ascii="Arial" w:hAnsi="Arial" w:cs="Arial"/>
                <w:color w:val="000000"/>
                <w:lang w:val="es-MX"/>
              </w:rPr>
              <w:t>ONUSIDA Country Data, 2018</w:t>
            </w:r>
            <w:r w:rsidRPr="00DD37EC">
              <w:rPr>
                <w:rStyle w:val="FootnoteReference"/>
                <w:rFonts w:ascii="Arial" w:hAnsi="Arial" w:cs="Arial"/>
                <w:color w:val="000000"/>
                <w:lang w:val="es-MX"/>
              </w:rPr>
              <w:footnoteReference w:id="146"/>
            </w:r>
          </w:p>
        </w:tc>
      </w:tr>
      <w:tr w:rsidR="00086C1A" w:rsidRPr="00DD37EC" w14:paraId="7B0ED564" w14:textId="77777777" w:rsidTr="00DF682C">
        <w:trPr>
          <w:trHeight w:val="20"/>
        </w:trPr>
        <w:tc>
          <w:tcPr>
            <w:tcW w:w="2471" w:type="dxa"/>
            <w:vMerge/>
            <w:tcBorders>
              <w:left w:val="single" w:sz="4" w:space="0" w:color="auto"/>
              <w:bottom w:val="single" w:sz="4" w:space="0" w:color="auto"/>
              <w:right w:val="single" w:sz="4" w:space="0" w:color="auto"/>
            </w:tcBorders>
            <w:shd w:val="clear" w:color="auto" w:fill="auto"/>
            <w:noWrap/>
            <w:vAlign w:val="center"/>
          </w:tcPr>
          <w:p w14:paraId="107E177B" w14:textId="77777777" w:rsidR="00086C1A" w:rsidRPr="00DD37EC" w:rsidRDefault="00086C1A" w:rsidP="00DF682C">
            <w:pPr>
              <w:spacing w:after="240" w:line="240" w:lineRule="auto"/>
              <w:jc w:val="center"/>
              <w:rPr>
                <w:rFonts w:ascii="Arial" w:hAnsi="Arial" w:cs="Arial"/>
                <w:b/>
                <w:color w:val="000000"/>
              </w:rPr>
            </w:pPr>
          </w:p>
        </w:tc>
        <w:tc>
          <w:tcPr>
            <w:tcW w:w="970" w:type="dxa"/>
            <w:tcBorders>
              <w:top w:val="nil"/>
              <w:left w:val="nil"/>
              <w:bottom w:val="single" w:sz="4" w:space="0" w:color="auto"/>
              <w:right w:val="single" w:sz="4" w:space="0" w:color="auto"/>
            </w:tcBorders>
            <w:shd w:val="clear" w:color="auto" w:fill="auto"/>
            <w:noWrap/>
            <w:vAlign w:val="bottom"/>
          </w:tcPr>
          <w:p w14:paraId="50578806" w14:textId="77777777" w:rsidR="00086C1A" w:rsidRPr="00DD37EC" w:rsidRDefault="00086C1A" w:rsidP="00DF682C">
            <w:pPr>
              <w:spacing w:after="240" w:line="240" w:lineRule="auto"/>
              <w:jc w:val="center"/>
              <w:rPr>
                <w:rFonts w:ascii="Arial" w:hAnsi="Arial" w:cs="Arial"/>
                <w:color w:val="000000"/>
              </w:rPr>
            </w:pPr>
            <w:r w:rsidRPr="00DD37EC">
              <w:rPr>
                <w:rFonts w:ascii="Arial" w:hAnsi="Arial" w:cs="Arial"/>
                <w:color w:val="000000"/>
              </w:rPr>
              <w:t>31,000</w:t>
            </w:r>
          </w:p>
        </w:tc>
        <w:tc>
          <w:tcPr>
            <w:tcW w:w="922" w:type="dxa"/>
            <w:tcBorders>
              <w:top w:val="nil"/>
              <w:left w:val="nil"/>
              <w:bottom w:val="single" w:sz="4" w:space="0" w:color="auto"/>
              <w:right w:val="single" w:sz="4" w:space="0" w:color="auto"/>
            </w:tcBorders>
            <w:shd w:val="clear" w:color="auto" w:fill="auto"/>
            <w:noWrap/>
            <w:vAlign w:val="bottom"/>
          </w:tcPr>
          <w:p w14:paraId="490A2CD0" w14:textId="77777777" w:rsidR="00086C1A" w:rsidRPr="00DD37EC" w:rsidRDefault="00086C1A" w:rsidP="00DF682C">
            <w:pPr>
              <w:spacing w:after="240" w:line="240" w:lineRule="auto"/>
              <w:jc w:val="center"/>
              <w:rPr>
                <w:rFonts w:ascii="Arial" w:hAnsi="Arial" w:cs="Arial"/>
                <w:color w:val="000000"/>
              </w:rPr>
            </w:pPr>
            <w:r w:rsidRPr="00DD37EC">
              <w:rPr>
                <w:rFonts w:ascii="Arial" w:hAnsi="Arial" w:cs="Arial"/>
                <w:color w:val="000000"/>
              </w:rPr>
              <w:t>20,000</w:t>
            </w:r>
          </w:p>
        </w:tc>
        <w:tc>
          <w:tcPr>
            <w:tcW w:w="922" w:type="dxa"/>
            <w:tcBorders>
              <w:top w:val="nil"/>
              <w:left w:val="nil"/>
              <w:bottom w:val="single" w:sz="4" w:space="0" w:color="auto"/>
              <w:right w:val="single" w:sz="4" w:space="0" w:color="auto"/>
            </w:tcBorders>
            <w:shd w:val="clear" w:color="auto" w:fill="auto"/>
            <w:noWrap/>
            <w:vAlign w:val="bottom"/>
          </w:tcPr>
          <w:p w14:paraId="26661137" w14:textId="77777777" w:rsidR="00086C1A" w:rsidRPr="00DD37EC" w:rsidRDefault="00086C1A" w:rsidP="00DF682C">
            <w:pPr>
              <w:spacing w:after="240" w:line="240" w:lineRule="auto"/>
              <w:jc w:val="center"/>
              <w:rPr>
                <w:rFonts w:ascii="Arial" w:hAnsi="Arial" w:cs="Arial"/>
                <w:color w:val="000000"/>
              </w:rPr>
            </w:pPr>
            <w:r w:rsidRPr="00DD37EC">
              <w:rPr>
                <w:rFonts w:ascii="Arial" w:hAnsi="Arial" w:cs="Arial"/>
                <w:color w:val="000000"/>
              </w:rPr>
              <w:t>9,300</w:t>
            </w:r>
          </w:p>
        </w:tc>
        <w:tc>
          <w:tcPr>
            <w:tcW w:w="920" w:type="dxa"/>
            <w:tcBorders>
              <w:top w:val="nil"/>
              <w:left w:val="nil"/>
              <w:bottom w:val="single" w:sz="4" w:space="0" w:color="auto"/>
              <w:right w:val="single" w:sz="4" w:space="0" w:color="auto"/>
            </w:tcBorders>
            <w:shd w:val="clear" w:color="auto" w:fill="auto"/>
            <w:noWrap/>
            <w:vAlign w:val="bottom"/>
          </w:tcPr>
          <w:p w14:paraId="34AF22CE" w14:textId="77777777" w:rsidR="00086C1A" w:rsidRPr="00DD37EC" w:rsidRDefault="00086C1A" w:rsidP="00DF682C">
            <w:pPr>
              <w:spacing w:after="240" w:line="240" w:lineRule="auto"/>
              <w:jc w:val="center"/>
              <w:rPr>
                <w:rFonts w:ascii="Arial" w:hAnsi="Arial" w:cs="Arial"/>
                <w:color w:val="000000"/>
              </w:rPr>
            </w:pPr>
            <w:r w:rsidRPr="00DD37EC">
              <w:rPr>
                <w:rFonts w:ascii="Arial" w:hAnsi="Arial" w:cs="Arial"/>
                <w:color w:val="000000"/>
              </w:rPr>
              <w:t>2005</w:t>
            </w:r>
          </w:p>
        </w:tc>
        <w:tc>
          <w:tcPr>
            <w:tcW w:w="2623" w:type="dxa"/>
            <w:tcBorders>
              <w:top w:val="nil"/>
              <w:left w:val="nil"/>
              <w:bottom w:val="single" w:sz="4" w:space="0" w:color="auto"/>
              <w:right w:val="single" w:sz="4" w:space="0" w:color="auto"/>
            </w:tcBorders>
            <w:shd w:val="clear" w:color="auto" w:fill="auto"/>
            <w:noWrap/>
          </w:tcPr>
          <w:p w14:paraId="3DD6F8AD" w14:textId="77777777" w:rsidR="00086C1A" w:rsidRPr="00DD37EC" w:rsidRDefault="00086C1A" w:rsidP="00DF682C">
            <w:pPr>
              <w:spacing w:after="240" w:line="240" w:lineRule="auto"/>
              <w:jc w:val="center"/>
              <w:rPr>
                <w:rFonts w:ascii="Arial" w:hAnsi="Arial" w:cs="Arial"/>
                <w:color w:val="000000"/>
                <w:lang w:val="es-MX"/>
              </w:rPr>
            </w:pPr>
            <w:r w:rsidRPr="00DD37EC">
              <w:rPr>
                <w:rFonts w:ascii="Arial" w:hAnsi="Arial" w:cs="Arial"/>
                <w:color w:val="000000"/>
                <w:lang w:val="es-MX"/>
              </w:rPr>
              <w:t>ONUSIDA Country Data, 2018</w:t>
            </w:r>
            <w:r w:rsidRPr="00DD37EC">
              <w:rPr>
                <w:rStyle w:val="FootnoteReference"/>
                <w:rFonts w:ascii="Arial" w:hAnsi="Arial" w:cs="Arial"/>
                <w:color w:val="000000"/>
                <w:lang w:val="es-MX"/>
              </w:rPr>
              <w:footnoteReference w:id="147"/>
            </w:r>
          </w:p>
        </w:tc>
      </w:tr>
      <w:tr w:rsidR="00086C1A" w:rsidRPr="00DD37EC" w14:paraId="3A99B371" w14:textId="77777777" w:rsidTr="00DF682C">
        <w:trPr>
          <w:trHeight w:val="20"/>
        </w:trPr>
        <w:tc>
          <w:tcPr>
            <w:tcW w:w="247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1D67A6" w14:textId="77777777" w:rsidR="00086C1A" w:rsidRPr="00DD37EC" w:rsidRDefault="00086C1A" w:rsidP="00DF682C">
            <w:pPr>
              <w:spacing w:after="240" w:line="240" w:lineRule="auto"/>
              <w:jc w:val="center"/>
              <w:rPr>
                <w:rFonts w:ascii="Arial" w:hAnsi="Arial" w:cs="Arial"/>
                <w:b/>
                <w:color w:val="000000"/>
                <w:lang w:val="es-MX"/>
              </w:rPr>
            </w:pPr>
            <w:r w:rsidRPr="00DD37EC">
              <w:rPr>
                <w:rFonts w:ascii="Arial" w:hAnsi="Arial" w:cs="Arial"/>
                <w:b/>
                <w:color w:val="000000"/>
                <w:lang w:val="es-MX"/>
              </w:rPr>
              <w:lastRenderedPageBreak/>
              <w:t>Número de muertes relacionadas con VIH/SIDA (n, tasa x 100.000 habitantes)</w:t>
            </w:r>
          </w:p>
        </w:tc>
        <w:tc>
          <w:tcPr>
            <w:tcW w:w="970" w:type="dxa"/>
            <w:tcBorders>
              <w:top w:val="single" w:sz="4" w:space="0" w:color="auto"/>
              <w:left w:val="nil"/>
              <w:bottom w:val="single" w:sz="4" w:space="0" w:color="auto"/>
              <w:right w:val="single" w:sz="4" w:space="0" w:color="auto"/>
            </w:tcBorders>
            <w:shd w:val="clear" w:color="auto" w:fill="auto"/>
            <w:noWrap/>
            <w:vAlign w:val="center"/>
          </w:tcPr>
          <w:p w14:paraId="1A1E0AC6" w14:textId="77777777" w:rsidR="00086C1A" w:rsidRPr="00DD37EC" w:rsidRDefault="00086C1A" w:rsidP="00DF682C">
            <w:pPr>
              <w:spacing w:after="240" w:line="240" w:lineRule="auto"/>
              <w:jc w:val="center"/>
              <w:rPr>
                <w:rFonts w:ascii="Arial" w:hAnsi="Arial" w:cs="Arial"/>
                <w:color w:val="000000"/>
                <w:lang w:val="es-MX"/>
              </w:rPr>
            </w:pPr>
            <w:r w:rsidRPr="00DD37EC">
              <w:rPr>
                <w:rFonts w:ascii="Arial" w:hAnsi="Arial" w:cs="Arial"/>
                <w:color w:val="000000"/>
                <w:lang w:val="es-MX"/>
              </w:rPr>
              <w:t>1,000</w:t>
            </w:r>
          </w:p>
        </w:tc>
        <w:tc>
          <w:tcPr>
            <w:tcW w:w="922" w:type="dxa"/>
            <w:tcBorders>
              <w:top w:val="single" w:sz="4" w:space="0" w:color="auto"/>
              <w:left w:val="nil"/>
              <w:bottom w:val="single" w:sz="4" w:space="0" w:color="auto"/>
              <w:right w:val="single" w:sz="4" w:space="0" w:color="auto"/>
            </w:tcBorders>
            <w:shd w:val="clear" w:color="auto" w:fill="auto"/>
            <w:noWrap/>
            <w:vAlign w:val="center"/>
          </w:tcPr>
          <w:p w14:paraId="0D8FFBA4" w14:textId="77777777" w:rsidR="00086C1A" w:rsidRPr="00DD37EC" w:rsidRDefault="00086C1A" w:rsidP="00DF682C">
            <w:pPr>
              <w:spacing w:after="240" w:line="240" w:lineRule="auto"/>
              <w:jc w:val="center"/>
              <w:rPr>
                <w:rFonts w:ascii="Arial" w:hAnsi="Arial" w:cs="Arial"/>
                <w:color w:val="000000"/>
                <w:lang w:val="es-MX"/>
              </w:rPr>
            </w:pPr>
            <w:r w:rsidRPr="00DD37EC">
              <w:rPr>
                <w:rFonts w:ascii="Arial" w:hAnsi="Arial" w:cs="Arial"/>
                <w:color w:val="000000"/>
                <w:lang w:val="es-MX"/>
              </w:rPr>
              <w:t>710</w:t>
            </w:r>
          </w:p>
        </w:tc>
        <w:tc>
          <w:tcPr>
            <w:tcW w:w="922" w:type="dxa"/>
            <w:tcBorders>
              <w:top w:val="single" w:sz="4" w:space="0" w:color="auto"/>
              <w:left w:val="nil"/>
              <w:bottom w:val="single" w:sz="4" w:space="0" w:color="auto"/>
              <w:right w:val="single" w:sz="4" w:space="0" w:color="auto"/>
            </w:tcBorders>
            <w:shd w:val="clear" w:color="auto" w:fill="auto"/>
            <w:noWrap/>
            <w:vAlign w:val="center"/>
          </w:tcPr>
          <w:p w14:paraId="67B58569" w14:textId="77777777" w:rsidR="00086C1A" w:rsidRPr="00DD37EC" w:rsidRDefault="00086C1A" w:rsidP="00DF682C">
            <w:pPr>
              <w:spacing w:after="240" w:line="240" w:lineRule="auto"/>
              <w:jc w:val="center"/>
              <w:rPr>
                <w:rFonts w:ascii="Arial" w:hAnsi="Arial" w:cs="Arial"/>
                <w:color w:val="000000"/>
                <w:lang w:val="es-MX"/>
              </w:rPr>
            </w:pPr>
            <w:r w:rsidRPr="00DD37EC">
              <w:rPr>
                <w:rFonts w:ascii="Arial" w:hAnsi="Arial" w:cs="Arial"/>
                <w:color w:val="000000"/>
                <w:lang w:val="es-MX"/>
              </w:rPr>
              <w:t>500</w:t>
            </w:r>
          </w:p>
        </w:tc>
        <w:tc>
          <w:tcPr>
            <w:tcW w:w="920" w:type="dxa"/>
            <w:tcBorders>
              <w:top w:val="single" w:sz="4" w:space="0" w:color="auto"/>
              <w:left w:val="nil"/>
              <w:bottom w:val="single" w:sz="4" w:space="0" w:color="auto"/>
              <w:right w:val="single" w:sz="4" w:space="0" w:color="auto"/>
            </w:tcBorders>
            <w:shd w:val="clear" w:color="auto" w:fill="auto"/>
            <w:noWrap/>
            <w:vAlign w:val="center"/>
          </w:tcPr>
          <w:p w14:paraId="39CC0E3F" w14:textId="77777777" w:rsidR="00086C1A" w:rsidRPr="00DD37EC" w:rsidRDefault="00086C1A" w:rsidP="00DF682C">
            <w:pPr>
              <w:spacing w:after="240" w:line="240" w:lineRule="auto"/>
              <w:jc w:val="center"/>
              <w:rPr>
                <w:rFonts w:ascii="Arial" w:hAnsi="Arial" w:cs="Arial"/>
                <w:color w:val="000000"/>
                <w:lang w:val="es-MX"/>
              </w:rPr>
            </w:pPr>
            <w:r w:rsidRPr="00DD37EC">
              <w:rPr>
                <w:rFonts w:ascii="Arial" w:hAnsi="Arial" w:cs="Arial"/>
                <w:color w:val="000000"/>
                <w:lang w:val="es-MX"/>
              </w:rPr>
              <w:t>2017</w:t>
            </w:r>
          </w:p>
        </w:tc>
        <w:tc>
          <w:tcPr>
            <w:tcW w:w="2623" w:type="dxa"/>
            <w:tcBorders>
              <w:top w:val="single" w:sz="4" w:space="0" w:color="auto"/>
              <w:left w:val="nil"/>
              <w:bottom w:val="single" w:sz="4" w:space="0" w:color="auto"/>
              <w:right w:val="single" w:sz="4" w:space="0" w:color="auto"/>
            </w:tcBorders>
            <w:shd w:val="clear" w:color="auto" w:fill="auto"/>
            <w:noWrap/>
          </w:tcPr>
          <w:p w14:paraId="644B5F73" w14:textId="77777777" w:rsidR="00086C1A" w:rsidRPr="00DD37EC" w:rsidRDefault="00086C1A" w:rsidP="00DF682C">
            <w:pPr>
              <w:spacing w:after="240" w:line="240" w:lineRule="auto"/>
              <w:jc w:val="center"/>
              <w:rPr>
                <w:rFonts w:ascii="Arial" w:hAnsi="Arial" w:cs="Arial"/>
                <w:color w:val="000000"/>
                <w:lang w:val="es-MX"/>
              </w:rPr>
            </w:pPr>
            <w:r w:rsidRPr="00DD37EC">
              <w:rPr>
                <w:rFonts w:ascii="Arial" w:hAnsi="Arial" w:cs="Arial"/>
                <w:color w:val="000000"/>
                <w:lang w:val="es-MX"/>
              </w:rPr>
              <w:t>ONUSIDA Country Data, 2018</w:t>
            </w:r>
            <w:r w:rsidRPr="00DD37EC">
              <w:rPr>
                <w:rStyle w:val="FootnoteReference"/>
                <w:rFonts w:ascii="Arial" w:hAnsi="Arial" w:cs="Arial"/>
                <w:color w:val="000000"/>
                <w:lang w:val="es-MX"/>
              </w:rPr>
              <w:footnoteReference w:id="148"/>
            </w:r>
          </w:p>
        </w:tc>
      </w:tr>
      <w:tr w:rsidR="00086C1A" w:rsidRPr="00DD37EC" w14:paraId="238E46D8" w14:textId="77777777" w:rsidTr="00DF682C">
        <w:trPr>
          <w:trHeight w:val="20"/>
        </w:trPr>
        <w:tc>
          <w:tcPr>
            <w:tcW w:w="2471" w:type="dxa"/>
            <w:vMerge/>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85C8C6" w14:textId="77777777" w:rsidR="00086C1A" w:rsidRPr="00DD37EC" w:rsidRDefault="00086C1A" w:rsidP="00DF682C">
            <w:pPr>
              <w:spacing w:after="240" w:line="240" w:lineRule="auto"/>
              <w:rPr>
                <w:rFonts w:ascii="Arial" w:hAnsi="Arial" w:cs="Arial"/>
                <w:color w:val="000000"/>
                <w:lang w:val="es-MX"/>
              </w:rPr>
            </w:pPr>
          </w:p>
        </w:tc>
        <w:tc>
          <w:tcPr>
            <w:tcW w:w="970" w:type="dxa"/>
            <w:tcBorders>
              <w:top w:val="single" w:sz="4" w:space="0" w:color="auto"/>
              <w:left w:val="nil"/>
              <w:bottom w:val="single" w:sz="4" w:space="0" w:color="auto"/>
              <w:right w:val="single" w:sz="4" w:space="0" w:color="auto"/>
            </w:tcBorders>
            <w:shd w:val="clear" w:color="auto" w:fill="auto"/>
            <w:noWrap/>
            <w:vAlign w:val="center"/>
          </w:tcPr>
          <w:p w14:paraId="68741BC9" w14:textId="77777777" w:rsidR="00086C1A" w:rsidRPr="00DD37EC" w:rsidRDefault="00086C1A" w:rsidP="00DF682C">
            <w:pPr>
              <w:spacing w:after="240" w:line="240" w:lineRule="auto"/>
              <w:jc w:val="center"/>
              <w:rPr>
                <w:rFonts w:ascii="Arial" w:hAnsi="Arial" w:cs="Arial"/>
                <w:color w:val="000000"/>
                <w:lang w:val="es-MX"/>
              </w:rPr>
            </w:pPr>
            <w:r w:rsidRPr="00DD37EC">
              <w:rPr>
                <w:rFonts w:ascii="Arial" w:hAnsi="Arial" w:cs="Arial"/>
                <w:color w:val="000000"/>
                <w:lang w:val="es-MX"/>
              </w:rPr>
              <w:t>1,500</w:t>
            </w:r>
          </w:p>
        </w:tc>
        <w:tc>
          <w:tcPr>
            <w:tcW w:w="922" w:type="dxa"/>
            <w:tcBorders>
              <w:top w:val="single" w:sz="4" w:space="0" w:color="auto"/>
              <w:left w:val="nil"/>
              <w:bottom w:val="single" w:sz="4" w:space="0" w:color="auto"/>
              <w:right w:val="single" w:sz="4" w:space="0" w:color="auto"/>
            </w:tcBorders>
            <w:shd w:val="clear" w:color="auto" w:fill="auto"/>
            <w:noWrap/>
            <w:vAlign w:val="center"/>
          </w:tcPr>
          <w:p w14:paraId="495ACF47" w14:textId="77777777" w:rsidR="00086C1A" w:rsidRPr="00DD37EC" w:rsidRDefault="00086C1A" w:rsidP="00DF682C">
            <w:pPr>
              <w:spacing w:after="240" w:line="240" w:lineRule="auto"/>
              <w:jc w:val="center"/>
              <w:rPr>
                <w:rFonts w:ascii="Arial" w:hAnsi="Arial" w:cs="Arial"/>
                <w:color w:val="000000"/>
                <w:lang w:val="es-MX"/>
              </w:rPr>
            </w:pPr>
            <w:r w:rsidRPr="00DD37EC">
              <w:rPr>
                <w:rFonts w:ascii="Arial" w:hAnsi="Arial" w:cs="Arial"/>
                <w:color w:val="000000"/>
                <w:lang w:val="es-MX"/>
              </w:rPr>
              <w:t>1,200</w:t>
            </w:r>
          </w:p>
        </w:tc>
        <w:tc>
          <w:tcPr>
            <w:tcW w:w="922" w:type="dxa"/>
            <w:tcBorders>
              <w:top w:val="single" w:sz="4" w:space="0" w:color="auto"/>
              <w:left w:val="nil"/>
              <w:bottom w:val="single" w:sz="4" w:space="0" w:color="auto"/>
              <w:right w:val="single" w:sz="4" w:space="0" w:color="auto"/>
            </w:tcBorders>
            <w:shd w:val="clear" w:color="auto" w:fill="auto"/>
            <w:noWrap/>
            <w:vAlign w:val="center"/>
          </w:tcPr>
          <w:p w14:paraId="3BCEA7CB" w14:textId="77777777" w:rsidR="00086C1A" w:rsidRPr="00DD37EC" w:rsidRDefault="00086C1A" w:rsidP="00DF682C">
            <w:pPr>
              <w:spacing w:after="240" w:line="240" w:lineRule="auto"/>
              <w:jc w:val="center"/>
              <w:rPr>
                <w:rFonts w:ascii="Arial" w:hAnsi="Arial" w:cs="Arial"/>
                <w:color w:val="000000"/>
                <w:lang w:val="es-MX"/>
              </w:rPr>
            </w:pPr>
            <w:r w:rsidRPr="00DD37EC">
              <w:rPr>
                <w:rFonts w:ascii="Arial" w:hAnsi="Arial" w:cs="Arial"/>
                <w:color w:val="000000"/>
                <w:lang w:val="es-MX"/>
              </w:rPr>
              <w:t>500</w:t>
            </w:r>
          </w:p>
        </w:tc>
        <w:tc>
          <w:tcPr>
            <w:tcW w:w="920" w:type="dxa"/>
            <w:tcBorders>
              <w:top w:val="single" w:sz="4" w:space="0" w:color="auto"/>
              <w:left w:val="nil"/>
              <w:bottom w:val="single" w:sz="4" w:space="0" w:color="auto"/>
              <w:right w:val="single" w:sz="4" w:space="0" w:color="auto"/>
            </w:tcBorders>
            <w:shd w:val="clear" w:color="auto" w:fill="auto"/>
            <w:noWrap/>
            <w:vAlign w:val="center"/>
          </w:tcPr>
          <w:p w14:paraId="0207D7CA" w14:textId="77777777" w:rsidR="00086C1A" w:rsidRPr="00DD37EC" w:rsidRDefault="00086C1A" w:rsidP="00DF682C">
            <w:pPr>
              <w:spacing w:after="240" w:line="240" w:lineRule="auto"/>
              <w:jc w:val="center"/>
              <w:rPr>
                <w:rFonts w:ascii="Arial" w:hAnsi="Arial" w:cs="Arial"/>
                <w:color w:val="000000"/>
                <w:lang w:val="es-MX"/>
              </w:rPr>
            </w:pPr>
            <w:r w:rsidRPr="00DD37EC">
              <w:rPr>
                <w:rFonts w:ascii="Arial" w:hAnsi="Arial" w:cs="Arial"/>
                <w:color w:val="000000"/>
                <w:lang w:val="es-MX"/>
              </w:rPr>
              <w:t>2010</w:t>
            </w:r>
          </w:p>
        </w:tc>
        <w:tc>
          <w:tcPr>
            <w:tcW w:w="2623" w:type="dxa"/>
            <w:tcBorders>
              <w:top w:val="single" w:sz="4" w:space="0" w:color="auto"/>
              <w:left w:val="nil"/>
              <w:bottom w:val="single" w:sz="4" w:space="0" w:color="auto"/>
              <w:right w:val="single" w:sz="4" w:space="0" w:color="auto"/>
            </w:tcBorders>
            <w:shd w:val="clear" w:color="auto" w:fill="auto"/>
            <w:noWrap/>
          </w:tcPr>
          <w:p w14:paraId="01EE06FA" w14:textId="77777777" w:rsidR="00086C1A" w:rsidRPr="00DD37EC" w:rsidRDefault="00086C1A" w:rsidP="00DF682C">
            <w:pPr>
              <w:spacing w:after="240" w:line="240" w:lineRule="auto"/>
              <w:jc w:val="center"/>
              <w:rPr>
                <w:rFonts w:ascii="Arial" w:hAnsi="Arial" w:cs="Arial"/>
                <w:color w:val="000000"/>
                <w:lang w:val="es-MX"/>
              </w:rPr>
            </w:pPr>
            <w:r w:rsidRPr="00DD37EC">
              <w:rPr>
                <w:rFonts w:ascii="Arial" w:hAnsi="Arial" w:cs="Arial"/>
                <w:color w:val="000000"/>
                <w:lang w:val="es-MX"/>
              </w:rPr>
              <w:t>ONUSIDA Country Data, 2018</w:t>
            </w:r>
            <w:r w:rsidRPr="00DD37EC">
              <w:rPr>
                <w:rStyle w:val="FootnoteReference"/>
                <w:rFonts w:ascii="Arial" w:hAnsi="Arial" w:cs="Arial"/>
                <w:color w:val="000000"/>
                <w:lang w:val="es-MX"/>
              </w:rPr>
              <w:footnoteReference w:id="149"/>
            </w:r>
          </w:p>
        </w:tc>
      </w:tr>
      <w:tr w:rsidR="00086C1A" w:rsidRPr="00DD37EC" w14:paraId="2736736C" w14:textId="77777777" w:rsidTr="00DF682C">
        <w:trPr>
          <w:trHeight w:val="20"/>
        </w:trPr>
        <w:tc>
          <w:tcPr>
            <w:tcW w:w="2471" w:type="dxa"/>
            <w:vMerge/>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40826A" w14:textId="77777777" w:rsidR="00086C1A" w:rsidRPr="00DD37EC" w:rsidRDefault="00086C1A" w:rsidP="00DF682C">
            <w:pPr>
              <w:spacing w:after="240" w:line="240" w:lineRule="auto"/>
              <w:rPr>
                <w:rFonts w:ascii="Arial" w:hAnsi="Arial" w:cs="Arial"/>
                <w:color w:val="000000"/>
                <w:lang w:val="es-MX"/>
              </w:rPr>
            </w:pPr>
          </w:p>
        </w:tc>
        <w:tc>
          <w:tcPr>
            <w:tcW w:w="970" w:type="dxa"/>
            <w:tcBorders>
              <w:top w:val="single" w:sz="4" w:space="0" w:color="auto"/>
              <w:left w:val="nil"/>
              <w:bottom w:val="single" w:sz="4" w:space="0" w:color="auto"/>
              <w:right w:val="single" w:sz="4" w:space="0" w:color="auto"/>
            </w:tcBorders>
            <w:shd w:val="clear" w:color="auto" w:fill="auto"/>
            <w:noWrap/>
            <w:vAlign w:val="center"/>
          </w:tcPr>
          <w:p w14:paraId="59D7E650" w14:textId="77777777" w:rsidR="00086C1A" w:rsidRPr="00DD37EC" w:rsidRDefault="00086C1A" w:rsidP="00DF682C">
            <w:pPr>
              <w:spacing w:after="240" w:line="240" w:lineRule="auto"/>
              <w:jc w:val="center"/>
              <w:rPr>
                <w:rFonts w:ascii="Arial" w:hAnsi="Arial" w:cs="Arial"/>
                <w:color w:val="000000"/>
                <w:lang w:val="es-MX"/>
              </w:rPr>
            </w:pPr>
            <w:r w:rsidRPr="00DD37EC">
              <w:rPr>
                <w:rFonts w:ascii="Arial" w:hAnsi="Arial" w:cs="Arial"/>
                <w:color w:val="000000"/>
                <w:lang w:val="es-MX"/>
              </w:rPr>
              <w:t>2,200</w:t>
            </w:r>
          </w:p>
        </w:tc>
        <w:tc>
          <w:tcPr>
            <w:tcW w:w="922" w:type="dxa"/>
            <w:tcBorders>
              <w:top w:val="single" w:sz="4" w:space="0" w:color="auto"/>
              <w:left w:val="nil"/>
              <w:bottom w:val="single" w:sz="4" w:space="0" w:color="auto"/>
              <w:right w:val="single" w:sz="4" w:space="0" w:color="auto"/>
            </w:tcBorders>
            <w:shd w:val="clear" w:color="auto" w:fill="auto"/>
            <w:noWrap/>
            <w:vAlign w:val="center"/>
          </w:tcPr>
          <w:p w14:paraId="4AAB61AE" w14:textId="77777777" w:rsidR="00086C1A" w:rsidRPr="00DD37EC" w:rsidRDefault="00086C1A" w:rsidP="00DF682C">
            <w:pPr>
              <w:spacing w:after="240" w:line="240" w:lineRule="auto"/>
              <w:jc w:val="center"/>
              <w:rPr>
                <w:rFonts w:ascii="Arial" w:hAnsi="Arial" w:cs="Arial"/>
                <w:color w:val="000000"/>
                <w:lang w:val="es-MX"/>
              </w:rPr>
            </w:pPr>
            <w:r w:rsidRPr="00DD37EC">
              <w:rPr>
                <w:rFonts w:ascii="Arial" w:hAnsi="Arial" w:cs="Arial"/>
                <w:color w:val="000000"/>
                <w:lang w:val="es-MX"/>
              </w:rPr>
              <w:t>1,600</w:t>
            </w:r>
          </w:p>
        </w:tc>
        <w:tc>
          <w:tcPr>
            <w:tcW w:w="922" w:type="dxa"/>
            <w:tcBorders>
              <w:top w:val="single" w:sz="4" w:space="0" w:color="auto"/>
              <w:left w:val="nil"/>
              <w:bottom w:val="single" w:sz="4" w:space="0" w:color="auto"/>
              <w:right w:val="single" w:sz="4" w:space="0" w:color="auto"/>
            </w:tcBorders>
            <w:shd w:val="clear" w:color="auto" w:fill="auto"/>
            <w:noWrap/>
            <w:vAlign w:val="center"/>
          </w:tcPr>
          <w:p w14:paraId="2BCF2927" w14:textId="77777777" w:rsidR="00086C1A" w:rsidRPr="00DD37EC" w:rsidRDefault="00086C1A" w:rsidP="00DF682C">
            <w:pPr>
              <w:spacing w:after="240" w:line="240" w:lineRule="auto"/>
              <w:jc w:val="center"/>
              <w:rPr>
                <w:rFonts w:ascii="Arial" w:hAnsi="Arial" w:cs="Arial"/>
                <w:color w:val="000000"/>
                <w:lang w:val="es-MX"/>
              </w:rPr>
            </w:pPr>
            <w:r w:rsidRPr="00DD37EC">
              <w:rPr>
                <w:rFonts w:ascii="Arial" w:hAnsi="Arial" w:cs="Arial"/>
                <w:color w:val="000000"/>
                <w:lang w:val="es-MX"/>
              </w:rPr>
              <w:t>510</w:t>
            </w:r>
          </w:p>
        </w:tc>
        <w:tc>
          <w:tcPr>
            <w:tcW w:w="920" w:type="dxa"/>
            <w:tcBorders>
              <w:top w:val="single" w:sz="4" w:space="0" w:color="auto"/>
              <w:left w:val="nil"/>
              <w:bottom w:val="single" w:sz="4" w:space="0" w:color="auto"/>
              <w:right w:val="single" w:sz="4" w:space="0" w:color="auto"/>
            </w:tcBorders>
            <w:shd w:val="clear" w:color="auto" w:fill="auto"/>
            <w:noWrap/>
            <w:vAlign w:val="center"/>
          </w:tcPr>
          <w:p w14:paraId="456A87F2" w14:textId="77777777" w:rsidR="00086C1A" w:rsidRPr="00DD37EC" w:rsidRDefault="00086C1A" w:rsidP="00DF682C">
            <w:pPr>
              <w:spacing w:after="240" w:line="240" w:lineRule="auto"/>
              <w:jc w:val="center"/>
              <w:rPr>
                <w:rFonts w:ascii="Arial" w:hAnsi="Arial" w:cs="Arial"/>
                <w:color w:val="000000"/>
                <w:lang w:val="es-MX"/>
              </w:rPr>
            </w:pPr>
            <w:r w:rsidRPr="00DD37EC">
              <w:rPr>
                <w:rFonts w:ascii="Arial" w:hAnsi="Arial" w:cs="Arial"/>
                <w:color w:val="000000"/>
                <w:lang w:val="es-MX"/>
              </w:rPr>
              <w:t>2005</w:t>
            </w:r>
          </w:p>
        </w:tc>
        <w:tc>
          <w:tcPr>
            <w:tcW w:w="2623" w:type="dxa"/>
            <w:tcBorders>
              <w:top w:val="single" w:sz="4" w:space="0" w:color="auto"/>
              <w:left w:val="nil"/>
              <w:bottom w:val="single" w:sz="4" w:space="0" w:color="auto"/>
              <w:right w:val="single" w:sz="4" w:space="0" w:color="auto"/>
            </w:tcBorders>
            <w:shd w:val="clear" w:color="auto" w:fill="auto"/>
            <w:noWrap/>
          </w:tcPr>
          <w:p w14:paraId="22EE3365" w14:textId="77777777" w:rsidR="00086C1A" w:rsidRPr="00DD37EC" w:rsidRDefault="00086C1A" w:rsidP="00DF682C">
            <w:pPr>
              <w:spacing w:after="240" w:line="240" w:lineRule="auto"/>
              <w:jc w:val="center"/>
              <w:rPr>
                <w:rFonts w:ascii="Arial" w:hAnsi="Arial" w:cs="Arial"/>
                <w:color w:val="000000"/>
                <w:lang w:val="es-MX"/>
              </w:rPr>
            </w:pPr>
            <w:r w:rsidRPr="00DD37EC">
              <w:rPr>
                <w:rFonts w:ascii="Arial" w:hAnsi="Arial" w:cs="Arial"/>
                <w:color w:val="000000"/>
                <w:lang w:val="es-MX"/>
              </w:rPr>
              <w:t>ONUSIDA Country Data, 2018</w:t>
            </w:r>
            <w:r w:rsidRPr="00DD37EC">
              <w:rPr>
                <w:rStyle w:val="FootnoteReference"/>
                <w:rFonts w:ascii="Arial" w:hAnsi="Arial" w:cs="Arial"/>
                <w:color w:val="000000"/>
                <w:lang w:val="es-MX"/>
              </w:rPr>
              <w:footnoteReference w:id="150"/>
            </w:r>
          </w:p>
        </w:tc>
      </w:tr>
    </w:tbl>
    <w:p w14:paraId="6EF6C5E1" w14:textId="77777777" w:rsidR="00086C1A" w:rsidRPr="00DD37EC" w:rsidRDefault="00086C1A" w:rsidP="00086C1A">
      <w:pPr>
        <w:spacing w:after="240" w:line="240" w:lineRule="auto"/>
        <w:jc w:val="both"/>
        <w:rPr>
          <w:rFonts w:ascii="Arial" w:hAnsi="Arial" w:cs="Arial"/>
          <w:i/>
          <w:lang w:val="es-MX"/>
        </w:rPr>
      </w:pPr>
      <w:r w:rsidRPr="00DD37EC">
        <w:rPr>
          <w:rFonts w:ascii="Arial" w:hAnsi="Arial" w:cs="Arial"/>
          <w:i/>
          <w:color w:val="000000"/>
          <w:lang w:val="es-MX"/>
        </w:rPr>
        <w:t xml:space="preserve">* </w:t>
      </w:r>
      <w:r w:rsidRPr="00DD37EC">
        <w:rPr>
          <w:rFonts w:ascii="Arial" w:hAnsi="Arial" w:cs="Arial"/>
          <w:i/>
          <w:lang w:val="es-MX"/>
        </w:rPr>
        <w:t xml:space="preserve">Los datos fueron obtenidos de fuentes internacionales, incluyendo los reportes de país y Factsheet de Honduras del 2017 y 2018. No se obtuvieron datos del sistema de vigilancia de VIH. </w:t>
      </w:r>
    </w:p>
    <w:p w14:paraId="4D953516" w14:textId="2AD0B235" w:rsidR="00D447AE" w:rsidRPr="00004563" w:rsidRDefault="00004563" w:rsidP="00004563">
      <w:pPr>
        <w:pStyle w:val="Caption"/>
        <w:rPr>
          <w:rFonts w:ascii="Arial" w:hAnsi="Arial" w:cs="Arial"/>
          <w:color w:val="auto"/>
          <w:sz w:val="22"/>
          <w:szCs w:val="22"/>
        </w:rPr>
      </w:pPr>
      <w:r w:rsidRPr="00004563">
        <w:rPr>
          <w:rFonts w:ascii="Arial" w:hAnsi="Arial" w:cs="Arial"/>
          <w:color w:val="auto"/>
          <w:sz w:val="22"/>
          <w:szCs w:val="22"/>
        </w:rPr>
        <w:t xml:space="preserve">Figura </w:t>
      </w:r>
      <w:r w:rsidRPr="00004563">
        <w:rPr>
          <w:rFonts w:ascii="Arial" w:hAnsi="Arial" w:cs="Arial"/>
          <w:color w:val="auto"/>
          <w:sz w:val="22"/>
          <w:szCs w:val="22"/>
        </w:rPr>
        <w:fldChar w:fldCharType="begin"/>
      </w:r>
      <w:r w:rsidRPr="00004563">
        <w:rPr>
          <w:rFonts w:ascii="Arial" w:hAnsi="Arial" w:cs="Arial"/>
          <w:color w:val="auto"/>
          <w:sz w:val="22"/>
          <w:szCs w:val="22"/>
        </w:rPr>
        <w:instrText xml:space="preserve"> SEQ Figura \* ARABIC </w:instrText>
      </w:r>
      <w:r w:rsidRPr="00004563">
        <w:rPr>
          <w:rFonts w:ascii="Arial" w:hAnsi="Arial" w:cs="Arial"/>
          <w:color w:val="auto"/>
          <w:sz w:val="22"/>
          <w:szCs w:val="22"/>
        </w:rPr>
        <w:fldChar w:fldCharType="separate"/>
      </w:r>
      <w:r w:rsidRPr="00004563">
        <w:rPr>
          <w:rFonts w:ascii="Arial" w:hAnsi="Arial" w:cs="Arial"/>
          <w:noProof/>
          <w:color w:val="auto"/>
          <w:sz w:val="22"/>
          <w:szCs w:val="22"/>
        </w:rPr>
        <w:t>16</w:t>
      </w:r>
      <w:r w:rsidRPr="00004563">
        <w:rPr>
          <w:rFonts w:ascii="Arial" w:hAnsi="Arial" w:cs="Arial"/>
          <w:color w:val="auto"/>
          <w:sz w:val="22"/>
          <w:szCs w:val="22"/>
        </w:rPr>
        <w:fldChar w:fldCharType="end"/>
      </w:r>
      <w:r w:rsidRPr="00004563">
        <w:rPr>
          <w:rFonts w:ascii="Arial" w:hAnsi="Arial" w:cs="Arial"/>
          <w:color w:val="auto"/>
          <w:sz w:val="22"/>
          <w:szCs w:val="22"/>
        </w:rPr>
        <w:t>. Prestaciones de servicios y financiamiento del sector salud en Honduras</w:t>
      </w:r>
    </w:p>
    <w:p w14:paraId="0ADC92B0" w14:textId="204AEA18" w:rsidR="00086C1A" w:rsidRPr="00D447AE" w:rsidRDefault="00086C1A" w:rsidP="00004563">
      <w:pPr>
        <w:rPr>
          <w:lang w:val="es-US"/>
        </w:rPr>
      </w:pPr>
      <w:bookmarkStart w:id="157" w:name="_Toc8904113"/>
      <w:r w:rsidRPr="00DD37EC">
        <w:rPr>
          <w:noProof/>
        </w:rPr>
        <w:drawing>
          <wp:inline distT="0" distB="0" distL="0" distR="0" wp14:anchorId="731A43B3" wp14:editId="51A42E20">
            <wp:extent cx="5935980" cy="364236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35980" cy="3642360"/>
                    </a:xfrm>
                    <a:prstGeom prst="rect">
                      <a:avLst/>
                    </a:prstGeom>
                    <a:noFill/>
                    <a:ln>
                      <a:noFill/>
                    </a:ln>
                  </pic:spPr>
                </pic:pic>
              </a:graphicData>
            </a:graphic>
          </wp:inline>
        </w:drawing>
      </w:r>
      <w:bookmarkEnd w:id="157"/>
    </w:p>
    <w:sectPr w:rsidR="00086C1A" w:rsidRPr="00D447AE" w:rsidSect="006D6BF3">
      <w:pgSz w:w="12240" w:h="15840"/>
      <w:pgMar w:top="1440" w:right="1138" w:bottom="1440" w:left="113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7CC9F1" w14:textId="77777777" w:rsidR="006F6A41" w:rsidRDefault="006F6A41" w:rsidP="0087124F">
      <w:pPr>
        <w:spacing w:after="0" w:line="240" w:lineRule="auto"/>
      </w:pPr>
      <w:r>
        <w:separator/>
      </w:r>
    </w:p>
  </w:endnote>
  <w:endnote w:type="continuationSeparator" w:id="0">
    <w:p w14:paraId="7658E0B9" w14:textId="77777777" w:rsidR="006F6A41" w:rsidRDefault="006F6A41" w:rsidP="008712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3B9176" w14:textId="77777777" w:rsidR="006F6A41" w:rsidRDefault="006F6A41" w:rsidP="0087124F">
      <w:pPr>
        <w:spacing w:after="0" w:line="240" w:lineRule="auto"/>
      </w:pPr>
      <w:r>
        <w:separator/>
      </w:r>
    </w:p>
  </w:footnote>
  <w:footnote w:type="continuationSeparator" w:id="0">
    <w:p w14:paraId="2998739C" w14:textId="77777777" w:rsidR="006F6A41" w:rsidRDefault="006F6A41" w:rsidP="0087124F">
      <w:pPr>
        <w:spacing w:after="0" w:line="240" w:lineRule="auto"/>
      </w:pPr>
      <w:r>
        <w:continuationSeparator/>
      </w:r>
    </w:p>
  </w:footnote>
  <w:footnote w:id="1">
    <w:p w14:paraId="40C81DD9" w14:textId="39C54922" w:rsidR="00F74A36" w:rsidRPr="00402B17" w:rsidRDefault="00F74A36">
      <w:pPr>
        <w:pStyle w:val="FootnoteText"/>
        <w:rPr>
          <w:lang w:val="es-MX"/>
        </w:rPr>
      </w:pPr>
      <w:r>
        <w:rPr>
          <w:rStyle w:val="FootnoteReference"/>
        </w:rPr>
        <w:footnoteRef/>
      </w:r>
      <w:r w:rsidRPr="00402B17">
        <w:rPr>
          <w:lang w:val="es-MX"/>
        </w:rPr>
        <w:t xml:space="preserve"> ONUSIDA. (2013). Caso de Inversión, Honduras.</w:t>
      </w:r>
    </w:p>
  </w:footnote>
  <w:footnote w:id="2">
    <w:p w14:paraId="6B223368" w14:textId="781C8DA4" w:rsidR="00F74A36" w:rsidRPr="00CC3198" w:rsidRDefault="00F74A36">
      <w:pPr>
        <w:pStyle w:val="FootnoteText"/>
        <w:rPr>
          <w:lang w:val="es-MX"/>
        </w:rPr>
      </w:pPr>
      <w:r>
        <w:rPr>
          <w:rStyle w:val="FootnoteReference"/>
        </w:rPr>
        <w:footnoteRef/>
      </w:r>
      <w:r w:rsidRPr="00CC3198">
        <w:rPr>
          <w:lang w:val="es-MX"/>
        </w:rPr>
        <w:t xml:space="preserve"> Secretaria de Salud de Honduras. (2018). Informe Situación Epidemiológica y Programática de la Tuberculosis en Honduras 2017.</w:t>
      </w:r>
    </w:p>
  </w:footnote>
  <w:footnote w:id="3">
    <w:p w14:paraId="2032DCFE" w14:textId="43BF45C7" w:rsidR="00F74A36" w:rsidRPr="00830CB5" w:rsidRDefault="00F74A36">
      <w:pPr>
        <w:pStyle w:val="FootnoteText"/>
        <w:rPr>
          <w:lang w:val="es-MX"/>
        </w:rPr>
      </w:pPr>
      <w:r>
        <w:rPr>
          <w:rStyle w:val="FootnoteReference"/>
        </w:rPr>
        <w:footnoteRef/>
      </w:r>
      <w:r w:rsidRPr="00830CB5">
        <w:rPr>
          <w:lang w:val="es-MX"/>
        </w:rPr>
        <w:t xml:space="preserve"> Secretaria de Salud de Honduras, PEPFAR. </w:t>
      </w:r>
      <w:r w:rsidRPr="00375BFB">
        <w:rPr>
          <w:lang w:val="es-MX"/>
        </w:rPr>
        <w:t>(2016). Estudio de Medición del Gasto en Sida (MEGAS), Honduras. http://www.unaids.org/sites/default/files/media/documents/NASA_Honduras_2016_es.pdf</w:t>
      </w:r>
    </w:p>
  </w:footnote>
  <w:footnote w:id="4">
    <w:p w14:paraId="6E468A7A" w14:textId="018FF10D" w:rsidR="00F74A36" w:rsidRPr="00167C47" w:rsidRDefault="00F74A36" w:rsidP="00167C47">
      <w:pPr>
        <w:pStyle w:val="3vff3xh4yd"/>
        <w:shd w:val="clear" w:color="auto" w:fill="FFFFFF"/>
        <w:spacing w:after="0"/>
        <w:rPr>
          <w:rFonts w:ascii="Arial" w:hAnsi="Arial" w:cs="Arial"/>
          <w:bCs/>
          <w:lang w:val="es-419"/>
        </w:rPr>
      </w:pPr>
      <w:r w:rsidRPr="00167C47">
        <w:rPr>
          <w:rStyle w:val="FootnoteReference"/>
          <w:rFonts w:ascii="Arial" w:hAnsi="Arial" w:cs="Arial"/>
          <w:sz w:val="18"/>
          <w:szCs w:val="18"/>
        </w:rPr>
        <w:footnoteRef/>
      </w:r>
      <w:r w:rsidRPr="00C036E9">
        <w:rPr>
          <w:rFonts w:ascii="Arial" w:hAnsi="Arial" w:cs="Arial"/>
          <w:bCs/>
          <w:sz w:val="18"/>
          <w:szCs w:val="18"/>
          <w:lang w:val="es-419"/>
        </w:rPr>
        <w:t xml:space="preserve">Comisión Nacional de SIDA. (2014). </w:t>
      </w:r>
      <w:r w:rsidRPr="00C036E9">
        <w:rPr>
          <w:rFonts w:ascii="Arial" w:hAnsi="Arial" w:cs="Arial"/>
          <w:bCs/>
          <w:i/>
          <w:sz w:val="18"/>
          <w:szCs w:val="18"/>
          <w:lang w:val="es-419"/>
        </w:rPr>
        <w:t>Plan Estratégico Nacional de Respuesta al VIH Y SIDA en Honduras (PENSIDA IV) 2015-2019</w:t>
      </w:r>
      <w:r w:rsidRPr="00C036E9">
        <w:rPr>
          <w:rFonts w:ascii="Arial" w:hAnsi="Arial" w:cs="Arial"/>
          <w:bCs/>
          <w:sz w:val="18"/>
          <w:szCs w:val="18"/>
          <w:lang w:val="es-419"/>
        </w:rPr>
        <w:t xml:space="preserve">; </w:t>
      </w:r>
      <w:r w:rsidRPr="00C036E9">
        <w:rPr>
          <w:rFonts w:ascii="Arial" w:hAnsi="Arial" w:cs="Arial"/>
          <w:sz w:val="18"/>
          <w:szCs w:val="18"/>
          <w:lang w:val="es-DO"/>
        </w:rPr>
        <w:t xml:space="preserve">STOP TB. (2017). </w:t>
      </w:r>
      <w:r w:rsidRPr="00C036E9">
        <w:rPr>
          <w:rFonts w:ascii="Arial" w:hAnsi="Arial" w:cs="Arial"/>
          <w:i/>
          <w:sz w:val="18"/>
          <w:szCs w:val="18"/>
          <w:lang w:val="es-DO"/>
        </w:rPr>
        <w:t>Honduras Dashboard.</w:t>
      </w:r>
      <w:r w:rsidRPr="00C036E9">
        <w:rPr>
          <w:rFonts w:ascii="Arial" w:hAnsi="Arial" w:cs="Arial"/>
          <w:sz w:val="18"/>
          <w:szCs w:val="18"/>
          <w:lang w:val="es-DO"/>
        </w:rPr>
        <w:t xml:space="preserve"> </w:t>
      </w:r>
      <w:r w:rsidRPr="00C036E9">
        <w:rPr>
          <w:rFonts w:ascii="Arial" w:hAnsi="Arial" w:cs="Arial"/>
          <w:sz w:val="18"/>
          <w:szCs w:val="18"/>
          <w:lang w:val="es-MX"/>
        </w:rPr>
        <w:t>http://www.stoptb.org/resources/cd/HND_Dashboard.html</w:t>
      </w:r>
    </w:p>
  </w:footnote>
  <w:footnote w:id="5">
    <w:p w14:paraId="76AFDBE4" w14:textId="620D6086" w:rsidR="00F74A36" w:rsidRPr="00C036E9" w:rsidRDefault="00F74A36" w:rsidP="00F93797">
      <w:pPr>
        <w:rPr>
          <w:rFonts w:ascii="Arial" w:hAnsi="Arial" w:cs="Arial"/>
          <w:sz w:val="18"/>
          <w:szCs w:val="18"/>
          <w:lang w:val="es-MX"/>
        </w:rPr>
      </w:pPr>
      <w:r w:rsidRPr="00F93797">
        <w:rPr>
          <w:rStyle w:val="FootnoteReference"/>
          <w:rFonts w:ascii="Arial" w:hAnsi="Arial" w:cs="Arial"/>
          <w:sz w:val="18"/>
          <w:szCs w:val="18"/>
        </w:rPr>
        <w:footnoteRef/>
      </w:r>
      <w:r w:rsidRPr="00F93797">
        <w:rPr>
          <w:rFonts w:ascii="Arial" w:hAnsi="Arial" w:cs="Arial"/>
          <w:sz w:val="18"/>
          <w:szCs w:val="18"/>
          <w:lang w:val="es-MX"/>
        </w:rPr>
        <w:t xml:space="preserve"> </w:t>
      </w:r>
      <w:r w:rsidRPr="00C036E9">
        <w:rPr>
          <w:rFonts w:ascii="Arial" w:hAnsi="Arial" w:cs="Arial"/>
          <w:sz w:val="18"/>
          <w:szCs w:val="18"/>
          <w:lang w:val="es-MX"/>
        </w:rPr>
        <w:t xml:space="preserve">ONUSIDA. (2013). </w:t>
      </w:r>
      <w:r w:rsidRPr="00C036E9">
        <w:rPr>
          <w:rFonts w:ascii="Arial" w:hAnsi="Arial" w:cs="Arial"/>
          <w:i/>
          <w:sz w:val="18"/>
          <w:szCs w:val="18"/>
          <w:lang w:val="es-MX"/>
        </w:rPr>
        <w:t>Caso de Inversión, Honduras</w:t>
      </w:r>
      <w:r w:rsidRPr="00C036E9">
        <w:rPr>
          <w:rFonts w:ascii="Arial" w:hAnsi="Arial" w:cs="Arial"/>
          <w:sz w:val="18"/>
          <w:szCs w:val="18"/>
          <w:lang w:val="es-MX"/>
        </w:rPr>
        <w:t xml:space="preserve">. </w:t>
      </w:r>
    </w:p>
    <w:p w14:paraId="52CC6D90" w14:textId="0A1F2198" w:rsidR="00F74A36" w:rsidRPr="004B3F2C" w:rsidRDefault="00F74A36">
      <w:pPr>
        <w:pStyle w:val="FootnoteText"/>
        <w:rPr>
          <w:rFonts w:ascii="Arial" w:hAnsi="Arial" w:cs="Arial"/>
          <w:sz w:val="18"/>
          <w:szCs w:val="18"/>
          <w:lang w:val="es-MX"/>
        </w:rPr>
      </w:pPr>
    </w:p>
  </w:footnote>
  <w:footnote w:id="6">
    <w:p w14:paraId="75D44CDB" w14:textId="66F4833D" w:rsidR="00F74A36" w:rsidRPr="00B815D6" w:rsidRDefault="00F74A36">
      <w:pPr>
        <w:pStyle w:val="FootnoteText"/>
        <w:rPr>
          <w:rFonts w:ascii="Arial" w:hAnsi="Arial" w:cs="Arial"/>
          <w:sz w:val="18"/>
          <w:szCs w:val="18"/>
        </w:rPr>
      </w:pPr>
      <w:r w:rsidRPr="00B815D6">
        <w:rPr>
          <w:rStyle w:val="FootnoteReference"/>
          <w:rFonts w:ascii="Arial" w:hAnsi="Arial" w:cs="Arial"/>
          <w:sz w:val="18"/>
          <w:szCs w:val="18"/>
        </w:rPr>
        <w:footnoteRef/>
      </w:r>
      <w:r w:rsidRPr="00B815D6">
        <w:rPr>
          <w:rFonts w:ascii="Arial" w:hAnsi="Arial" w:cs="Arial"/>
          <w:sz w:val="18"/>
          <w:szCs w:val="18"/>
        </w:rPr>
        <w:t xml:space="preserve"> APMG Health. Focused Evalua</w:t>
      </w:r>
      <w:r>
        <w:rPr>
          <w:rFonts w:ascii="Arial" w:hAnsi="Arial" w:cs="Arial"/>
          <w:sz w:val="18"/>
          <w:szCs w:val="18"/>
        </w:rPr>
        <w:t>t</w:t>
      </w:r>
      <w:r w:rsidRPr="00B815D6">
        <w:rPr>
          <w:rFonts w:ascii="Arial" w:hAnsi="Arial" w:cs="Arial"/>
          <w:sz w:val="18"/>
          <w:szCs w:val="18"/>
        </w:rPr>
        <w:t xml:space="preserve">ion HIV Type 1: Honduras. </w:t>
      </w:r>
      <w:r>
        <w:rPr>
          <w:rFonts w:ascii="Arial" w:hAnsi="Arial" w:cs="Arial"/>
          <w:sz w:val="18"/>
          <w:szCs w:val="18"/>
        </w:rPr>
        <w:t>2019</w:t>
      </w:r>
      <w:r w:rsidRPr="00B815D6">
        <w:rPr>
          <w:rFonts w:ascii="Arial" w:hAnsi="Arial" w:cs="Arial"/>
          <w:sz w:val="18"/>
          <w:szCs w:val="18"/>
        </w:rPr>
        <w:t>.</w:t>
      </w:r>
    </w:p>
  </w:footnote>
  <w:footnote w:id="7">
    <w:p w14:paraId="3F128E45" w14:textId="4E6A1E6C" w:rsidR="00F74A36" w:rsidRPr="00980FA1" w:rsidRDefault="00F74A36">
      <w:pPr>
        <w:pStyle w:val="FootnoteText"/>
        <w:rPr>
          <w:lang w:val="es-MX"/>
        </w:rPr>
      </w:pPr>
      <w:r w:rsidRPr="00B815D6">
        <w:rPr>
          <w:rStyle w:val="FootnoteReference"/>
          <w:rFonts w:ascii="Arial" w:hAnsi="Arial" w:cs="Arial"/>
          <w:sz w:val="18"/>
          <w:szCs w:val="18"/>
        </w:rPr>
        <w:footnoteRef/>
      </w:r>
      <w:r w:rsidRPr="00B815D6">
        <w:rPr>
          <w:rFonts w:ascii="Arial" w:hAnsi="Arial" w:cs="Arial"/>
          <w:sz w:val="18"/>
          <w:szCs w:val="18"/>
        </w:rPr>
        <w:t xml:space="preserve"> APMG Health. </w:t>
      </w:r>
      <w:r w:rsidRPr="00B44C74">
        <w:rPr>
          <w:rFonts w:ascii="Arial" w:hAnsi="Arial" w:cs="Arial"/>
          <w:sz w:val="18"/>
          <w:szCs w:val="18"/>
        </w:rPr>
        <w:t xml:space="preserve">Focused Evaluation TB Type 1. </w:t>
      </w:r>
      <w:r>
        <w:rPr>
          <w:rFonts w:ascii="Arial" w:hAnsi="Arial" w:cs="Arial"/>
          <w:sz w:val="18"/>
          <w:szCs w:val="18"/>
          <w:lang w:val="es-MX"/>
        </w:rPr>
        <w:t>2019</w:t>
      </w:r>
      <w:r>
        <w:rPr>
          <w:lang w:val="es-MX"/>
        </w:rPr>
        <w:t>.</w:t>
      </w:r>
    </w:p>
  </w:footnote>
  <w:footnote w:id="8">
    <w:p w14:paraId="2724EFFE" w14:textId="72C14675" w:rsidR="00F74A36" w:rsidRPr="0089220E" w:rsidRDefault="00F74A36" w:rsidP="00C86106">
      <w:pPr>
        <w:pStyle w:val="FootnoteText"/>
        <w:contextualSpacing/>
        <w:rPr>
          <w:rFonts w:ascii="Arial" w:hAnsi="Arial" w:cs="Arial"/>
          <w:sz w:val="18"/>
          <w:szCs w:val="18"/>
          <w:lang w:val="es-DO"/>
        </w:rPr>
      </w:pPr>
      <w:r w:rsidRPr="0089220E">
        <w:rPr>
          <w:rStyle w:val="FootnoteReference"/>
          <w:rFonts w:ascii="Arial" w:hAnsi="Arial" w:cs="Arial"/>
          <w:sz w:val="18"/>
          <w:szCs w:val="18"/>
        </w:rPr>
        <w:footnoteRef/>
      </w:r>
      <w:r w:rsidRPr="0089220E">
        <w:rPr>
          <w:rFonts w:ascii="Arial" w:hAnsi="Arial" w:cs="Arial"/>
          <w:sz w:val="18"/>
          <w:szCs w:val="18"/>
          <w:lang w:val="es-DO"/>
        </w:rPr>
        <w:t xml:space="preserve"> Programa de las Naciones Unidas para el Desarrollo. (2015). </w:t>
      </w:r>
      <w:r w:rsidRPr="00167C47">
        <w:rPr>
          <w:rFonts w:ascii="Arial" w:hAnsi="Arial" w:cs="Arial"/>
          <w:i/>
          <w:sz w:val="18"/>
          <w:szCs w:val="18"/>
          <w:lang w:val="es-DO"/>
        </w:rPr>
        <w:t>Índice sobre Desarrollo Humano 2015</w:t>
      </w:r>
      <w:r w:rsidRPr="0089220E">
        <w:rPr>
          <w:rFonts w:ascii="Arial" w:hAnsi="Arial" w:cs="Arial"/>
          <w:sz w:val="18"/>
          <w:szCs w:val="18"/>
          <w:lang w:val="es-DO"/>
        </w:rPr>
        <w:t xml:space="preserve">. </w:t>
      </w:r>
    </w:p>
  </w:footnote>
  <w:footnote w:id="9">
    <w:p w14:paraId="67ED34B6" w14:textId="7BB8EED6" w:rsidR="00F74A36" w:rsidRPr="009F5E7F" w:rsidRDefault="00F74A36" w:rsidP="00A063A9">
      <w:pPr>
        <w:pStyle w:val="FootnoteText"/>
        <w:rPr>
          <w:rFonts w:ascii="Arial" w:hAnsi="Arial" w:cs="Arial"/>
          <w:sz w:val="18"/>
          <w:szCs w:val="18"/>
        </w:rPr>
      </w:pPr>
      <w:r w:rsidRPr="0089220E">
        <w:rPr>
          <w:rStyle w:val="FootnoteReference"/>
          <w:rFonts w:ascii="Arial" w:hAnsi="Arial" w:cs="Arial"/>
          <w:sz w:val="18"/>
          <w:szCs w:val="18"/>
        </w:rPr>
        <w:footnoteRef/>
      </w:r>
      <w:r w:rsidRPr="0089220E">
        <w:rPr>
          <w:rFonts w:ascii="Arial" w:hAnsi="Arial" w:cs="Arial"/>
          <w:sz w:val="18"/>
          <w:szCs w:val="18"/>
          <w:lang w:val="es-MX"/>
        </w:rPr>
        <w:t xml:space="preserve"> B</w:t>
      </w:r>
      <w:r w:rsidRPr="00167C47">
        <w:rPr>
          <w:rFonts w:ascii="Arial" w:hAnsi="Arial" w:cs="Arial"/>
          <w:sz w:val="18"/>
          <w:szCs w:val="18"/>
          <w:lang w:val="es-MX"/>
        </w:rPr>
        <w:t xml:space="preserve">anco Mundial. </w:t>
      </w:r>
      <w:r w:rsidRPr="009F5E7F">
        <w:rPr>
          <w:rFonts w:ascii="Arial" w:hAnsi="Arial" w:cs="Arial"/>
          <w:sz w:val="18"/>
          <w:szCs w:val="18"/>
        </w:rPr>
        <w:t xml:space="preserve">(2017). Honduras Country Profile. </w:t>
      </w:r>
      <w:hyperlink r:id="rId1" w:history="1">
        <w:r w:rsidRPr="009F5E7F">
          <w:rPr>
            <w:rStyle w:val="Hyperlink"/>
            <w:rFonts w:ascii="Arial" w:hAnsi="Arial" w:cs="Arial"/>
            <w:sz w:val="18"/>
            <w:szCs w:val="18"/>
          </w:rPr>
          <w:t>http://www.worldbank.org/en/country/honduras/overview</w:t>
        </w:r>
      </w:hyperlink>
      <w:hyperlink r:id="rId2" w:history="1">
        <w:r w:rsidRPr="009F5E7F">
          <w:rPr>
            <w:rStyle w:val="Hyperlink"/>
            <w:rFonts w:ascii="Arial" w:hAnsi="Arial" w:cs="Arial"/>
            <w:sz w:val="18"/>
            <w:szCs w:val="18"/>
          </w:rPr>
          <w:t>http://databank.worldbank.org/data/views/reports/reportwidget.aspx?Report_Name=CountryProfile&amp;Id=b450fd57&amp;tbar=y&amp;dd=y&amp;inf=n&amp;zm=n&amp;country=HND</w:t>
        </w:r>
      </w:hyperlink>
    </w:p>
  </w:footnote>
  <w:footnote w:id="10">
    <w:p w14:paraId="59241CB8" w14:textId="00AF7D29" w:rsidR="00F74A36" w:rsidRPr="0089220E" w:rsidRDefault="00F74A36" w:rsidP="00C86106">
      <w:pPr>
        <w:pStyle w:val="FootnoteText"/>
        <w:contextualSpacing/>
        <w:rPr>
          <w:rFonts w:ascii="Arial" w:hAnsi="Arial" w:cs="Arial"/>
          <w:sz w:val="18"/>
          <w:szCs w:val="18"/>
          <w:lang w:val="es-DO"/>
        </w:rPr>
      </w:pPr>
      <w:r w:rsidRPr="0089220E">
        <w:rPr>
          <w:rStyle w:val="FootnoteReference"/>
          <w:rFonts w:ascii="Arial" w:hAnsi="Arial" w:cs="Arial"/>
          <w:sz w:val="18"/>
          <w:szCs w:val="18"/>
        </w:rPr>
        <w:footnoteRef/>
      </w:r>
      <w:hyperlink r:id="rId3" w:history="1">
        <w:r w:rsidRPr="00E155A9">
          <w:rPr>
            <w:rStyle w:val="Hyperlink"/>
            <w:rFonts w:ascii="Arial" w:hAnsi="Arial" w:cs="Arial"/>
            <w:sz w:val="18"/>
            <w:szCs w:val="18"/>
            <w:lang w:val="es-DO"/>
          </w:rPr>
          <w:t>Ibid.</w:t>
        </w:r>
      </w:hyperlink>
    </w:p>
  </w:footnote>
  <w:footnote w:id="11">
    <w:p w14:paraId="596EAABD" w14:textId="739F4B7B" w:rsidR="00F74A36" w:rsidRPr="00167C47" w:rsidRDefault="00F74A36" w:rsidP="00806515">
      <w:pPr>
        <w:spacing w:after="0"/>
        <w:rPr>
          <w:rFonts w:ascii="Arial" w:hAnsi="Arial" w:cs="Arial"/>
          <w:sz w:val="18"/>
          <w:szCs w:val="18"/>
          <w:lang w:val="es-MX"/>
        </w:rPr>
      </w:pPr>
      <w:r w:rsidRPr="0089220E">
        <w:rPr>
          <w:rStyle w:val="FootnoteReference"/>
          <w:rFonts w:ascii="Arial" w:hAnsi="Arial" w:cs="Arial"/>
          <w:sz w:val="18"/>
          <w:szCs w:val="18"/>
        </w:rPr>
        <w:footnoteRef/>
      </w:r>
      <w:r w:rsidRPr="0089220E">
        <w:rPr>
          <w:rFonts w:ascii="Arial" w:hAnsi="Arial" w:cs="Arial"/>
          <w:sz w:val="18"/>
          <w:szCs w:val="18"/>
          <w:lang w:val="es-DO"/>
        </w:rPr>
        <w:t xml:space="preserve"> </w:t>
      </w:r>
      <w:r w:rsidRPr="00167C47">
        <w:rPr>
          <w:rFonts w:ascii="Arial" w:hAnsi="Arial" w:cs="Arial"/>
          <w:sz w:val="18"/>
          <w:szCs w:val="18"/>
          <w:lang w:val="es-419"/>
        </w:rPr>
        <w:t xml:space="preserve">Carmenate-Milián, L., et al. </w:t>
      </w:r>
      <w:r w:rsidRPr="00167C47">
        <w:rPr>
          <w:rFonts w:ascii="Arial" w:hAnsi="Arial" w:cs="Arial"/>
          <w:sz w:val="18"/>
          <w:szCs w:val="18"/>
          <w:lang w:val="es-DO"/>
        </w:rPr>
        <w:t xml:space="preserve">(2016). </w:t>
      </w:r>
      <w:r w:rsidRPr="00167C47">
        <w:rPr>
          <w:rFonts w:ascii="Arial" w:hAnsi="Arial" w:cs="Arial"/>
          <w:i/>
          <w:sz w:val="18"/>
          <w:szCs w:val="18"/>
          <w:lang w:val="es-DO"/>
        </w:rPr>
        <w:t>Situación del Sistema de Salud en Honduras y el Nuevo Modelo de Salud Propuesto</w:t>
      </w:r>
      <w:r w:rsidRPr="00167C47">
        <w:rPr>
          <w:rFonts w:ascii="Arial" w:hAnsi="Arial" w:cs="Arial"/>
          <w:sz w:val="18"/>
          <w:szCs w:val="18"/>
          <w:lang w:val="es-DO"/>
        </w:rPr>
        <w:t xml:space="preserve">. ARCHIVOS DE MEDICINA ISSN 1698-9465. Vol. 12 No. 4: 10. </w:t>
      </w:r>
    </w:p>
  </w:footnote>
  <w:footnote w:id="12">
    <w:p w14:paraId="05990415" w14:textId="2F262249" w:rsidR="00F74A36" w:rsidRPr="007E7C65" w:rsidRDefault="00F74A36" w:rsidP="00806515">
      <w:pPr>
        <w:pStyle w:val="FootnoteText"/>
        <w:contextualSpacing/>
        <w:rPr>
          <w:rFonts w:ascii="Arial" w:hAnsi="Arial" w:cs="Arial"/>
          <w:sz w:val="18"/>
          <w:szCs w:val="18"/>
          <w:lang w:val="es-DO"/>
        </w:rPr>
      </w:pPr>
      <w:r w:rsidRPr="0089220E">
        <w:rPr>
          <w:rStyle w:val="FootnoteReference"/>
          <w:rFonts w:ascii="Arial" w:hAnsi="Arial" w:cs="Arial"/>
          <w:sz w:val="18"/>
          <w:szCs w:val="18"/>
        </w:rPr>
        <w:footnoteRef/>
      </w:r>
      <w:r w:rsidRPr="0089220E">
        <w:rPr>
          <w:rFonts w:ascii="Arial" w:hAnsi="Arial" w:cs="Arial"/>
          <w:sz w:val="18"/>
          <w:szCs w:val="18"/>
          <w:lang w:val="es-DO"/>
        </w:rPr>
        <w:t xml:space="preserve"> Organización Panamericana de la Salud/Organización Mundial de la Salud (OPS/OMS) (2009) Perfil de los sistemas de salud Honduras. Monitoreo y análisis de los procesos de cambio y reforma. Washington, DC.</w:t>
      </w:r>
    </w:p>
  </w:footnote>
  <w:footnote w:id="13">
    <w:p w14:paraId="5A3E50ED" w14:textId="411FA08D" w:rsidR="00F74A36" w:rsidRPr="00167C47" w:rsidRDefault="00F74A36" w:rsidP="00167C47">
      <w:pPr>
        <w:rPr>
          <w:rFonts w:ascii="Arial" w:hAnsi="Arial" w:cs="Arial"/>
          <w:sz w:val="18"/>
          <w:szCs w:val="18"/>
          <w:lang w:val="es-DO"/>
        </w:rPr>
      </w:pPr>
      <w:r w:rsidRPr="002644DE">
        <w:rPr>
          <w:rStyle w:val="FootnoteReference"/>
          <w:rFonts w:ascii="Arial" w:hAnsi="Arial" w:cs="Arial"/>
          <w:sz w:val="18"/>
          <w:szCs w:val="18"/>
        </w:rPr>
        <w:footnoteRef/>
      </w:r>
      <w:r w:rsidRPr="002644DE">
        <w:rPr>
          <w:rFonts w:ascii="Arial" w:hAnsi="Arial" w:cs="Arial"/>
          <w:sz w:val="18"/>
          <w:szCs w:val="18"/>
          <w:lang w:val="es-DO"/>
        </w:rPr>
        <w:t xml:space="preserve"> </w:t>
      </w:r>
      <w:r w:rsidRPr="00C036E9">
        <w:rPr>
          <w:rFonts w:ascii="Arial" w:hAnsi="Arial" w:cs="Arial"/>
          <w:sz w:val="18"/>
          <w:szCs w:val="18"/>
          <w:lang w:val="es-DO"/>
        </w:rPr>
        <w:t xml:space="preserve">Instituto de Acceso a la Información Pública. (2015). </w:t>
      </w:r>
      <w:r w:rsidRPr="00C036E9">
        <w:rPr>
          <w:rFonts w:ascii="Arial" w:hAnsi="Arial" w:cs="Arial"/>
          <w:i/>
          <w:sz w:val="18"/>
          <w:szCs w:val="18"/>
          <w:lang w:val="es-DO"/>
        </w:rPr>
        <w:t>Portal único de transparencia</w:t>
      </w:r>
      <w:r w:rsidRPr="00C036E9">
        <w:rPr>
          <w:rFonts w:ascii="Arial" w:hAnsi="Arial" w:cs="Arial"/>
          <w:sz w:val="18"/>
          <w:szCs w:val="18"/>
          <w:lang w:val="es-DO"/>
        </w:rPr>
        <w:t>. Secretaria de Salud. https://portalunico.iaip.gob.hn/</w:t>
      </w:r>
    </w:p>
  </w:footnote>
  <w:footnote w:id="14">
    <w:p w14:paraId="56F9052E" w14:textId="77777777" w:rsidR="00F74A36" w:rsidRPr="00094933" w:rsidRDefault="00F74A36" w:rsidP="003A324D">
      <w:pPr>
        <w:spacing w:after="0" w:line="240" w:lineRule="auto"/>
        <w:contextualSpacing/>
        <w:jc w:val="both"/>
        <w:rPr>
          <w:rFonts w:ascii="Arial" w:hAnsi="Arial" w:cs="Arial"/>
          <w:sz w:val="18"/>
          <w:szCs w:val="18"/>
          <w:lang w:val="es-DO"/>
        </w:rPr>
      </w:pPr>
      <w:r w:rsidRPr="00094933">
        <w:rPr>
          <w:rStyle w:val="FootnoteReference"/>
          <w:rFonts w:ascii="Arial" w:hAnsi="Arial" w:cs="Arial"/>
          <w:sz w:val="18"/>
          <w:szCs w:val="18"/>
        </w:rPr>
        <w:footnoteRef/>
      </w:r>
      <w:r w:rsidRPr="00094933">
        <w:rPr>
          <w:rFonts w:ascii="Arial" w:hAnsi="Arial" w:cs="Arial"/>
          <w:sz w:val="18"/>
          <w:szCs w:val="18"/>
          <w:lang w:val="es-MX"/>
        </w:rPr>
        <w:t xml:space="preserve"> </w:t>
      </w:r>
      <w:r w:rsidRPr="00094933">
        <w:rPr>
          <w:rFonts w:ascii="Arial" w:hAnsi="Arial" w:cs="Arial"/>
          <w:sz w:val="18"/>
          <w:szCs w:val="18"/>
          <w:lang w:val="es-DO"/>
        </w:rPr>
        <w:t xml:space="preserve">La Organización Mundial de la Salud (OMS) en sesión ordinaria de la Asamblea General en junio del año 2016 dictó la resolución 70/266 contentiva de la “Declaración Política sobre el VIH y el SIDA: en la vía rápida para acelerar la lucha contra el VIH y poner fin a la epidemia del SIDA para 2030”. En consecuencia, los países reunidos – dentro de ellos Honduras- reafirmaron su compromiso de poner fin a la epidemia del SIDA para el año 2030, acelerando e intensificando los esfuerzos para alcanzar el objetivo de ofrecer programas de prevención, tratamiento, atención y apoyo. </w:t>
      </w:r>
    </w:p>
  </w:footnote>
  <w:footnote w:id="15">
    <w:p w14:paraId="69845E27" w14:textId="59BB0509" w:rsidR="00F74A36" w:rsidRPr="00B44C74" w:rsidRDefault="00F74A36">
      <w:pPr>
        <w:pStyle w:val="FootnoteText"/>
        <w:rPr>
          <w:lang w:val="es-MX"/>
        </w:rPr>
      </w:pPr>
      <w:r>
        <w:rPr>
          <w:rStyle w:val="FootnoteReference"/>
        </w:rPr>
        <w:footnoteRef/>
      </w:r>
      <w:r w:rsidRPr="00B44C74">
        <w:rPr>
          <w:lang w:val="es-MX"/>
        </w:rPr>
        <w:t xml:space="preserve"> </w:t>
      </w:r>
      <w:r>
        <w:rPr>
          <w:rFonts w:ascii="Arial" w:hAnsi="Arial" w:cs="Arial"/>
          <w:sz w:val="18"/>
          <w:szCs w:val="18"/>
          <w:lang w:val="es-MX"/>
        </w:rPr>
        <w:t xml:space="preserve">MCP-Honduras (2019). </w:t>
      </w:r>
      <w:r w:rsidRPr="00C57C35">
        <w:rPr>
          <w:rFonts w:ascii="Arial" w:hAnsi="Arial" w:cs="Arial"/>
          <w:i/>
          <w:sz w:val="18"/>
          <w:szCs w:val="18"/>
          <w:lang w:val="es-MX"/>
        </w:rPr>
        <w:t>Nota de continuidad de Programa de VIH 2020-2022.</w:t>
      </w:r>
    </w:p>
  </w:footnote>
  <w:footnote w:id="16">
    <w:p w14:paraId="1DF1FA24" w14:textId="37DEDD13" w:rsidR="00F74A36" w:rsidRPr="00A7350D" w:rsidRDefault="00F74A36" w:rsidP="00CE72E8">
      <w:pPr>
        <w:pStyle w:val="FootnoteText"/>
        <w:rPr>
          <w:lang w:val="es-DO"/>
        </w:rPr>
      </w:pPr>
      <w:r w:rsidRPr="007E7C65">
        <w:rPr>
          <w:rStyle w:val="FootnoteReference"/>
          <w:rFonts w:ascii="Arial" w:hAnsi="Arial" w:cs="Arial"/>
          <w:sz w:val="18"/>
          <w:szCs w:val="18"/>
        </w:rPr>
        <w:footnoteRef/>
      </w:r>
      <w:r w:rsidRPr="007E7C65">
        <w:rPr>
          <w:rFonts w:ascii="Arial" w:hAnsi="Arial" w:cs="Arial"/>
          <w:sz w:val="18"/>
          <w:szCs w:val="18"/>
          <w:lang w:val="es-DO"/>
        </w:rPr>
        <w:t xml:space="preserve"> Información provista por el Proyecto Fondo Mundial VIH, sobre la asignación a los su</w:t>
      </w:r>
      <w:r>
        <w:rPr>
          <w:rFonts w:ascii="Arial" w:hAnsi="Arial" w:cs="Arial"/>
          <w:sz w:val="18"/>
          <w:szCs w:val="18"/>
          <w:lang w:val="es-DO"/>
        </w:rPr>
        <w:t>b-</w:t>
      </w:r>
      <w:r w:rsidRPr="007E7C65">
        <w:rPr>
          <w:rFonts w:ascii="Arial" w:hAnsi="Arial" w:cs="Arial"/>
          <w:sz w:val="18"/>
          <w:szCs w:val="18"/>
          <w:lang w:val="es-DO"/>
        </w:rPr>
        <w:t>beneficiarios de la sociedad civil.</w:t>
      </w:r>
      <w:r w:rsidRPr="0003046E">
        <w:rPr>
          <w:sz w:val="18"/>
          <w:lang w:val="es-DO"/>
        </w:rPr>
        <w:t xml:space="preserve"> </w:t>
      </w:r>
    </w:p>
  </w:footnote>
  <w:footnote w:id="17">
    <w:p w14:paraId="79A75F18" w14:textId="6E1278CF" w:rsidR="00F74A36" w:rsidRPr="0060413A" w:rsidRDefault="00F74A36">
      <w:pPr>
        <w:pStyle w:val="FootnoteText"/>
        <w:rPr>
          <w:rFonts w:ascii="Arial" w:hAnsi="Arial" w:cs="Arial"/>
          <w:sz w:val="18"/>
          <w:szCs w:val="18"/>
          <w:lang w:val="es-419"/>
        </w:rPr>
      </w:pPr>
      <w:r w:rsidRPr="0060413A">
        <w:rPr>
          <w:rStyle w:val="FootnoteReference"/>
          <w:rFonts w:ascii="Arial" w:hAnsi="Arial" w:cs="Arial"/>
          <w:sz w:val="18"/>
          <w:szCs w:val="18"/>
        </w:rPr>
        <w:footnoteRef/>
      </w:r>
      <w:r w:rsidRPr="0060413A">
        <w:rPr>
          <w:rFonts w:ascii="Arial" w:hAnsi="Arial" w:cs="Arial"/>
          <w:sz w:val="18"/>
          <w:szCs w:val="18"/>
        </w:rPr>
        <w:t xml:space="preserve"> APMG Health. Focused Evalua</w:t>
      </w:r>
      <w:r>
        <w:rPr>
          <w:rFonts w:ascii="Arial" w:hAnsi="Arial" w:cs="Arial"/>
          <w:sz w:val="18"/>
          <w:szCs w:val="18"/>
        </w:rPr>
        <w:t>t</w:t>
      </w:r>
      <w:r w:rsidRPr="0060413A">
        <w:rPr>
          <w:rFonts w:ascii="Arial" w:hAnsi="Arial" w:cs="Arial"/>
          <w:sz w:val="18"/>
          <w:szCs w:val="18"/>
        </w:rPr>
        <w:t xml:space="preserve">ion HIV Type 1: Honduras. </w:t>
      </w:r>
      <w:r w:rsidRPr="0060413A">
        <w:rPr>
          <w:rFonts w:ascii="Arial" w:hAnsi="Arial" w:cs="Arial"/>
          <w:sz w:val="18"/>
          <w:szCs w:val="18"/>
          <w:lang w:val="es-419"/>
        </w:rPr>
        <w:t>201</w:t>
      </w:r>
      <w:r>
        <w:rPr>
          <w:rFonts w:ascii="Arial" w:hAnsi="Arial" w:cs="Arial"/>
          <w:sz w:val="18"/>
          <w:szCs w:val="18"/>
          <w:lang w:val="es-419"/>
        </w:rPr>
        <w:t>9</w:t>
      </w:r>
      <w:r w:rsidRPr="0060413A">
        <w:rPr>
          <w:rFonts w:ascii="Arial" w:hAnsi="Arial" w:cs="Arial"/>
          <w:sz w:val="18"/>
          <w:szCs w:val="18"/>
          <w:lang w:val="es-419"/>
        </w:rPr>
        <w:t>.</w:t>
      </w:r>
    </w:p>
  </w:footnote>
  <w:footnote w:id="18">
    <w:p w14:paraId="672634FA" w14:textId="6B6DD5CC" w:rsidR="00F74A36" w:rsidRPr="007E7C65" w:rsidRDefault="00F74A36" w:rsidP="00FB2567">
      <w:pPr>
        <w:pStyle w:val="FootnoteText"/>
        <w:rPr>
          <w:rFonts w:ascii="Arial" w:hAnsi="Arial" w:cs="Arial"/>
          <w:sz w:val="18"/>
          <w:szCs w:val="18"/>
          <w:lang w:val="es-DO"/>
        </w:rPr>
      </w:pPr>
      <w:r w:rsidRPr="007E7C65">
        <w:rPr>
          <w:rStyle w:val="FootnoteReference"/>
          <w:rFonts w:ascii="Arial" w:hAnsi="Arial" w:cs="Arial"/>
          <w:sz w:val="18"/>
          <w:szCs w:val="18"/>
        </w:rPr>
        <w:footnoteRef/>
      </w:r>
      <w:r w:rsidRPr="007E7C65">
        <w:rPr>
          <w:rFonts w:ascii="Arial" w:hAnsi="Arial" w:cs="Arial"/>
          <w:sz w:val="18"/>
          <w:szCs w:val="18"/>
          <w:lang w:val="es-DO"/>
        </w:rPr>
        <w:t xml:space="preserve"> </w:t>
      </w:r>
      <w:r w:rsidRPr="00DD026E">
        <w:rPr>
          <w:rFonts w:ascii="Arial" w:hAnsi="Arial" w:cs="Arial"/>
          <w:sz w:val="18"/>
          <w:szCs w:val="18"/>
          <w:lang w:val="es-DO"/>
        </w:rPr>
        <w:t>Comisión Nacional de SIDA. (2014). Plan Estratégico Nacional de Respuesta al VIH Y SIDA en Honduras (PENSIDA IV) 2015-2019.</w:t>
      </w:r>
    </w:p>
  </w:footnote>
  <w:footnote w:id="19">
    <w:p w14:paraId="76B4EF41" w14:textId="6FAFED3D" w:rsidR="00F74A36" w:rsidRPr="007E7C65" w:rsidRDefault="00F74A36" w:rsidP="00FB2567">
      <w:pPr>
        <w:pStyle w:val="FootnoteText"/>
        <w:rPr>
          <w:rFonts w:ascii="Arial" w:hAnsi="Arial" w:cs="Arial"/>
          <w:sz w:val="18"/>
          <w:szCs w:val="18"/>
          <w:lang w:val="es-DO"/>
        </w:rPr>
      </w:pPr>
      <w:r w:rsidRPr="007E7C65">
        <w:rPr>
          <w:rStyle w:val="FootnoteReference"/>
          <w:rFonts w:ascii="Arial" w:hAnsi="Arial" w:cs="Arial"/>
          <w:sz w:val="18"/>
          <w:szCs w:val="18"/>
        </w:rPr>
        <w:footnoteRef/>
      </w:r>
      <w:r w:rsidRPr="007E7C65">
        <w:rPr>
          <w:rFonts w:ascii="Arial" w:hAnsi="Arial" w:cs="Arial"/>
          <w:sz w:val="18"/>
          <w:szCs w:val="18"/>
          <w:lang w:val="es-DO"/>
        </w:rPr>
        <w:t xml:space="preserve"> </w:t>
      </w:r>
      <w:r w:rsidRPr="00D3400B">
        <w:rPr>
          <w:rFonts w:ascii="Arial" w:hAnsi="Arial" w:cs="Arial"/>
          <w:sz w:val="18"/>
          <w:szCs w:val="18"/>
          <w:lang w:val="es-DO"/>
        </w:rPr>
        <w:t>Comisión Nacional de SIDA. (2014). Plan Estratégico Nacional de Respuesta al VIH Y SIDA en Honduras (PENSIDA IV) 2015-2019.</w:t>
      </w:r>
    </w:p>
  </w:footnote>
  <w:footnote w:id="20">
    <w:p w14:paraId="463B4574" w14:textId="220AE55C" w:rsidR="00F74A36" w:rsidRPr="007E7C65" w:rsidRDefault="00F74A36">
      <w:pPr>
        <w:pStyle w:val="FootnoteText"/>
        <w:rPr>
          <w:rFonts w:ascii="Arial" w:hAnsi="Arial" w:cs="Arial"/>
          <w:sz w:val="18"/>
          <w:szCs w:val="18"/>
          <w:lang w:val="es-MX"/>
        </w:rPr>
      </w:pPr>
      <w:r w:rsidRPr="007E7C65">
        <w:rPr>
          <w:rStyle w:val="FootnoteReference"/>
          <w:rFonts w:ascii="Arial" w:hAnsi="Arial" w:cs="Arial"/>
          <w:sz w:val="18"/>
          <w:szCs w:val="18"/>
        </w:rPr>
        <w:footnoteRef/>
      </w:r>
      <w:r w:rsidRPr="007E7C65">
        <w:rPr>
          <w:rFonts w:ascii="Arial" w:hAnsi="Arial" w:cs="Arial"/>
          <w:sz w:val="18"/>
          <w:szCs w:val="18"/>
          <w:lang w:val="es-MX"/>
        </w:rPr>
        <w:t xml:space="preserve"> </w:t>
      </w:r>
      <w:r w:rsidRPr="00D3400B">
        <w:rPr>
          <w:rFonts w:ascii="Arial" w:hAnsi="Arial" w:cs="Arial"/>
          <w:sz w:val="18"/>
          <w:szCs w:val="18"/>
          <w:lang w:val="es-DO"/>
        </w:rPr>
        <w:t>PEPFAR. (2012). Encuesta Centroamericana de Vigilancia de Comportamiento Sexual y Prevalencias de VIH/ITS en poblaciones clave en Honduras, 2012 (ECVC). http://www.aidsinfoonline.org/kpatlas/document/HND/HND_2012_Results_Summary_PSE_FSW_MSM_TG.pdf</w:t>
      </w:r>
    </w:p>
  </w:footnote>
  <w:footnote w:id="21">
    <w:p w14:paraId="7323B9B8" w14:textId="170DCF65" w:rsidR="00F74A36" w:rsidRPr="007E7C65" w:rsidRDefault="00F74A36" w:rsidP="00FB2567">
      <w:pPr>
        <w:pStyle w:val="FootnoteText"/>
        <w:rPr>
          <w:rFonts w:ascii="Arial" w:hAnsi="Arial" w:cs="Arial"/>
          <w:sz w:val="18"/>
          <w:szCs w:val="18"/>
          <w:lang w:val="es-DO"/>
        </w:rPr>
      </w:pPr>
      <w:r w:rsidRPr="007E7C65">
        <w:rPr>
          <w:rStyle w:val="FootnoteReference"/>
          <w:rFonts w:ascii="Arial" w:hAnsi="Arial" w:cs="Arial"/>
          <w:sz w:val="18"/>
          <w:szCs w:val="18"/>
        </w:rPr>
        <w:footnoteRef/>
      </w:r>
      <w:r w:rsidRPr="007E7C65">
        <w:rPr>
          <w:rFonts w:ascii="Arial" w:hAnsi="Arial" w:cs="Arial"/>
          <w:sz w:val="18"/>
          <w:szCs w:val="18"/>
          <w:lang w:val="es-DO"/>
        </w:rPr>
        <w:t xml:space="preserve"> </w:t>
      </w:r>
      <w:r w:rsidRPr="00D3400B">
        <w:rPr>
          <w:rFonts w:ascii="Arial" w:hAnsi="Arial" w:cs="Arial"/>
          <w:sz w:val="18"/>
          <w:szCs w:val="18"/>
          <w:lang w:val="es-DO"/>
        </w:rPr>
        <w:t>Comisión Nacional de SIDA. (2014). Plan Estratégico Nacional de Respuesta al VIH Y SIDA en Honduras (PENSIDA IV) 2015-2019.</w:t>
      </w:r>
    </w:p>
  </w:footnote>
  <w:footnote w:id="22">
    <w:p w14:paraId="3C98B76A" w14:textId="77777777" w:rsidR="00F74A36" w:rsidRPr="007E7C65" w:rsidRDefault="00F74A36" w:rsidP="00FB2567">
      <w:pPr>
        <w:pStyle w:val="FootnoteText"/>
        <w:rPr>
          <w:rFonts w:ascii="Arial" w:hAnsi="Arial" w:cs="Arial"/>
          <w:sz w:val="18"/>
          <w:szCs w:val="18"/>
          <w:lang w:val="es-DO"/>
        </w:rPr>
      </w:pPr>
      <w:r w:rsidRPr="007E7C65">
        <w:rPr>
          <w:rStyle w:val="FootnoteReference"/>
          <w:rFonts w:ascii="Arial" w:hAnsi="Arial" w:cs="Arial"/>
          <w:sz w:val="18"/>
          <w:szCs w:val="18"/>
        </w:rPr>
        <w:footnoteRef/>
      </w:r>
      <w:r w:rsidRPr="007E7C65">
        <w:rPr>
          <w:rFonts w:ascii="Arial" w:hAnsi="Arial" w:cs="Arial"/>
          <w:sz w:val="18"/>
          <w:szCs w:val="18"/>
          <w:lang w:val="es-DO"/>
        </w:rPr>
        <w:t xml:space="preserve"> Honduras (2017): Estudio TRaC de monitoreo de comportamientos sexuales saludables entre HSH en las ciudades de Tegucigalpa, San Pedro Sula y La Ceiba </w:t>
      </w:r>
    </w:p>
  </w:footnote>
  <w:footnote w:id="23">
    <w:p w14:paraId="49C122D1" w14:textId="5281C996" w:rsidR="00F74A36" w:rsidRPr="00167C47" w:rsidRDefault="00F74A36" w:rsidP="00FB2567">
      <w:pPr>
        <w:pStyle w:val="FootnoteText"/>
        <w:rPr>
          <w:rFonts w:ascii="Arial" w:hAnsi="Arial" w:cs="Arial"/>
          <w:sz w:val="18"/>
          <w:szCs w:val="18"/>
          <w:lang w:val="es-DO"/>
        </w:rPr>
      </w:pPr>
      <w:r w:rsidRPr="00A6480C">
        <w:rPr>
          <w:rStyle w:val="FootnoteReference"/>
          <w:rFonts w:ascii="Arial" w:hAnsi="Arial" w:cs="Arial"/>
          <w:sz w:val="18"/>
          <w:szCs w:val="18"/>
        </w:rPr>
        <w:footnoteRef/>
      </w:r>
      <w:r w:rsidRPr="00A6480C">
        <w:rPr>
          <w:rFonts w:ascii="Arial" w:hAnsi="Arial" w:cs="Arial"/>
          <w:sz w:val="18"/>
          <w:szCs w:val="18"/>
          <w:lang w:val="es-DO"/>
        </w:rPr>
        <w:t xml:space="preserve"> ONUSIDA. (2017). Honduras Factsheet.</w:t>
      </w:r>
    </w:p>
  </w:footnote>
  <w:footnote w:id="24">
    <w:p w14:paraId="11618671" w14:textId="460EDF6A" w:rsidR="00F74A36" w:rsidRPr="00167C47" w:rsidRDefault="00F74A36" w:rsidP="00FB2567">
      <w:pPr>
        <w:pStyle w:val="FootnoteText"/>
        <w:rPr>
          <w:rFonts w:ascii="Arial" w:hAnsi="Arial" w:cs="Arial"/>
          <w:sz w:val="18"/>
          <w:szCs w:val="18"/>
          <w:lang w:val="es-DO"/>
        </w:rPr>
      </w:pPr>
      <w:r w:rsidRPr="00167C47">
        <w:rPr>
          <w:rStyle w:val="FootnoteReference"/>
          <w:rFonts w:ascii="Arial" w:hAnsi="Arial" w:cs="Arial"/>
          <w:sz w:val="18"/>
          <w:szCs w:val="18"/>
        </w:rPr>
        <w:footnoteRef/>
      </w:r>
      <w:r w:rsidRPr="00167C47">
        <w:rPr>
          <w:rFonts w:ascii="Arial" w:hAnsi="Arial" w:cs="Arial"/>
          <w:sz w:val="18"/>
          <w:szCs w:val="18"/>
          <w:lang w:val="es-DO"/>
        </w:rPr>
        <w:t xml:space="preserve"> Fondo Mundial. (2017). Informe de indicadores de impacto 2017. Subvención Conjunto integrado de servicios de ITS y VIH para poblaciones clave y vulnerable de Honduras.</w:t>
      </w:r>
    </w:p>
  </w:footnote>
  <w:footnote w:id="25">
    <w:p w14:paraId="033929CF" w14:textId="439DAE1D" w:rsidR="00F74A36" w:rsidRPr="00167C47" w:rsidRDefault="00F74A36" w:rsidP="00767567">
      <w:pPr>
        <w:pStyle w:val="FootnoteText"/>
        <w:rPr>
          <w:rFonts w:ascii="Arial" w:hAnsi="Arial" w:cs="Arial"/>
          <w:sz w:val="18"/>
          <w:szCs w:val="18"/>
          <w:lang w:val="es-MX"/>
        </w:rPr>
      </w:pPr>
      <w:r w:rsidRPr="00167C47">
        <w:rPr>
          <w:rStyle w:val="FootnoteReference"/>
          <w:rFonts w:ascii="Arial" w:hAnsi="Arial" w:cs="Arial"/>
          <w:sz w:val="18"/>
          <w:szCs w:val="18"/>
        </w:rPr>
        <w:footnoteRef/>
      </w:r>
      <w:r w:rsidRPr="00167C47">
        <w:rPr>
          <w:rFonts w:ascii="Arial" w:hAnsi="Arial" w:cs="Arial"/>
          <w:sz w:val="18"/>
          <w:szCs w:val="18"/>
          <w:lang w:val="es-MX"/>
        </w:rPr>
        <w:t xml:space="preserve"> </w:t>
      </w:r>
      <w:r w:rsidRPr="00863B30">
        <w:rPr>
          <w:rFonts w:ascii="Arial" w:hAnsi="Arial" w:cs="Arial"/>
          <w:sz w:val="18"/>
          <w:szCs w:val="18"/>
          <w:lang w:val="es-MX"/>
        </w:rPr>
        <w:t>Fondo Mundial. (2015). Nota Conceptual VIH 2016-2019, Honduras.</w:t>
      </w:r>
    </w:p>
  </w:footnote>
  <w:footnote w:id="26">
    <w:p w14:paraId="4305A1CC" w14:textId="50185BE6" w:rsidR="00F74A36" w:rsidRPr="00167C47" w:rsidRDefault="00F74A36" w:rsidP="00767567">
      <w:pPr>
        <w:pStyle w:val="FootnoteText"/>
        <w:rPr>
          <w:rFonts w:ascii="Arial" w:hAnsi="Arial" w:cs="Arial"/>
          <w:sz w:val="18"/>
          <w:szCs w:val="18"/>
          <w:lang w:val="es-MX"/>
        </w:rPr>
      </w:pPr>
      <w:r w:rsidRPr="00167C47">
        <w:rPr>
          <w:rStyle w:val="FootnoteReference"/>
          <w:rFonts w:ascii="Arial" w:hAnsi="Arial" w:cs="Arial"/>
          <w:sz w:val="18"/>
          <w:szCs w:val="18"/>
        </w:rPr>
        <w:footnoteRef/>
      </w:r>
      <w:r w:rsidRPr="00167C47">
        <w:rPr>
          <w:rFonts w:ascii="Arial" w:hAnsi="Arial" w:cs="Arial"/>
          <w:sz w:val="18"/>
          <w:szCs w:val="18"/>
          <w:lang w:val="es-MX"/>
        </w:rPr>
        <w:t xml:space="preserve"> </w:t>
      </w:r>
      <w:r w:rsidRPr="00863B30">
        <w:rPr>
          <w:rFonts w:ascii="Arial" w:hAnsi="Arial" w:cs="Arial"/>
          <w:sz w:val="18"/>
          <w:szCs w:val="18"/>
          <w:lang w:val="es-MX"/>
        </w:rPr>
        <w:t>Comisión Nacional de SIDA. (2014). Plan Estratégico Nacional de Respuesta al VIH Y SIDA en Honduras (PENSIDA IV) 2015-2019.</w:t>
      </w:r>
    </w:p>
  </w:footnote>
  <w:footnote w:id="27">
    <w:p w14:paraId="4A1CE069" w14:textId="518A71B4" w:rsidR="00F74A36" w:rsidRPr="00167C47" w:rsidRDefault="00F74A36" w:rsidP="00767567">
      <w:pPr>
        <w:pStyle w:val="FootnoteText"/>
        <w:contextualSpacing/>
        <w:rPr>
          <w:rFonts w:ascii="Arial" w:hAnsi="Arial" w:cs="Arial"/>
          <w:sz w:val="18"/>
          <w:szCs w:val="18"/>
          <w:lang w:val="es-MX"/>
        </w:rPr>
      </w:pPr>
      <w:r w:rsidRPr="00167C47">
        <w:rPr>
          <w:rStyle w:val="FootnoteReference"/>
          <w:rFonts w:ascii="Arial" w:hAnsi="Arial" w:cs="Arial"/>
          <w:sz w:val="18"/>
          <w:szCs w:val="18"/>
        </w:rPr>
        <w:footnoteRef/>
      </w:r>
      <w:r w:rsidRPr="00167C47">
        <w:rPr>
          <w:rFonts w:ascii="Arial" w:hAnsi="Arial" w:cs="Arial"/>
          <w:sz w:val="18"/>
          <w:szCs w:val="18"/>
          <w:lang w:val="es-MX"/>
        </w:rPr>
        <w:t xml:space="preserve"> </w:t>
      </w:r>
      <w:r w:rsidRPr="00863B30">
        <w:rPr>
          <w:rFonts w:ascii="Arial" w:hAnsi="Arial" w:cs="Arial"/>
          <w:sz w:val="18"/>
          <w:szCs w:val="18"/>
          <w:lang w:val="es-MX"/>
        </w:rPr>
        <w:t>Comisión Nacional de SIDA. (2014). Plan Estratégico Nacional de Respuesta al VIH Y SIDA en Honduras (PENSIDA IV) 2015-2019.</w:t>
      </w:r>
    </w:p>
  </w:footnote>
  <w:footnote w:id="28">
    <w:p w14:paraId="50D9E9B2" w14:textId="4738D67D" w:rsidR="00F74A36" w:rsidRPr="003A324D" w:rsidRDefault="00F74A36" w:rsidP="00767567">
      <w:pPr>
        <w:pStyle w:val="FootnoteText"/>
        <w:rPr>
          <w:lang w:val="es-MX"/>
        </w:rPr>
      </w:pPr>
      <w:r w:rsidRPr="00167C47">
        <w:rPr>
          <w:rStyle w:val="FootnoteReference"/>
          <w:rFonts w:ascii="Arial" w:hAnsi="Arial" w:cs="Arial"/>
          <w:sz w:val="18"/>
          <w:szCs w:val="18"/>
        </w:rPr>
        <w:footnoteRef/>
      </w:r>
      <w:r w:rsidRPr="00167C47">
        <w:rPr>
          <w:rFonts w:ascii="Arial" w:hAnsi="Arial" w:cs="Arial"/>
          <w:sz w:val="18"/>
          <w:szCs w:val="18"/>
          <w:lang w:val="es-MX"/>
        </w:rPr>
        <w:t xml:space="preserve"> </w:t>
      </w:r>
      <w:r w:rsidRPr="00863B30">
        <w:rPr>
          <w:rFonts w:ascii="Arial" w:hAnsi="Arial" w:cs="Arial"/>
          <w:sz w:val="18"/>
          <w:szCs w:val="18"/>
          <w:lang w:val="es-MX"/>
        </w:rPr>
        <w:t>ONUSIDA. (2017). Honduras Reporte.</w:t>
      </w:r>
    </w:p>
  </w:footnote>
  <w:footnote w:id="29">
    <w:p w14:paraId="3DE2E1E9" w14:textId="6A8959EA" w:rsidR="00F74A36" w:rsidRPr="008D0026" w:rsidRDefault="00F74A36" w:rsidP="00FB2567">
      <w:pPr>
        <w:pStyle w:val="FootnoteText"/>
        <w:rPr>
          <w:rFonts w:ascii="Arial" w:hAnsi="Arial" w:cs="Arial"/>
          <w:sz w:val="18"/>
          <w:szCs w:val="18"/>
          <w:lang w:val="es-DO"/>
        </w:rPr>
      </w:pPr>
      <w:r w:rsidRPr="008D0026">
        <w:rPr>
          <w:rStyle w:val="FootnoteReference"/>
          <w:rFonts w:ascii="Arial" w:hAnsi="Arial" w:cs="Arial"/>
          <w:sz w:val="18"/>
          <w:szCs w:val="18"/>
        </w:rPr>
        <w:footnoteRef/>
      </w:r>
      <w:r w:rsidRPr="008D0026">
        <w:rPr>
          <w:rFonts w:ascii="Arial" w:hAnsi="Arial" w:cs="Arial"/>
          <w:sz w:val="18"/>
          <w:szCs w:val="18"/>
          <w:lang w:val="es-DO"/>
        </w:rPr>
        <w:t xml:space="preserve"> </w:t>
      </w:r>
      <w:r w:rsidRPr="00A25FAB">
        <w:rPr>
          <w:rFonts w:ascii="Arial" w:hAnsi="Arial" w:cs="Arial"/>
          <w:sz w:val="18"/>
          <w:szCs w:val="18"/>
          <w:lang w:val="es-DO"/>
        </w:rPr>
        <w:t>Comisión Nacional de SIDA. (2014). Plan Estratégico Nacional de Respuesta al VIH Y SIDA en Honduras (PENSIDA IV) 2015-2019.</w:t>
      </w:r>
    </w:p>
  </w:footnote>
  <w:footnote w:id="30">
    <w:p w14:paraId="44017E56" w14:textId="772DBDE5" w:rsidR="00F74A36" w:rsidRPr="008D0026" w:rsidRDefault="00F74A36" w:rsidP="00FB2567">
      <w:pPr>
        <w:pStyle w:val="FootnoteText"/>
        <w:rPr>
          <w:rFonts w:ascii="Arial" w:hAnsi="Arial" w:cs="Arial"/>
          <w:sz w:val="18"/>
          <w:szCs w:val="18"/>
          <w:lang w:val="es-DO"/>
        </w:rPr>
      </w:pPr>
      <w:r w:rsidRPr="008D0026">
        <w:rPr>
          <w:rStyle w:val="FootnoteReference"/>
          <w:rFonts w:ascii="Arial" w:hAnsi="Arial" w:cs="Arial"/>
          <w:sz w:val="18"/>
          <w:szCs w:val="18"/>
        </w:rPr>
        <w:footnoteRef/>
      </w:r>
      <w:r w:rsidRPr="008D0026">
        <w:rPr>
          <w:rFonts w:ascii="Arial" w:hAnsi="Arial" w:cs="Arial"/>
          <w:sz w:val="18"/>
          <w:szCs w:val="18"/>
          <w:lang w:val="es-DO"/>
        </w:rPr>
        <w:t xml:space="preserve"> </w:t>
      </w:r>
      <w:r w:rsidRPr="00003AF6">
        <w:rPr>
          <w:rFonts w:ascii="Arial" w:hAnsi="Arial" w:cs="Arial"/>
          <w:sz w:val="18"/>
          <w:szCs w:val="18"/>
          <w:lang w:val="es-DO"/>
        </w:rPr>
        <w:t>Secretaria de Salud de Honduras. (2015). Resultados del Informe Nacional de Progreso de la Respuesta contra el VIH y el Sida.</w:t>
      </w:r>
    </w:p>
  </w:footnote>
  <w:footnote w:id="31">
    <w:p w14:paraId="203E00A4" w14:textId="77777777" w:rsidR="00F74A36" w:rsidRPr="001F4760" w:rsidRDefault="00F74A36" w:rsidP="00DE0B1B">
      <w:pPr>
        <w:pStyle w:val="FootnoteText"/>
        <w:rPr>
          <w:lang w:val="es-DO"/>
        </w:rPr>
      </w:pPr>
      <w:r>
        <w:rPr>
          <w:rStyle w:val="FootnoteReference"/>
        </w:rPr>
        <w:footnoteRef/>
      </w:r>
      <w:r w:rsidRPr="001F4760">
        <w:rPr>
          <w:lang w:val="es-DO"/>
        </w:rPr>
        <w:t xml:space="preserve"> Secretaria de Salud de Honduras. (2015). Resultados del Informe Nacional de Progreso de la Respuesta contra el VIH y el Sida.</w:t>
      </w:r>
    </w:p>
  </w:footnote>
  <w:footnote w:id="32">
    <w:p w14:paraId="05AB512C" w14:textId="77777777" w:rsidR="00F74A36" w:rsidRPr="001F4760" w:rsidRDefault="00F74A36" w:rsidP="00DE0B1B">
      <w:pPr>
        <w:pStyle w:val="FootnoteText"/>
        <w:rPr>
          <w:lang w:val="es-DO"/>
        </w:rPr>
      </w:pPr>
      <w:r>
        <w:rPr>
          <w:rStyle w:val="FootnoteReference"/>
        </w:rPr>
        <w:footnoteRef/>
      </w:r>
      <w:r w:rsidRPr="001F4760">
        <w:rPr>
          <w:lang w:val="es-DO"/>
        </w:rPr>
        <w:t xml:space="preserve"> </w:t>
      </w:r>
      <w:r>
        <w:rPr>
          <w:lang w:val="es-DO"/>
        </w:rPr>
        <w:t>PENSIDA IV</w:t>
      </w:r>
    </w:p>
  </w:footnote>
  <w:footnote w:id="33">
    <w:p w14:paraId="34E036B3" w14:textId="75A2E54D" w:rsidR="00F74A36" w:rsidRPr="00980FA1" w:rsidRDefault="00F74A36">
      <w:pPr>
        <w:pStyle w:val="FootnoteText"/>
        <w:rPr>
          <w:rFonts w:ascii="Arial" w:hAnsi="Arial" w:cs="Arial"/>
          <w:sz w:val="18"/>
          <w:szCs w:val="18"/>
          <w:lang w:val="es-MX"/>
        </w:rPr>
      </w:pPr>
      <w:r w:rsidRPr="008D0026">
        <w:rPr>
          <w:rStyle w:val="FootnoteReference"/>
          <w:rFonts w:ascii="Arial" w:hAnsi="Arial" w:cs="Arial"/>
          <w:sz w:val="18"/>
          <w:szCs w:val="18"/>
        </w:rPr>
        <w:footnoteRef/>
      </w:r>
      <w:r w:rsidRPr="00167C47">
        <w:rPr>
          <w:rFonts w:ascii="Arial" w:hAnsi="Arial" w:cs="Arial"/>
          <w:sz w:val="18"/>
          <w:szCs w:val="18"/>
          <w:lang w:val="es-419"/>
        </w:rPr>
        <w:t xml:space="preserve"> </w:t>
      </w:r>
      <w:bookmarkStart w:id="38" w:name="_Hlk535427433"/>
      <w:r w:rsidRPr="00167C47">
        <w:rPr>
          <w:rFonts w:ascii="Arial" w:hAnsi="Arial" w:cs="Arial"/>
          <w:sz w:val="18"/>
          <w:szCs w:val="18"/>
          <w:lang w:val="es-419"/>
        </w:rPr>
        <w:t xml:space="preserve">Organización Mundial de la Salud (2015). </w:t>
      </w:r>
      <w:r w:rsidRPr="00980FA1">
        <w:rPr>
          <w:rFonts w:ascii="Arial" w:hAnsi="Arial" w:cs="Arial"/>
          <w:sz w:val="18"/>
          <w:szCs w:val="18"/>
          <w:lang w:val="es-MX"/>
        </w:rPr>
        <w:t>Informe Global Aids Response Progress Reporting (GARPR) 2015.</w:t>
      </w:r>
      <w:bookmarkEnd w:id="38"/>
    </w:p>
  </w:footnote>
  <w:footnote w:id="34">
    <w:p w14:paraId="08588927" w14:textId="0EDE6839" w:rsidR="00F74A36" w:rsidRPr="008D0026" w:rsidRDefault="00F74A36" w:rsidP="00FB2567">
      <w:pPr>
        <w:pStyle w:val="FootnoteText"/>
        <w:rPr>
          <w:rFonts w:ascii="Arial" w:hAnsi="Arial" w:cs="Arial"/>
          <w:sz w:val="18"/>
          <w:szCs w:val="18"/>
          <w:lang w:val="es-DO"/>
        </w:rPr>
      </w:pPr>
      <w:r w:rsidRPr="008D0026">
        <w:rPr>
          <w:rStyle w:val="FootnoteReference"/>
          <w:rFonts w:ascii="Arial" w:hAnsi="Arial" w:cs="Arial"/>
          <w:sz w:val="18"/>
          <w:szCs w:val="18"/>
        </w:rPr>
        <w:footnoteRef/>
      </w:r>
      <w:r w:rsidRPr="008D0026">
        <w:rPr>
          <w:rFonts w:ascii="Arial" w:hAnsi="Arial" w:cs="Arial"/>
          <w:sz w:val="18"/>
          <w:szCs w:val="18"/>
          <w:lang w:val="es-DO"/>
        </w:rPr>
        <w:t xml:space="preserve"> </w:t>
      </w:r>
      <w:r w:rsidRPr="00E155A9">
        <w:rPr>
          <w:rFonts w:ascii="Arial" w:hAnsi="Arial" w:cs="Arial"/>
          <w:sz w:val="18"/>
          <w:szCs w:val="18"/>
          <w:lang w:val="es-DO"/>
        </w:rPr>
        <w:t>PEPFAR. (2012). Encuesta Centroamericana de Vigilancia de Comportamiento Sexual y Prevalencias de VIH/ITS en poblaciones clave en Honduras, 2012 (ECVC). http://www.aidsinfoonline.org/kpatlas/document/HND/HND_2012_Results_Summary_PSE_FSW_MSM_TG.pdf</w:t>
      </w:r>
    </w:p>
  </w:footnote>
  <w:footnote w:id="35">
    <w:p w14:paraId="479263D3" w14:textId="055112D9" w:rsidR="00F74A36" w:rsidRPr="00167C47" w:rsidRDefault="00F74A36" w:rsidP="00FB2567">
      <w:pPr>
        <w:pStyle w:val="FootnoteText"/>
        <w:rPr>
          <w:rFonts w:ascii="Arial" w:hAnsi="Arial" w:cs="Arial"/>
          <w:sz w:val="18"/>
          <w:szCs w:val="18"/>
          <w:lang w:val="es-419"/>
        </w:rPr>
      </w:pPr>
      <w:r w:rsidRPr="008D0026">
        <w:rPr>
          <w:rStyle w:val="FootnoteReference"/>
          <w:rFonts w:ascii="Arial" w:hAnsi="Arial" w:cs="Arial"/>
          <w:sz w:val="18"/>
          <w:szCs w:val="18"/>
        </w:rPr>
        <w:footnoteRef/>
      </w:r>
      <w:r w:rsidRPr="008D0026">
        <w:rPr>
          <w:rFonts w:ascii="Arial" w:hAnsi="Arial" w:cs="Arial"/>
          <w:sz w:val="18"/>
          <w:szCs w:val="18"/>
          <w:lang w:val="es-DO"/>
        </w:rPr>
        <w:t xml:space="preserve"> </w:t>
      </w:r>
      <w:r w:rsidRPr="00DD673D">
        <w:rPr>
          <w:rFonts w:ascii="Arial" w:hAnsi="Arial" w:cs="Arial"/>
          <w:sz w:val="18"/>
          <w:szCs w:val="18"/>
          <w:lang w:val="es-DO"/>
        </w:rPr>
        <w:t>ONUSIDA. (2013). Caso de Inversión, Honduras.</w:t>
      </w:r>
    </w:p>
  </w:footnote>
  <w:footnote w:id="36">
    <w:p w14:paraId="13C3ED4E" w14:textId="64A802D4" w:rsidR="00F74A36" w:rsidRPr="00791E7B" w:rsidRDefault="00F74A36">
      <w:pPr>
        <w:pStyle w:val="FootnoteText"/>
        <w:rPr>
          <w:lang w:val="es-419"/>
        </w:rPr>
      </w:pPr>
      <w:r>
        <w:rPr>
          <w:rStyle w:val="FootnoteReference"/>
        </w:rPr>
        <w:footnoteRef/>
      </w:r>
      <w:r w:rsidRPr="002534BE">
        <w:t xml:space="preserve"> </w:t>
      </w:r>
      <w:r w:rsidRPr="005B3E37">
        <w:rPr>
          <w:rFonts w:ascii="Arial" w:hAnsi="Arial" w:cs="Arial"/>
          <w:sz w:val="18"/>
          <w:szCs w:val="18"/>
        </w:rPr>
        <w:t>APMG Health. Focused Evalua</w:t>
      </w:r>
      <w:r>
        <w:rPr>
          <w:rFonts w:ascii="Arial" w:hAnsi="Arial" w:cs="Arial"/>
          <w:sz w:val="18"/>
          <w:szCs w:val="18"/>
        </w:rPr>
        <w:t>t</w:t>
      </w:r>
      <w:r w:rsidRPr="005B3E37">
        <w:rPr>
          <w:rFonts w:ascii="Arial" w:hAnsi="Arial" w:cs="Arial"/>
          <w:sz w:val="18"/>
          <w:szCs w:val="18"/>
        </w:rPr>
        <w:t xml:space="preserve">ion HIV Type 1: Honduras. </w:t>
      </w:r>
      <w:r>
        <w:rPr>
          <w:rFonts w:ascii="Arial" w:hAnsi="Arial" w:cs="Arial"/>
          <w:sz w:val="18"/>
          <w:szCs w:val="18"/>
          <w:lang w:val="es-419"/>
        </w:rPr>
        <w:t>2019</w:t>
      </w:r>
      <w:r w:rsidRPr="005B3E37">
        <w:rPr>
          <w:rFonts w:ascii="Arial" w:hAnsi="Arial" w:cs="Arial"/>
          <w:sz w:val="18"/>
          <w:szCs w:val="18"/>
          <w:lang w:val="es-419"/>
        </w:rPr>
        <w:t>.</w:t>
      </w:r>
    </w:p>
  </w:footnote>
  <w:footnote w:id="37">
    <w:p w14:paraId="5CE00325" w14:textId="2890024D" w:rsidR="00F74A36" w:rsidRPr="00D745E7" w:rsidRDefault="00F74A36" w:rsidP="000C53F6">
      <w:pPr>
        <w:pStyle w:val="FootnoteText"/>
        <w:rPr>
          <w:rFonts w:ascii="Arial" w:hAnsi="Arial" w:cs="Arial"/>
          <w:sz w:val="18"/>
          <w:szCs w:val="18"/>
          <w:lang w:val="es-DO"/>
        </w:rPr>
      </w:pPr>
      <w:r w:rsidRPr="00D745E7">
        <w:rPr>
          <w:rStyle w:val="FootnoteReference"/>
          <w:rFonts w:ascii="Arial" w:hAnsi="Arial" w:cs="Arial"/>
          <w:sz w:val="18"/>
          <w:szCs w:val="18"/>
        </w:rPr>
        <w:footnoteRef/>
      </w:r>
      <w:r w:rsidRPr="00D745E7">
        <w:rPr>
          <w:rFonts w:ascii="Arial" w:hAnsi="Arial" w:cs="Arial"/>
          <w:sz w:val="18"/>
          <w:szCs w:val="18"/>
          <w:lang w:val="es-DO"/>
        </w:rPr>
        <w:t xml:space="preserve"> </w:t>
      </w:r>
      <w:r w:rsidRPr="00DD673D">
        <w:rPr>
          <w:rFonts w:ascii="Arial" w:hAnsi="Arial" w:cs="Arial"/>
          <w:sz w:val="18"/>
          <w:szCs w:val="18"/>
          <w:lang w:val="es-DO"/>
        </w:rPr>
        <w:t>Secretaria de Salud de Honduras, PEPFAR. (2016). Estudio de Medición del Gasto en Sida (MEGAS), Honduras. http://www.unaids.org/sites/default/files/media/documents/NASA_Honduras_2016_es.pdf</w:t>
      </w:r>
    </w:p>
  </w:footnote>
  <w:footnote w:id="38">
    <w:p w14:paraId="18E586EC" w14:textId="3685716E" w:rsidR="00F74A36" w:rsidRPr="00D745E7" w:rsidRDefault="00F74A36" w:rsidP="000C53F6">
      <w:pPr>
        <w:pStyle w:val="FootnoteText"/>
        <w:rPr>
          <w:rFonts w:ascii="Arial" w:hAnsi="Arial" w:cs="Arial"/>
          <w:sz w:val="18"/>
          <w:szCs w:val="18"/>
          <w:lang w:val="es-DO"/>
        </w:rPr>
      </w:pPr>
      <w:r w:rsidRPr="00D745E7">
        <w:rPr>
          <w:rStyle w:val="FootnoteReference"/>
          <w:rFonts w:ascii="Arial" w:hAnsi="Arial" w:cs="Arial"/>
          <w:sz w:val="18"/>
          <w:szCs w:val="18"/>
        </w:rPr>
        <w:footnoteRef/>
      </w:r>
      <w:r w:rsidRPr="00D745E7">
        <w:rPr>
          <w:rFonts w:ascii="Arial" w:hAnsi="Arial" w:cs="Arial"/>
          <w:sz w:val="18"/>
          <w:szCs w:val="18"/>
          <w:lang w:val="es-DO"/>
        </w:rPr>
        <w:t xml:space="preserve"> </w:t>
      </w:r>
      <w:r w:rsidRPr="00DD673D">
        <w:rPr>
          <w:rFonts w:ascii="Arial" w:hAnsi="Arial" w:cs="Arial"/>
          <w:sz w:val="18"/>
          <w:szCs w:val="18"/>
          <w:lang w:val="es-DO"/>
        </w:rPr>
        <w:t>Comisión Nacional de SIDA. (2014). Plan Estratégico Nacional de Respuesta al VIH Y SIDA en Honduras (PENSIDA IV) 2015-2019.</w:t>
      </w:r>
    </w:p>
  </w:footnote>
  <w:footnote w:id="39">
    <w:p w14:paraId="01DA5282" w14:textId="70E0ACF0" w:rsidR="00F74A36" w:rsidRPr="00D745E7" w:rsidRDefault="00F74A36" w:rsidP="00A05696">
      <w:pPr>
        <w:pStyle w:val="FootnoteText"/>
        <w:rPr>
          <w:rFonts w:ascii="Arial" w:hAnsi="Arial" w:cs="Arial"/>
          <w:sz w:val="18"/>
          <w:szCs w:val="18"/>
          <w:lang w:val="es-DO"/>
        </w:rPr>
      </w:pPr>
      <w:r w:rsidRPr="00D745E7">
        <w:rPr>
          <w:rStyle w:val="FootnoteReference"/>
          <w:rFonts w:ascii="Arial" w:hAnsi="Arial" w:cs="Arial"/>
          <w:sz w:val="18"/>
          <w:szCs w:val="18"/>
        </w:rPr>
        <w:footnoteRef/>
      </w:r>
      <w:r w:rsidRPr="00D745E7">
        <w:rPr>
          <w:rFonts w:ascii="Arial" w:hAnsi="Arial" w:cs="Arial"/>
          <w:sz w:val="18"/>
          <w:szCs w:val="18"/>
          <w:lang w:val="es-DO"/>
        </w:rPr>
        <w:t xml:space="preserve"> </w:t>
      </w:r>
      <w:r w:rsidRPr="009A4737">
        <w:rPr>
          <w:rFonts w:ascii="Arial" w:hAnsi="Arial" w:cs="Arial"/>
          <w:sz w:val="18"/>
          <w:szCs w:val="18"/>
          <w:lang w:val="es-DO"/>
        </w:rPr>
        <w:t>Secretaria de Salud de Honduras. La Unidad de Logística de Medicamentos, Insumos y Equipamiento (ULMIE) 2017-2018. (2018). Análisis de existencia y disponibilidad de ARV.</w:t>
      </w:r>
    </w:p>
  </w:footnote>
  <w:footnote w:id="40">
    <w:p w14:paraId="1B8B05E2" w14:textId="0FE203E5" w:rsidR="00F74A36" w:rsidRPr="00D745E7" w:rsidRDefault="00F74A36" w:rsidP="000C53F6">
      <w:pPr>
        <w:pStyle w:val="FootnoteText"/>
        <w:rPr>
          <w:rFonts w:ascii="Arial" w:hAnsi="Arial" w:cs="Arial"/>
          <w:sz w:val="18"/>
          <w:szCs w:val="18"/>
          <w:lang w:val="es-DO"/>
        </w:rPr>
      </w:pPr>
      <w:r w:rsidRPr="00D745E7">
        <w:rPr>
          <w:rStyle w:val="FootnoteReference"/>
          <w:rFonts w:ascii="Arial" w:hAnsi="Arial" w:cs="Arial"/>
          <w:sz w:val="18"/>
          <w:szCs w:val="18"/>
        </w:rPr>
        <w:footnoteRef/>
      </w:r>
      <w:r w:rsidRPr="00D745E7">
        <w:rPr>
          <w:rFonts w:ascii="Arial" w:hAnsi="Arial" w:cs="Arial"/>
          <w:sz w:val="18"/>
          <w:szCs w:val="18"/>
          <w:lang w:val="es-DO"/>
        </w:rPr>
        <w:t xml:space="preserve"> </w:t>
      </w:r>
      <w:r w:rsidRPr="009A4737">
        <w:rPr>
          <w:rFonts w:ascii="Arial" w:hAnsi="Arial" w:cs="Arial"/>
          <w:sz w:val="18"/>
          <w:szCs w:val="18"/>
          <w:lang w:val="es-DO"/>
        </w:rPr>
        <w:t>Gonzalez, R. A., Ciudad, J. M., et. al. (2014). Informe Ejecutivo: Índice de Estigma en Personas que Viven con VIH, Honduras 2014. http://www.stigmaindex.org/sites/default/files/reports/Honduras%20Informe%20Ejecutivo%20PDF.pdf</w:t>
      </w:r>
    </w:p>
  </w:footnote>
  <w:footnote w:id="41">
    <w:p w14:paraId="62E733E0" w14:textId="77777777" w:rsidR="00F74A36" w:rsidRPr="00D745E7" w:rsidRDefault="00F74A36" w:rsidP="000C53F6">
      <w:pPr>
        <w:pStyle w:val="FootnoteText"/>
        <w:rPr>
          <w:rFonts w:ascii="Arial" w:hAnsi="Arial" w:cs="Arial"/>
          <w:sz w:val="18"/>
          <w:szCs w:val="18"/>
          <w:lang w:val="es-DO"/>
        </w:rPr>
      </w:pPr>
      <w:r w:rsidRPr="00D745E7">
        <w:rPr>
          <w:rStyle w:val="FootnoteReference"/>
          <w:rFonts w:ascii="Arial" w:hAnsi="Arial" w:cs="Arial"/>
          <w:sz w:val="18"/>
          <w:szCs w:val="18"/>
        </w:rPr>
        <w:footnoteRef/>
      </w:r>
      <w:r w:rsidRPr="00D745E7">
        <w:rPr>
          <w:rFonts w:ascii="Arial" w:hAnsi="Arial" w:cs="Arial"/>
          <w:sz w:val="18"/>
          <w:szCs w:val="18"/>
          <w:lang w:val="es-DO"/>
        </w:rPr>
        <w:t xml:space="preserve"> Tenofovir, Lamivudina o Emtricitabina + Efavirenz. </w:t>
      </w:r>
    </w:p>
  </w:footnote>
  <w:footnote w:id="42">
    <w:p w14:paraId="5ABE0060" w14:textId="77777777" w:rsidR="00F74A36" w:rsidRPr="009A4737" w:rsidRDefault="00F74A36" w:rsidP="000C53F6">
      <w:pPr>
        <w:pStyle w:val="FootnoteText"/>
        <w:rPr>
          <w:rFonts w:ascii="Arial" w:hAnsi="Arial" w:cs="Arial"/>
          <w:sz w:val="18"/>
          <w:szCs w:val="18"/>
          <w:lang w:val="es-DO"/>
        </w:rPr>
      </w:pPr>
      <w:r w:rsidRPr="00D745E7">
        <w:rPr>
          <w:rStyle w:val="FootnoteReference"/>
          <w:rFonts w:ascii="Arial" w:hAnsi="Arial" w:cs="Arial"/>
          <w:sz w:val="18"/>
          <w:szCs w:val="18"/>
        </w:rPr>
        <w:footnoteRef/>
      </w:r>
      <w:r w:rsidRPr="00D745E7">
        <w:rPr>
          <w:rFonts w:ascii="Arial" w:hAnsi="Arial" w:cs="Arial"/>
          <w:sz w:val="18"/>
          <w:szCs w:val="18"/>
          <w:lang w:val="es-DO"/>
        </w:rPr>
        <w:t xml:space="preserve"> </w:t>
      </w:r>
      <w:r w:rsidRPr="009A4737">
        <w:rPr>
          <w:rFonts w:ascii="Arial" w:hAnsi="Arial" w:cs="Arial"/>
          <w:sz w:val="18"/>
          <w:szCs w:val="18"/>
          <w:lang w:val="es-DO"/>
        </w:rPr>
        <w:t xml:space="preserve">Zidovudina, Lamivudia o Emtricitabina + Atazanavir/ ritonavir </w:t>
      </w:r>
    </w:p>
  </w:footnote>
  <w:footnote w:id="43">
    <w:p w14:paraId="46214136" w14:textId="77777777" w:rsidR="00F74A36" w:rsidRPr="00B44C74" w:rsidRDefault="00F74A36" w:rsidP="000C53F6">
      <w:pPr>
        <w:pStyle w:val="FootnoteText"/>
        <w:rPr>
          <w:rFonts w:ascii="Arial" w:hAnsi="Arial" w:cs="Arial"/>
          <w:sz w:val="18"/>
          <w:szCs w:val="18"/>
        </w:rPr>
      </w:pPr>
      <w:r w:rsidRPr="00167C47">
        <w:rPr>
          <w:rStyle w:val="FootnoteReference"/>
          <w:rFonts w:ascii="Arial" w:hAnsi="Arial" w:cs="Arial"/>
          <w:sz w:val="18"/>
          <w:szCs w:val="18"/>
        </w:rPr>
        <w:footnoteRef/>
      </w:r>
      <w:r w:rsidRPr="00B44C74">
        <w:rPr>
          <w:rFonts w:ascii="Arial" w:hAnsi="Arial" w:cs="Arial"/>
          <w:sz w:val="18"/>
          <w:szCs w:val="18"/>
        </w:rPr>
        <w:t xml:space="preserve"> Darunavir y Raltegravir</w:t>
      </w:r>
    </w:p>
  </w:footnote>
  <w:footnote w:id="44">
    <w:p w14:paraId="1B13E284" w14:textId="7D7C3218" w:rsidR="00F74A36" w:rsidRPr="00B44C74" w:rsidRDefault="00F74A36">
      <w:pPr>
        <w:pStyle w:val="FootnoteText"/>
        <w:rPr>
          <w:lang w:val="es-MX"/>
        </w:rPr>
      </w:pPr>
      <w:r>
        <w:rPr>
          <w:rStyle w:val="FootnoteReference"/>
        </w:rPr>
        <w:footnoteRef/>
      </w:r>
      <w:r w:rsidRPr="00057525">
        <w:t xml:space="preserve"> </w:t>
      </w:r>
      <w:r w:rsidRPr="00057525">
        <w:rPr>
          <w:rFonts w:ascii="Arial" w:hAnsi="Arial" w:cs="Arial"/>
          <w:sz w:val="18"/>
          <w:szCs w:val="18"/>
        </w:rPr>
        <w:t xml:space="preserve">APMG Health. Focused Evaluation HIV Type 1: Honduras. </w:t>
      </w:r>
      <w:r w:rsidRPr="00B44C74">
        <w:rPr>
          <w:rFonts w:ascii="Arial" w:hAnsi="Arial" w:cs="Arial"/>
          <w:sz w:val="18"/>
          <w:szCs w:val="18"/>
          <w:lang w:val="es-MX"/>
        </w:rPr>
        <w:t>2019.</w:t>
      </w:r>
    </w:p>
  </w:footnote>
  <w:footnote w:id="45">
    <w:p w14:paraId="14C180E6" w14:textId="77777777" w:rsidR="00F74A36" w:rsidRPr="00167C47" w:rsidRDefault="00F74A36" w:rsidP="00BD4FBA">
      <w:pPr>
        <w:pStyle w:val="FootnoteText"/>
        <w:rPr>
          <w:rFonts w:ascii="Arial" w:hAnsi="Arial" w:cs="Arial"/>
          <w:sz w:val="18"/>
          <w:szCs w:val="18"/>
          <w:lang w:val="es-MX"/>
        </w:rPr>
      </w:pPr>
      <w:r w:rsidRPr="00167C47">
        <w:rPr>
          <w:rStyle w:val="FootnoteReference"/>
          <w:rFonts w:ascii="Arial" w:hAnsi="Arial" w:cs="Arial"/>
          <w:sz w:val="18"/>
          <w:szCs w:val="18"/>
        </w:rPr>
        <w:footnoteRef/>
      </w:r>
      <w:bookmarkStart w:id="40" w:name="_Hlk1113828"/>
      <w:r w:rsidRPr="00167C47">
        <w:rPr>
          <w:rFonts w:ascii="Arial" w:hAnsi="Arial" w:cs="Arial"/>
          <w:sz w:val="18"/>
          <w:szCs w:val="18"/>
          <w:lang w:val="es-MX"/>
        </w:rPr>
        <w:t xml:space="preserve"> </w:t>
      </w:r>
      <w:r w:rsidRPr="005727C6">
        <w:rPr>
          <w:rFonts w:ascii="Arial" w:hAnsi="Arial" w:cs="Arial"/>
          <w:sz w:val="18"/>
          <w:szCs w:val="18"/>
          <w:lang w:val="es-DO"/>
        </w:rPr>
        <w:t>Secretaria de Salud de Honduras. (2015). Resultados del Informe Nacional de Progreso de la Respuesta contra el VIH y el Sida</w:t>
      </w:r>
      <w:bookmarkEnd w:id="40"/>
      <w:r w:rsidRPr="005727C6">
        <w:rPr>
          <w:rFonts w:ascii="Arial" w:hAnsi="Arial" w:cs="Arial"/>
          <w:sz w:val="18"/>
          <w:szCs w:val="18"/>
          <w:lang w:val="es-DO"/>
        </w:rPr>
        <w:t>.</w:t>
      </w:r>
    </w:p>
  </w:footnote>
  <w:footnote w:id="46">
    <w:p w14:paraId="5E7AB2AC" w14:textId="77777777" w:rsidR="00F74A36" w:rsidRPr="00167C47" w:rsidRDefault="00F74A36" w:rsidP="00BD4FBA">
      <w:pPr>
        <w:pStyle w:val="FootnoteText"/>
        <w:rPr>
          <w:rFonts w:ascii="Arial" w:hAnsi="Arial" w:cs="Arial"/>
          <w:sz w:val="18"/>
          <w:szCs w:val="18"/>
          <w:lang w:val="es-DO"/>
        </w:rPr>
      </w:pPr>
      <w:r w:rsidRPr="00167C47">
        <w:rPr>
          <w:rStyle w:val="FootnoteReference"/>
          <w:rFonts w:ascii="Arial" w:hAnsi="Arial" w:cs="Arial"/>
          <w:sz w:val="18"/>
          <w:szCs w:val="18"/>
        </w:rPr>
        <w:footnoteRef/>
      </w:r>
      <w:r w:rsidRPr="00167C47">
        <w:rPr>
          <w:rFonts w:ascii="Arial" w:hAnsi="Arial" w:cs="Arial"/>
          <w:sz w:val="18"/>
          <w:szCs w:val="18"/>
          <w:lang w:val="es-DO"/>
        </w:rPr>
        <w:t xml:space="preserve"> </w:t>
      </w:r>
      <w:r w:rsidRPr="005727C6">
        <w:rPr>
          <w:rFonts w:ascii="Arial" w:hAnsi="Arial" w:cs="Arial"/>
          <w:sz w:val="18"/>
          <w:szCs w:val="18"/>
          <w:lang w:val="es-DO"/>
        </w:rPr>
        <w:t>ONUSIDA. (2013). Evaluación de PENSIDA III.</w:t>
      </w:r>
      <w:r>
        <w:rPr>
          <w:rFonts w:ascii="Arial" w:hAnsi="Arial" w:cs="Arial"/>
          <w:sz w:val="18"/>
          <w:szCs w:val="18"/>
          <w:lang w:val="es-DO"/>
        </w:rPr>
        <w:t xml:space="preserve"> (página 49)</w:t>
      </w:r>
      <w:r w:rsidRPr="005727C6">
        <w:rPr>
          <w:rFonts w:ascii="Arial" w:hAnsi="Arial" w:cs="Arial"/>
          <w:sz w:val="18"/>
          <w:szCs w:val="18"/>
          <w:lang w:val="es-DO"/>
        </w:rPr>
        <w:t xml:space="preserve"> https://issuu.com/lisamariesheran/docs/pensida_final</w:t>
      </w:r>
    </w:p>
  </w:footnote>
  <w:footnote w:id="47">
    <w:p w14:paraId="544D783E" w14:textId="209ABA15" w:rsidR="00F74A36" w:rsidRPr="00980FA1" w:rsidRDefault="00F74A36">
      <w:pPr>
        <w:pStyle w:val="FootnoteText"/>
        <w:rPr>
          <w:lang w:val="es-MX"/>
        </w:rPr>
      </w:pPr>
      <w:r>
        <w:rPr>
          <w:rStyle w:val="FootnoteReference"/>
        </w:rPr>
        <w:footnoteRef/>
      </w:r>
      <w:r>
        <w:t xml:space="preserve"> </w:t>
      </w:r>
      <w:r w:rsidRPr="005B3E37">
        <w:rPr>
          <w:rFonts w:ascii="Arial" w:hAnsi="Arial" w:cs="Arial"/>
          <w:sz w:val="18"/>
          <w:szCs w:val="18"/>
        </w:rPr>
        <w:t>APMG Health. Focused Evalua</w:t>
      </w:r>
      <w:r>
        <w:rPr>
          <w:rFonts w:ascii="Arial" w:hAnsi="Arial" w:cs="Arial"/>
          <w:sz w:val="18"/>
          <w:szCs w:val="18"/>
        </w:rPr>
        <w:t>t</w:t>
      </w:r>
      <w:r w:rsidRPr="005B3E37">
        <w:rPr>
          <w:rFonts w:ascii="Arial" w:hAnsi="Arial" w:cs="Arial"/>
          <w:sz w:val="18"/>
          <w:szCs w:val="18"/>
        </w:rPr>
        <w:t xml:space="preserve">ion HIV Type 1: Honduras. </w:t>
      </w:r>
      <w:r w:rsidRPr="005B3E37">
        <w:rPr>
          <w:rFonts w:ascii="Arial" w:hAnsi="Arial" w:cs="Arial"/>
          <w:sz w:val="18"/>
          <w:szCs w:val="18"/>
          <w:lang w:val="es-419"/>
        </w:rPr>
        <w:t>December 2018.</w:t>
      </w:r>
    </w:p>
  </w:footnote>
  <w:footnote w:id="48">
    <w:p w14:paraId="10FA2F58" w14:textId="2059C406" w:rsidR="00F74A36" w:rsidRPr="00167C47" w:rsidRDefault="00F74A36" w:rsidP="000C53F6">
      <w:pPr>
        <w:pStyle w:val="FootnoteText"/>
        <w:rPr>
          <w:rFonts w:ascii="Arial" w:hAnsi="Arial" w:cs="Arial"/>
          <w:sz w:val="18"/>
          <w:szCs w:val="18"/>
          <w:lang w:val="es-DO"/>
        </w:rPr>
      </w:pPr>
      <w:r w:rsidRPr="00167C47">
        <w:rPr>
          <w:rStyle w:val="FootnoteReference"/>
          <w:rFonts w:ascii="Arial" w:hAnsi="Arial" w:cs="Arial"/>
          <w:sz w:val="18"/>
          <w:szCs w:val="18"/>
        </w:rPr>
        <w:footnoteRef/>
      </w:r>
      <w:r w:rsidRPr="00167C47">
        <w:rPr>
          <w:rFonts w:ascii="Arial" w:hAnsi="Arial" w:cs="Arial"/>
          <w:sz w:val="18"/>
          <w:szCs w:val="18"/>
          <w:lang w:val="es-DO"/>
        </w:rPr>
        <w:t xml:space="preserve"> </w:t>
      </w:r>
      <w:r>
        <w:rPr>
          <w:rFonts w:ascii="Arial" w:hAnsi="Arial" w:cs="Arial"/>
          <w:sz w:val="18"/>
          <w:szCs w:val="18"/>
          <w:lang w:val="es-DO"/>
        </w:rPr>
        <w:t>Ibid.</w:t>
      </w:r>
    </w:p>
  </w:footnote>
  <w:footnote w:id="49">
    <w:p w14:paraId="68F6FB3D" w14:textId="2EC1EF86" w:rsidR="00F74A36" w:rsidRPr="00E2323D" w:rsidRDefault="00F74A36" w:rsidP="000C53F6">
      <w:pPr>
        <w:pStyle w:val="FootnoteText"/>
        <w:rPr>
          <w:lang w:val="es-DO"/>
        </w:rPr>
      </w:pPr>
      <w:r w:rsidRPr="00167C47">
        <w:rPr>
          <w:rStyle w:val="FootnoteReference"/>
          <w:rFonts w:ascii="Arial" w:hAnsi="Arial" w:cs="Arial"/>
          <w:sz w:val="18"/>
          <w:szCs w:val="18"/>
        </w:rPr>
        <w:footnoteRef/>
      </w:r>
      <w:r w:rsidRPr="00167C47">
        <w:rPr>
          <w:rFonts w:ascii="Arial" w:hAnsi="Arial" w:cs="Arial"/>
          <w:sz w:val="18"/>
          <w:szCs w:val="18"/>
          <w:lang w:val="es-DO"/>
        </w:rPr>
        <w:t xml:space="preserve"> </w:t>
      </w:r>
      <w:r w:rsidRPr="005727C6">
        <w:rPr>
          <w:rFonts w:ascii="Arial" w:hAnsi="Arial" w:cs="Arial"/>
          <w:sz w:val="18"/>
          <w:szCs w:val="18"/>
          <w:lang w:val="es-DO"/>
        </w:rPr>
        <w:t>Comisión Nacional de SIDA. (2014). Plan Estratégico Nacional de Respuesta al VIH Y SIDA en Honduras (PENSIDA IV) 2015-2019.</w:t>
      </w:r>
    </w:p>
  </w:footnote>
  <w:footnote w:id="50">
    <w:p w14:paraId="00A8638A" w14:textId="5CD71B88" w:rsidR="00F74A36" w:rsidRPr="00FD1DF6" w:rsidRDefault="00F74A36" w:rsidP="000C53F6">
      <w:pPr>
        <w:pStyle w:val="FootnoteText"/>
        <w:rPr>
          <w:lang w:val="es-DO"/>
        </w:rPr>
      </w:pPr>
      <w:r w:rsidRPr="00167C47">
        <w:rPr>
          <w:rStyle w:val="FootnoteReference"/>
          <w:rFonts w:ascii="Arial" w:hAnsi="Arial" w:cs="Arial"/>
          <w:sz w:val="18"/>
          <w:szCs w:val="18"/>
        </w:rPr>
        <w:footnoteRef/>
      </w:r>
      <w:r w:rsidRPr="00167C47">
        <w:rPr>
          <w:rFonts w:ascii="Arial" w:hAnsi="Arial" w:cs="Arial"/>
          <w:sz w:val="18"/>
          <w:szCs w:val="18"/>
          <w:lang w:val="es-DO"/>
        </w:rPr>
        <w:t xml:space="preserve"> Ibid.</w:t>
      </w:r>
      <w:r>
        <w:rPr>
          <w:rFonts w:ascii="Arial" w:hAnsi="Arial" w:cs="Arial"/>
          <w:sz w:val="18"/>
          <w:szCs w:val="18"/>
          <w:lang w:val="es-DO"/>
        </w:rPr>
        <w:t xml:space="preserve"> </w:t>
      </w:r>
    </w:p>
  </w:footnote>
  <w:footnote w:id="51">
    <w:p w14:paraId="14A9F702" w14:textId="3E8CDB3F" w:rsidR="00F74A36" w:rsidRPr="00224F0E" w:rsidRDefault="00F74A36" w:rsidP="000C53F6">
      <w:pPr>
        <w:pStyle w:val="FootnoteText"/>
        <w:rPr>
          <w:rFonts w:ascii="Arial" w:hAnsi="Arial" w:cs="Arial"/>
          <w:sz w:val="18"/>
          <w:szCs w:val="18"/>
          <w:lang w:val="es-DO"/>
        </w:rPr>
      </w:pPr>
      <w:r w:rsidRPr="00224F0E">
        <w:rPr>
          <w:rStyle w:val="FootnoteReference"/>
          <w:rFonts w:ascii="Arial" w:hAnsi="Arial" w:cs="Arial"/>
          <w:sz w:val="18"/>
          <w:szCs w:val="18"/>
        </w:rPr>
        <w:footnoteRef/>
      </w:r>
      <w:r w:rsidRPr="00224F0E">
        <w:rPr>
          <w:rFonts w:ascii="Arial" w:hAnsi="Arial" w:cs="Arial"/>
          <w:sz w:val="18"/>
          <w:szCs w:val="18"/>
          <w:lang w:val="es-DO"/>
        </w:rPr>
        <w:t xml:space="preserve"> </w:t>
      </w:r>
      <w:r w:rsidRPr="00050EAE">
        <w:rPr>
          <w:rFonts w:ascii="Arial" w:hAnsi="Arial" w:cs="Arial"/>
          <w:sz w:val="18"/>
          <w:szCs w:val="18"/>
          <w:lang w:val="es-DO"/>
        </w:rPr>
        <w:t>OPS, Honduras. Panel de expertos revisa y actualiza la Lista Nacional de Medicamentos. https://www.paho.org/hon/index.php?option=com_content&amp;view=article&amp;id=1095:medicamentos-esenciales&amp;Itemid=226</w:t>
      </w:r>
    </w:p>
  </w:footnote>
  <w:footnote w:id="52">
    <w:p w14:paraId="0CB47350" w14:textId="77777777" w:rsidR="00F74A36" w:rsidRPr="005A7A45" w:rsidRDefault="00F74A36" w:rsidP="003C5655">
      <w:pPr>
        <w:pStyle w:val="FootnoteText"/>
        <w:rPr>
          <w:lang w:val="es-MX"/>
        </w:rPr>
      </w:pPr>
      <w:r>
        <w:rPr>
          <w:rStyle w:val="FootnoteReference"/>
        </w:rPr>
        <w:footnoteRef/>
      </w:r>
      <w:r w:rsidRPr="005A7A45">
        <w:rPr>
          <w:lang w:val="es-MX"/>
        </w:rPr>
        <w:t xml:space="preserve"> </w:t>
      </w:r>
      <w:r>
        <w:rPr>
          <w:lang w:val="es-MX"/>
        </w:rPr>
        <w:t>Presupuesto detallado de la subvención 2016-2019, Fondo Mundial.</w:t>
      </w:r>
    </w:p>
  </w:footnote>
  <w:footnote w:id="53">
    <w:p w14:paraId="5BFA4A27" w14:textId="3CC3E378" w:rsidR="00F74A36" w:rsidRPr="00224F0E" w:rsidRDefault="00F74A36" w:rsidP="000C53F6">
      <w:pPr>
        <w:pStyle w:val="FootnoteText"/>
        <w:rPr>
          <w:rFonts w:ascii="Arial" w:hAnsi="Arial" w:cs="Arial"/>
          <w:sz w:val="18"/>
          <w:szCs w:val="18"/>
          <w:lang w:val="es-DO"/>
        </w:rPr>
      </w:pPr>
      <w:r w:rsidRPr="00224F0E">
        <w:rPr>
          <w:rStyle w:val="FootnoteReference"/>
          <w:rFonts w:ascii="Arial" w:hAnsi="Arial" w:cs="Arial"/>
          <w:sz w:val="18"/>
          <w:szCs w:val="18"/>
        </w:rPr>
        <w:footnoteRef/>
      </w:r>
      <w:r w:rsidRPr="00224F0E">
        <w:rPr>
          <w:rFonts w:ascii="Arial" w:hAnsi="Arial" w:cs="Arial"/>
          <w:sz w:val="18"/>
          <w:szCs w:val="18"/>
          <w:lang w:val="es-DO"/>
        </w:rPr>
        <w:t xml:space="preserve"> </w:t>
      </w:r>
      <w:r w:rsidRPr="00050EAE">
        <w:rPr>
          <w:rFonts w:ascii="Arial" w:hAnsi="Arial" w:cs="Arial"/>
          <w:sz w:val="18"/>
          <w:szCs w:val="18"/>
          <w:lang w:val="es-DO"/>
        </w:rPr>
        <w:t>Fondo Mundial. (2015). Nota Conceptual VIH 2016-2019, Honduras.</w:t>
      </w:r>
    </w:p>
  </w:footnote>
  <w:footnote w:id="54">
    <w:p w14:paraId="2BFB9296" w14:textId="36E097B3" w:rsidR="00F74A36" w:rsidRPr="00224F0E" w:rsidRDefault="00F74A36" w:rsidP="000C53F6">
      <w:pPr>
        <w:pStyle w:val="FootnoteText"/>
        <w:rPr>
          <w:rFonts w:ascii="Arial" w:hAnsi="Arial" w:cs="Arial"/>
          <w:sz w:val="18"/>
          <w:szCs w:val="18"/>
          <w:lang w:val="es-DO"/>
        </w:rPr>
      </w:pPr>
      <w:r w:rsidRPr="00224F0E">
        <w:rPr>
          <w:rStyle w:val="FootnoteReference"/>
          <w:rFonts w:ascii="Arial" w:hAnsi="Arial" w:cs="Arial"/>
          <w:sz w:val="18"/>
          <w:szCs w:val="18"/>
        </w:rPr>
        <w:footnoteRef/>
      </w:r>
      <w:r w:rsidRPr="00224F0E">
        <w:rPr>
          <w:rFonts w:ascii="Arial" w:hAnsi="Arial" w:cs="Arial"/>
          <w:sz w:val="18"/>
          <w:szCs w:val="18"/>
          <w:lang w:val="es-DO"/>
        </w:rPr>
        <w:t xml:space="preserve"> </w:t>
      </w:r>
      <w:r w:rsidRPr="00050EAE">
        <w:rPr>
          <w:rFonts w:ascii="Arial" w:hAnsi="Arial" w:cs="Arial"/>
          <w:sz w:val="18"/>
          <w:szCs w:val="18"/>
          <w:lang w:val="es-DO"/>
        </w:rPr>
        <w:t>Secretaria de Salud de Honduras. (2015). Resultados del Informe Nacional de Progreso de la Respuesta contra el VIH y el Sida.</w:t>
      </w:r>
    </w:p>
  </w:footnote>
  <w:footnote w:id="55">
    <w:p w14:paraId="6D3344DA" w14:textId="61288697" w:rsidR="00F74A36" w:rsidRPr="00942BF5" w:rsidRDefault="00F74A36" w:rsidP="000C53F6">
      <w:pPr>
        <w:pStyle w:val="FootnoteText"/>
        <w:rPr>
          <w:lang w:val="es-DO"/>
        </w:rPr>
      </w:pPr>
      <w:r w:rsidRPr="00224F0E">
        <w:rPr>
          <w:rStyle w:val="FootnoteReference"/>
          <w:rFonts w:ascii="Arial" w:hAnsi="Arial" w:cs="Arial"/>
          <w:sz w:val="18"/>
          <w:szCs w:val="18"/>
        </w:rPr>
        <w:footnoteRef/>
      </w:r>
      <w:r w:rsidRPr="00224F0E">
        <w:rPr>
          <w:rFonts w:ascii="Arial" w:hAnsi="Arial" w:cs="Arial"/>
          <w:sz w:val="18"/>
          <w:szCs w:val="18"/>
          <w:lang w:val="es-DO"/>
        </w:rPr>
        <w:t xml:space="preserve"> </w:t>
      </w:r>
      <w:r w:rsidRPr="00050EAE">
        <w:rPr>
          <w:rFonts w:ascii="Arial" w:hAnsi="Arial" w:cs="Arial"/>
          <w:sz w:val="18"/>
          <w:szCs w:val="18"/>
          <w:lang w:val="es-DO"/>
        </w:rPr>
        <w:t>Secretaria de Salud de Honduras. La Unidad de Logística de Medicamentos, Insumos y Equipamiento (ULMIE) 2017-2018. (2018). Análisis de existencia y disponibilidad de ARV.</w:t>
      </w:r>
    </w:p>
  </w:footnote>
  <w:footnote w:id="56">
    <w:p w14:paraId="62E56085" w14:textId="6CEB1809" w:rsidR="00F74A36" w:rsidRPr="006575EF" w:rsidRDefault="00F74A36" w:rsidP="000C53F6">
      <w:pPr>
        <w:pStyle w:val="FootnoteText"/>
        <w:rPr>
          <w:rFonts w:ascii="Arial" w:hAnsi="Arial" w:cs="Arial"/>
          <w:sz w:val="18"/>
          <w:szCs w:val="18"/>
          <w:lang w:val="es-DO"/>
        </w:rPr>
      </w:pPr>
      <w:r w:rsidRPr="006575EF">
        <w:rPr>
          <w:rStyle w:val="FootnoteReference"/>
          <w:rFonts w:ascii="Arial" w:hAnsi="Arial" w:cs="Arial"/>
          <w:sz w:val="18"/>
          <w:szCs w:val="18"/>
        </w:rPr>
        <w:footnoteRef/>
      </w:r>
      <w:r w:rsidRPr="006575EF">
        <w:rPr>
          <w:rFonts w:ascii="Arial" w:hAnsi="Arial" w:cs="Arial"/>
          <w:sz w:val="18"/>
          <w:szCs w:val="18"/>
          <w:lang w:val="es-DO"/>
        </w:rPr>
        <w:t xml:space="preserve"> </w:t>
      </w:r>
      <w:r w:rsidRPr="007700DE">
        <w:rPr>
          <w:rFonts w:ascii="Arial" w:hAnsi="Arial" w:cs="Arial"/>
          <w:sz w:val="18"/>
          <w:szCs w:val="18"/>
          <w:lang w:val="es-DO"/>
        </w:rPr>
        <w:t>Secretaria de Salud de Honduras. La Unidad de Logística de Medicamentos, Insumos y Equipamiento (ULMIE) 2017-2018. (2018). Análisis de existencia y disponibilidad de ARV.</w:t>
      </w:r>
    </w:p>
  </w:footnote>
  <w:footnote w:id="57">
    <w:p w14:paraId="14B4BBF1" w14:textId="0B273FBF" w:rsidR="00F74A36" w:rsidRPr="003C5071" w:rsidRDefault="00F74A36" w:rsidP="000C53F6">
      <w:pPr>
        <w:pStyle w:val="FootnoteText"/>
        <w:rPr>
          <w:lang w:val="es-DO"/>
        </w:rPr>
      </w:pPr>
      <w:r>
        <w:rPr>
          <w:rStyle w:val="FootnoteReference"/>
        </w:rPr>
        <w:footnoteRef/>
      </w:r>
      <w:r w:rsidRPr="003C5071">
        <w:rPr>
          <w:lang w:val="es-DO"/>
        </w:rPr>
        <w:t xml:space="preserve"> </w:t>
      </w:r>
      <w:bookmarkStart w:id="48" w:name="_Hlk2952062"/>
      <w:r w:rsidRPr="006F65EE">
        <w:rPr>
          <w:lang w:val="es-DO"/>
        </w:rPr>
        <w:t>ONUSIDA. (2013). Caso de Inversión, Honduras.</w:t>
      </w:r>
      <w:bookmarkEnd w:id="48"/>
    </w:p>
  </w:footnote>
  <w:footnote w:id="58">
    <w:p w14:paraId="5C641A23" w14:textId="54F84BBB" w:rsidR="00F74A36" w:rsidRPr="004A7018" w:rsidRDefault="00F74A36">
      <w:pPr>
        <w:pStyle w:val="FootnoteText"/>
        <w:rPr>
          <w:lang w:val="es-419"/>
        </w:rPr>
      </w:pPr>
      <w:r>
        <w:rPr>
          <w:rStyle w:val="FootnoteReference"/>
        </w:rPr>
        <w:footnoteRef/>
      </w:r>
      <w:r w:rsidRPr="004A7018">
        <w:rPr>
          <w:lang w:val="es-419"/>
        </w:rPr>
        <w:t xml:space="preserve"> </w:t>
      </w:r>
      <w:r>
        <w:rPr>
          <w:lang w:val="es-419"/>
        </w:rPr>
        <w:t>Ibid.</w:t>
      </w:r>
    </w:p>
  </w:footnote>
  <w:footnote w:id="59">
    <w:p w14:paraId="6E474F6A" w14:textId="57685430" w:rsidR="00F74A36" w:rsidRPr="006761CD" w:rsidRDefault="00F74A36" w:rsidP="000C53F6">
      <w:pPr>
        <w:pStyle w:val="FootnoteText"/>
        <w:rPr>
          <w:lang w:val="es-DO"/>
        </w:rPr>
      </w:pPr>
      <w:r>
        <w:rPr>
          <w:rStyle w:val="FootnoteReference"/>
        </w:rPr>
        <w:footnoteRef/>
      </w:r>
      <w:r w:rsidRPr="006761CD">
        <w:rPr>
          <w:lang w:val="es-DO"/>
        </w:rPr>
        <w:t xml:space="preserve"> </w:t>
      </w:r>
      <w:r w:rsidRPr="00681A78">
        <w:rPr>
          <w:lang w:val="es-DO"/>
        </w:rPr>
        <w:t>Secretaria de Salud de Honduras. (2015). Resultados del Informe Nacional de Progreso de la Respuesta contra el VIH y el Sida.</w:t>
      </w:r>
    </w:p>
  </w:footnote>
  <w:footnote w:id="60">
    <w:p w14:paraId="63D193EE" w14:textId="41D1FBB8" w:rsidR="00F74A36" w:rsidRPr="00167C47" w:rsidRDefault="00F74A36" w:rsidP="000C53F6">
      <w:pPr>
        <w:pStyle w:val="FootnoteText"/>
        <w:rPr>
          <w:rFonts w:ascii="Arial" w:hAnsi="Arial" w:cs="Arial"/>
          <w:sz w:val="18"/>
          <w:szCs w:val="18"/>
          <w:lang w:val="es-419"/>
        </w:rPr>
      </w:pPr>
      <w:r w:rsidRPr="00167C47">
        <w:rPr>
          <w:rStyle w:val="FootnoteReference"/>
          <w:rFonts w:ascii="Arial" w:hAnsi="Arial" w:cs="Arial"/>
          <w:sz w:val="18"/>
          <w:szCs w:val="18"/>
        </w:rPr>
        <w:footnoteRef/>
      </w:r>
      <w:r w:rsidRPr="00167C47">
        <w:rPr>
          <w:rFonts w:ascii="Arial" w:hAnsi="Arial" w:cs="Arial"/>
          <w:sz w:val="18"/>
          <w:szCs w:val="18"/>
          <w:lang w:val="es-DO"/>
        </w:rPr>
        <w:t xml:space="preserve"> </w:t>
      </w:r>
      <w:r w:rsidRPr="00DA1C58">
        <w:rPr>
          <w:rFonts w:ascii="Arial" w:hAnsi="Arial" w:cs="Arial"/>
          <w:sz w:val="18"/>
          <w:szCs w:val="18"/>
          <w:lang w:val="es-DO"/>
        </w:rPr>
        <w:t>Secretaria de Salud de Honduras. (2015). Resultados del Informe Nacional de Progreso de la Respuesta contra el VIH y el Sida.</w:t>
      </w:r>
    </w:p>
  </w:footnote>
  <w:footnote w:id="61">
    <w:p w14:paraId="376CAA61" w14:textId="7102E624" w:rsidR="00F74A36" w:rsidRPr="00167C47" w:rsidRDefault="00F74A36" w:rsidP="000C53F6">
      <w:pPr>
        <w:pStyle w:val="FootnoteText"/>
        <w:rPr>
          <w:rFonts w:ascii="Arial" w:hAnsi="Arial" w:cs="Arial"/>
          <w:sz w:val="18"/>
          <w:szCs w:val="18"/>
          <w:lang w:val="es-419"/>
        </w:rPr>
      </w:pPr>
      <w:r w:rsidRPr="00167C47">
        <w:rPr>
          <w:rStyle w:val="FootnoteReference"/>
          <w:rFonts w:ascii="Arial" w:hAnsi="Arial" w:cs="Arial"/>
          <w:sz w:val="18"/>
          <w:szCs w:val="18"/>
        </w:rPr>
        <w:footnoteRef/>
      </w:r>
      <w:r w:rsidRPr="00167C47">
        <w:rPr>
          <w:rFonts w:ascii="Arial" w:hAnsi="Arial" w:cs="Arial"/>
          <w:sz w:val="18"/>
          <w:szCs w:val="18"/>
          <w:lang w:val="es-419"/>
        </w:rPr>
        <w:t xml:space="preserve"> </w:t>
      </w:r>
      <w:r w:rsidRPr="00DA1C58">
        <w:rPr>
          <w:rFonts w:ascii="Arial" w:hAnsi="Arial" w:cs="Arial"/>
          <w:sz w:val="18"/>
          <w:szCs w:val="18"/>
          <w:lang w:val="es-419"/>
        </w:rPr>
        <w:t>Comisión Nacional de SIDA. (2014). Plan Estratégico Nacional de Respuesta al VIH Y SIDA en Honduras (PENSIDA IV) 2015-2019.</w:t>
      </w:r>
    </w:p>
  </w:footnote>
  <w:footnote w:id="62">
    <w:p w14:paraId="5ED12F0B" w14:textId="1743EE57" w:rsidR="00F74A36" w:rsidRPr="004B6BFF" w:rsidRDefault="00F74A36" w:rsidP="000C53F6">
      <w:pPr>
        <w:pStyle w:val="FootnoteText"/>
        <w:rPr>
          <w:lang w:val="es-419"/>
        </w:rPr>
      </w:pPr>
      <w:r w:rsidRPr="00167C47">
        <w:rPr>
          <w:rStyle w:val="FootnoteReference"/>
          <w:rFonts w:ascii="Arial" w:hAnsi="Arial" w:cs="Arial"/>
          <w:sz w:val="18"/>
          <w:szCs w:val="18"/>
        </w:rPr>
        <w:footnoteRef/>
      </w:r>
      <w:r w:rsidRPr="00167C47">
        <w:rPr>
          <w:rFonts w:ascii="Arial" w:hAnsi="Arial" w:cs="Arial"/>
          <w:sz w:val="18"/>
          <w:szCs w:val="18"/>
          <w:lang w:val="es-419"/>
        </w:rPr>
        <w:t xml:space="preserve"> </w:t>
      </w:r>
      <w:r>
        <w:rPr>
          <w:rFonts w:ascii="Arial" w:hAnsi="Arial" w:cs="Arial"/>
          <w:sz w:val="18"/>
          <w:szCs w:val="18"/>
          <w:lang w:val="es-419"/>
        </w:rPr>
        <w:t>Ibid.</w:t>
      </w:r>
    </w:p>
  </w:footnote>
  <w:footnote w:id="63">
    <w:p w14:paraId="12C1B695" w14:textId="31803C76" w:rsidR="00F74A36" w:rsidRPr="000D4CB7" w:rsidRDefault="00F74A36">
      <w:pPr>
        <w:pStyle w:val="FootnoteText"/>
        <w:rPr>
          <w:lang w:val="es-MX"/>
        </w:rPr>
      </w:pPr>
      <w:r>
        <w:rPr>
          <w:rStyle w:val="FootnoteReference"/>
        </w:rPr>
        <w:footnoteRef/>
      </w:r>
      <w:r w:rsidRPr="000D4CB7">
        <w:rPr>
          <w:lang w:val="es-MX"/>
        </w:rPr>
        <w:t xml:space="preserve"> </w:t>
      </w:r>
      <w:r>
        <w:rPr>
          <w:lang w:val="es-MX"/>
        </w:rPr>
        <w:t>MEASURE Evaluación (2018). Diagnóstico de la capacidad de monitoreo y evaluación de VIH.</w:t>
      </w:r>
    </w:p>
  </w:footnote>
  <w:footnote w:id="64">
    <w:p w14:paraId="700442F6" w14:textId="77777777" w:rsidR="00F74A36" w:rsidRPr="00402B17" w:rsidRDefault="00F74A36" w:rsidP="000C7FEA">
      <w:pPr>
        <w:pStyle w:val="FootnoteText"/>
        <w:rPr>
          <w:lang w:val="es-MX"/>
        </w:rPr>
      </w:pPr>
      <w:r>
        <w:rPr>
          <w:rStyle w:val="FootnoteReference"/>
        </w:rPr>
        <w:footnoteRef/>
      </w:r>
      <w:r w:rsidRPr="00402B17">
        <w:rPr>
          <w:lang w:val="es-MX"/>
        </w:rPr>
        <w:t xml:space="preserve"> ONUSIDA. (2013). Caso de Inversión, Honduras.</w:t>
      </w:r>
    </w:p>
  </w:footnote>
  <w:footnote w:id="65">
    <w:p w14:paraId="5CC4F199" w14:textId="5982F883" w:rsidR="00F74A36" w:rsidRPr="006349F2" w:rsidRDefault="00F74A36" w:rsidP="00413286">
      <w:pPr>
        <w:pStyle w:val="FootnoteText"/>
        <w:rPr>
          <w:lang w:val="es-HN"/>
        </w:rPr>
      </w:pPr>
      <w:r>
        <w:rPr>
          <w:rStyle w:val="FootnoteReference"/>
        </w:rPr>
        <w:footnoteRef/>
      </w:r>
      <w:r w:rsidRPr="006349F2">
        <w:rPr>
          <w:lang w:val="es-HN"/>
        </w:rPr>
        <w:t xml:space="preserve"> </w:t>
      </w:r>
      <w:r w:rsidRPr="00BD1CB3">
        <w:rPr>
          <w:rFonts w:ascii="Arial" w:hAnsi="Arial" w:cs="Arial"/>
          <w:sz w:val="18"/>
          <w:szCs w:val="18"/>
          <w:lang w:val="es-HN"/>
        </w:rPr>
        <w:t>Secretaria de Salud de Honduras. (2016). Plan Estratégico de Respuesta Nacional para la Prevención y Control de la Tuberculosis (PENTB) en Honduras 2016-2020.</w:t>
      </w:r>
    </w:p>
  </w:footnote>
  <w:footnote w:id="66">
    <w:p w14:paraId="04F57911" w14:textId="77777777" w:rsidR="00F74A36" w:rsidRPr="000219D3" w:rsidRDefault="00F74A36" w:rsidP="005C47D2">
      <w:pPr>
        <w:pStyle w:val="FootnoteText"/>
        <w:rPr>
          <w:lang w:val="es-419"/>
        </w:rPr>
      </w:pPr>
      <w:r w:rsidRPr="00167C47">
        <w:rPr>
          <w:rStyle w:val="FootnoteReference"/>
          <w:rFonts w:ascii="Arial" w:hAnsi="Arial" w:cs="Arial"/>
          <w:sz w:val="18"/>
          <w:szCs w:val="18"/>
        </w:rPr>
        <w:footnoteRef/>
      </w:r>
      <w:r w:rsidRPr="00167C47">
        <w:rPr>
          <w:rFonts w:ascii="Arial" w:hAnsi="Arial" w:cs="Arial"/>
          <w:sz w:val="18"/>
          <w:szCs w:val="18"/>
          <w:lang w:val="es-419"/>
        </w:rPr>
        <w:t xml:space="preserve"> </w:t>
      </w:r>
      <w:r w:rsidRPr="00830BAA">
        <w:rPr>
          <w:rFonts w:ascii="Arial" w:hAnsi="Arial" w:cs="Arial"/>
          <w:sz w:val="18"/>
          <w:szCs w:val="18"/>
          <w:lang w:val="es-HN"/>
        </w:rPr>
        <w:t>Secretaria de Salud de Honduras. (2016). Plan Estratégico de Respuesta Nacional para la Prevención y Control de la Tuberculosis (PENTB) en Honduras 2016-2020.</w:t>
      </w:r>
    </w:p>
  </w:footnote>
  <w:footnote w:id="67">
    <w:p w14:paraId="583226F0" w14:textId="77777777" w:rsidR="00F74A36" w:rsidRPr="00167C47" w:rsidRDefault="00F74A36" w:rsidP="005C47D2">
      <w:pPr>
        <w:pStyle w:val="FootnoteText"/>
        <w:rPr>
          <w:rFonts w:ascii="Arial" w:hAnsi="Arial" w:cs="Arial"/>
          <w:sz w:val="18"/>
          <w:szCs w:val="18"/>
          <w:lang w:val="es-MX"/>
        </w:rPr>
      </w:pPr>
      <w:r w:rsidRPr="00167C47">
        <w:rPr>
          <w:rStyle w:val="FootnoteReference"/>
          <w:rFonts w:ascii="Arial" w:hAnsi="Arial" w:cs="Arial"/>
          <w:sz w:val="18"/>
          <w:szCs w:val="18"/>
        </w:rPr>
        <w:footnoteRef/>
      </w:r>
      <w:r w:rsidRPr="00167C47">
        <w:rPr>
          <w:rFonts w:ascii="Arial" w:hAnsi="Arial" w:cs="Arial"/>
          <w:sz w:val="18"/>
          <w:szCs w:val="18"/>
          <w:lang w:val="es-419"/>
        </w:rPr>
        <w:t xml:space="preserve"> Organización Panamericana de la Salud/Organización Mundial de la Salud (OPS/OMS). </w:t>
      </w:r>
      <w:r w:rsidRPr="00167C47">
        <w:rPr>
          <w:rFonts w:ascii="Arial" w:hAnsi="Arial" w:cs="Arial"/>
          <w:sz w:val="18"/>
          <w:szCs w:val="18"/>
          <w:lang w:val="es-MX"/>
        </w:rPr>
        <w:t>(2018). Tuberculosis en las Américas 2018.</w:t>
      </w:r>
    </w:p>
  </w:footnote>
  <w:footnote w:id="68">
    <w:p w14:paraId="170CB402" w14:textId="77777777" w:rsidR="00F74A36" w:rsidRPr="00167C47" w:rsidRDefault="00F74A36" w:rsidP="005C47D2">
      <w:pPr>
        <w:pStyle w:val="FootnoteText"/>
        <w:rPr>
          <w:rFonts w:ascii="Arial" w:hAnsi="Arial" w:cs="Arial"/>
          <w:sz w:val="18"/>
          <w:szCs w:val="18"/>
          <w:lang w:val="es-MX"/>
        </w:rPr>
      </w:pPr>
      <w:r w:rsidRPr="00167C47">
        <w:rPr>
          <w:rStyle w:val="FootnoteReference"/>
          <w:rFonts w:ascii="Arial" w:hAnsi="Arial" w:cs="Arial"/>
          <w:sz w:val="18"/>
          <w:szCs w:val="18"/>
        </w:rPr>
        <w:footnoteRef/>
      </w:r>
      <w:r w:rsidRPr="00167C47">
        <w:rPr>
          <w:rFonts w:ascii="Arial" w:hAnsi="Arial" w:cs="Arial"/>
          <w:sz w:val="18"/>
          <w:szCs w:val="18"/>
          <w:lang w:val="es-MX"/>
        </w:rPr>
        <w:t xml:space="preserve"> Ibid.</w:t>
      </w:r>
    </w:p>
  </w:footnote>
  <w:footnote w:id="69">
    <w:p w14:paraId="4423A8D0" w14:textId="5382E970" w:rsidR="00F74A36" w:rsidRPr="00167C47" w:rsidRDefault="00F74A36">
      <w:pPr>
        <w:pStyle w:val="FootnoteText"/>
        <w:rPr>
          <w:rFonts w:ascii="Arial" w:hAnsi="Arial" w:cs="Arial"/>
          <w:sz w:val="18"/>
          <w:szCs w:val="18"/>
          <w:lang w:val="es-MX"/>
        </w:rPr>
      </w:pPr>
      <w:r w:rsidRPr="00167C47">
        <w:rPr>
          <w:rStyle w:val="FootnoteReference"/>
          <w:rFonts w:ascii="Arial" w:hAnsi="Arial" w:cs="Arial"/>
          <w:sz w:val="18"/>
          <w:szCs w:val="18"/>
        </w:rPr>
        <w:footnoteRef/>
      </w:r>
      <w:r w:rsidRPr="00167C47">
        <w:rPr>
          <w:rFonts w:ascii="Arial" w:hAnsi="Arial" w:cs="Arial"/>
          <w:sz w:val="18"/>
          <w:szCs w:val="18"/>
          <w:lang w:val="es-MX"/>
        </w:rPr>
        <w:t xml:space="preserve"> </w:t>
      </w:r>
      <w:r w:rsidRPr="00830BAA">
        <w:rPr>
          <w:rFonts w:ascii="Arial" w:hAnsi="Arial" w:cs="Arial"/>
          <w:sz w:val="18"/>
          <w:szCs w:val="18"/>
          <w:lang w:val="es-HN"/>
        </w:rPr>
        <w:t>Secretaria de Salud de Honduras. (2016). Plan Estratégico de Respuesta Nacional para la Prevención y Control de la Tuberculosis (PENTB) en Honduras 2016-2020.</w:t>
      </w:r>
    </w:p>
  </w:footnote>
  <w:footnote w:id="70">
    <w:p w14:paraId="6EFEE973" w14:textId="789502FC" w:rsidR="00F74A36" w:rsidRPr="00167C47" w:rsidRDefault="00F74A36" w:rsidP="00DF42BE">
      <w:pPr>
        <w:pStyle w:val="FootnoteText"/>
        <w:rPr>
          <w:rFonts w:ascii="Arial" w:hAnsi="Arial" w:cs="Arial"/>
          <w:sz w:val="18"/>
          <w:szCs w:val="18"/>
          <w:lang w:val="es-HN"/>
        </w:rPr>
      </w:pPr>
      <w:r w:rsidRPr="00167C47">
        <w:rPr>
          <w:rStyle w:val="FootnoteReference"/>
          <w:rFonts w:ascii="Arial" w:hAnsi="Arial" w:cs="Arial"/>
          <w:sz w:val="18"/>
          <w:szCs w:val="18"/>
        </w:rPr>
        <w:footnoteRef/>
      </w:r>
      <w:r w:rsidRPr="00167C47">
        <w:rPr>
          <w:rFonts w:ascii="Arial" w:hAnsi="Arial" w:cs="Arial"/>
          <w:sz w:val="18"/>
          <w:szCs w:val="18"/>
          <w:lang w:val="es-HN"/>
        </w:rPr>
        <w:t xml:space="preserve"> </w:t>
      </w:r>
      <w:r w:rsidRPr="009D2DC8">
        <w:rPr>
          <w:rFonts w:ascii="Arial" w:hAnsi="Arial" w:cs="Arial"/>
          <w:sz w:val="18"/>
          <w:szCs w:val="18"/>
          <w:lang w:val="es-HN"/>
        </w:rPr>
        <w:t>Secretaria de Salud de Honduras. (2018). Informe Situación Epidemiológica y Programática de la Tuberculosis en Honduras 2017.</w:t>
      </w:r>
    </w:p>
  </w:footnote>
  <w:footnote w:id="71">
    <w:p w14:paraId="171A526A" w14:textId="342FF30C" w:rsidR="00F74A36" w:rsidRPr="0054723A" w:rsidRDefault="00F74A36" w:rsidP="00DD0784">
      <w:pPr>
        <w:pStyle w:val="FootnoteText"/>
        <w:rPr>
          <w:lang w:val="es-HN"/>
        </w:rPr>
      </w:pPr>
      <w:r w:rsidRPr="00167C47">
        <w:rPr>
          <w:rStyle w:val="FootnoteReference"/>
          <w:rFonts w:ascii="Arial" w:hAnsi="Arial" w:cs="Arial"/>
          <w:sz w:val="18"/>
          <w:szCs w:val="18"/>
        </w:rPr>
        <w:footnoteRef/>
      </w:r>
      <w:r w:rsidRPr="00167C47">
        <w:rPr>
          <w:rFonts w:ascii="Arial" w:hAnsi="Arial" w:cs="Arial"/>
          <w:sz w:val="18"/>
          <w:szCs w:val="18"/>
          <w:lang w:val="es-HN"/>
        </w:rPr>
        <w:t xml:space="preserve"> </w:t>
      </w:r>
      <w:bookmarkStart w:id="71" w:name="_Hlk2952286"/>
      <w:r w:rsidRPr="00167C47">
        <w:rPr>
          <w:rFonts w:ascii="Arial" w:hAnsi="Arial" w:cs="Arial"/>
          <w:sz w:val="18"/>
          <w:szCs w:val="18"/>
          <w:lang w:val="es-HN"/>
        </w:rPr>
        <w:t>Secretaria de Salud de Honduras. (2018). Informe Situación Epidemiológica y Programática de la Tuberculosis en Honduras 2017.</w:t>
      </w:r>
      <w:bookmarkEnd w:id="71"/>
    </w:p>
  </w:footnote>
  <w:footnote w:id="72">
    <w:p w14:paraId="0BD4F06D" w14:textId="77777777" w:rsidR="00F74A36" w:rsidRPr="00167C47" w:rsidRDefault="00F74A36" w:rsidP="00EC1C1E">
      <w:pPr>
        <w:pStyle w:val="FootnoteText"/>
        <w:rPr>
          <w:rFonts w:ascii="Arial" w:hAnsi="Arial" w:cs="Arial"/>
          <w:sz w:val="18"/>
          <w:szCs w:val="18"/>
        </w:rPr>
      </w:pPr>
      <w:r w:rsidRPr="00167C47">
        <w:rPr>
          <w:rStyle w:val="FootnoteReference"/>
          <w:rFonts w:ascii="Arial" w:hAnsi="Arial" w:cs="Arial"/>
          <w:sz w:val="18"/>
          <w:szCs w:val="18"/>
        </w:rPr>
        <w:footnoteRef/>
      </w:r>
      <w:r w:rsidRPr="00167C47">
        <w:rPr>
          <w:rFonts w:ascii="Arial" w:hAnsi="Arial" w:cs="Arial"/>
          <w:sz w:val="18"/>
          <w:szCs w:val="18"/>
        </w:rPr>
        <w:t xml:space="preserve"> Ibid.</w:t>
      </w:r>
    </w:p>
  </w:footnote>
  <w:footnote w:id="73">
    <w:p w14:paraId="57F4A095" w14:textId="77777777" w:rsidR="00F74A36" w:rsidRPr="00167C47" w:rsidRDefault="00F74A36" w:rsidP="00F720B5">
      <w:pPr>
        <w:pStyle w:val="FootnoteText"/>
        <w:rPr>
          <w:rFonts w:ascii="Arial" w:hAnsi="Arial" w:cs="Arial"/>
          <w:sz w:val="18"/>
          <w:szCs w:val="18"/>
        </w:rPr>
      </w:pPr>
      <w:r w:rsidRPr="00167C47">
        <w:rPr>
          <w:rStyle w:val="FootnoteReference"/>
          <w:rFonts w:ascii="Arial" w:hAnsi="Arial" w:cs="Arial"/>
          <w:sz w:val="18"/>
          <w:szCs w:val="18"/>
        </w:rPr>
        <w:footnoteRef/>
      </w:r>
      <w:r w:rsidRPr="00167C47">
        <w:rPr>
          <w:rFonts w:ascii="Arial" w:hAnsi="Arial" w:cs="Arial"/>
          <w:sz w:val="18"/>
          <w:szCs w:val="18"/>
        </w:rPr>
        <w:t xml:space="preserve"> Ibid.</w:t>
      </w:r>
    </w:p>
  </w:footnote>
  <w:footnote w:id="74">
    <w:p w14:paraId="5EC15EAD" w14:textId="77777777" w:rsidR="00F74A36" w:rsidRPr="00167C47" w:rsidRDefault="00F74A36" w:rsidP="00F720B5">
      <w:pPr>
        <w:pStyle w:val="FootnoteText"/>
        <w:rPr>
          <w:rFonts w:ascii="Arial" w:hAnsi="Arial" w:cs="Arial"/>
          <w:sz w:val="18"/>
          <w:szCs w:val="18"/>
        </w:rPr>
      </w:pPr>
      <w:r w:rsidRPr="00167C47">
        <w:rPr>
          <w:rStyle w:val="FootnoteReference"/>
          <w:rFonts w:ascii="Arial" w:hAnsi="Arial" w:cs="Arial"/>
          <w:sz w:val="18"/>
          <w:szCs w:val="18"/>
        </w:rPr>
        <w:footnoteRef/>
      </w:r>
      <w:r w:rsidRPr="00167C47">
        <w:rPr>
          <w:rFonts w:ascii="Arial" w:hAnsi="Arial" w:cs="Arial"/>
          <w:sz w:val="18"/>
          <w:szCs w:val="18"/>
        </w:rPr>
        <w:t xml:space="preserve"> Ibid.</w:t>
      </w:r>
    </w:p>
  </w:footnote>
  <w:footnote w:id="75">
    <w:p w14:paraId="00C43BE8" w14:textId="77777777" w:rsidR="00F74A36" w:rsidRPr="00DF5C46" w:rsidRDefault="00F74A36" w:rsidP="002E6B85">
      <w:pPr>
        <w:pStyle w:val="FootnoteText"/>
      </w:pPr>
      <w:r w:rsidRPr="00167C47">
        <w:rPr>
          <w:rStyle w:val="FootnoteReference"/>
          <w:rFonts w:ascii="Arial" w:hAnsi="Arial" w:cs="Arial"/>
          <w:sz w:val="18"/>
          <w:szCs w:val="18"/>
        </w:rPr>
        <w:footnoteRef/>
      </w:r>
      <w:r w:rsidRPr="00167C47">
        <w:rPr>
          <w:rFonts w:ascii="Arial" w:hAnsi="Arial" w:cs="Arial"/>
          <w:sz w:val="18"/>
          <w:szCs w:val="18"/>
        </w:rPr>
        <w:t xml:space="preserve"> Ibid.</w:t>
      </w:r>
    </w:p>
  </w:footnote>
  <w:footnote w:id="76">
    <w:p w14:paraId="4521D985" w14:textId="77777777" w:rsidR="00F74A36" w:rsidRPr="00B44C74" w:rsidRDefault="00F74A36" w:rsidP="007A72A3">
      <w:pPr>
        <w:pStyle w:val="FootnoteText"/>
        <w:rPr>
          <w:rFonts w:ascii="Arial" w:hAnsi="Arial" w:cs="Arial"/>
          <w:sz w:val="18"/>
          <w:szCs w:val="18"/>
        </w:rPr>
      </w:pPr>
      <w:r w:rsidRPr="00167C47">
        <w:rPr>
          <w:rStyle w:val="FootnoteReference"/>
          <w:rFonts w:ascii="Arial" w:hAnsi="Arial" w:cs="Arial"/>
          <w:sz w:val="18"/>
          <w:szCs w:val="18"/>
        </w:rPr>
        <w:footnoteRef/>
      </w:r>
      <w:r w:rsidRPr="00B44C74">
        <w:rPr>
          <w:rFonts w:ascii="Arial" w:hAnsi="Arial" w:cs="Arial"/>
          <w:sz w:val="18"/>
          <w:szCs w:val="18"/>
        </w:rPr>
        <w:t xml:space="preserve"> Ibid.</w:t>
      </w:r>
    </w:p>
  </w:footnote>
  <w:footnote w:id="77">
    <w:p w14:paraId="3EA2A4A6" w14:textId="77777777" w:rsidR="00F74A36" w:rsidRPr="00167C47" w:rsidRDefault="00F74A36" w:rsidP="007A72A3">
      <w:pPr>
        <w:pStyle w:val="FootnoteText"/>
        <w:rPr>
          <w:lang w:val="es-MX"/>
        </w:rPr>
      </w:pPr>
      <w:r w:rsidRPr="00167C47">
        <w:rPr>
          <w:rStyle w:val="FootnoteReference"/>
          <w:rFonts w:ascii="Arial" w:hAnsi="Arial" w:cs="Arial"/>
          <w:sz w:val="18"/>
          <w:szCs w:val="18"/>
        </w:rPr>
        <w:footnoteRef/>
      </w:r>
      <w:r w:rsidRPr="00167C47">
        <w:rPr>
          <w:rFonts w:ascii="Arial" w:hAnsi="Arial" w:cs="Arial"/>
          <w:sz w:val="18"/>
          <w:szCs w:val="18"/>
          <w:lang w:val="es-MX"/>
        </w:rPr>
        <w:t xml:space="preserve"> Ibid.</w:t>
      </w:r>
    </w:p>
  </w:footnote>
  <w:footnote w:id="78">
    <w:p w14:paraId="3A164329" w14:textId="31FD8749" w:rsidR="00F74A36" w:rsidRPr="003B6CCB" w:rsidRDefault="00F74A36">
      <w:pPr>
        <w:pStyle w:val="FootnoteText"/>
        <w:rPr>
          <w:lang w:val="es-MX"/>
        </w:rPr>
      </w:pPr>
      <w:r>
        <w:rPr>
          <w:rStyle w:val="FootnoteReference"/>
        </w:rPr>
        <w:footnoteRef/>
      </w:r>
      <w:r w:rsidRPr="003B6CCB">
        <w:rPr>
          <w:lang w:val="es-MX"/>
        </w:rPr>
        <w:t xml:space="preserve"> </w:t>
      </w:r>
      <w:r w:rsidRPr="00FF4215">
        <w:rPr>
          <w:rFonts w:ascii="Arial" w:hAnsi="Arial" w:cs="Arial"/>
          <w:sz w:val="18"/>
          <w:szCs w:val="18"/>
          <w:lang w:val="es-HN"/>
        </w:rPr>
        <w:t>OPS-OMS (2017). Informe de la visita de Monitoreo y Asistencia Técnica para el Manejo Programático de la Tuberculosis Drogoresistente en Honduras.</w:t>
      </w:r>
    </w:p>
  </w:footnote>
  <w:footnote w:id="79">
    <w:p w14:paraId="2B2281A1" w14:textId="08E5E0BC" w:rsidR="00F74A36" w:rsidRPr="0045246F" w:rsidRDefault="00F74A36">
      <w:pPr>
        <w:pStyle w:val="FootnoteText"/>
        <w:rPr>
          <w:lang w:val="es-MX"/>
        </w:rPr>
      </w:pPr>
      <w:r>
        <w:rPr>
          <w:rStyle w:val="FootnoteReference"/>
        </w:rPr>
        <w:footnoteRef/>
      </w:r>
      <w:r w:rsidRPr="0045246F">
        <w:rPr>
          <w:lang w:val="es-MX"/>
        </w:rPr>
        <w:t xml:space="preserve"> </w:t>
      </w:r>
      <w:r>
        <w:rPr>
          <w:lang w:val="es-MX"/>
        </w:rPr>
        <w:t>Ibid.</w:t>
      </w:r>
    </w:p>
  </w:footnote>
  <w:footnote w:id="80">
    <w:p w14:paraId="3371B8ED" w14:textId="77777777" w:rsidR="00F74A36" w:rsidRPr="00167C47" w:rsidRDefault="00F74A36" w:rsidP="00E869F4">
      <w:pPr>
        <w:pStyle w:val="FootnoteText"/>
        <w:rPr>
          <w:rFonts w:ascii="Arial" w:hAnsi="Arial" w:cs="Arial"/>
          <w:sz w:val="18"/>
          <w:szCs w:val="18"/>
          <w:lang w:val="es-MX"/>
        </w:rPr>
      </w:pPr>
      <w:r w:rsidRPr="00167C47">
        <w:rPr>
          <w:rStyle w:val="FootnoteReference"/>
          <w:rFonts w:ascii="Arial" w:hAnsi="Arial" w:cs="Arial"/>
          <w:sz w:val="18"/>
          <w:szCs w:val="18"/>
        </w:rPr>
        <w:footnoteRef/>
      </w:r>
      <w:r w:rsidRPr="00167C47">
        <w:rPr>
          <w:rFonts w:ascii="Arial" w:hAnsi="Arial" w:cs="Arial"/>
          <w:sz w:val="18"/>
          <w:szCs w:val="18"/>
          <w:lang w:val="es-MX"/>
        </w:rPr>
        <w:t xml:space="preserve"> </w:t>
      </w:r>
      <w:r w:rsidRPr="00167C47">
        <w:rPr>
          <w:rFonts w:ascii="Arial" w:hAnsi="Arial" w:cs="Arial"/>
          <w:sz w:val="18"/>
          <w:szCs w:val="18"/>
          <w:highlight w:val="lightGray"/>
          <w:lang w:val="es-MX"/>
        </w:rPr>
        <w:t>Por añadir cita.</w:t>
      </w:r>
    </w:p>
  </w:footnote>
  <w:footnote w:id="81">
    <w:p w14:paraId="2CD03D95" w14:textId="77777777" w:rsidR="00F74A36" w:rsidRPr="00167C47" w:rsidRDefault="00F74A36" w:rsidP="00E869F4">
      <w:pPr>
        <w:pStyle w:val="FootnoteText"/>
        <w:rPr>
          <w:rFonts w:ascii="Arial" w:hAnsi="Arial" w:cs="Arial"/>
          <w:sz w:val="18"/>
          <w:szCs w:val="18"/>
          <w:lang w:val="es-419"/>
        </w:rPr>
      </w:pPr>
      <w:r w:rsidRPr="00167C47">
        <w:rPr>
          <w:rStyle w:val="FootnoteReference"/>
          <w:rFonts w:ascii="Arial" w:hAnsi="Arial" w:cs="Arial"/>
          <w:sz w:val="18"/>
          <w:szCs w:val="18"/>
        </w:rPr>
        <w:footnoteRef/>
      </w:r>
      <w:r w:rsidRPr="00167C47">
        <w:rPr>
          <w:rFonts w:ascii="Arial" w:hAnsi="Arial" w:cs="Arial"/>
          <w:sz w:val="18"/>
          <w:szCs w:val="18"/>
          <w:lang w:val="es-419"/>
        </w:rPr>
        <w:t xml:space="preserve"> </w:t>
      </w:r>
      <w:r w:rsidRPr="00084228">
        <w:rPr>
          <w:rFonts w:ascii="Arial" w:hAnsi="Arial" w:cs="Arial"/>
          <w:sz w:val="18"/>
          <w:szCs w:val="18"/>
          <w:lang w:val="es-HN"/>
        </w:rPr>
        <w:t>Secretaria de Salud de Honduras. (2018). Subsistema de Información de TB 2017/UGI/UVS.</w:t>
      </w:r>
    </w:p>
  </w:footnote>
  <w:footnote w:id="82">
    <w:p w14:paraId="1944F374" w14:textId="6E3FA2F7" w:rsidR="00F74A36" w:rsidRPr="000219D3" w:rsidRDefault="00F74A36" w:rsidP="00641982">
      <w:pPr>
        <w:pStyle w:val="FootnoteText"/>
        <w:rPr>
          <w:lang w:val="es-419"/>
        </w:rPr>
      </w:pPr>
      <w:r w:rsidRPr="00167C47">
        <w:rPr>
          <w:rStyle w:val="FootnoteReference"/>
          <w:rFonts w:ascii="Arial" w:hAnsi="Arial" w:cs="Arial"/>
          <w:sz w:val="18"/>
          <w:szCs w:val="18"/>
        </w:rPr>
        <w:footnoteRef/>
      </w:r>
      <w:r w:rsidRPr="00167C47">
        <w:rPr>
          <w:rFonts w:ascii="Arial" w:hAnsi="Arial" w:cs="Arial"/>
          <w:sz w:val="18"/>
          <w:szCs w:val="18"/>
          <w:lang w:val="es-419"/>
        </w:rPr>
        <w:t xml:space="preserve"> </w:t>
      </w:r>
      <w:r w:rsidRPr="002A7672">
        <w:rPr>
          <w:rFonts w:ascii="Arial" w:hAnsi="Arial" w:cs="Arial"/>
          <w:sz w:val="18"/>
          <w:szCs w:val="18"/>
          <w:lang w:val="es-HN"/>
        </w:rPr>
        <w:t>Secretaria de Salud de Honduras. (2016). Plan Estratégico de Respuesta Nacional para la Prevención y Control de la Tuberculosis (PENTB) en Honduras 2016-2020.</w:t>
      </w:r>
    </w:p>
  </w:footnote>
  <w:footnote w:id="83">
    <w:p w14:paraId="18E6372C" w14:textId="1F32B607" w:rsidR="00F74A36" w:rsidRPr="0080050B" w:rsidRDefault="00F74A36">
      <w:pPr>
        <w:pStyle w:val="FootnoteText"/>
        <w:rPr>
          <w:lang w:val="es-MX"/>
        </w:rPr>
      </w:pPr>
      <w:r>
        <w:rPr>
          <w:rStyle w:val="FootnoteReference"/>
        </w:rPr>
        <w:footnoteRef/>
      </w:r>
      <w:r w:rsidRPr="0080050B">
        <w:rPr>
          <w:lang w:val="es-MX"/>
        </w:rPr>
        <w:t xml:space="preserve"> </w:t>
      </w:r>
      <w:r w:rsidRPr="00FF4215">
        <w:rPr>
          <w:rFonts w:ascii="Arial" w:hAnsi="Arial" w:cs="Arial"/>
          <w:sz w:val="18"/>
          <w:szCs w:val="18"/>
          <w:lang w:val="es-HN"/>
        </w:rPr>
        <w:t>OPS-OMS (2017). Informe de la visita de Monitoreo y Asistencia Técnica para el Manejo Programático de la Tuberculosis Drogoresistente en Honduras.</w:t>
      </w:r>
    </w:p>
  </w:footnote>
  <w:footnote w:id="84">
    <w:p w14:paraId="4A42B63E" w14:textId="77777777" w:rsidR="00F74A36" w:rsidRPr="00167C47" w:rsidRDefault="00F74A36" w:rsidP="00E02545">
      <w:pPr>
        <w:pStyle w:val="FootnoteText"/>
        <w:rPr>
          <w:rFonts w:ascii="Arial" w:hAnsi="Arial" w:cs="Arial"/>
          <w:sz w:val="18"/>
          <w:szCs w:val="18"/>
          <w:lang w:val="es-HN"/>
        </w:rPr>
      </w:pPr>
      <w:r w:rsidRPr="00167C47">
        <w:rPr>
          <w:rStyle w:val="FootnoteReference"/>
          <w:rFonts w:ascii="Arial" w:hAnsi="Arial" w:cs="Arial"/>
          <w:sz w:val="18"/>
          <w:szCs w:val="18"/>
        </w:rPr>
        <w:footnoteRef/>
      </w:r>
      <w:r w:rsidRPr="00167C47">
        <w:rPr>
          <w:rFonts w:ascii="Arial" w:hAnsi="Arial" w:cs="Arial"/>
          <w:sz w:val="18"/>
          <w:szCs w:val="18"/>
          <w:lang w:val="es-HN"/>
        </w:rPr>
        <w:t xml:space="preserve"> Datos facilitados por la Coordinadora de TB dentro de la Secretaría de Salud, 2017.</w:t>
      </w:r>
    </w:p>
  </w:footnote>
  <w:footnote w:id="85">
    <w:p w14:paraId="6EF8EF22" w14:textId="5588FB0D" w:rsidR="00F74A36" w:rsidRPr="00C66A15" w:rsidRDefault="00F74A36">
      <w:pPr>
        <w:pStyle w:val="FootnoteText"/>
        <w:rPr>
          <w:lang w:val="es-MX"/>
        </w:rPr>
      </w:pPr>
      <w:r>
        <w:rPr>
          <w:rStyle w:val="FootnoteReference"/>
        </w:rPr>
        <w:footnoteRef/>
      </w:r>
      <w:r w:rsidRPr="00C66A15">
        <w:rPr>
          <w:lang w:val="es-MX"/>
        </w:rPr>
        <w:t xml:space="preserve"> </w:t>
      </w:r>
      <w:r>
        <w:rPr>
          <w:lang w:val="es-MX"/>
        </w:rPr>
        <w:t>Ibid.</w:t>
      </w:r>
    </w:p>
  </w:footnote>
  <w:footnote w:id="86">
    <w:p w14:paraId="515A24A3" w14:textId="4DF9FB78" w:rsidR="00F74A36" w:rsidRPr="004939F6" w:rsidRDefault="00F74A36">
      <w:pPr>
        <w:pStyle w:val="FootnoteText"/>
        <w:rPr>
          <w:lang w:val="es-MX"/>
        </w:rPr>
      </w:pPr>
      <w:r>
        <w:rPr>
          <w:rStyle w:val="FootnoteReference"/>
        </w:rPr>
        <w:footnoteRef/>
      </w:r>
      <w:r w:rsidRPr="00021737">
        <w:rPr>
          <w:lang w:val="es-MX"/>
        </w:rPr>
        <w:t xml:space="preserve"> </w:t>
      </w:r>
      <w:r>
        <w:rPr>
          <w:lang w:val="es-MX"/>
        </w:rPr>
        <w:t>Ibid.</w:t>
      </w:r>
    </w:p>
  </w:footnote>
  <w:footnote w:id="87">
    <w:p w14:paraId="626E94D3" w14:textId="330E4838" w:rsidR="00F74A36" w:rsidRPr="00656770" w:rsidRDefault="00F74A36">
      <w:pPr>
        <w:pStyle w:val="FootnoteText"/>
        <w:rPr>
          <w:lang w:val="es-MX"/>
        </w:rPr>
      </w:pPr>
      <w:r>
        <w:rPr>
          <w:rStyle w:val="FootnoteReference"/>
        </w:rPr>
        <w:footnoteRef/>
      </w:r>
      <w:r w:rsidRPr="00656770">
        <w:rPr>
          <w:lang w:val="es-MX"/>
        </w:rPr>
        <w:t xml:space="preserve"> </w:t>
      </w:r>
      <w:r>
        <w:rPr>
          <w:lang w:val="es-MX"/>
        </w:rPr>
        <w:t>Ibid.</w:t>
      </w:r>
    </w:p>
  </w:footnote>
  <w:footnote w:id="88">
    <w:p w14:paraId="209FF9DE" w14:textId="1A5BBE77" w:rsidR="00F74A36" w:rsidRPr="00167C47" w:rsidRDefault="00F74A36">
      <w:pPr>
        <w:pStyle w:val="FootnoteText"/>
        <w:rPr>
          <w:rFonts w:ascii="Arial" w:hAnsi="Arial" w:cs="Arial"/>
          <w:sz w:val="18"/>
          <w:szCs w:val="18"/>
          <w:lang w:val="es-MX"/>
        </w:rPr>
      </w:pPr>
      <w:r w:rsidRPr="00167C47">
        <w:rPr>
          <w:rStyle w:val="FootnoteReference"/>
          <w:rFonts w:ascii="Arial" w:hAnsi="Arial" w:cs="Arial"/>
          <w:sz w:val="18"/>
          <w:szCs w:val="18"/>
        </w:rPr>
        <w:footnoteRef/>
      </w:r>
      <w:r w:rsidRPr="00167C47">
        <w:rPr>
          <w:rFonts w:ascii="Arial" w:hAnsi="Arial" w:cs="Arial"/>
          <w:sz w:val="18"/>
          <w:szCs w:val="18"/>
          <w:lang w:val="es-MX"/>
        </w:rPr>
        <w:t xml:space="preserve"> </w:t>
      </w:r>
      <w:r w:rsidRPr="00D7368A">
        <w:rPr>
          <w:rFonts w:ascii="Arial" w:hAnsi="Arial" w:cs="Arial"/>
          <w:sz w:val="18"/>
          <w:szCs w:val="18"/>
          <w:lang w:val="es-MX"/>
        </w:rPr>
        <w:t>Datos provistos</w:t>
      </w:r>
      <w:r w:rsidRPr="00167C47">
        <w:rPr>
          <w:rFonts w:ascii="Arial" w:hAnsi="Arial" w:cs="Arial"/>
          <w:sz w:val="18"/>
          <w:szCs w:val="18"/>
          <w:lang w:val="es-MX"/>
        </w:rPr>
        <w:t xml:space="preserve"> por la coordinación de TB de la UAFCE.</w:t>
      </w:r>
    </w:p>
  </w:footnote>
  <w:footnote w:id="89">
    <w:p w14:paraId="254B5413" w14:textId="4943E63E" w:rsidR="00F74A36" w:rsidRPr="00167C47" w:rsidRDefault="00F74A36" w:rsidP="00120CEF">
      <w:pPr>
        <w:pStyle w:val="FootnoteText"/>
        <w:rPr>
          <w:rFonts w:ascii="Arial" w:hAnsi="Arial" w:cs="Arial"/>
          <w:sz w:val="18"/>
          <w:szCs w:val="18"/>
        </w:rPr>
      </w:pPr>
      <w:bookmarkStart w:id="83" w:name="_Hlk535492388"/>
      <w:r w:rsidRPr="00167C47">
        <w:rPr>
          <w:rStyle w:val="FootnoteReference"/>
          <w:rFonts w:ascii="Arial" w:hAnsi="Arial" w:cs="Arial"/>
          <w:sz w:val="18"/>
          <w:szCs w:val="18"/>
        </w:rPr>
        <w:footnoteRef/>
      </w:r>
      <w:r w:rsidRPr="00167C47">
        <w:rPr>
          <w:rFonts w:ascii="Arial" w:hAnsi="Arial" w:cs="Arial"/>
          <w:sz w:val="18"/>
          <w:szCs w:val="18"/>
        </w:rPr>
        <w:t xml:space="preserve"> APMG H</w:t>
      </w:r>
      <w:r>
        <w:rPr>
          <w:rFonts w:ascii="Arial" w:hAnsi="Arial" w:cs="Arial"/>
          <w:sz w:val="18"/>
          <w:szCs w:val="18"/>
        </w:rPr>
        <w:t>ealth</w:t>
      </w:r>
      <w:r w:rsidRPr="00167C47">
        <w:rPr>
          <w:rFonts w:ascii="Arial" w:hAnsi="Arial" w:cs="Arial"/>
          <w:sz w:val="18"/>
          <w:szCs w:val="18"/>
        </w:rPr>
        <w:t>. (2018)</w:t>
      </w:r>
      <w:r>
        <w:rPr>
          <w:rFonts w:ascii="Arial" w:hAnsi="Arial" w:cs="Arial"/>
          <w:sz w:val="18"/>
          <w:szCs w:val="18"/>
        </w:rPr>
        <w:t>.</w:t>
      </w:r>
      <w:r w:rsidRPr="00167C47">
        <w:rPr>
          <w:rFonts w:ascii="Arial" w:hAnsi="Arial" w:cs="Arial"/>
          <w:sz w:val="18"/>
          <w:szCs w:val="18"/>
        </w:rPr>
        <w:t xml:space="preserve"> </w:t>
      </w:r>
      <w:r w:rsidRPr="00167C47">
        <w:rPr>
          <w:rFonts w:ascii="Arial" w:hAnsi="Arial" w:cs="Arial"/>
          <w:i/>
          <w:sz w:val="18"/>
          <w:szCs w:val="18"/>
        </w:rPr>
        <w:t>Focused Evaluation for Tuberculosis Type 1: Honduras (Draft 1)</w:t>
      </w:r>
      <w:bookmarkEnd w:id="83"/>
    </w:p>
  </w:footnote>
  <w:footnote w:id="90">
    <w:p w14:paraId="6454584E" w14:textId="2119E41C" w:rsidR="00F74A36" w:rsidRPr="00167C47" w:rsidRDefault="00F74A36" w:rsidP="009521B3">
      <w:pPr>
        <w:pStyle w:val="FootnoteText"/>
      </w:pPr>
      <w:r>
        <w:rPr>
          <w:rStyle w:val="FootnoteReference"/>
        </w:rPr>
        <w:footnoteRef/>
      </w:r>
      <w:r w:rsidRPr="009D186B">
        <w:t xml:space="preserve"> </w:t>
      </w:r>
      <w:r w:rsidRPr="00C851D0">
        <w:rPr>
          <w:rFonts w:ascii="Arial" w:hAnsi="Arial" w:cs="Arial"/>
          <w:sz w:val="18"/>
          <w:szCs w:val="18"/>
        </w:rPr>
        <w:t>APMG H</w:t>
      </w:r>
      <w:r>
        <w:rPr>
          <w:rFonts w:ascii="Arial" w:hAnsi="Arial" w:cs="Arial"/>
          <w:sz w:val="18"/>
          <w:szCs w:val="18"/>
        </w:rPr>
        <w:t>ealth</w:t>
      </w:r>
      <w:r w:rsidRPr="00C851D0">
        <w:rPr>
          <w:rFonts w:ascii="Arial" w:hAnsi="Arial" w:cs="Arial"/>
          <w:sz w:val="18"/>
          <w:szCs w:val="18"/>
        </w:rPr>
        <w:t>. (2018)</w:t>
      </w:r>
      <w:r>
        <w:rPr>
          <w:rFonts w:ascii="Arial" w:hAnsi="Arial" w:cs="Arial"/>
          <w:sz w:val="18"/>
          <w:szCs w:val="18"/>
        </w:rPr>
        <w:t>.</w:t>
      </w:r>
      <w:r w:rsidRPr="00C851D0">
        <w:rPr>
          <w:rFonts w:ascii="Arial" w:hAnsi="Arial" w:cs="Arial"/>
          <w:sz w:val="18"/>
          <w:szCs w:val="18"/>
        </w:rPr>
        <w:t xml:space="preserve"> </w:t>
      </w:r>
      <w:r w:rsidRPr="00C851D0">
        <w:rPr>
          <w:rFonts w:ascii="Arial" w:hAnsi="Arial" w:cs="Arial"/>
          <w:i/>
          <w:sz w:val="18"/>
          <w:szCs w:val="18"/>
        </w:rPr>
        <w:t>Focused Evaluation for Tuberculosis Type 1: Honduras (Draft 1)</w:t>
      </w:r>
      <w:r>
        <w:rPr>
          <w:rFonts w:ascii="Arial" w:hAnsi="Arial" w:cs="Arial"/>
          <w:i/>
          <w:sz w:val="18"/>
          <w:szCs w:val="18"/>
        </w:rPr>
        <w:t>.</w:t>
      </w:r>
    </w:p>
  </w:footnote>
  <w:footnote w:id="91">
    <w:p w14:paraId="4FAFFFF0" w14:textId="0F603828" w:rsidR="00F74A36" w:rsidRPr="00AF53FB" w:rsidRDefault="00F74A36">
      <w:pPr>
        <w:pStyle w:val="FootnoteText"/>
        <w:rPr>
          <w:lang w:val="es-MX"/>
        </w:rPr>
      </w:pPr>
      <w:r>
        <w:rPr>
          <w:rStyle w:val="FootnoteReference"/>
        </w:rPr>
        <w:footnoteRef/>
      </w:r>
      <w:r w:rsidRPr="00AF53FB">
        <w:rPr>
          <w:lang w:val="es-MX"/>
        </w:rPr>
        <w:t xml:space="preserve"> </w:t>
      </w:r>
      <w:r w:rsidRPr="00FF4215">
        <w:rPr>
          <w:rFonts w:ascii="Arial" w:hAnsi="Arial" w:cs="Arial"/>
          <w:sz w:val="18"/>
          <w:szCs w:val="18"/>
          <w:lang w:val="es-HN"/>
        </w:rPr>
        <w:t>OPS-OMS (2017). Informe de la visita de Monitoreo y Asistencia Técnica para el Manejo Programático de la Tuberculosis Drogoresistente en Honduras.</w:t>
      </w:r>
    </w:p>
  </w:footnote>
  <w:footnote w:id="92">
    <w:p w14:paraId="6ACEE64A" w14:textId="77777777" w:rsidR="00FE2CB5" w:rsidRPr="00CC3198" w:rsidRDefault="00FE2CB5" w:rsidP="00FE2CB5">
      <w:pPr>
        <w:pStyle w:val="FootnoteText"/>
        <w:rPr>
          <w:lang w:val="es-MX"/>
        </w:rPr>
      </w:pPr>
      <w:r>
        <w:rPr>
          <w:rStyle w:val="FootnoteReference"/>
        </w:rPr>
        <w:footnoteRef/>
      </w:r>
      <w:r w:rsidRPr="00CC3198">
        <w:rPr>
          <w:lang w:val="es-MX"/>
        </w:rPr>
        <w:t xml:space="preserve"> Secretaria de Salud de Honduras. (2018). Informe Situación Epidemiológica y Programática de la Tuberculosis en Honduras 2017.</w:t>
      </w:r>
    </w:p>
  </w:footnote>
  <w:footnote w:id="93">
    <w:p w14:paraId="44F6CDDF" w14:textId="77777777" w:rsidR="00F74A36" w:rsidRPr="00167C47" w:rsidRDefault="00F74A36" w:rsidP="003A324D">
      <w:pPr>
        <w:pStyle w:val="FootnoteText"/>
        <w:rPr>
          <w:rFonts w:ascii="Arial" w:hAnsi="Arial" w:cs="Arial"/>
          <w:sz w:val="18"/>
          <w:szCs w:val="18"/>
          <w:lang w:val="es-MX"/>
        </w:rPr>
      </w:pPr>
      <w:r w:rsidRPr="00167C47">
        <w:rPr>
          <w:rStyle w:val="FootnoteReference"/>
          <w:rFonts w:ascii="Arial" w:hAnsi="Arial" w:cs="Arial"/>
          <w:sz w:val="18"/>
          <w:szCs w:val="18"/>
        </w:rPr>
        <w:footnoteRef/>
      </w:r>
      <w:r w:rsidRPr="00167C47">
        <w:rPr>
          <w:rFonts w:ascii="Arial" w:hAnsi="Arial" w:cs="Arial"/>
          <w:sz w:val="18"/>
          <w:szCs w:val="18"/>
          <w:lang w:val="es-MX"/>
        </w:rPr>
        <w:t xml:space="preserve"> Calculo de los autores, con base en información del Banco Mundial</w:t>
      </w:r>
    </w:p>
  </w:footnote>
  <w:footnote w:id="94">
    <w:p w14:paraId="4B44C472" w14:textId="7950C51C" w:rsidR="00F74A36" w:rsidRPr="00167C47" w:rsidRDefault="00F74A36" w:rsidP="003A324D">
      <w:pPr>
        <w:pStyle w:val="FootnoteText"/>
        <w:rPr>
          <w:rFonts w:ascii="Arial" w:hAnsi="Arial" w:cs="Arial"/>
          <w:sz w:val="18"/>
          <w:szCs w:val="18"/>
          <w:lang w:val="fr-FR"/>
        </w:rPr>
      </w:pPr>
      <w:r w:rsidRPr="00167C47">
        <w:rPr>
          <w:rStyle w:val="FootnoteReference"/>
          <w:rFonts w:ascii="Arial" w:hAnsi="Arial" w:cs="Arial"/>
          <w:sz w:val="18"/>
          <w:szCs w:val="18"/>
        </w:rPr>
        <w:footnoteRef/>
      </w:r>
      <w:r w:rsidRPr="00167C47">
        <w:rPr>
          <w:rFonts w:ascii="Arial" w:hAnsi="Arial" w:cs="Arial"/>
          <w:sz w:val="18"/>
          <w:szCs w:val="18"/>
        </w:rPr>
        <w:t xml:space="preserve"> </w:t>
      </w:r>
      <w:r w:rsidRPr="00464144">
        <w:rPr>
          <w:rFonts w:ascii="Arial" w:hAnsi="Arial" w:cs="Arial"/>
          <w:sz w:val="18"/>
          <w:szCs w:val="18"/>
        </w:rPr>
        <w:t xml:space="preserve">International Monetary Fund. (2018). IMF Country Report No. 18/206. </w:t>
      </w:r>
      <w:r w:rsidRPr="00167C47">
        <w:rPr>
          <w:rFonts w:ascii="Arial" w:hAnsi="Arial" w:cs="Arial"/>
          <w:sz w:val="18"/>
          <w:szCs w:val="18"/>
          <w:lang w:val="fr-FR"/>
        </w:rPr>
        <w:t>2018 Article IV Consultation. https://www.imf.org/en/Publications/CR/Issues/2018/07/03/Honduras-2018-Article-IV-Consultation-Press-Release-Staff-Report-and-Statement-by-the-46047</w:t>
      </w:r>
    </w:p>
  </w:footnote>
  <w:footnote w:id="95">
    <w:p w14:paraId="28311A7D" w14:textId="2AA6B331" w:rsidR="00F74A36" w:rsidRPr="00167C47" w:rsidRDefault="00F74A36" w:rsidP="003A324D">
      <w:pPr>
        <w:pStyle w:val="FootnoteText"/>
        <w:rPr>
          <w:rFonts w:ascii="Arial" w:hAnsi="Arial" w:cs="Arial"/>
          <w:sz w:val="18"/>
          <w:szCs w:val="18"/>
          <w:lang w:val="es-419"/>
        </w:rPr>
      </w:pPr>
      <w:r w:rsidRPr="00167C47">
        <w:rPr>
          <w:rStyle w:val="FootnoteReference"/>
          <w:rFonts w:ascii="Arial" w:hAnsi="Arial" w:cs="Arial"/>
          <w:sz w:val="18"/>
          <w:szCs w:val="18"/>
        </w:rPr>
        <w:footnoteRef/>
      </w:r>
      <w:r w:rsidRPr="00167C47">
        <w:rPr>
          <w:rFonts w:ascii="Arial" w:hAnsi="Arial" w:cs="Arial"/>
          <w:sz w:val="18"/>
          <w:szCs w:val="18"/>
          <w:lang w:val="es-419"/>
        </w:rPr>
        <w:t xml:space="preserve"> </w:t>
      </w:r>
      <w:r w:rsidRPr="00C036E9">
        <w:rPr>
          <w:rFonts w:ascii="Arial" w:hAnsi="Arial" w:cs="Arial"/>
          <w:sz w:val="18"/>
          <w:szCs w:val="18"/>
          <w:lang w:val="es-419"/>
        </w:rPr>
        <w:t>OECD. (2014). Honduras. http://www.oecd.org/countries/honduras/</w:t>
      </w:r>
    </w:p>
  </w:footnote>
  <w:footnote w:id="96">
    <w:p w14:paraId="7ED1F56A" w14:textId="5835278E" w:rsidR="00F74A36" w:rsidRPr="00167C47" w:rsidRDefault="00F74A36" w:rsidP="003A324D">
      <w:pPr>
        <w:pStyle w:val="FootnoteText"/>
        <w:rPr>
          <w:rFonts w:ascii="Arial" w:hAnsi="Arial" w:cs="Arial"/>
          <w:sz w:val="18"/>
          <w:szCs w:val="18"/>
          <w:lang w:val="fr-FR"/>
        </w:rPr>
      </w:pPr>
      <w:r w:rsidRPr="00167C47">
        <w:rPr>
          <w:rStyle w:val="FootnoteReference"/>
          <w:rFonts w:ascii="Arial" w:hAnsi="Arial" w:cs="Arial"/>
          <w:sz w:val="18"/>
          <w:szCs w:val="18"/>
        </w:rPr>
        <w:footnoteRef/>
      </w:r>
      <w:r w:rsidRPr="00167C47">
        <w:rPr>
          <w:rFonts w:ascii="Arial" w:hAnsi="Arial" w:cs="Arial"/>
          <w:sz w:val="18"/>
          <w:szCs w:val="18"/>
        </w:rPr>
        <w:t xml:space="preserve"> </w:t>
      </w:r>
      <w:r w:rsidRPr="00464144">
        <w:rPr>
          <w:rFonts w:ascii="Arial" w:hAnsi="Arial" w:cs="Arial"/>
          <w:sz w:val="18"/>
          <w:szCs w:val="18"/>
        </w:rPr>
        <w:t xml:space="preserve">International Monetary Fund. (2018). IMF Country Report No. 18/206. </w:t>
      </w:r>
      <w:r w:rsidRPr="00167C47">
        <w:rPr>
          <w:rFonts w:ascii="Arial" w:hAnsi="Arial" w:cs="Arial"/>
          <w:sz w:val="18"/>
          <w:szCs w:val="18"/>
          <w:lang w:val="fr-FR"/>
        </w:rPr>
        <w:t>2018 Article IV Consultation. https://www.imf.org/en/Publications/CR/Issues/2018/07/03/Honduras-2018-Article-IV-Consultation-Press-Release-Staff-Report-and-Statement-by-the-46047</w:t>
      </w:r>
    </w:p>
  </w:footnote>
  <w:footnote w:id="97">
    <w:p w14:paraId="57C0D2B3" w14:textId="0A3B5ABD" w:rsidR="00F74A36" w:rsidRPr="00167C47" w:rsidRDefault="00F74A36" w:rsidP="003A324D">
      <w:pPr>
        <w:pStyle w:val="FootnoteText"/>
        <w:rPr>
          <w:rFonts w:ascii="Arial" w:hAnsi="Arial" w:cs="Arial"/>
          <w:sz w:val="18"/>
          <w:szCs w:val="18"/>
        </w:rPr>
      </w:pPr>
      <w:r w:rsidRPr="00167C47">
        <w:rPr>
          <w:rStyle w:val="FootnoteReference"/>
          <w:rFonts w:ascii="Arial" w:hAnsi="Arial" w:cs="Arial"/>
          <w:sz w:val="18"/>
          <w:szCs w:val="18"/>
        </w:rPr>
        <w:footnoteRef/>
      </w:r>
      <w:r w:rsidRPr="00167C47">
        <w:rPr>
          <w:rFonts w:ascii="Arial" w:hAnsi="Arial" w:cs="Arial"/>
          <w:sz w:val="18"/>
          <w:szCs w:val="18"/>
          <w:lang w:val="es-419"/>
        </w:rPr>
        <w:t xml:space="preserve"> Banco Mundial. (2017). Honduras Country Profile. </w:t>
      </w:r>
      <w:hyperlink r:id="rId4" w:history="1">
        <w:r w:rsidRPr="00167C47">
          <w:rPr>
            <w:rStyle w:val="Hyperlink"/>
            <w:lang w:val="es-419"/>
          </w:rPr>
          <w:t>http://www.worldbank.org/en/country/honduras/overviewhttp://databank.worldbank.org/data/views/reports/reportwidget.aspx?Report_Name=CountryProfile&amp;Id=b450fd57&amp;tbar=y&amp;dd=y&amp;inf=n&amp;zm=n&amp;country=HND</w:t>
        </w:r>
      </w:hyperlink>
      <w:r>
        <w:rPr>
          <w:rFonts w:ascii="Arial" w:hAnsi="Arial" w:cs="Arial"/>
          <w:sz w:val="18"/>
          <w:szCs w:val="18"/>
          <w:lang w:val="es-419"/>
        </w:rPr>
        <w:t>;</w:t>
      </w:r>
      <w:r w:rsidRPr="00167C47">
        <w:rPr>
          <w:lang w:val="es-419"/>
        </w:rPr>
        <w:t xml:space="preserve"> </w:t>
      </w:r>
      <w:r w:rsidRPr="00D94F3E">
        <w:rPr>
          <w:rFonts w:ascii="Arial" w:hAnsi="Arial" w:cs="Arial"/>
          <w:sz w:val="18"/>
          <w:szCs w:val="18"/>
          <w:lang w:val="es-419"/>
        </w:rPr>
        <w:t xml:space="preserve">OECD. </w:t>
      </w:r>
      <w:r w:rsidRPr="00167C47">
        <w:rPr>
          <w:rFonts w:ascii="Arial" w:hAnsi="Arial" w:cs="Arial"/>
          <w:sz w:val="18"/>
          <w:szCs w:val="18"/>
        </w:rPr>
        <w:t xml:space="preserve">(2014). Honduras. http://www.oecd.org/countries/honduras/ </w:t>
      </w:r>
    </w:p>
  </w:footnote>
  <w:footnote w:id="98">
    <w:p w14:paraId="1B600C26" w14:textId="2214CA92" w:rsidR="00F74A36" w:rsidRPr="00167C47" w:rsidRDefault="00F74A36" w:rsidP="003A324D">
      <w:pPr>
        <w:pStyle w:val="FootnoteText"/>
        <w:rPr>
          <w:lang w:val="fr-FR"/>
        </w:rPr>
      </w:pPr>
      <w:r w:rsidRPr="00167C47">
        <w:rPr>
          <w:rStyle w:val="FootnoteReference"/>
          <w:rFonts w:ascii="Arial" w:hAnsi="Arial" w:cs="Arial"/>
          <w:sz w:val="18"/>
          <w:szCs w:val="18"/>
        </w:rPr>
        <w:footnoteRef/>
      </w:r>
      <w:r w:rsidRPr="00167C47">
        <w:rPr>
          <w:rFonts w:ascii="Arial" w:hAnsi="Arial" w:cs="Arial"/>
          <w:sz w:val="18"/>
          <w:szCs w:val="18"/>
        </w:rPr>
        <w:t xml:space="preserve"> </w:t>
      </w:r>
      <w:r w:rsidRPr="00464144">
        <w:rPr>
          <w:rFonts w:ascii="Arial" w:hAnsi="Arial" w:cs="Arial"/>
          <w:sz w:val="18"/>
          <w:szCs w:val="18"/>
        </w:rPr>
        <w:t xml:space="preserve">International Monetary Fund. (2018). IMF Country Report No. 18/206. </w:t>
      </w:r>
      <w:r w:rsidRPr="00167C47">
        <w:rPr>
          <w:rFonts w:ascii="Arial" w:hAnsi="Arial" w:cs="Arial"/>
          <w:sz w:val="18"/>
          <w:szCs w:val="18"/>
          <w:lang w:val="fr-FR"/>
        </w:rPr>
        <w:t>2018 Article IV Consultation. https://www.imf.org/en/Publications/CR/Issues/2018/07/03/Honduras-2018-Article-IV-Consultation-Press-Release-Staff-Report-and-Statement-by-the-46047</w:t>
      </w:r>
    </w:p>
  </w:footnote>
  <w:footnote w:id="99">
    <w:p w14:paraId="647035B1" w14:textId="12AC0893" w:rsidR="00F74A36" w:rsidRPr="00167C47" w:rsidRDefault="00F74A36" w:rsidP="00B30FE0">
      <w:pPr>
        <w:pStyle w:val="FootnoteText"/>
        <w:rPr>
          <w:rFonts w:ascii="Arial" w:hAnsi="Arial" w:cs="Arial"/>
          <w:sz w:val="18"/>
          <w:szCs w:val="18"/>
          <w:lang w:val="es-MX"/>
        </w:rPr>
      </w:pPr>
      <w:r w:rsidRPr="00167C47">
        <w:rPr>
          <w:rStyle w:val="FootnoteReference"/>
          <w:rFonts w:ascii="Arial" w:hAnsi="Arial" w:cs="Arial"/>
          <w:sz w:val="18"/>
          <w:szCs w:val="18"/>
        </w:rPr>
        <w:footnoteRef/>
      </w:r>
      <w:r w:rsidRPr="00167C47">
        <w:rPr>
          <w:rFonts w:ascii="Arial" w:hAnsi="Arial" w:cs="Arial"/>
          <w:sz w:val="18"/>
          <w:szCs w:val="18"/>
          <w:lang w:val="es-MX"/>
        </w:rPr>
        <w:t xml:space="preserve"> OMS. (2011-2016). </w:t>
      </w:r>
      <w:r w:rsidRPr="00167C47">
        <w:rPr>
          <w:rFonts w:ascii="Arial" w:hAnsi="Arial" w:cs="Arial"/>
          <w:sz w:val="18"/>
          <w:szCs w:val="18"/>
          <w:lang w:val="es-419"/>
        </w:rPr>
        <w:t>Global Health Expenditure Dataset. http://apps.who.int/nha/database/Select/Indicators/en; Secretaria de Salud de Honduras, PEPFAR. (2016). Estudio de Medición del Gasto en Sida (MEGAS), Honduras. http://www.unaids.org/sites/default/files/media/documents/NASA_Honduras_2016_es.pdf</w:t>
      </w:r>
    </w:p>
  </w:footnote>
  <w:footnote w:id="100">
    <w:p w14:paraId="1B7A7BBF" w14:textId="77777777" w:rsidR="00F74A36" w:rsidRPr="00167C47" w:rsidRDefault="00F74A36" w:rsidP="004E412F">
      <w:pPr>
        <w:pStyle w:val="FootnoteText"/>
        <w:rPr>
          <w:rFonts w:ascii="Arial" w:hAnsi="Arial" w:cs="Arial"/>
          <w:sz w:val="18"/>
          <w:szCs w:val="18"/>
          <w:lang w:val="es-419"/>
        </w:rPr>
      </w:pPr>
      <w:r w:rsidRPr="00167C47">
        <w:rPr>
          <w:rStyle w:val="FootnoteReference"/>
          <w:rFonts w:ascii="Arial" w:hAnsi="Arial" w:cs="Arial"/>
          <w:sz w:val="18"/>
          <w:szCs w:val="18"/>
        </w:rPr>
        <w:footnoteRef/>
      </w:r>
      <w:r w:rsidRPr="00167C47">
        <w:rPr>
          <w:rFonts w:ascii="Arial" w:hAnsi="Arial" w:cs="Arial"/>
          <w:sz w:val="18"/>
          <w:szCs w:val="18"/>
          <w:lang w:val="es-419"/>
        </w:rPr>
        <w:t xml:space="preserve"> Secretaria de Salud de Honduras, PEPFAR. (2016). Estudio de Medición del Gasto en Sida (MEGAS), Honduras. http://www.unaids.org/sites/default/files/media/documents/NASA_Honduras_2016_es.pdf</w:t>
      </w:r>
    </w:p>
  </w:footnote>
  <w:footnote w:id="101">
    <w:p w14:paraId="05A36F12" w14:textId="77777777" w:rsidR="00F74A36" w:rsidRPr="00167C47" w:rsidRDefault="00F74A36" w:rsidP="004E412F">
      <w:pPr>
        <w:pStyle w:val="FootnoteText"/>
        <w:jc w:val="both"/>
        <w:rPr>
          <w:rFonts w:ascii="Arial" w:hAnsi="Arial" w:cs="Arial"/>
          <w:sz w:val="18"/>
          <w:szCs w:val="18"/>
          <w:lang w:val="es-MX"/>
        </w:rPr>
      </w:pPr>
      <w:r w:rsidRPr="00592AEF">
        <w:rPr>
          <w:rStyle w:val="FootnoteReference"/>
          <w:rFonts w:ascii="Arial" w:hAnsi="Arial" w:cs="Arial"/>
          <w:sz w:val="18"/>
          <w:szCs w:val="18"/>
        </w:rPr>
        <w:footnoteRef/>
      </w:r>
      <w:r w:rsidRPr="00592AEF">
        <w:rPr>
          <w:rFonts w:ascii="Arial" w:hAnsi="Arial" w:cs="Arial"/>
          <w:sz w:val="18"/>
          <w:szCs w:val="18"/>
          <w:lang w:val="es-MX"/>
        </w:rPr>
        <w:t xml:space="preserve"> Profesionales femeninas del sexo y sus clientes, profesionales masculinos del sexo travestis (y sus clientes), profesionales del sexo no desglosados por sexo y sus clientes, HSH, y poblaciones más expuestas no desglosadas por tipo.</w:t>
      </w:r>
    </w:p>
  </w:footnote>
  <w:footnote w:id="102">
    <w:p w14:paraId="69E8BA36" w14:textId="77777777" w:rsidR="00F74A36" w:rsidRPr="0043280E" w:rsidRDefault="00F74A36" w:rsidP="004E412F">
      <w:pPr>
        <w:pStyle w:val="FootnoteText"/>
        <w:rPr>
          <w:rFonts w:ascii="Arial" w:hAnsi="Arial" w:cs="Arial"/>
          <w:lang w:val="es-MX"/>
        </w:rPr>
      </w:pPr>
      <w:r w:rsidRPr="00167C47">
        <w:rPr>
          <w:rStyle w:val="FootnoteReference"/>
          <w:rFonts w:ascii="Arial" w:hAnsi="Arial" w:cs="Arial"/>
          <w:sz w:val="18"/>
          <w:szCs w:val="18"/>
        </w:rPr>
        <w:footnoteRef/>
      </w:r>
      <w:r w:rsidRPr="00167C47">
        <w:rPr>
          <w:rFonts w:ascii="Arial" w:hAnsi="Arial" w:cs="Arial"/>
          <w:sz w:val="18"/>
          <w:szCs w:val="18"/>
          <w:lang w:val="es-MX"/>
        </w:rPr>
        <w:t xml:space="preserve"> </w:t>
      </w:r>
      <w:bookmarkStart w:id="104" w:name="_Hlk535496012"/>
      <w:r>
        <w:rPr>
          <w:rFonts w:ascii="Arial" w:hAnsi="Arial" w:cs="Arial"/>
          <w:sz w:val="18"/>
          <w:szCs w:val="18"/>
          <w:lang w:val="es-MX"/>
        </w:rPr>
        <w:t xml:space="preserve">PEPFAR. (2017). </w:t>
      </w:r>
      <w:r w:rsidRPr="00167C47">
        <w:rPr>
          <w:rFonts w:ascii="Arial" w:hAnsi="Arial" w:cs="Arial"/>
          <w:i/>
          <w:sz w:val="18"/>
          <w:szCs w:val="18"/>
          <w:lang w:val="es-419"/>
        </w:rPr>
        <w:t xml:space="preserve">Central America 2017 </w:t>
      </w:r>
      <w:r w:rsidRPr="00592AEF">
        <w:rPr>
          <w:rFonts w:ascii="Arial" w:hAnsi="Arial" w:cs="Arial"/>
          <w:i/>
          <w:sz w:val="18"/>
          <w:szCs w:val="18"/>
          <w:lang w:val="es-419"/>
        </w:rPr>
        <w:t>Regional</w:t>
      </w:r>
      <w:r w:rsidRPr="00167C47">
        <w:rPr>
          <w:rFonts w:ascii="Arial" w:hAnsi="Arial" w:cs="Arial"/>
          <w:i/>
          <w:sz w:val="18"/>
          <w:szCs w:val="18"/>
          <w:lang w:val="es-419"/>
        </w:rPr>
        <w:t xml:space="preserve"> Operational Plan (ROP) </w:t>
      </w:r>
      <w:r w:rsidRPr="00592AEF">
        <w:rPr>
          <w:rFonts w:ascii="Arial" w:hAnsi="Arial" w:cs="Arial"/>
          <w:i/>
          <w:sz w:val="18"/>
          <w:szCs w:val="18"/>
          <w:lang w:val="es-419"/>
        </w:rPr>
        <w:t>and Strategi</w:t>
      </w:r>
      <w:r w:rsidRPr="00167C47">
        <w:rPr>
          <w:rFonts w:ascii="Arial" w:hAnsi="Arial" w:cs="Arial"/>
          <w:i/>
          <w:sz w:val="18"/>
          <w:szCs w:val="18"/>
          <w:lang w:val="es-419"/>
        </w:rPr>
        <w:t>c Direction Summary. https://www.pepfar.gov/documents/organization/285842.pdf</w:t>
      </w:r>
      <w:bookmarkEnd w:id="104"/>
      <w:r w:rsidRPr="00167C47">
        <w:rPr>
          <w:rFonts w:ascii="Arial" w:hAnsi="Arial" w:cs="Arial"/>
          <w:i/>
          <w:sz w:val="18"/>
          <w:szCs w:val="18"/>
          <w:lang w:val="es-419"/>
        </w:rPr>
        <w:t>;</w:t>
      </w:r>
      <w:r w:rsidRPr="00167C47" w:rsidDel="00592AEF">
        <w:rPr>
          <w:rFonts w:ascii="Arial" w:hAnsi="Arial" w:cs="Arial"/>
          <w:sz w:val="18"/>
          <w:szCs w:val="18"/>
          <w:lang w:val="es-419"/>
        </w:rPr>
        <w:t xml:space="preserve"> </w:t>
      </w:r>
      <w:r w:rsidRPr="00167C47">
        <w:rPr>
          <w:rFonts w:ascii="Arial" w:hAnsi="Arial" w:cs="Arial"/>
          <w:sz w:val="18"/>
          <w:szCs w:val="18"/>
          <w:lang w:val="es-MX"/>
        </w:rPr>
        <w:t>El 4% restante corresponde a otras fuentes privadas o internacionales.</w:t>
      </w:r>
    </w:p>
  </w:footnote>
  <w:footnote w:id="103">
    <w:p w14:paraId="092EC021" w14:textId="10219B71" w:rsidR="00F74A36" w:rsidRPr="00167C47" w:rsidRDefault="00F74A36" w:rsidP="003A324D">
      <w:pPr>
        <w:pStyle w:val="FootnoteText"/>
        <w:rPr>
          <w:rFonts w:ascii="Arial" w:hAnsi="Arial" w:cs="Arial"/>
          <w:sz w:val="18"/>
          <w:szCs w:val="18"/>
        </w:rPr>
      </w:pPr>
      <w:r w:rsidRPr="00167C47">
        <w:rPr>
          <w:rStyle w:val="FootnoteReference"/>
          <w:rFonts w:ascii="Arial" w:hAnsi="Arial" w:cs="Arial"/>
          <w:sz w:val="18"/>
          <w:szCs w:val="18"/>
        </w:rPr>
        <w:footnoteRef/>
      </w:r>
      <w:r w:rsidRPr="00167C47">
        <w:rPr>
          <w:rFonts w:ascii="Arial" w:hAnsi="Arial" w:cs="Arial"/>
          <w:sz w:val="18"/>
          <w:szCs w:val="18"/>
        </w:rPr>
        <w:t xml:space="preserve"> </w:t>
      </w:r>
      <w:r w:rsidRPr="00C036E9">
        <w:rPr>
          <w:rFonts w:ascii="Arial" w:hAnsi="Arial" w:cs="Arial"/>
          <w:sz w:val="18"/>
          <w:szCs w:val="18"/>
        </w:rPr>
        <w:t>STOP TB. (2017). Honduras Dashboard. http://www.stoptb.org/resources/cd/HND_Dashboard.html</w:t>
      </w:r>
    </w:p>
  </w:footnote>
  <w:footnote w:id="104">
    <w:p w14:paraId="618D7785" w14:textId="74550887" w:rsidR="00F74A36" w:rsidRPr="00167C47" w:rsidRDefault="00F74A36" w:rsidP="00167C47">
      <w:pPr>
        <w:rPr>
          <w:rFonts w:ascii="Arial" w:hAnsi="Arial" w:cs="Arial"/>
          <w:sz w:val="18"/>
          <w:szCs w:val="18"/>
          <w:lang w:val="es-DO"/>
        </w:rPr>
      </w:pPr>
      <w:r w:rsidRPr="00167C47">
        <w:rPr>
          <w:rStyle w:val="FootnoteReference"/>
          <w:rFonts w:ascii="Arial" w:hAnsi="Arial" w:cs="Arial"/>
          <w:sz w:val="18"/>
          <w:szCs w:val="18"/>
        </w:rPr>
        <w:footnoteRef/>
      </w:r>
      <w:r w:rsidRPr="00167C47">
        <w:rPr>
          <w:rFonts w:ascii="Arial" w:hAnsi="Arial" w:cs="Arial"/>
          <w:sz w:val="18"/>
          <w:szCs w:val="18"/>
          <w:lang w:val="es-419"/>
        </w:rPr>
        <w:t xml:space="preserve"> </w:t>
      </w:r>
      <w:r w:rsidRPr="00C036E9">
        <w:rPr>
          <w:rFonts w:ascii="Arial" w:hAnsi="Arial" w:cs="Arial"/>
          <w:sz w:val="18"/>
          <w:szCs w:val="18"/>
          <w:lang w:val="es-DO"/>
        </w:rPr>
        <w:t xml:space="preserve">Instituto de Acceso a la Información Pública. (2015). </w:t>
      </w:r>
      <w:r w:rsidRPr="00C036E9">
        <w:rPr>
          <w:rFonts w:ascii="Arial" w:hAnsi="Arial" w:cs="Arial"/>
          <w:i/>
          <w:sz w:val="18"/>
          <w:szCs w:val="18"/>
          <w:lang w:val="es-DO"/>
        </w:rPr>
        <w:t>Portal único de transparencia</w:t>
      </w:r>
      <w:r w:rsidRPr="00C036E9">
        <w:rPr>
          <w:rFonts w:ascii="Arial" w:hAnsi="Arial" w:cs="Arial"/>
          <w:sz w:val="18"/>
          <w:szCs w:val="18"/>
          <w:lang w:val="es-DO"/>
        </w:rPr>
        <w:t>. Secretaria de Salud. https://portalunico.iaip.gob.hn/</w:t>
      </w:r>
    </w:p>
  </w:footnote>
  <w:footnote w:id="105">
    <w:p w14:paraId="0B2F18BD" w14:textId="7D351202" w:rsidR="00F74A36" w:rsidRPr="00167C47" w:rsidRDefault="00F74A36" w:rsidP="00C27814">
      <w:pPr>
        <w:pStyle w:val="FootnoteText"/>
        <w:rPr>
          <w:rFonts w:ascii="Arial" w:hAnsi="Arial" w:cs="Arial"/>
          <w:sz w:val="18"/>
          <w:szCs w:val="18"/>
          <w:lang w:val="es-MX"/>
        </w:rPr>
      </w:pPr>
      <w:r w:rsidRPr="00167C47">
        <w:rPr>
          <w:rStyle w:val="FootnoteReference"/>
          <w:rFonts w:ascii="Arial" w:hAnsi="Arial" w:cs="Arial"/>
          <w:sz w:val="18"/>
          <w:szCs w:val="18"/>
        </w:rPr>
        <w:footnoteRef/>
      </w:r>
      <w:r w:rsidRPr="00167C47">
        <w:rPr>
          <w:rFonts w:ascii="Arial" w:hAnsi="Arial" w:cs="Arial"/>
          <w:sz w:val="18"/>
          <w:szCs w:val="18"/>
        </w:rPr>
        <w:t xml:space="preserve"> Heller, P. (2005). Understanding fiscal space. International Monetary Fund. Policy Discussion. </w:t>
      </w:r>
      <w:r w:rsidRPr="00167C47">
        <w:rPr>
          <w:rFonts w:ascii="Arial" w:hAnsi="Arial" w:cs="Arial"/>
          <w:sz w:val="18"/>
          <w:szCs w:val="18"/>
          <w:lang w:val="es-MX"/>
        </w:rPr>
        <w:t>Papers (PDP 05/04).</w:t>
      </w:r>
    </w:p>
  </w:footnote>
  <w:footnote w:id="106">
    <w:p w14:paraId="28D4C1F5" w14:textId="7800D760" w:rsidR="00F74A36" w:rsidRPr="008C57B0" w:rsidRDefault="00F74A36" w:rsidP="003A324D">
      <w:pPr>
        <w:pStyle w:val="FootnoteText"/>
        <w:rPr>
          <w:lang w:val="es-MX"/>
        </w:rPr>
      </w:pPr>
      <w:r w:rsidRPr="00167C47">
        <w:rPr>
          <w:rStyle w:val="FootnoteReference"/>
          <w:rFonts w:ascii="Arial" w:hAnsi="Arial" w:cs="Arial"/>
          <w:sz w:val="18"/>
          <w:szCs w:val="18"/>
        </w:rPr>
        <w:footnoteRef/>
      </w:r>
      <w:r w:rsidRPr="00167C47">
        <w:rPr>
          <w:rFonts w:ascii="Arial" w:hAnsi="Arial" w:cs="Arial"/>
          <w:sz w:val="18"/>
          <w:szCs w:val="18"/>
          <w:lang w:val="es-MX"/>
        </w:rPr>
        <w:t xml:space="preserve"> ONUSIDA. (2013). Caso de Inversión, Honduras.</w:t>
      </w:r>
    </w:p>
  </w:footnote>
  <w:footnote w:id="107">
    <w:p w14:paraId="0521AFCC" w14:textId="44665F08" w:rsidR="00F74A36" w:rsidRPr="00167C47" w:rsidRDefault="00F74A36" w:rsidP="003A324D">
      <w:pPr>
        <w:pStyle w:val="FootnoteText"/>
        <w:rPr>
          <w:rFonts w:ascii="Arial" w:hAnsi="Arial" w:cs="Arial"/>
          <w:sz w:val="18"/>
          <w:szCs w:val="18"/>
          <w:lang w:val="es-MX"/>
        </w:rPr>
      </w:pPr>
      <w:r w:rsidRPr="00167C47">
        <w:rPr>
          <w:rStyle w:val="FootnoteReference"/>
          <w:rFonts w:ascii="Arial" w:hAnsi="Arial" w:cs="Arial"/>
          <w:sz w:val="18"/>
          <w:szCs w:val="18"/>
        </w:rPr>
        <w:footnoteRef/>
      </w:r>
      <w:r w:rsidRPr="00167C47">
        <w:rPr>
          <w:rFonts w:ascii="Arial" w:hAnsi="Arial" w:cs="Arial"/>
          <w:sz w:val="18"/>
          <w:szCs w:val="18"/>
          <w:lang w:val="es-MX"/>
        </w:rPr>
        <w:t xml:space="preserve"> </w:t>
      </w:r>
      <w:r w:rsidRPr="00134117">
        <w:rPr>
          <w:rFonts w:ascii="Arial" w:hAnsi="Arial" w:cs="Arial"/>
          <w:sz w:val="18"/>
          <w:szCs w:val="18"/>
          <w:lang w:val="es-MX"/>
        </w:rPr>
        <w:t>Secretaría de Finanzas. (2019). Presupuesto de Ingresos por Rubro Detallado, Comparativo por Ejercicio.</w:t>
      </w:r>
    </w:p>
  </w:footnote>
  <w:footnote w:id="108">
    <w:p w14:paraId="7861C5C6" w14:textId="2D954F50" w:rsidR="00F74A36" w:rsidRPr="00167C47" w:rsidRDefault="00F74A36" w:rsidP="003A324D">
      <w:pPr>
        <w:pStyle w:val="FootnoteText"/>
        <w:rPr>
          <w:rFonts w:ascii="Arial" w:hAnsi="Arial" w:cs="Arial"/>
          <w:sz w:val="18"/>
          <w:szCs w:val="18"/>
          <w:lang w:val="es-MX"/>
        </w:rPr>
      </w:pPr>
      <w:r w:rsidRPr="00167C47">
        <w:rPr>
          <w:rStyle w:val="FootnoteReference"/>
          <w:rFonts w:ascii="Arial" w:hAnsi="Arial" w:cs="Arial"/>
          <w:sz w:val="18"/>
          <w:szCs w:val="18"/>
        </w:rPr>
        <w:footnoteRef/>
      </w:r>
      <w:r w:rsidRPr="00167C47">
        <w:rPr>
          <w:rFonts w:ascii="Arial" w:hAnsi="Arial" w:cs="Arial"/>
          <w:sz w:val="18"/>
          <w:szCs w:val="18"/>
          <w:lang w:val="es-MX"/>
        </w:rPr>
        <w:t xml:space="preserve"> </w:t>
      </w:r>
      <w:r w:rsidRPr="00134117">
        <w:rPr>
          <w:rFonts w:ascii="Arial" w:hAnsi="Arial" w:cs="Arial"/>
          <w:sz w:val="18"/>
          <w:szCs w:val="18"/>
          <w:lang w:val="es-MX"/>
        </w:rPr>
        <w:t>Proceso Digital. (2018). Impuesto al alcohol genera polémica en Honduras. http://proceso.hn/nacionales/9-nacionales/impuesto-al-alcohol-genera-polemica-en-honduras.html</w:t>
      </w:r>
    </w:p>
  </w:footnote>
  <w:footnote w:id="109">
    <w:p w14:paraId="42CF28B1" w14:textId="77777777" w:rsidR="00DA76E6" w:rsidRPr="00830CB5" w:rsidRDefault="00DA76E6" w:rsidP="00DA76E6">
      <w:pPr>
        <w:pStyle w:val="FootnoteText"/>
        <w:rPr>
          <w:lang w:val="es-MX"/>
        </w:rPr>
      </w:pPr>
      <w:r>
        <w:rPr>
          <w:rStyle w:val="FootnoteReference"/>
        </w:rPr>
        <w:footnoteRef/>
      </w:r>
      <w:r w:rsidRPr="00830CB5">
        <w:rPr>
          <w:lang w:val="es-MX"/>
        </w:rPr>
        <w:t xml:space="preserve"> Secretaria de Salud de Honduras, PEPFAR. </w:t>
      </w:r>
      <w:r w:rsidRPr="00375BFB">
        <w:rPr>
          <w:lang w:val="es-MX"/>
        </w:rPr>
        <w:t>(2016). Estudio de Medición del Gasto en Sida (MEGAS), Honduras. http://www.unaids.org/sites/default/files/media/documents/NASA_Honduras_2016_es.pdf</w:t>
      </w:r>
    </w:p>
  </w:footnote>
  <w:footnote w:id="110">
    <w:p w14:paraId="250A852D" w14:textId="15B300B1" w:rsidR="00F74A36" w:rsidRPr="0032391B" w:rsidRDefault="00F74A36" w:rsidP="003A324D">
      <w:pPr>
        <w:spacing w:after="0" w:line="240" w:lineRule="auto"/>
        <w:rPr>
          <w:rFonts w:ascii="Arial" w:hAnsi="Arial" w:cs="Arial"/>
          <w:sz w:val="18"/>
          <w:szCs w:val="18"/>
          <w:lang w:val="es-MX"/>
        </w:rPr>
      </w:pPr>
      <w:r w:rsidRPr="0032391B">
        <w:rPr>
          <w:rStyle w:val="FootnoteReference"/>
          <w:rFonts w:ascii="Arial" w:hAnsi="Arial" w:cs="Arial"/>
          <w:sz w:val="18"/>
          <w:szCs w:val="18"/>
        </w:rPr>
        <w:footnoteRef/>
      </w:r>
      <w:r w:rsidRPr="0032391B">
        <w:rPr>
          <w:rFonts w:ascii="Arial" w:hAnsi="Arial" w:cs="Arial"/>
          <w:sz w:val="18"/>
          <w:szCs w:val="18"/>
          <w:lang w:val="es-MX"/>
        </w:rPr>
        <w:t xml:space="preserve"> </w:t>
      </w:r>
      <w:r w:rsidRPr="00B12C75">
        <w:rPr>
          <w:rFonts w:ascii="Arial" w:hAnsi="Arial" w:cs="Arial"/>
          <w:sz w:val="18"/>
          <w:szCs w:val="18"/>
          <w:lang w:val="es-MX"/>
        </w:rPr>
        <w:t>Comisión Interamericana de Derechos Humanos. (2015). Situación de derechos humanos en Honduras. http://www.oas.org/es/cidh/informes/pdfs/honduras-es-2015.pdf</w:t>
      </w:r>
    </w:p>
  </w:footnote>
  <w:footnote w:id="111">
    <w:p w14:paraId="1FA3C78C" w14:textId="7EFA8FF7" w:rsidR="00F74A36" w:rsidRPr="0032391B" w:rsidRDefault="00F74A36" w:rsidP="003A324D">
      <w:pPr>
        <w:pStyle w:val="FootnoteText"/>
        <w:rPr>
          <w:rFonts w:ascii="Arial" w:hAnsi="Arial" w:cs="Arial"/>
          <w:sz w:val="18"/>
          <w:szCs w:val="18"/>
          <w:lang w:val="es-MX"/>
        </w:rPr>
      </w:pPr>
      <w:r w:rsidRPr="0032391B">
        <w:rPr>
          <w:rStyle w:val="FootnoteReference"/>
          <w:rFonts w:ascii="Arial" w:hAnsi="Arial" w:cs="Arial"/>
          <w:sz w:val="18"/>
          <w:szCs w:val="18"/>
        </w:rPr>
        <w:footnoteRef/>
      </w:r>
      <w:r w:rsidRPr="0032391B">
        <w:rPr>
          <w:rFonts w:ascii="Arial" w:hAnsi="Arial" w:cs="Arial"/>
          <w:sz w:val="18"/>
          <w:szCs w:val="18"/>
          <w:lang w:val="es-MX"/>
        </w:rPr>
        <w:t xml:space="preserve"> </w:t>
      </w:r>
      <w:r w:rsidRPr="00B12C75">
        <w:rPr>
          <w:rFonts w:ascii="Arial" w:hAnsi="Arial" w:cs="Arial"/>
          <w:sz w:val="18"/>
          <w:szCs w:val="18"/>
          <w:lang w:val="es-MX"/>
        </w:rPr>
        <w:t>Centro por la Justicia y el Derecho Internacional. (2018). Honduras: Organizaciones pedimos garantías para ejercer el derecho a defender derechos humanos. https://www.cejil.org/es/honduras-organizaciones-pedimos-garantias-ejercer-derecho-defender-derechos-humanos</w:t>
      </w:r>
    </w:p>
  </w:footnote>
  <w:footnote w:id="112">
    <w:p w14:paraId="692B022D" w14:textId="6D71F475" w:rsidR="00F74A36" w:rsidRPr="0032391B" w:rsidRDefault="00F74A36" w:rsidP="003A324D">
      <w:pPr>
        <w:pStyle w:val="FootnoteText"/>
        <w:rPr>
          <w:rFonts w:ascii="Arial" w:hAnsi="Arial" w:cs="Arial"/>
          <w:sz w:val="18"/>
          <w:szCs w:val="18"/>
          <w:lang w:val="es-MX"/>
        </w:rPr>
      </w:pPr>
      <w:r w:rsidRPr="0032391B">
        <w:rPr>
          <w:rStyle w:val="FootnoteReference"/>
          <w:rFonts w:ascii="Arial" w:hAnsi="Arial" w:cs="Arial"/>
          <w:sz w:val="18"/>
          <w:szCs w:val="18"/>
        </w:rPr>
        <w:footnoteRef/>
      </w:r>
      <w:r w:rsidRPr="00B12C75">
        <w:rPr>
          <w:rFonts w:ascii="Arial" w:hAnsi="Arial" w:cs="Arial"/>
          <w:sz w:val="18"/>
          <w:szCs w:val="18"/>
          <w:lang w:val="es-MX"/>
        </w:rPr>
        <w:t>Programa Impactos. (2013). Proyecto Investigación sobre la capacidad de gestión y eficiencia de las Fiscalía Especial de Derechos Humanos. http://programaimpactos.org/toolkit/documentos_creados_por_OSCs/CPRG/Inv.%20%20Capacidad%20de%20Gestion%20y%20Eficiencia%20%20Fiscalia%20Especial%20de%20DDHH.pdf</w:t>
      </w:r>
      <w:r w:rsidRPr="0032391B">
        <w:rPr>
          <w:rFonts w:ascii="Arial" w:hAnsi="Arial" w:cs="Arial"/>
          <w:sz w:val="18"/>
          <w:szCs w:val="18"/>
          <w:lang w:val="es-MX"/>
        </w:rPr>
        <w:t>, p. 57</w:t>
      </w:r>
    </w:p>
  </w:footnote>
  <w:footnote w:id="113">
    <w:p w14:paraId="31FF5AA8" w14:textId="17E0FAF4" w:rsidR="00F74A36" w:rsidRPr="008E39DB" w:rsidRDefault="00F74A36" w:rsidP="003A324D">
      <w:pPr>
        <w:pStyle w:val="FootnoteText"/>
        <w:rPr>
          <w:rFonts w:ascii="Arial" w:hAnsi="Arial" w:cs="Arial"/>
          <w:sz w:val="18"/>
          <w:szCs w:val="18"/>
          <w:lang w:val="es-US"/>
        </w:rPr>
      </w:pPr>
      <w:r w:rsidRPr="00B12C75">
        <w:rPr>
          <w:rStyle w:val="FootnoteReference"/>
          <w:rFonts w:ascii="Arial" w:hAnsi="Arial" w:cs="Arial"/>
          <w:sz w:val="18"/>
          <w:szCs w:val="18"/>
        </w:rPr>
        <w:footnoteRef/>
      </w:r>
      <w:r w:rsidRPr="00B12C75">
        <w:rPr>
          <w:rFonts w:ascii="Arial" w:hAnsi="Arial" w:cs="Arial"/>
          <w:sz w:val="18"/>
          <w:szCs w:val="18"/>
          <w:lang w:val="es-US"/>
        </w:rPr>
        <w:t xml:space="preserve"> Comisión Nacional de los Derechos Humanos. (1995). Ley Orgánica del Comisionado Nacional de los Derechos Humanos: Artículo</w:t>
      </w:r>
      <w:r w:rsidRPr="00827D86">
        <w:rPr>
          <w:rFonts w:ascii="Arial" w:hAnsi="Arial" w:cs="Arial"/>
          <w:sz w:val="18"/>
          <w:szCs w:val="18"/>
          <w:lang w:val="es-US"/>
        </w:rPr>
        <w:t xml:space="preserve"> 1</w:t>
      </w:r>
      <w:r w:rsidRPr="00584AA9">
        <w:rPr>
          <w:rFonts w:ascii="Arial" w:hAnsi="Arial" w:cs="Arial"/>
          <w:sz w:val="18"/>
          <w:szCs w:val="18"/>
          <w:lang w:val="es-US"/>
        </w:rPr>
        <w:t>.</w:t>
      </w:r>
      <w:r w:rsidRPr="00F95EA2">
        <w:rPr>
          <w:rFonts w:ascii="Arial" w:hAnsi="Arial" w:cs="Arial"/>
          <w:sz w:val="18"/>
          <w:szCs w:val="18"/>
          <w:lang w:val="es-US"/>
        </w:rPr>
        <w:t xml:space="preserve"> https://portalunico.iaip.gob.hn/portal/ver_documento.php?uid=OTI5MDM4OTM0NzYzNDg3MTI0NjE5ODcy</w:t>
      </w:r>
      <w:r w:rsidRPr="00957CBC">
        <w:rPr>
          <w:rFonts w:ascii="Arial" w:hAnsi="Arial" w:cs="Arial"/>
          <w:sz w:val="18"/>
          <w:szCs w:val="18"/>
          <w:lang w:val="es-US"/>
        </w:rPr>
        <w:t>MzQy</w:t>
      </w:r>
    </w:p>
  </w:footnote>
  <w:footnote w:id="114">
    <w:p w14:paraId="05DE4236" w14:textId="2C3C57F1" w:rsidR="00F74A36" w:rsidRPr="00167C47" w:rsidRDefault="00F74A36" w:rsidP="003A324D">
      <w:pPr>
        <w:pStyle w:val="FootnoteText"/>
        <w:rPr>
          <w:rFonts w:ascii="Arial" w:hAnsi="Arial" w:cs="Arial"/>
          <w:sz w:val="18"/>
          <w:szCs w:val="18"/>
          <w:lang w:val="es-US"/>
        </w:rPr>
      </w:pPr>
      <w:r w:rsidRPr="00167C47">
        <w:rPr>
          <w:rStyle w:val="FootnoteReference"/>
          <w:rFonts w:ascii="Arial" w:hAnsi="Arial" w:cs="Arial"/>
          <w:sz w:val="18"/>
          <w:szCs w:val="18"/>
        </w:rPr>
        <w:footnoteRef/>
      </w:r>
      <w:r w:rsidRPr="00167C47">
        <w:rPr>
          <w:rFonts w:ascii="Arial" w:hAnsi="Arial" w:cs="Arial"/>
          <w:sz w:val="18"/>
          <w:szCs w:val="18"/>
          <w:lang w:val="es-US"/>
        </w:rPr>
        <w:t xml:space="preserve"> Comisión Nacional de los Derechos Humanos. (1995). Ley Orgánica del Comisionado Nacional de los Derechos Humanos: Artículo 16.</w:t>
      </w:r>
    </w:p>
  </w:footnote>
  <w:footnote w:id="115">
    <w:p w14:paraId="1A755629" w14:textId="77777777" w:rsidR="00673104" w:rsidRPr="00167C47" w:rsidRDefault="00673104" w:rsidP="00673104">
      <w:pPr>
        <w:pStyle w:val="FootnoteText"/>
        <w:rPr>
          <w:rFonts w:ascii="Arial" w:hAnsi="Arial" w:cs="Arial"/>
          <w:sz w:val="18"/>
          <w:szCs w:val="18"/>
          <w:lang w:val="es-ES"/>
        </w:rPr>
      </w:pPr>
      <w:r w:rsidRPr="00167C47">
        <w:rPr>
          <w:rStyle w:val="FootnoteReference"/>
          <w:rFonts w:ascii="Arial" w:hAnsi="Arial" w:cs="Arial"/>
          <w:sz w:val="18"/>
          <w:szCs w:val="18"/>
        </w:rPr>
        <w:footnoteRef/>
      </w:r>
      <w:r w:rsidRPr="00167C47">
        <w:rPr>
          <w:rFonts w:ascii="Arial" w:hAnsi="Arial" w:cs="Arial"/>
          <w:sz w:val="18"/>
          <w:szCs w:val="18"/>
          <w:lang w:val="es-US"/>
        </w:rPr>
        <w:t xml:space="preserve"> </w:t>
      </w:r>
      <w:r w:rsidRPr="00167C47">
        <w:rPr>
          <w:rFonts w:ascii="Arial" w:hAnsi="Arial" w:cs="Arial"/>
          <w:sz w:val="18"/>
          <w:szCs w:val="18"/>
          <w:lang w:val="es-ES"/>
        </w:rPr>
        <w:t>Fondo Mundial. (2018). Evaluación de línea base Honduras: Ampliación de programas para reducir los obstáculos relacionados con los derechos humanos a los servicios de VIH, p 61.</w:t>
      </w:r>
    </w:p>
  </w:footnote>
  <w:footnote w:id="116">
    <w:p w14:paraId="3A9EBD73" w14:textId="1351B452" w:rsidR="00F74A36" w:rsidRPr="00167C47" w:rsidRDefault="00F74A36" w:rsidP="003A324D">
      <w:pPr>
        <w:pStyle w:val="FootnoteText"/>
        <w:rPr>
          <w:rFonts w:ascii="Arial" w:hAnsi="Arial" w:cs="Arial"/>
          <w:sz w:val="18"/>
          <w:szCs w:val="18"/>
          <w:lang w:val="es-US"/>
        </w:rPr>
      </w:pPr>
      <w:r w:rsidRPr="00167C47">
        <w:rPr>
          <w:rStyle w:val="FootnoteReference"/>
          <w:rFonts w:ascii="Arial" w:hAnsi="Arial" w:cs="Arial"/>
          <w:sz w:val="18"/>
          <w:szCs w:val="18"/>
        </w:rPr>
        <w:footnoteRef/>
      </w:r>
      <w:r w:rsidRPr="00167C47">
        <w:rPr>
          <w:rFonts w:ascii="Arial" w:hAnsi="Arial" w:cs="Arial"/>
          <w:sz w:val="18"/>
          <w:szCs w:val="18"/>
          <w:lang w:val="es-US"/>
        </w:rPr>
        <w:t xml:space="preserve"> La SEDH re</w:t>
      </w:r>
      <w:r>
        <w:rPr>
          <w:rFonts w:ascii="Arial" w:hAnsi="Arial" w:cs="Arial"/>
          <w:sz w:val="18"/>
          <w:szCs w:val="18"/>
          <w:lang w:val="es-US"/>
        </w:rPr>
        <w:t>e</w:t>
      </w:r>
      <w:r w:rsidRPr="00167C47">
        <w:rPr>
          <w:rFonts w:ascii="Arial" w:hAnsi="Arial" w:cs="Arial"/>
          <w:sz w:val="18"/>
          <w:szCs w:val="18"/>
          <w:lang w:val="es-US"/>
        </w:rPr>
        <w:t>mplaza a nivel de Secretaría (Ministerio) a la ex Sub-Secretaría de Derechos Humanos, Justicia y Gobernación, creada en el 2013 como subsecretaría de la Secretaría de Derechos Humanos y Justicia.</w:t>
      </w:r>
    </w:p>
  </w:footnote>
  <w:footnote w:id="117">
    <w:p w14:paraId="76D6C894" w14:textId="407F6742" w:rsidR="00F74A36" w:rsidRPr="00F14D68" w:rsidRDefault="00F74A36" w:rsidP="003A324D">
      <w:pPr>
        <w:pStyle w:val="FootnoteText"/>
        <w:rPr>
          <w:lang w:val="es-US"/>
        </w:rPr>
      </w:pPr>
      <w:r w:rsidRPr="00167C47">
        <w:rPr>
          <w:rStyle w:val="FootnoteReference"/>
          <w:rFonts w:ascii="Arial" w:hAnsi="Arial" w:cs="Arial"/>
          <w:sz w:val="18"/>
          <w:szCs w:val="18"/>
        </w:rPr>
        <w:footnoteRef/>
      </w:r>
      <w:r w:rsidRPr="00167C47">
        <w:rPr>
          <w:rFonts w:ascii="Arial" w:hAnsi="Arial" w:cs="Arial"/>
          <w:sz w:val="18"/>
          <w:szCs w:val="18"/>
          <w:lang w:val="es-US"/>
        </w:rPr>
        <w:t xml:space="preserve"> </w:t>
      </w:r>
      <w:r w:rsidRPr="00167C47">
        <w:rPr>
          <w:rFonts w:ascii="Arial" w:hAnsi="Arial" w:cs="Arial"/>
          <w:sz w:val="18"/>
          <w:szCs w:val="18"/>
          <w:lang w:val="es-ES"/>
        </w:rPr>
        <w:t>Secretaría de Coordinación General de Gobierno. (2017) Decretos y Acuerdos Ejecutivos, septiembre 2017. Decreto PCM-055-2017, articulo 2.</w:t>
      </w:r>
    </w:p>
  </w:footnote>
  <w:footnote w:id="118">
    <w:p w14:paraId="47A1E076" w14:textId="7F8C5239" w:rsidR="00F74A36" w:rsidRPr="00392E34" w:rsidRDefault="00F74A36" w:rsidP="003A324D">
      <w:pPr>
        <w:spacing w:after="0" w:line="240" w:lineRule="auto"/>
        <w:rPr>
          <w:rFonts w:ascii="Arial" w:hAnsi="Arial" w:cs="Arial"/>
          <w:sz w:val="18"/>
          <w:szCs w:val="18"/>
          <w:lang w:val="es-MX"/>
        </w:rPr>
      </w:pPr>
      <w:r w:rsidRPr="00167C47">
        <w:rPr>
          <w:rStyle w:val="FootnoteReference"/>
          <w:rFonts w:ascii="Arial" w:hAnsi="Arial" w:cs="Arial"/>
          <w:sz w:val="18"/>
          <w:szCs w:val="18"/>
        </w:rPr>
        <w:footnoteRef/>
      </w:r>
      <w:r w:rsidRPr="00392E34">
        <w:rPr>
          <w:rFonts w:ascii="Arial" w:hAnsi="Arial" w:cs="Arial"/>
          <w:sz w:val="18"/>
          <w:szCs w:val="18"/>
          <w:lang w:val="es-MX"/>
        </w:rPr>
        <w:t xml:space="preserve"> Human Rights Watch. (2018). Honduras: Eventos de 2017. https://www.hrw.org/es/world-report/2018/country-chapters/313309</w:t>
      </w:r>
    </w:p>
  </w:footnote>
  <w:footnote w:id="119">
    <w:p w14:paraId="4F5D014A" w14:textId="77777777" w:rsidR="006E1942" w:rsidRPr="00167C47" w:rsidRDefault="006E1942" w:rsidP="006E1942">
      <w:pPr>
        <w:pStyle w:val="FootnoteText"/>
        <w:rPr>
          <w:rFonts w:ascii="Arial" w:hAnsi="Arial" w:cs="Arial"/>
          <w:sz w:val="18"/>
          <w:szCs w:val="18"/>
          <w:lang w:val="es-ES"/>
        </w:rPr>
      </w:pPr>
      <w:r w:rsidRPr="00167C47">
        <w:rPr>
          <w:rStyle w:val="FootnoteReference"/>
          <w:rFonts w:ascii="Arial" w:hAnsi="Arial" w:cs="Arial"/>
          <w:sz w:val="18"/>
          <w:szCs w:val="18"/>
        </w:rPr>
        <w:footnoteRef/>
      </w:r>
      <w:r w:rsidRPr="00167C47">
        <w:rPr>
          <w:rFonts w:ascii="Arial" w:hAnsi="Arial" w:cs="Arial"/>
          <w:sz w:val="18"/>
          <w:szCs w:val="18"/>
          <w:lang w:val="es-419"/>
        </w:rPr>
        <w:t xml:space="preserve"> </w:t>
      </w:r>
      <w:r w:rsidRPr="00EA4F08">
        <w:rPr>
          <w:rFonts w:ascii="Arial" w:hAnsi="Arial" w:cs="Arial"/>
          <w:sz w:val="18"/>
          <w:szCs w:val="18"/>
          <w:lang w:val="es-ES"/>
        </w:rPr>
        <w:t>Fondo Mundial. (2018). Evaluación de línea base Honduras: Ampliación de programas para reducir los obstáculos relacionados con los derechos humanos a los servicios de VIH</w:t>
      </w:r>
      <w:r w:rsidRPr="00167C47">
        <w:rPr>
          <w:rFonts w:ascii="Arial" w:hAnsi="Arial" w:cs="Arial"/>
          <w:sz w:val="18"/>
          <w:szCs w:val="18"/>
          <w:lang w:val="es-ES"/>
        </w:rPr>
        <w:t>, p 7.</w:t>
      </w:r>
    </w:p>
  </w:footnote>
  <w:footnote w:id="120">
    <w:p w14:paraId="0CFAE582" w14:textId="77777777" w:rsidR="006E1942" w:rsidRPr="00167C47" w:rsidRDefault="006E1942" w:rsidP="006E1942">
      <w:pPr>
        <w:pBdr>
          <w:top w:val="nil"/>
          <w:left w:val="nil"/>
          <w:bottom w:val="nil"/>
          <w:right w:val="nil"/>
          <w:between w:val="nil"/>
        </w:pBdr>
        <w:spacing w:after="0" w:line="240" w:lineRule="auto"/>
        <w:rPr>
          <w:rFonts w:ascii="Arial" w:eastAsia="Calibri" w:hAnsi="Arial" w:cs="Arial"/>
          <w:color w:val="000000"/>
          <w:sz w:val="18"/>
          <w:szCs w:val="18"/>
          <w:lang w:val="es-MX"/>
        </w:rPr>
      </w:pPr>
      <w:r w:rsidRPr="00167C47">
        <w:rPr>
          <w:rFonts w:ascii="Arial" w:hAnsi="Arial" w:cs="Arial"/>
          <w:sz w:val="18"/>
          <w:szCs w:val="18"/>
          <w:vertAlign w:val="superscript"/>
        </w:rPr>
        <w:footnoteRef/>
      </w:r>
      <w:r w:rsidRPr="00EA4F08">
        <w:rPr>
          <w:rFonts w:ascii="Arial" w:eastAsia="Calibri" w:hAnsi="Arial" w:cs="Arial"/>
          <w:color w:val="000000"/>
          <w:sz w:val="18"/>
          <w:szCs w:val="18"/>
          <w:lang w:val="es-MX"/>
        </w:rPr>
        <w:t>Comisión Nacional de SIDA. (2014). Plan Estratégico Nacional de Respuesta al VIH Y SIDA en Honduras (PENSIDA IV) 2015-2019.</w:t>
      </w:r>
    </w:p>
  </w:footnote>
  <w:footnote w:id="121">
    <w:p w14:paraId="77B21FF9" w14:textId="7696AD9B" w:rsidR="00F74A36" w:rsidRPr="00167C47" w:rsidRDefault="00F74A36" w:rsidP="00EA4F08">
      <w:pPr>
        <w:pStyle w:val="FootnoteText"/>
        <w:rPr>
          <w:rFonts w:ascii="Arial" w:hAnsi="Arial" w:cs="Arial"/>
          <w:sz w:val="18"/>
          <w:szCs w:val="18"/>
          <w:lang w:val="es-US"/>
        </w:rPr>
      </w:pPr>
      <w:r w:rsidRPr="00167C47">
        <w:rPr>
          <w:rStyle w:val="FootnoteReference"/>
          <w:rFonts w:ascii="Arial" w:hAnsi="Arial" w:cs="Arial"/>
          <w:sz w:val="18"/>
          <w:szCs w:val="18"/>
        </w:rPr>
        <w:footnoteRef/>
      </w:r>
      <w:r w:rsidRPr="00167C47">
        <w:rPr>
          <w:rFonts w:ascii="Arial" w:hAnsi="Arial" w:cs="Arial"/>
          <w:sz w:val="18"/>
          <w:szCs w:val="18"/>
          <w:lang w:val="es-US"/>
        </w:rPr>
        <w:t xml:space="preserve"> </w:t>
      </w:r>
      <w:r w:rsidRPr="00EA4F08">
        <w:rPr>
          <w:rFonts w:ascii="Arial" w:hAnsi="Arial" w:cs="Arial"/>
          <w:sz w:val="18"/>
          <w:szCs w:val="18"/>
          <w:lang w:val="es-US"/>
        </w:rPr>
        <w:t>Oficina de Alto Comisionado de las Naciones Unidas para los Derechos Humanos. (2017). Informe anual del Alto Comisionado de las Naciones Unidas para los Derechos Humanos sobre la situación de los derechos humanos en Honduras. https://www.refworld.org.es/pdfid/5afca8974.pdf</w:t>
      </w:r>
    </w:p>
  </w:footnote>
  <w:footnote w:id="122">
    <w:p w14:paraId="119485F0" w14:textId="518AF891" w:rsidR="00F74A36" w:rsidRPr="00167C47" w:rsidRDefault="00F74A36" w:rsidP="00EA4F08">
      <w:pPr>
        <w:pStyle w:val="FootnoteText"/>
        <w:rPr>
          <w:rFonts w:ascii="Arial" w:hAnsi="Arial" w:cs="Arial"/>
          <w:sz w:val="18"/>
          <w:szCs w:val="18"/>
          <w:lang w:val="es-US"/>
        </w:rPr>
      </w:pPr>
      <w:r w:rsidRPr="00167C47">
        <w:rPr>
          <w:rStyle w:val="FootnoteReference"/>
          <w:rFonts w:ascii="Arial" w:hAnsi="Arial" w:cs="Arial"/>
          <w:sz w:val="18"/>
          <w:szCs w:val="18"/>
        </w:rPr>
        <w:footnoteRef/>
      </w:r>
      <w:r w:rsidRPr="00167C47">
        <w:rPr>
          <w:rFonts w:ascii="Arial" w:hAnsi="Arial" w:cs="Arial"/>
          <w:sz w:val="18"/>
          <w:szCs w:val="18"/>
          <w:lang w:val="es-US"/>
        </w:rPr>
        <w:t xml:space="preserve"> </w:t>
      </w:r>
      <w:r w:rsidRPr="00EA4F08">
        <w:rPr>
          <w:rFonts w:ascii="Arial" w:hAnsi="Arial" w:cs="Arial"/>
          <w:sz w:val="18"/>
          <w:szCs w:val="18"/>
          <w:lang w:val="es-US"/>
        </w:rPr>
        <w:t>Comisión Interamericana de Derechos Humanos. (2015). Situación de derechos humanos en Honduras. http://www.oas.org/es/cidh/informes/pdfs/honduras-es-2015.pdf</w:t>
      </w:r>
    </w:p>
  </w:footnote>
  <w:footnote w:id="123">
    <w:p w14:paraId="63F19986" w14:textId="1742ECD3" w:rsidR="00F74A36" w:rsidRPr="00167C47" w:rsidRDefault="00F74A36" w:rsidP="00EA4F08">
      <w:pPr>
        <w:pStyle w:val="FootnoteText"/>
        <w:rPr>
          <w:rFonts w:ascii="Arial" w:hAnsi="Arial" w:cs="Arial"/>
          <w:sz w:val="18"/>
          <w:szCs w:val="18"/>
          <w:lang w:val="es-US"/>
        </w:rPr>
      </w:pPr>
      <w:r w:rsidRPr="00167C47">
        <w:rPr>
          <w:rStyle w:val="FootnoteReference"/>
          <w:rFonts w:ascii="Arial" w:hAnsi="Arial" w:cs="Arial"/>
          <w:sz w:val="18"/>
          <w:szCs w:val="18"/>
        </w:rPr>
        <w:footnoteRef/>
      </w:r>
      <w:r w:rsidRPr="00167C47">
        <w:rPr>
          <w:rFonts w:ascii="Arial" w:hAnsi="Arial" w:cs="Arial"/>
          <w:sz w:val="18"/>
          <w:szCs w:val="18"/>
          <w:lang w:val="es-US"/>
        </w:rPr>
        <w:t>Comisión Interamericana de Derechos Humanos. (2015). Situación de derechos humanos en Honduras. http://www.oas.org/es/cidh/informes/pdfs/honduras-es-2015.pdfp.54</w:t>
      </w:r>
    </w:p>
  </w:footnote>
  <w:footnote w:id="124">
    <w:p w14:paraId="469B8C96" w14:textId="6CDF9B80" w:rsidR="00F74A36" w:rsidRPr="00167C47" w:rsidRDefault="00F74A36" w:rsidP="003A324D">
      <w:pPr>
        <w:spacing w:after="0" w:line="240" w:lineRule="auto"/>
        <w:rPr>
          <w:rFonts w:ascii="Arial" w:eastAsia="Times New Roman" w:hAnsi="Arial" w:cs="Arial"/>
          <w:sz w:val="18"/>
          <w:szCs w:val="18"/>
          <w:lang w:val="es-ES"/>
        </w:rPr>
      </w:pPr>
      <w:r w:rsidRPr="00167C47">
        <w:rPr>
          <w:rStyle w:val="FootnoteReference"/>
          <w:rFonts w:ascii="Arial" w:hAnsi="Arial" w:cs="Arial"/>
          <w:sz w:val="18"/>
          <w:szCs w:val="18"/>
        </w:rPr>
        <w:footnoteRef/>
      </w:r>
      <w:r w:rsidRPr="00167C47">
        <w:rPr>
          <w:rFonts w:ascii="Arial" w:hAnsi="Arial" w:cs="Arial"/>
          <w:sz w:val="18"/>
          <w:szCs w:val="18"/>
          <w:lang w:val="es-US"/>
        </w:rPr>
        <w:t xml:space="preserve"> </w:t>
      </w:r>
      <w:r w:rsidRPr="00167C47">
        <w:rPr>
          <w:rFonts w:ascii="Arial" w:eastAsia="Times New Roman" w:hAnsi="Arial" w:cs="Arial"/>
          <w:sz w:val="18"/>
          <w:szCs w:val="18"/>
          <w:lang w:val="es-ES"/>
        </w:rPr>
        <w:t>Comisión Interamericana de Derechos Humanos. (2018). Observaciones Preliminares de la Visita de la CIDH a Honduras. https://www.oas.org/es/cidh/prensa/comunicados/2018/ObsPrelHnd.pdf</w:t>
      </w:r>
    </w:p>
  </w:footnote>
  <w:footnote w:id="125">
    <w:p w14:paraId="586D2757" w14:textId="61C4255A" w:rsidR="00F74A36" w:rsidRPr="00167C47" w:rsidRDefault="00F74A36" w:rsidP="003A324D">
      <w:pPr>
        <w:spacing w:after="0" w:line="240" w:lineRule="auto"/>
        <w:rPr>
          <w:rFonts w:ascii="Arial" w:hAnsi="Arial" w:cs="Arial"/>
          <w:sz w:val="18"/>
          <w:szCs w:val="18"/>
          <w:lang w:val="fr-FR"/>
        </w:rPr>
      </w:pPr>
      <w:r w:rsidRPr="00EA4F08">
        <w:rPr>
          <w:rStyle w:val="FootnoteReference"/>
          <w:rFonts w:ascii="Arial" w:hAnsi="Arial" w:cs="Arial"/>
          <w:sz w:val="18"/>
          <w:szCs w:val="18"/>
        </w:rPr>
        <w:footnoteRef/>
      </w:r>
      <w:r w:rsidRPr="00EA4F08">
        <w:rPr>
          <w:rFonts w:ascii="Arial" w:hAnsi="Arial" w:cs="Arial"/>
          <w:sz w:val="18"/>
          <w:szCs w:val="18"/>
          <w:lang w:val="es-419"/>
        </w:rPr>
        <w:t xml:space="preserve"> </w:t>
      </w:r>
      <w:r w:rsidRPr="00EA4F08">
        <w:rPr>
          <w:rFonts w:ascii="Arial" w:hAnsi="Arial" w:cs="Arial"/>
          <w:sz w:val="18"/>
          <w:szCs w:val="18"/>
          <w:lang w:val="es-ES"/>
        </w:rPr>
        <w:t>Oficina de Alto Comisiona</w:t>
      </w:r>
      <w:r w:rsidRPr="00563600">
        <w:rPr>
          <w:rFonts w:ascii="Arial" w:hAnsi="Arial" w:cs="Arial"/>
          <w:sz w:val="18"/>
          <w:szCs w:val="18"/>
          <w:lang w:val="es-ES"/>
        </w:rPr>
        <w:t xml:space="preserve">do de las Naciones Unidas para los Derechos Humanos. </w:t>
      </w:r>
      <w:r w:rsidRPr="00167C47">
        <w:rPr>
          <w:rFonts w:ascii="Arial" w:hAnsi="Arial" w:cs="Arial"/>
          <w:sz w:val="18"/>
          <w:szCs w:val="18"/>
          <w:lang w:val="fr-FR"/>
        </w:rPr>
        <w:t>(2014). VIH/SIDA. https://www.ohchr.org/Documents/Issues/Women/WRGS/SexualHealth/INFO_HIV_WEB_SP.pdf</w:t>
      </w:r>
    </w:p>
  </w:footnote>
  <w:footnote w:id="126">
    <w:p w14:paraId="6E8B0E11" w14:textId="548C7132" w:rsidR="00F74A36" w:rsidRPr="00957CBC" w:rsidRDefault="00F74A36" w:rsidP="003A324D">
      <w:pPr>
        <w:spacing w:after="0" w:line="240" w:lineRule="auto"/>
        <w:rPr>
          <w:rFonts w:ascii="Arial" w:eastAsia="Times New Roman" w:hAnsi="Arial" w:cs="Arial"/>
          <w:sz w:val="18"/>
          <w:szCs w:val="18"/>
          <w:lang w:val="es-419"/>
        </w:rPr>
      </w:pPr>
      <w:r w:rsidRPr="00EA4F08">
        <w:rPr>
          <w:rStyle w:val="FootnoteReference"/>
          <w:rFonts w:ascii="Arial" w:hAnsi="Arial" w:cs="Arial"/>
          <w:sz w:val="18"/>
          <w:szCs w:val="18"/>
        </w:rPr>
        <w:footnoteRef/>
      </w:r>
      <w:r w:rsidRPr="00EA4F08">
        <w:rPr>
          <w:rFonts w:ascii="Arial" w:hAnsi="Arial" w:cs="Arial"/>
          <w:sz w:val="18"/>
          <w:szCs w:val="18"/>
          <w:lang w:val="es-419"/>
        </w:rPr>
        <w:t xml:space="preserve"> </w:t>
      </w:r>
      <w:r w:rsidRPr="00EA4F08">
        <w:rPr>
          <w:rFonts w:ascii="Arial" w:eastAsia="Times New Roman" w:hAnsi="Arial" w:cs="Arial"/>
          <w:sz w:val="18"/>
          <w:szCs w:val="18"/>
          <w:lang w:val="es-ES"/>
        </w:rPr>
        <w:t xml:space="preserve">Red de Trabajadoras Sexuales de América Latina y el Caribe (REDTRASEX), Akahatá - Equipo de trabajo en </w:t>
      </w:r>
      <w:r w:rsidRPr="00827D86">
        <w:rPr>
          <w:rFonts w:ascii="Arial" w:eastAsia="Times New Roman" w:hAnsi="Arial" w:cs="Arial"/>
          <w:sz w:val="18"/>
          <w:szCs w:val="18"/>
          <w:lang w:val="es-ES"/>
        </w:rPr>
        <w:t>sexualidades y géneros, Heartland Alliance for Human Needs &amp; Human Rights. (2017). Situación de los Derechos Humanos de las Trabajadoras Sexuales en Honduras, Información adicional presentada al Grupo de Trabajo Comité de Derechos Humanos. https://tbintern</w:t>
      </w:r>
      <w:r w:rsidRPr="00584AA9">
        <w:rPr>
          <w:rFonts w:ascii="Arial" w:eastAsia="Times New Roman" w:hAnsi="Arial" w:cs="Arial"/>
          <w:sz w:val="18"/>
          <w:szCs w:val="18"/>
          <w:lang w:val="es-ES"/>
        </w:rPr>
        <w:t>et.ohchr.org/Treaties/CCPR/Shared%20Documents/HND/INT_CCPR_CSS_HND_27561_S.pdf</w:t>
      </w:r>
    </w:p>
  </w:footnote>
  <w:footnote w:id="127">
    <w:p w14:paraId="67A79DBB" w14:textId="24250A9E" w:rsidR="00F74A36" w:rsidRPr="00957CBC" w:rsidRDefault="00F74A36" w:rsidP="003A324D">
      <w:pPr>
        <w:spacing w:after="0" w:line="240" w:lineRule="auto"/>
        <w:rPr>
          <w:rFonts w:ascii="Arial" w:eastAsia="Times New Roman" w:hAnsi="Arial" w:cs="Arial"/>
          <w:sz w:val="18"/>
          <w:szCs w:val="18"/>
          <w:lang w:val="es-US"/>
        </w:rPr>
      </w:pPr>
      <w:r w:rsidRPr="006D313E">
        <w:rPr>
          <w:rStyle w:val="FootnoteReference"/>
          <w:rFonts w:ascii="Arial" w:hAnsi="Arial" w:cs="Arial"/>
          <w:sz w:val="18"/>
          <w:szCs w:val="18"/>
        </w:rPr>
        <w:footnoteRef/>
      </w:r>
      <w:r w:rsidRPr="006D313E">
        <w:rPr>
          <w:rFonts w:ascii="Arial" w:hAnsi="Arial" w:cs="Arial"/>
          <w:sz w:val="18"/>
          <w:szCs w:val="18"/>
          <w:lang w:val="es-419"/>
        </w:rPr>
        <w:t xml:space="preserve"> </w:t>
      </w:r>
      <w:r w:rsidRPr="006D313E">
        <w:rPr>
          <w:rFonts w:ascii="Arial" w:eastAsia="Times New Roman" w:hAnsi="Arial" w:cs="Arial"/>
          <w:sz w:val="18"/>
          <w:szCs w:val="18"/>
          <w:lang w:val="es-US"/>
        </w:rPr>
        <w:t>Comisión Interamericana de Derechos Humanos. (2018). Observaciones Preliminares de la Visita de la CIDH a Honduras. https://www.oas.org/es/cidh/prensa/comunicados/2018/Obs</w:t>
      </w:r>
      <w:r w:rsidRPr="00827D86">
        <w:rPr>
          <w:rFonts w:ascii="Arial" w:eastAsia="Times New Roman" w:hAnsi="Arial" w:cs="Arial"/>
          <w:sz w:val="18"/>
          <w:szCs w:val="18"/>
          <w:lang w:val="es-US"/>
        </w:rPr>
        <w:t>PrelHnd.pdf</w:t>
      </w:r>
    </w:p>
  </w:footnote>
  <w:footnote w:id="128">
    <w:p w14:paraId="245AFD01" w14:textId="3C151049" w:rsidR="00F74A36" w:rsidRPr="00167C47" w:rsidRDefault="00F74A36" w:rsidP="003A324D">
      <w:pPr>
        <w:pStyle w:val="FootnoteText"/>
        <w:rPr>
          <w:rFonts w:ascii="Arial" w:hAnsi="Arial" w:cs="Arial"/>
          <w:sz w:val="18"/>
          <w:szCs w:val="18"/>
          <w:lang w:val="es-US"/>
        </w:rPr>
      </w:pPr>
      <w:r w:rsidRPr="006D313E">
        <w:rPr>
          <w:rStyle w:val="FootnoteReference"/>
          <w:rFonts w:ascii="Arial" w:hAnsi="Arial" w:cs="Arial"/>
          <w:sz w:val="18"/>
          <w:szCs w:val="18"/>
        </w:rPr>
        <w:footnoteRef/>
      </w:r>
      <w:r w:rsidRPr="006D313E">
        <w:rPr>
          <w:rFonts w:ascii="Arial" w:hAnsi="Arial" w:cs="Arial"/>
          <w:sz w:val="18"/>
          <w:szCs w:val="18"/>
          <w:lang w:val="es-US"/>
        </w:rPr>
        <w:t xml:space="preserve"> Mans Unides. (2016). La violencia de género en Honduras. https://mansunides.org/es/violencia-genero-honduras</w:t>
      </w:r>
    </w:p>
  </w:footnote>
  <w:footnote w:id="129">
    <w:p w14:paraId="51A8E2AF" w14:textId="19D15E46" w:rsidR="00F74A36" w:rsidRPr="00093818" w:rsidRDefault="00F74A36" w:rsidP="003A324D">
      <w:pPr>
        <w:pStyle w:val="FootnoteText"/>
        <w:rPr>
          <w:lang w:val="es-ES"/>
        </w:rPr>
      </w:pPr>
      <w:r w:rsidRPr="00167C47">
        <w:rPr>
          <w:rStyle w:val="FootnoteReference"/>
          <w:rFonts w:ascii="Arial" w:hAnsi="Arial" w:cs="Arial"/>
          <w:sz w:val="18"/>
          <w:szCs w:val="18"/>
        </w:rPr>
        <w:footnoteRef/>
      </w:r>
      <w:r w:rsidRPr="00167C47">
        <w:rPr>
          <w:rFonts w:ascii="Arial" w:hAnsi="Arial" w:cs="Arial"/>
          <w:sz w:val="18"/>
          <w:szCs w:val="18"/>
          <w:lang w:val="es-419"/>
        </w:rPr>
        <w:t xml:space="preserve"> </w:t>
      </w:r>
      <w:r w:rsidRPr="00167C47">
        <w:rPr>
          <w:rFonts w:ascii="Arial" w:hAnsi="Arial" w:cs="Arial"/>
          <w:sz w:val="18"/>
          <w:szCs w:val="18"/>
          <w:lang w:val="es-ES"/>
        </w:rPr>
        <w:t>Fondo Mundial. (2018). Evaluación de línea base Honduras: Ampliación de programas para reducir los obstáculos relacionados con los derechos humanos a los servicios de VIH., p 7.</w:t>
      </w:r>
    </w:p>
  </w:footnote>
  <w:footnote w:id="130">
    <w:p w14:paraId="570D2CD0" w14:textId="101A5EA0" w:rsidR="00F74A36" w:rsidRPr="00167C47" w:rsidRDefault="00F74A36" w:rsidP="003A324D">
      <w:pPr>
        <w:pStyle w:val="FootnoteText"/>
        <w:rPr>
          <w:rFonts w:ascii="Arial" w:hAnsi="Arial" w:cs="Arial"/>
          <w:sz w:val="18"/>
          <w:szCs w:val="18"/>
          <w:lang w:val="es-ES"/>
        </w:rPr>
      </w:pPr>
      <w:r w:rsidRPr="00167C47">
        <w:rPr>
          <w:rStyle w:val="FootnoteReference"/>
          <w:rFonts w:ascii="Arial" w:hAnsi="Arial" w:cs="Arial"/>
          <w:sz w:val="18"/>
          <w:szCs w:val="18"/>
        </w:rPr>
        <w:footnoteRef/>
      </w:r>
      <w:r w:rsidRPr="00167C47">
        <w:rPr>
          <w:rFonts w:ascii="Arial" w:hAnsi="Arial" w:cs="Arial"/>
          <w:sz w:val="18"/>
          <w:szCs w:val="18"/>
          <w:lang w:val="es-419"/>
        </w:rPr>
        <w:t xml:space="preserve"> </w:t>
      </w:r>
      <w:r w:rsidRPr="00167C47">
        <w:rPr>
          <w:rFonts w:ascii="Arial" w:hAnsi="Arial" w:cs="Arial"/>
          <w:sz w:val="18"/>
          <w:szCs w:val="18"/>
          <w:lang w:val="es-ES"/>
        </w:rPr>
        <w:t>Fondo Mundial. (2018). Evaluación de línea base Honduras: Ampliación de programas para reducir los obstáculos relacionados con los derechos humanos a los servicios de VIH, p 10.</w:t>
      </w:r>
    </w:p>
    <w:p w14:paraId="2F7D0E37" w14:textId="77777777" w:rsidR="00F74A36" w:rsidRPr="001C1D37" w:rsidRDefault="00F74A36" w:rsidP="003A324D">
      <w:pPr>
        <w:pStyle w:val="FootnoteText"/>
        <w:rPr>
          <w:lang w:val="es-419"/>
        </w:rPr>
      </w:pPr>
    </w:p>
  </w:footnote>
  <w:footnote w:id="131">
    <w:p w14:paraId="25A397BA" w14:textId="3865B526" w:rsidR="00F74A36" w:rsidRPr="00167C47" w:rsidRDefault="00F74A36" w:rsidP="00324882">
      <w:pPr>
        <w:pStyle w:val="FootnoteText"/>
        <w:rPr>
          <w:rFonts w:ascii="Arial" w:hAnsi="Arial" w:cs="Arial"/>
          <w:sz w:val="18"/>
          <w:szCs w:val="18"/>
          <w:lang w:val="es-US"/>
        </w:rPr>
      </w:pPr>
      <w:r w:rsidRPr="00167C47">
        <w:rPr>
          <w:rStyle w:val="FootnoteReference"/>
          <w:rFonts w:ascii="Arial" w:hAnsi="Arial" w:cs="Arial"/>
          <w:sz w:val="18"/>
          <w:szCs w:val="18"/>
        </w:rPr>
        <w:footnoteRef/>
      </w:r>
      <w:r w:rsidRPr="00167C47">
        <w:rPr>
          <w:rFonts w:ascii="Arial" w:hAnsi="Arial" w:cs="Arial"/>
          <w:sz w:val="18"/>
          <w:szCs w:val="18"/>
          <w:lang w:val="es-US"/>
        </w:rPr>
        <w:t xml:space="preserve"> Argentina, Bolivia, Brasil, Chile, Colombia, Costa Rica, Cuba, Ecuador, Panamá, Perú, Uruguay</w:t>
      </w:r>
    </w:p>
  </w:footnote>
  <w:footnote w:id="132">
    <w:p w14:paraId="109D672F" w14:textId="77777777" w:rsidR="004D3729" w:rsidRPr="00167C47" w:rsidRDefault="004D3729" w:rsidP="004D3729">
      <w:pPr>
        <w:pStyle w:val="FootnoteText"/>
        <w:rPr>
          <w:rFonts w:ascii="Arial" w:hAnsi="Arial" w:cs="Arial"/>
          <w:sz w:val="18"/>
          <w:szCs w:val="18"/>
          <w:lang w:val="es-US"/>
        </w:rPr>
      </w:pPr>
      <w:r w:rsidRPr="00167C47">
        <w:rPr>
          <w:rStyle w:val="FootnoteReference"/>
          <w:rFonts w:ascii="Arial" w:hAnsi="Arial" w:cs="Arial"/>
          <w:sz w:val="18"/>
          <w:szCs w:val="18"/>
        </w:rPr>
        <w:footnoteRef/>
      </w:r>
      <w:r w:rsidRPr="00167C47">
        <w:rPr>
          <w:rFonts w:ascii="Arial" w:hAnsi="Arial" w:cs="Arial"/>
          <w:sz w:val="18"/>
          <w:szCs w:val="18"/>
          <w:lang w:val="es-US"/>
        </w:rPr>
        <w:t>Decreto. (2011). Ley Especial de Fomento para las Organizaciones No-Gubernamentales de Desarrollo, Decreto 32/2011. http://www.poderjudicial.gob.hn/CEDIJ/Leyes/Documents/Ley%20Especial%20de%20Fomento%20para%20las%20ONGD%20(1,9mb).PDF</w:t>
      </w:r>
    </w:p>
  </w:footnote>
  <w:footnote w:id="133">
    <w:p w14:paraId="58038085" w14:textId="2DFBC8ED" w:rsidR="00F74A36" w:rsidRPr="007D13F0" w:rsidRDefault="00F74A36" w:rsidP="008C7FAF">
      <w:pPr>
        <w:pStyle w:val="FootnoteText"/>
        <w:rPr>
          <w:lang w:val="es-US"/>
        </w:rPr>
      </w:pPr>
      <w:r w:rsidRPr="00167C47">
        <w:rPr>
          <w:rStyle w:val="FootnoteReference"/>
          <w:rFonts w:ascii="Arial" w:hAnsi="Arial" w:cs="Arial"/>
          <w:sz w:val="18"/>
          <w:szCs w:val="18"/>
        </w:rPr>
        <w:footnoteRef/>
      </w:r>
      <w:r w:rsidRPr="00167C47">
        <w:rPr>
          <w:rFonts w:ascii="Arial" w:hAnsi="Arial" w:cs="Arial"/>
          <w:sz w:val="18"/>
          <w:szCs w:val="18"/>
          <w:lang w:val="es-US"/>
        </w:rPr>
        <w:t xml:space="preserve"> </w:t>
      </w:r>
      <w:r w:rsidRPr="00F95EA2">
        <w:rPr>
          <w:rFonts w:ascii="Arial" w:hAnsi="Arial" w:cs="Arial"/>
          <w:sz w:val="18"/>
          <w:szCs w:val="18"/>
          <w:lang w:val="es-US"/>
        </w:rPr>
        <w:t>Fundación Huésped. (2018). https://www.huesped.org.ar/</w:t>
      </w:r>
    </w:p>
  </w:footnote>
  <w:footnote w:id="134">
    <w:p w14:paraId="362CC31B" w14:textId="77777777" w:rsidR="004F1CBE" w:rsidRPr="00167C47" w:rsidRDefault="004F1CBE" w:rsidP="004F1CBE">
      <w:pPr>
        <w:pStyle w:val="FootnoteText"/>
        <w:rPr>
          <w:rFonts w:ascii="Arial" w:hAnsi="Arial" w:cs="Arial"/>
          <w:sz w:val="18"/>
          <w:szCs w:val="18"/>
          <w:lang w:val="es-MX"/>
        </w:rPr>
      </w:pPr>
      <w:r w:rsidRPr="00167C47">
        <w:rPr>
          <w:rStyle w:val="FootnoteReference"/>
          <w:rFonts w:ascii="Arial" w:hAnsi="Arial" w:cs="Arial"/>
          <w:sz w:val="18"/>
          <w:szCs w:val="18"/>
        </w:rPr>
        <w:footnoteRef/>
      </w:r>
      <w:r w:rsidRPr="00167C47">
        <w:rPr>
          <w:rFonts w:ascii="Arial" w:hAnsi="Arial" w:cs="Arial"/>
          <w:sz w:val="18"/>
          <w:szCs w:val="18"/>
          <w:lang w:val="es-MX"/>
        </w:rPr>
        <w:t xml:space="preserve"> Comisión Nacional de SIDA. (2003). Ley Orgánica de CONASIDA, Decreto 97-2003: Artículo 2. http://congresonacional.hn/wp-content/uploads/2017/10/200397.pdf</w:t>
      </w:r>
    </w:p>
  </w:footnote>
  <w:footnote w:id="135">
    <w:p w14:paraId="6E45C5C9" w14:textId="77777777" w:rsidR="004F1CBE" w:rsidRPr="007372B9" w:rsidRDefault="004F1CBE" w:rsidP="004F1CBE">
      <w:pPr>
        <w:pStyle w:val="FootnoteText"/>
        <w:rPr>
          <w:rFonts w:ascii="Arial" w:hAnsi="Arial" w:cs="Arial"/>
          <w:sz w:val="18"/>
          <w:szCs w:val="18"/>
          <w:lang w:val="es-MX"/>
        </w:rPr>
      </w:pPr>
      <w:r w:rsidRPr="00167C47">
        <w:rPr>
          <w:rStyle w:val="FootnoteReference"/>
          <w:rFonts w:ascii="Arial" w:hAnsi="Arial" w:cs="Arial"/>
          <w:sz w:val="18"/>
          <w:szCs w:val="18"/>
        </w:rPr>
        <w:footnoteRef/>
      </w:r>
      <w:r w:rsidRPr="00167C47">
        <w:rPr>
          <w:rFonts w:ascii="Arial" w:hAnsi="Arial" w:cs="Arial"/>
          <w:sz w:val="18"/>
          <w:szCs w:val="18"/>
          <w:lang w:val="es-MX"/>
        </w:rPr>
        <w:t xml:space="preserve"> Comisión Nacional de SIDA. (2003). Ley Orgánica de CONASIDA, Decreto 97-2003: Artículo 2. http://congresonacional.hn/wp-content/uploads/2017/10/200397.pdf</w:t>
      </w:r>
    </w:p>
  </w:footnote>
  <w:footnote w:id="136">
    <w:p w14:paraId="05C1AE34" w14:textId="77777777" w:rsidR="004F1CBE" w:rsidRDefault="004F1CBE" w:rsidP="004F1CBE">
      <w:pPr>
        <w:pStyle w:val="FootnoteText"/>
        <w:rPr>
          <w:lang w:val="es-MX"/>
        </w:rPr>
      </w:pPr>
      <w:r>
        <w:rPr>
          <w:rStyle w:val="FootnoteReference"/>
        </w:rPr>
        <w:footnoteRef/>
      </w:r>
      <w:r w:rsidRPr="007372B9">
        <w:rPr>
          <w:lang w:val="es-MX"/>
        </w:rPr>
        <w:t xml:space="preserve"> </w:t>
      </w:r>
      <w:r w:rsidRPr="007372B9">
        <w:rPr>
          <w:rFonts w:ascii="Arial" w:hAnsi="Arial" w:cs="Arial"/>
          <w:sz w:val="18"/>
          <w:szCs w:val="18"/>
          <w:lang w:val="es-MX"/>
        </w:rPr>
        <w:t>Portal de Transparencia, SCGG (2019)</w:t>
      </w:r>
    </w:p>
    <w:p w14:paraId="7244AFDE" w14:textId="77777777" w:rsidR="004F1CBE" w:rsidRPr="007372B9" w:rsidRDefault="004F1CBE" w:rsidP="004F1CBE">
      <w:pPr>
        <w:pStyle w:val="FootnoteText"/>
        <w:rPr>
          <w:lang w:val="es-MX"/>
        </w:rPr>
      </w:pPr>
      <w:r w:rsidRPr="007372B9">
        <w:rPr>
          <w:lang w:val="es-MX"/>
        </w:rPr>
        <w:t>http://transparencia.scgg.gob.hn/index.php/estructura-organica-y-servicios/funciones</w:t>
      </w:r>
    </w:p>
  </w:footnote>
  <w:footnote w:id="137">
    <w:p w14:paraId="72A9B715" w14:textId="77777777" w:rsidR="00F74A36" w:rsidRPr="00351635" w:rsidRDefault="00F74A36" w:rsidP="00DE3EB8">
      <w:pPr>
        <w:pStyle w:val="FootnoteText"/>
        <w:rPr>
          <w:rFonts w:ascii="Arial" w:hAnsi="Arial" w:cs="Arial"/>
          <w:sz w:val="18"/>
          <w:szCs w:val="18"/>
        </w:rPr>
      </w:pPr>
      <w:r w:rsidRPr="00167C47">
        <w:rPr>
          <w:rStyle w:val="FootnoteReference"/>
          <w:rFonts w:ascii="Arial" w:hAnsi="Arial" w:cs="Arial"/>
          <w:sz w:val="18"/>
          <w:szCs w:val="18"/>
        </w:rPr>
        <w:footnoteRef/>
      </w:r>
      <w:r w:rsidRPr="00167C47">
        <w:rPr>
          <w:rFonts w:ascii="Arial" w:hAnsi="Arial" w:cs="Arial"/>
          <w:sz w:val="18"/>
          <w:szCs w:val="18"/>
        </w:rPr>
        <w:t xml:space="preserve"> </w:t>
      </w:r>
      <w:r w:rsidRPr="00C036E9">
        <w:rPr>
          <w:rFonts w:ascii="Arial" w:hAnsi="Arial" w:cs="Arial"/>
          <w:sz w:val="18"/>
          <w:szCs w:val="18"/>
        </w:rPr>
        <w:t>Fondo Mundial. (2017). Grant Performance Report: Strengthening the National Response for Health Protection and Promotion in HIV/AIDS with an emphasis on OVC, Honduras. https://www.theglobalfund.org/en/portfolio/country/grant/?k=1085237c-9423-4465-aea5-e8c69103ede0&amp;grant=HND-H-CHF</w:t>
      </w:r>
    </w:p>
  </w:footnote>
  <w:footnote w:id="138">
    <w:p w14:paraId="228A6475" w14:textId="77777777" w:rsidR="00086C1A" w:rsidRPr="00167C47" w:rsidRDefault="00086C1A" w:rsidP="00086C1A">
      <w:pPr>
        <w:pStyle w:val="FootnoteText"/>
        <w:rPr>
          <w:rFonts w:ascii="Arial" w:hAnsi="Arial" w:cs="Arial"/>
          <w:sz w:val="18"/>
          <w:szCs w:val="18"/>
        </w:rPr>
      </w:pPr>
      <w:r w:rsidRPr="00167C47">
        <w:rPr>
          <w:rStyle w:val="FootnoteReference"/>
          <w:rFonts w:ascii="Arial" w:hAnsi="Arial" w:cs="Arial"/>
          <w:sz w:val="18"/>
          <w:szCs w:val="18"/>
        </w:rPr>
        <w:footnoteRef/>
      </w:r>
      <w:r w:rsidRPr="00167C47">
        <w:rPr>
          <w:rFonts w:ascii="Arial" w:hAnsi="Arial" w:cs="Arial"/>
          <w:sz w:val="18"/>
          <w:szCs w:val="18"/>
        </w:rPr>
        <w:t xml:space="preserve"> UNAIDS. (2018). </w:t>
      </w:r>
      <w:r w:rsidRPr="00167C47">
        <w:rPr>
          <w:rFonts w:ascii="Arial" w:hAnsi="Arial" w:cs="Arial"/>
          <w:i/>
          <w:sz w:val="18"/>
          <w:szCs w:val="18"/>
        </w:rPr>
        <w:t>UNAIDS Data 2018</w:t>
      </w:r>
      <w:r w:rsidRPr="00167C47">
        <w:rPr>
          <w:rFonts w:ascii="Arial" w:hAnsi="Arial" w:cs="Arial"/>
          <w:sz w:val="18"/>
          <w:szCs w:val="18"/>
        </w:rPr>
        <w:t xml:space="preserve">. </w:t>
      </w:r>
      <w:r w:rsidRPr="00167C47">
        <w:rPr>
          <w:rFonts w:ascii="Arial" w:hAnsi="Arial" w:cs="Arial"/>
          <w:color w:val="000000"/>
          <w:sz w:val="18"/>
          <w:szCs w:val="18"/>
        </w:rPr>
        <w:t>http://www.unaids.org/sites/default/files/media_asset/unaids-data-2018_en.pdf</w:t>
      </w:r>
    </w:p>
  </w:footnote>
  <w:footnote w:id="139">
    <w:p w14:paraId="323CA662" w14:textId="77777777" w:rsidR="00086C1A" w:rsidRPr="004F56A9" w:rsidRDefault="00086C1A" w:rsidP="00086C1A">
      <w:pPr>
        <w:pStyle w:val="FootnoteText"/>
        <w:rPr>
          <w:lang w:val="es-MX"/>
        </w:rPr>
      </w:pPr>
      <w:r>
        <w:rPr>
          <w:rStyle w:val="FootnoteReference"/>
        </w:rPr>
        <w:footnoteRef/>
      </w:r>
      <w:r w:rsidRPr="004F56A9">
        <w:rPr>
          <w:lang w:val="es-MX"/>
        </w:rPr>
        <w:t xml:space="preserve"> </w:t>
      </w:r>
      <w:r>
        <w:rPr>
          <w:rFonts w:cstheme="minorHAnsi"/>
          <w:color w:val="000000"/>
          <w:lang w:val="es-MX"/>
        </w:rPr>
        <w:t>Ibid.</w:t>
      </w:r>
    </w:p>
  </w:footnote>
  <w:footnote w:id="140">
    <w:p w14:paraId="5BC7DB30" w14:textId="77777777" w:rsidR="00086C1A" w:rsidRPr="004F56A9" w:rsidRDefault="00086C1A" w:rsidP="00086C1A">
      <w:pPr>
        <w:pStyle w:val="FootnoteText"/>
        <w:rPr>
          <w:lang w:val="es-MX"/>
        </w:rPr>
      </w:pPr>
      <w:r>
        <w:rPr>
          <w:rStyle w:val="FootnoteReference"/>
        </w:rPr>
        <w:footnoteRef/>
      </w:r>
      <w:r w:rsidRPr="004F56A9">
        <w:rPr>
          <w:lang w:val="es-MX"/>
        </w:rPr>
        <w:t xml:space="preserve"> </w:t>
      </w:r>
      <w:r>
        <w:rPr>
          <w:rFonts w:cstheme="minorHAnsi"/>
          <w:color w:val="000000"/>
          <w:lang w:val="es-MX"/>
        </w:rPr>
        <w:t>Ibid.</w:t>
      </w:r>
    </w:p>
  </w:footnote>
  <w:footnote w:id="141">
    <w:p w14:paraId="1D309542" w14:textId="77777777" w:rsidR="00086C1A" w:rsidRPr="004F56A9" w:rsidRDefault="00086C1A" w:rsidP="00086C1A">
      <w:pPr>
        <w:pStyle w:val="FootnoteText"/>
        <w:rPr>
          <w:lang w:val="es-MX"/>
        </w:rPr>
      </w:pPr>
      <w:r>
        <w:rPr>
          <w:rStyle w:val="FootnoteReference"/>
        </w:rPr>
        <w:footnoteRef/>
      </w:r>
      <w:r w:rsidRPr="004F56A9">
        <w:rPr>
          <w:lang w:val="es-MX"/>
        </w:rPr>
        <w:t xml:space="preserve"> </w:t>
      </w:r>
      <w:r w:rsidRPr="004962EB">
        <w:rPr>
          <w:lang w:val="es-MX"/>
        </w:rPr>
        <w:t xml:space="preserve">ONUSIDA. (2017). Honduras Factsheet. </w:t>
      </w:r>
      <w:r w:rsidRPr="004F56A9">
        <w:rPr>
          <w:lang w:val="es-MX"/>
        </w:rPr>
        <w:t>http://www.unaids.org/en/regionscountries/countries/honduras</w:t>
      </w:r>
    </w:p>
  </w:footnote>
  <w:footnote w:id="142">
    <w:p w14:paraId="6BDAD021" w14:textId="77777777" w:rsidR="00086C1A" w:rsidRPr="00167C47" w:rsidRDefault="00086C1A" w:rsidP="00086C1A">
      <w:pPr>
        <w:pStyle w:val="FootnoteText"/>
      </w:pPr>
      <w:r>
        <w:rPr>
          <w:rStyle w:val="FootnoteReference"/>
        </w:rPr>
        <w:footnoteRef/>
      </w:r>
      <w:r w:rsidRPr="00167C47">
        <w:t xml:space="preserve"> Ibid.</w:t>
      </w:r>
    </w:p>
  </w:footnote>
  <w:footnote w:id="143">
    <w:p w14:paraId="446F62F2" w14:textId="77777777" w:rsidR="00086C1A" w:rsidRPr="00167C47" w:rsidRDefault="00086C1A" w:rsidP="00086C1A">
      <w:pPr>
        <w:pStyle w:val="FootnoteText"/>
      </w:pPr>
      <w:r>
        <w:rPr>
          <w:rStyle w:val="FootnoteReference"/>
        </w:rPr>
        <w:footnoteRef/>
      </w:r>
      <w:r w:rsidRPr="00167C47">
        <w:t xml:space="preserve"> Ibid.</w:t>
      </w:r>
    </w:p>
  </w:footnote>
  <w:footnote w:id="144">
    <w:p w14:paraId="0033B98E" w14:textId="77777777" w:rsidR="00086C1A" w:rsidRPr="00167C47" w:rsidRDefault="00086C1A" w:rsidP="00086C1A">
      <w:pPr>
        <w:pStyle w:val="FootnoteText"/>
      </w:pPr>
      <w:r>
        <w:rPr>
          <w:rStyle w:val="FootnoteReference"/>
        </w:rPr>
        <w:footnoteRef/>
      </w:r>
      <w:r w:rsidRPr="00167C47">
        <w:t xml:space="preserve"> Ibid.</w:t>
      </w:r>
    </w:p>
  </w:footnote>
  <w:footnote w:id="145">
    <w:p w14:paraId="5B6235AE" w14:textId="77777777" w:rsidR="00086C1A" w:rsidRPr="00167C47" w:rsidRDefault="00086C1A" w:rsidP="00086C1A">
      <w:pPr>
        <w:pStyle w:val="FootnoteText"/>
      </w:pPr>
      <w:r>
        <w:rPr>
          <w:rStyle w:val="FootnoteReference"/>
        </w:rPr>
        <w:footnoteRef/>
      </w:r>
      <w:r w:rsidRPr="00167C47">
        <w:t xml:space="preserve"> </w:t>
      </w:r>
      <w:r w:rsidRPr="00167C47">
        <w:rPr>
          <w:rFonts w:cstheme="minorHAnsi"/>
          <w:color w:val="000000"/>
        </w:rPr>
        <w:t>UNAIDS. (2018). UNAIDS Data 2018. http://www.unaids.org/sites/default/files/media_asset/unaids-data-2018_en.pdf</w:t>
      </w:r>
    </w:p>
  </w:footnote>
  <w:footnote w:id="146">
    <w:p w14:paraId="61B23DC9" w14:textId="77777777" w:rsidR="00086C1A" w:rsidRPr="00167C47" w:rsidRDefault="00086C1A" w:rsidP="00086C1A">
      <w:pPr>
        <w:pStyle w:val="FootnoteText"/>
      </w:pPr>
      <w:r>
        <w:rPr>
          <w:rStyle w:val="FootnoteReference"/>
        </w:rPr>
        <w:footnoteRef/>
      </w:r>
      <w:r w:rsidRPr="00167C47">
        <w:t xml:space="preserve"> </w:t>
      </w:r>
      <w:r w:rsidRPr="00167C47">
        <w:rPr>
          <w:rFonts w:cstheme="minorHAnsi"/>
          <w:color w:val="000000"/>
        </w:rPr>
        <w:t>Ibid.</w:t>
      </w:r>
    </w:p>
  </w:footnote>
  <w:footnote w:id="147">
    <w:p w14:paraId="0DF92DA0" w14:textId="77777777" w:rsidR="00086C1A" w:rsidRPr="00167C47" w:rsidRDefault="00086C1A" w:rsidP="00086C1A">
      <w:pPr>
        <w:pStyle w:val="FootnoteText"/>
      </w:pPr>
      <w:r>
        <w:rPr>
          <w:rStyle w:val="FootnoteReference"/>
        </w:rPr>
        <w:footnoteRef/>
      </w:r>
      <w:r w:rsidRPr="00167C47">
        <w:t xml:space="preserve"> </w:t>
      </w:r>
      <w:r w:rsidRPr="00167C47">
        <w:rPr>
          <w:rFonts w:cstheme="minorHAnsi"/>
          <w:color w:val="000000"/>
        </w:rPr>
        <w:t>Ibid.</w:t>
      </w:r>
    </w:p>
  </w:footnote>
  <w:footnote w:id="148">
    <w:p w14:paraId="2B58124B" w14:textId="77777777" w:rsidR="00086C1A" w:rsidRPr="00167C47" w:rsidRDefault="00086C1A" w:rsidP="00086C1A">
      <w:pPr>
        <w:pStyle w:val="FootnoteText"/>
      </w:pPr>
      <w:r>
        <w:rPr>
          <w:rStyle w:val="FootnoteReference"/>
        </w:rPr>
        <w:footnoteRef/>
      </w:r>
      <w:r w:rsidRPr="00167C47">
        <w:t xml:space="preserve"> </w:t>
      </w:r>
      <w:r w:rsidRPr="00167C47">
        <w:rPr>
          <w:rFonts w:cstheme="minorHAnsi"/>
          <w:color w:val="000000"/>
        </w:rPr>
        <w:t>Ibid.</w:t>
      </w:r>
    </w:p>
  </w:footnote>
  <w:footnote w:id="149">
    <w:p w14:paraId="6CC27F71" w14:textId="77777777" w:rsidR="00086C1A" w:rsidRPr="00167C47" w:rsidRDefault="00086C1A" w:rsidP="00086C1A">
      <w:pPr>
        <w:pStyle w:val="FootnoteText"/>
      </w:pPr>
      <w:r>
        <w:rPr>
          <w:rStyle w:val="FootnoteReference"/>
        </w:rPr>
        <w:footnoteRef/>
      </w:r>
      <w:r w:rsidRPr="00167C47">
        <w:t xml:space="preserve"> </w:t>
      </w:r>
      <w:r w:rsidRPr="00167C47">
        <w:rPr>
          <w:rFonts w:cstheme="minorHAnsi"/>
          <w:color w:val="000000"/>
        </w:rPr>
        <w:t>Ibid.</w:t>
      </w:r>
    </w:p>
  </w:footnote>
  <w:footnote w:id="150">
    <w:p w14:paraId="7C9FF4BA" w14:textId="77777777" w:rsidR="00086C1A" w:rsidRPr="00167C47" w:rsidRDefault="00086C1A" w:rsidP="00086C1A">
      <w:pPr>
        <w:pStyle w:val="FootnoteText"/>
      </w:pPr>
      <w:r>
        <w:rPr>
          <w:rStyle w:val="FootnoteReference"/>
        </w:rPr>
        <w:footnoteRef/>
      </w:r>
      <w:r w:rsidRPr="00167C47">
        <w:t xml:space="preserve"> </w:t>
      </w:r>
      <w:r w:rsidRPr="00167C47">
        <w:rPr>
          <w:rFonts w:cstheme="minorHAnsi"/>
          <w:color w:val="000000"/>
        </w:rPr>
        <w:t>Ibid.</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319D4"/>
    <w:multiLevelType w:val="hybridMultilevel"/>
    <w:tmpl w:val="1D048DDA"/>
    <w:lvl w:ilvl="0" w:tplc="615C6988">
      <w:start w:val="1"/>
      <w:numFmt w:val="bullet"/>
      <w:lvlText w:val="•"/>
      <w:lvlJc w:val="left"/>
      <w:pPr>
        <w:tabs>
          <w:tab w:val="num" w:pos="720"/>
        </w:tabs>
        <w:ind w:left="720" w:hanging="360"/>
      </w:pPr>
      <w:rPr>
        <w:rFonts w:ascii="Arial" w:hAnsi="Arial" w:hint="default"/>
      </w:rPr>
    </w:lvl>
    <w:lvl w:ilvl="1" w:tplc="ED2AF534">
      <w:start w:val="174"/>
      <w:numFmt w:val="bullet"/>
      <w:lvlText w:val="•"/>
      <w:lvlJc w:val="left"/>
      <w:pPr>
        <w:tabs>
          <w:tab w:val="num" w:pos="1440"/>
        </w:tabs>
        <w:ind w:left="1440" w:hanging="360"/>
      </w:pPr>
      <w:rPr>
        <w:rFonts w:ascii="Arial" w:hAnsi="Arial" w:hint="default"/>
      </w:rPr>
    </w:lvl>
    <w:lvl w:ilvl="2" w:tplc="6748D1B8" w:tentative="1">
      <w:start w:val="1"/>
      <w:numFmt w:val="bullet"/>
      <w:lvlText w:val="•"/>
      <w:lvlJc w:val="left"/>
      <w:pPr>
        <w:tabs>
          <w:tab w:val="num" w:pos="2160"/>
        </w:tabs>
        <w:ind w:left="2160" w:hanging="360"/>
      </w:pPr>
      <w:rPr>
        <w:rFonts w:ascii="Arial" w:hAnsi="Arial" w:hint="default"/>
      </w:rPr>
    </w:lvl>
    <w:lvl w:ilvl="3" w:tplc="3E6ACDBC" w:tentative="1">
      <w:start w:val="1"/>
      <w:numFmt w:val="bullet"/>
      <w:lvlText w:val="•"/>
      <w:lvlJc w:val="left"/>
      <w:pPr>
        <w:tabs>
          <w:tab w:val="num" w:pos="2880"/>
        </w:tabs>
        <w:ind w:left="2880" w:hanging="360"/>
      </w:pPr>
      <w:rPr>
        <w:rFonts w:ascii="Arial" w:hAnsi="Arial" w:hint="default"/>
      </w:rPr>
    </w:lvl>
    <w:lvl w:ilvl="4" w:tplc="277658B2" w:tentative="1">
      <w:start w:val="1"/>
      <w:numFmt w:val="bullet"/>
      <w:lvlText w:val="•"/>
      <w:lvlJc w:val="left"/>
      <w:pPr>
        <w:tabs>
          <w:tab w:val="num" w:pos="3600"/>
        </w:tabs>
        <w:ind w:left="3600" w:hanging="360"/>
      </w:pPr>
      <w:rPr>
        <w:rFonts w:ascii="Arial" w:hAnsi="Arial" w:hint="default"/>
      </w:rPr>
    </w:lvl>
    <w:lvl w:ilvl="5" w:tplc="05D633F8" w:tentative="1">
      <w:start w:val="1"/>
      <w:numFmt w:val="bullet"/>
      <w:lvlText w:val="•"/>
      <w:lvlJc w:val="left"/>
      <w:pPr>
        <w:tabs>
          <w:tab w:val="num" w:pos="4320"/>
        </w:tabs>
        <w:ind w:left="4320" w:hanging="360"/>
      </w:pPr>
      <w:rPr>
        <w:rFonts w:ascii="Arial" w:hAnsi="Arial" w:hint="default"/>
      </w:rPr>
    </w:lvl>
    <w:lvl w:ilvl="6" w:tplc="F7B8EA62" w:tentative="1">
      <w:start w:val="1"/>
      <w:numFmt w:val="bullet"/>
      <w:lvlText w:val="•"/>
      <w:lvlJc w:val="left"/>
      <w:pPr>
        <w:tabs>
          <w:tab w:val="num" w:pos="5040"/>
        </w:tabs>
        <w:ind w:left="5040" w:hanging="360"/>
      </w:pPr>
      <w:rPr>
        <w:rFonts w:ascii="Arial" w:hAnsi="Arial" w:hint="default"/>
      </w:rPr>
    </w:lvl>
    <w:lvl w:ilvl="7" w:tplc="4AE83CC0" w:tentative="1">
      <w:start w:val="1"/>
      <w:numFmt w:val="bullet"/>
      <w:lvlText w:val="•"/>
      <w:lvlJc w:val="left"/>
      <w:pPr>
        <w:tabs>
          <w:tab w:val="num" w:pos="5760"/>
        </w:tabs>
        <w:ind w:left="5760" w:hanging="360"/>
      </w:pPr>
      <w:rPr>
        <w:rFonts w:ascii="Arial" w:hAnsi="Arial" w:hint="default"/>
      </w:rPr>
    </w:lvl>
    <w:lvl w:ilvl="8" w:tplc="01E8899A"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7393B1D"/>
    <w:multiLevelType w:val="hybridMultilevel"/>
    <w:tmpl w:val="F02670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99B2FD2"/>
    <w:multiLevelType w:val="hybridMultilevel"/>
    <w:tmpl w:val="789C559E"/>
    <w:lvl w:ilvl="0" w:tplc="04090001">
      <w:start w:val="1"/>
      <w:numFmt w:val="bullet"/>
      <w:lvlText w:val=""/>
      <w:lvlJc w:val="left"/>
      <w:pPr>
        <w:ind w:left="720" w:hanging="360"/>
      </w:pPr>
      <w:rPr>
        <w:rFonts w:ascii="Symbol" w:hAnsi="Symbol"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 w15:restartNumberingAfterBreak="0">
    <w:nsid w:val="09FF216B"/>
    <w:multiLevelType w:val="hybridMultilevel"/>
    <w:tmpl w:val="6B368C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ACE1A24"/>
    <w:multiLevelType w:val="hybridMultilevel"/>
    <w:tmpl w:val="144AAF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54614CE"/>
    <w:multiLevelType w:val="hybridMultilevel"/>
    <w:tmpl w:val="D3D2CFE0"/>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6" w15:restartNumberingAfterBreak="0">
    <w:nsid w:val="275A66F6"/>
    <w:multiLevelType w:val="hybridMultilevel"/>
    <w:tmpl w:val="687E3DBA"/>
    <w:lvl w:ilvl="0" w:tplc="04090001">
      <w:start w:val="1"/>
      <w:numFmt w:val="bullet"/>
      <w:lvlText w:val=""/>
      <w:lvlJc w:val="left"/>
      <w:pPr>
        <w:ind w:left="1080" w:hanging="72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E28602E"/>
    <w:multiLevelType w:val="multilevel"/>
    <w:tmpl w:val="2F0EACF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ECB57FE"/>
    <w:multiLevelType w:val="hybridMultilevel"/>
    <w:tmpl w:val="EB34D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F231DFE"/>
    <w:multiLevelType w:val="hybridMultilevel"/>
    <w:tmpl w:val="BCA20A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0491C6A"/>
    <w:multiLevelType w:val="hybridMultilevel"/>
    <w:tmpl w:val="A530AC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6F506F6"/>
    <w:multiLevelType w:val="hybridMultilevel"/>
    <w:tmpl w:val="872E51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96D5C30"/>
    <w:multiLevelType w:val="hybridMultilevel"/>
    <w:tmpl w:val="B9B85E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BE461FB"/>
    <w:multiLevelType w:val="multilevel"/>
    <w:tmpl w:val="3A36845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3D50708E"/>
    <w:multiLevelType w:val="hybridMultilevel"/>
    <w:tmpl w:val="9A9820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409272F1"/>
    <w:multiLevelType w:val="hybridMultilevel"/>
    <w:tmpl w:val="C60646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42736CD0"/>
    <w:multiLevelType w:val="hybridMultilevel"/>
    <w:tmpl w:val="67A494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46C66999"/>
    <w:multiLevelType w:val="multilevel"/>
    <w:tmpl w:val="AEE89F9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486E6CC8"/>
    <w:multiLevelType w:val="hybridMultilevel"/>
    <w:tmpl w:val="1706AB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A0F5D94"/>
    <w:multiLevelType w:val="multilevel"/>
    <w:tmpl w:val="68CA9FD4"/>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4A392FDA"/>
    <w:multiLevelType w:val="multilevel"/>
    <w:tmpl w:val="FED4ACE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521377E3"/>
    <w:multiLevelType w:val="hybridMultilevel"/>
    <w:tmpl w:val="29AAD8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60F5149"/>
    <w:multiLevelType w:val="hybridMultilevel"/>
    <w:tmpl w:val="2F60CC1C"/>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23" w15:restartNumberingAfterBreak="0">
    <w:nsid w:val="566523F2"/>
    <w:multiLevelType w:val="hybridMultilevel"/>
    <w:tmpl w:val="841C9A70"/>
    <w:lvl w:ilvl="0" w:tplc="496AD718">
      <w:start w:val="1"/>
      <w:numFmt w:val="bullet"/>
      <w:lvlText w:val="•"/>
      <w:lvlJc w:val="left"/>
      <w:pPr>
        <w:tabs>
          <w:tab w:val="num" w:pos="360"/>
        </w:tabs>
        <w:ind w:left="360" w:hanging="360"/>
      </w:pPr>
      <w:rPr>
        <w:rFonts w:ascii="Arial" w:hAnsi="Arial" w:hint="default"/>
      </w:rPr>
    </w:lvl>
    <w:lvl w:ilvl="1" w:tplc="66C61A7C">
      <w:start w:val="1"/>
      <w:numFmt w:val="bullet"/>
      <w:lvlText w:val="•"/>
      <w:lvlJc w:val="left"/>
      <w:pPr>
        <w:tabs>
          <w:tab w:val="num" w:pos="1080"/>
        </w:tabs>
        <w:ind w:left="1080" w:hanging="360"/>
      </w:pPr>
      <w:rPr>
        <w:rFonts w:ascii="Arial" w:hAnsi="Arial" w:hint="default"/>
      </w:rPr>
    </w:lvl>
    <w:lvl w:ilvl="2" w:tplc="7D828262" w:tentative="1">
      <w:start w:val="1"/>
      <w:numFmt w:val="bullet"/>
      <w:lvlText w:val="•"/>
      <w:lvlJc w:val="left"/>
      <w:pPr>
        <w:tabs>
          <w:tab w:val="num" w:pos="1800"/>
        </w:tabs>
        <w:ind w:left="1800" w:hanging="360"/>
      </w:pPr>
      <w:rPr>
        <w:rFonts w:ascii="Arial" w:hAnsi="Arial" w:hint="default"/>
      </w:rPr>
    </w:lvl>
    <w:lvl w:ilvl="3" w:tplc="8AECE92C" w:tentative="1">
      <w:start w:val="1"/>
      <w:numFmt w:val="bullet"/>
      <w:lvlText w:val="•"/>
      <w:lvlJc w:val="left"/>
      <w:pPr>
        <w:tabs>
          <w:tab w:val="num" w:pos="2520"/>
        </w:tabs>
        <w:ind w:left="2520" w:hanging="360"/>
      </w:pPr>
      <w:rPr>
        <w:rFonts w:ascii="Arial" w:hAnsi="Arial" w:hint="default"/>
      </w:rPr>
    </w:lvl>
    <w:lvl w:ilvl="4" w:tplc="E7F075CC" w:tentative="1">
      <w:start w:val="1"/>
      <w:numFmt w:val="bullet"/>
      <w:lvlText w:val="•"/>
      <w:lvlJc w:val="left"/>
      <w:pPr>
        <w:tabs>
          <w:tab w:val="num" w:pos="3240"/>
        </w:tabs>
        <w:ind w:left="3240" w:hanging="360"/>
      </w:pPr>
      <w:rPr>
        <w:rFonts w:ascii="Arial" w:hAnsi="Arial" w:hint="default"/>
      </w:rPr>
    </w:lvl>
    <w:lvl w:ilvl="5" w:tplc="A32650EC" w:tentative="1">
      <w:start w:val="1"/>
      <w:numFmt w:val="bullet"/>
      <w:lvlText w:val="•"/>
      <w:lvlJc w:val="left"/>
      <w:pPr>
        <w:tabs>
          <w:tab w:val="num" w:pos="3960"/>
        </w:tabs>
        <w:ind w:left="3960" w:hanging="360"/>
      </w:pPr>
      <w:rPr>
        <w:rFonts w:ascii="Arial" w:hAnsi="Arial" w:hint="default"/>
      </w:rPr>
    </w:lvl>
    <w:lvl w:ilvl="6" w:tplc="E37A40EC" w:tentative="1">
      <w:start w:val="1"/>
      <w:numFmt w:val="bullet"/>
      <w:lvlText w:val="•"/>
      <w:lvlJc w:val="left"/>
      <w:pPr>
        <w:tabs>
          <w:tab w:val="num" w:pos="4680"/>
        </w:tabs>
        <w:ind w:left="4680" w:hanging="360"/>
      </w:pPr>
      <w:rPr>
        <w:rFonts w:ascii="Arial" w:hAnsi="Arial" w:hint="default"/>
      </w:rPr>
    </w:lvl>
    <w:lvl w:ilvl="7" w:tplc="0A0A9140" w:tentative="1">
      <w:start w:val="1"/>
      <w:numFmt w:val="bullet"/>
      <w:lvlText w:val="•"/>
      <w:lvlJc w:val="left"/>
      <w:pPr>
        <w:tabs>
          <w:tab w:val="num" w:pos="5400"/>
        </w:tabs>
        <w:ind w:left="5400" w:hanging="360"/>
      </w:pPr>
      <w:rPr>
        <w:rFonts w:ascii="Arial" w:hAnsi="Arial" w:hint="default"/>
      </w:rPr>
    </w:lvl>
    <w:lvl w:ilvl="8" w:tplc="BC966D62" w:tentative="1">
      <w:start w:val="1"/>
      <w:numFmt w:val="bullet"/>
      <w:lvlText w:val="•"/>
      <w:lvlJc w:val="left"/>
      <w:pPr>
        <w:tabs>
          <w:tab w:val="num" w:pos="6120"/>
        </w:tabs>
        <w:ind w:left="6120" w:hanging="360"/>
      </w:pPr>
      <w:rPr>
        <w:rFonts w:ascii="Arial" w:hAnsi="Arial" w:hint="default"/>
      </w:rPr>
    </w:lvl>
  </w:abstractNum>
  <w:abstractNum w:abstractNumId="24" w15:restartNumberingAfterBreak="0">
    <w:nsid w:val="56AE1909"/>
    <w:multiLevelType w:val="hybridMultilevel"/>
    <w:tmpl w:val="2EA60F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57326E12"/>
    <w:multiLevelType w:val="hybridMultilevel"/>
    <w:tmpl w:val="CD70C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7DF51E7"/>
    <w:multiLevelType w:val="hybridMultilevel"/>
    <w:tmpl w:val="85242B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7FF215E"/>
    <w:multiLevelType w:val="multilevel"/>
    <w:tmpl w:val="B4D0108C"/>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590C5D83"/>
    <w:multiLevelType w:val="multilevel"/>
    <w:tmpl w:val="8CD66622"/>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59E200CF"/>
    <w:multiLevelType w:val="hybridMultilevel"/>
    <w:tmpl w:val="8474EC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59EA2F24"/>
    <w:multiLevelType w:val="hybridMultilevel"/>
    <w:tmpl w:val="88B047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AD86827"/>
    <w:multiLevelType w:val="hybridMultilevel"/>
    <w:tmpl w:val="E79248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F2E273B"/>
    <w:multiLevelType w:val="hybridMultilevel"/>
    <w:tmpl w:val="6D8293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60F85E72"/>
    <w:multiLevelType w:val="hybridMultilevel"/>
    <w:tmpl w:val="0BAC46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6C635652"/>
    <w:multiLevelType w:val="hybridMultilevel"/>
    <w:tmpl w:val="81783C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092518F"/>
    <w:multiLevelType w:val="hybridMultilevel"/>
    <w:tmpl w:val="6C1866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2AE56F4"/>
    <w:multiLevelType w:val="multilevel"/>
    <w:tmpl w:val="1046BCA4"/>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78DE2C3F"/>
    <w:multiLevelType w:val="multilevel"/>
    <w:tmpl w:val="9FEC994E"/>
    <w:lvl w:ilvl="0">
      <w:start w:val="1"/>
      <w:numFmt w:val="decimal"/>
      <w:lvlText w:val="%1."/>
      <w:lvlJc w:val="left"/>
      <w:pPr>
        <w:ind w:left="360" w:hanging="360"/>
      </w:pPr>
      <w:rPr>
        <w:rFonts w:asciiTheme="majorHAnsi" w:eastAsiaTheme="majorEastAsia" w:hAnsiTheme="majorHAnsi" w:cstheme="majorBidi"/>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8" w15:restartNumberingAfterBreak="0">
    <w:nsid w:val="7ACA674D"/>
    <w:multiLevelType w:val="hybridMultilevel"/>
    <w:tmpl w:val="6D98F6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E222842"/>
    <w:multiLevelType w:val="multilevel"/>
    <w:tmpl w:val="2A1CDD88"/>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37"/>
  </w:num>
  <w:num w:numId="2">
    <w:abstractNumId w:val="18"/>
  </w:num>
  <w:num w:numId="3">
    <w:abstractNumId w:val="8"/>
  </w:num>
  <w:num w:numId="4">
    <w:abstractNumId w:val="22"/>
  </w:num>
  <w:num w:numId="5">
    <w:abstractNumId w:val="1"/>
  </w:num>
  <w:num w:numId="6">
    <w:abstractNumId w:val="15"/>
  </w:num>
  <w:num w:numId="7">
    <w:abstractNumId w:val="10"/>
  </w:num>
  <w:num w:numId="8">
    <w:abstractNumId w:val="33"/>
  </w:num>
  <w:num w:numId="9">
    <w:abstractNumId w:val="5"/>
  </w:num>
  <w:num w:numId="10">
    <w:abstractNumId w:val="6"/>
  </w:num>
  <w:num w:numId="11">
    <w:abstractNumId w:val="34"/>
  </w:num>
  <w:num w:numId="12">
    <w:abstractNumId w:val="12"/>
  </w:num>
  <w:num w:numId="13">
    <w:abstractNumId w:val="17"/>
  </w:num>
  <w:num w:numId="14">
    <w:abstractNumId w:val="20"/>
  </w:num>
  <w:num w:numId="15">
    <w:abstractNumId w:val="13"/>
  </w:num>
  <w:num w:numId="16">
    <w:abstractNumId w:val="2"/>
  </w:num>
  <w:num w:numId="17">
    <w:abstractNumId w:val="28"/>
  </w:num>
  <w:num w:numId="18">
    <w:abstractNumId w:val="7"/>
  </w:num>
  <w:num w:numId="19">
    <w:abstractNumId w:val="39"/>
  </w:num>
  <w:num w:numId="20">
    <w:abstractNumId w:val="19"/>
  </w:num>
  <w:num w:numId="21">
    <w:abstractNumId w:val="21"/>
  </w:num>
  <w:num w:numId="22">
    <w:abstractNumId w:val="31"/>
  </w:num>
  <w:num w:numId="23">
    <w:abstractNumId w:val="23"/>
  </w:num>
  <w:num w:numId="24">
    <w:abstractNumId w:val="0"/>
  </w:num>
  <w:num w:numId="25">
    <w:abstractNumId w:val="38"/>
  </w:num>
  <w:num w:numId="26">
    <w:abstractNumId w:val="32"/>
  </w:num>
  <w:num w:numId="27">
    <w:abstractNumId w:val="29"/>
  </w:num>
  <w:num w:numId="28">
    <w:abstractNumId w:val="24"/>
  </w:num>
  <w:num w:numId="29">
    <w:abstractNumId w:val="4"/>
  </w:num>
  <w:num w:numId="30">
    <w:abstractNumId w:val="16"/>
  </w:num>
  <w:num w:numId="31">
    <w:abstractNumId w:val="11"/>
  </w:num>
  <w:num w:numId="32">
    <w:abstractNumId w:val="14"/>
  </w:num>
  <w:num w:numId="33">
    <w:abstractNumId w:val="3"/>
  </w:num>
  <w:num w:numId="34">
    <w:abstractNumId w:val="9"/>
  </w:num>
  <w:num w:numId="35">
    <w:abstractNumId w:val="25"/>
  </w:num>
  <w:num w:numId="36">
    <w:abstractNumId w:val="26"/>
  </w:num>
  <w:num w:numId="37">
    <w:abstractNumId w:val="36"/>
  </w:num>
  <w:num w:numId="38">
    <w:abstractNumId w:val="35"/>
  </w:num>
  <w:num w:numId="39">
    <w:abstractNumId w:val="30"/>
  </w:num>
  <w:num w:numId="40">
    <w:abstractNumId w:val="27"/>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68BD"/>
    <w:rsid w:val="00001B7D"/>
    <w:rsid w:val="00002628"/>
    <w:rsid w:val="0000264E"/>
    <w:rsid w:val="00002B10"/>
    <w:rsid w:val="00003775"/>
    <w:rsid w:val="00003960"/>
    <w:rsid w:val="00003AF6"/>
    <w:rsid w:val="00003BDE"/>
    <w:rsid w:val="00003FD6"/>
    <w:rsid w:val="00004563"/>
    <w:rsid w:val="00004DE4"/>
    <w:rsid w:val="00005A91"/>
    <w:rsid w:val="00005E73"/>
    <w:rsid w:val="00007C59"/>
    <w:rsid w:val="00010017"/>
    <w:rsid w:val="0001109C"/>
    <w:rsid w:val="00012A93"/>
    <w:rsid w:val="000131FF"/>
    <w:rsid w:val="00015024"/>
    <w:rsid w:val="00016020"/>
    <w:rsid w:val="00016F8C"/>
    <w:rsid w:val="000177CE"/>
    <w:rsid w:val="00020962"/>
    <w:rsid w:val="00020F72"/>
    <w:rsid w:val="00021737"/>
    <w:rsid w:val="00021C6D"/>
    <w:rsid w:val="00021FD9"/>
    <w:rsid w:val="000222E8"/>
    <w:rsid w:val="00022E8C"/>
    <w:rsid w:val="00024496"/>
    <w:rsid w:val="00026368"/>
    <w:rsid w:val="00026975"/>
    <w:rsid w:val="000309D4"/>
    <w:rsid w:val="00031749"/>
    <w:rsid w:val="00034CDB"/>
    <w:rsid w:val="00035DF9"/>
    <w:rsid w:val="00037954"/>
    <w:rsid w:val="000405E1"/>
    <w:rsid w:val="00040B88"/>
    <w:rsid w:val="0004140A"/>
    <w:rsid w:val="000419EE"/>
    <w:rsid w:val="0004265A"/>
    <w:rsid w:val="000477D4"/>
    <w:rsid w:val="00047DF0"/>
    <w:rsid w:val="00050EAE"/>
    <w:rsid w:val="00051576"/>
    <w:rsid w:val="00052A40"/>
    <w:rsid w:val="00054277"/>
    <w:rsid w:val="00054372"/>
    <w:rsid w:val="00054680"/>
    <w:rsid w:val="00054E25"/>
    <w:rsid w:val="00054E79"/>
    <w:rsid w:val="00056B82"/>
    <w:rsid w:val="00056EE5"/>
    <w:rsid w:val="00057158"/>
    <w:rsid w:val="00057525"/>
    <w:rsid w:val="0005793C"/>
    <w:rsid w:val="00061B50"/>
    <w:rsid w:val="00062FFC"/>
    <w:rsid w:val="00063298"/>
    <w:rsid w:val="00063C27"/>
    <w:rsid w:val="00064A8A"/>
    <w:rsid w:val="000663F0"/>
    <w:rsid w:val="000677CE"/>
    <w:rsid w:val="00067EEF"/>
    <w:rsid w:val="00070341"/>
    <w:rsid w:val="0007089C"/>
    <w:rsid w:val="000721BD"/>
    <w:rsid w:val="000721DE"/>
    <w:rsid w:val="000721FA"/>
    <w:rsid w:val="00072230"/>
    <w:rsid w:val="00076647"/>
    <w:rsid w:val="00076E8B"/>
    <w:rsid w:val="00076EC8"/>
    <w:rsid w:val="00076F94"/>
    <w:rsid w:val="0008055F"/>
    <w:rsid w:val="00081047"/>
    <w:rsid w:val="00081170"/>
    <w:rsid w:val="000814B2"/>
    <w:rsid w:val="00082031"/>
    <w:rsid w:val="00082115"/>
    <w:rsid w:val="000826A3"/>
    <w:rsid w:val="00082D10"/>
    <w:rsid w:val="00084228"/>
    <w:rsid w:val="0008433D"/>
    <w:rsid w:val="0008509C"/>
    <w:rsid w:val="0008585E"/>
    <w:rsid w:val="00085C57"/>
    <w:rsid w:val="00086C1A"/>
    <w:rsid w:val="0008722A"/>
    <w:rsid w:val="000916F5"/>
    <w:rsid w:val="00091CD9"/>
    <w:rsid w:val="0009483B"/>
    <w:rsid w:val="00094933"/>
    <w:rsid w:val="00095B8A"/>
    <w:rsid w:val="00096949"/>
    <w:rsid w:val="00097108"/>
    <w:rsid w:val="00097BD9"/>
    <w:rsid w:val="00097EF0"/>
    <w:rsid w:val="000A1C51"/>
    <w:rsid w:val="000A2DA8"/>
    <w:rsid w:val="000A4507"/>
    <w:rsid w:val="000A45F7"/>
    <w:rsid w:val="000A5D05"/>
    <w:rsid w:val="000A65AF"/>
    <w:rsid w:val="000A7AB9"/>
    <w:rsid w:val="000B0050"/>
    <w:rsid w:val="000B09C4"/>
    <w:rsid w:val="000B2145"/>
    <w:rsid w:val="000B4668"/>
    <w:rsid w:val="000B502B"/>
    <w:rsid w:val="000B5ABB"/>
    <w:rsid w:val="000B6569"/>
    <w:rsid w:val="000B6E70"/>
    <w:rsid w:val="000B739B"/>
    <w:rsid w:val="000C02A3"/>
    <w:rsid w:val="000C1134"/>
    <w:rsid w:val="000C53F6"/>
    <w:rsid w:val="000C5B68"/>
    <w:rsid w:val="000C6446"/>
    <w:rsid w:val="000C7C45"/>
    <w:rsid w:val="000C7FEA"/>
    <w:rsid w:val="000D1A28"/>
    <w:rsid w:val="000D3312"/>
    <w:rsid w:val="000D40C6"/>
    <w:rsid w:val="000D4135"/>
    <w:rsid w:val="000D4CB7"/>
    <w:rsid w:val="000D617E"/>
    <w:rsid w:val="000D6C16"/>
    <w:rsid w:val="000D73FA"/>
    <w:rsid w:val="000E1EEA"/>
    <w:rsid w:val="000E4200"/>
    <w:rsid w:val="000E485C"/>
    <w:rsid w:val="000E4E9A"/>
    <w:rsid w:val="000E4ECF"/>
    <w:rsid w:val="000E50B9"/>
    <w:rsid w:val="000E7886"/>
    <w:rsid w:val="000F0CF5"/>
    <w:rsid w:val="000F14EB"/>
    <w:rsid w:val="000F44D7"/>
    <w:rsid w:val="000F5B03"/>
    <w:rsid w:val="000F6CD0"/>
    <w:rsid w:val="000F713D"/>
    <w:rsid w:val="000F7EF7"/>
    <w:rsid w:val="00100BDB"/>
    <w:rsid w:val="00102001"/>
    <w:rsid w:val="001021A6"/>
    <w:rsid w:val="00103258"/>
    <w:rsid w:val="001034AB"/>
    <w:rsid w:val="00105864"/>
    <w:rsid w:val="00107454"/>
    <w:rsid w:val="00107981"/>
    <w:rsid w:val="00107C14"/>
    <w:rsid w:val="00111C90"/>
    <w:rsid w:val="00114092"/>
    <w:rsid w:val="00115CE2"/>
    <w:rsid w:val="00115E82"/>
    <w:rsid w:val="00120C34"/>
    <w:rsid w:val="00120CEF"/>
    <w:rsid w:val="001221A5"/>
    <w:rsid w:val="001227C5"/>
    <w:rsid w:val="001242DD"/>
    <w:rsid w:val="001243F3"/>
    <w:rsid w:val="001246EB"/>
    <w:rsid w:val="001252AC"/>
    <w:rsid w:val="00126389"/>
    <w:rsid w:val="00126826"/>
    <w:rsid w:val="00130036"/>
    <w:rsid w:val="001308EE"/>
    <w:rsid w:val="00131459"/>
    <w:rsid w:val="00131538"/>
    <w:rsid w:val="00134117"/>
    <w:rsid w:val="0013464B"/>
    <w:rsid w:val="00135263"/>
    <w:rsid w:val="00136218"/>
    <w:rsid w:val="0014057B"/>
    <w:rsid w:val="001413C6"/>
    <w:rsid w:val="00142113"/>
    <w:rsid w:val="0014242B"/>
    <w:rsid w:val="00142733"/>
    <w:rsid w:val="00142B22"/>
    <w:rsid w:val="00142B6B"/>
    <w:rsid w:val="001431FF"/>
    <w:rsid w:val="00143377"/>
    <w:rsid w:val="00143481"/>
    <w:rsid w:val="00146166"/>
    <w:rsid w:val="00146238"/>
    <w:rsid w:val="00146CC8"/>
    <w:rsid w:val="00146D27"/>
    <w:rsid w:val="00147AC3"/>
    <w:rsid w:val="00152DC8"/>
    <w:rsid w:val="00153C12"/>
    <w:rsid w:val="001540AF"/>
    <w:rsid w:val="001543CE"/>
    <w:rsid w:val="00154ABB"/>
    <w:rsid w:val="00154BBD"/>
    <w:rsid w:val="00155AF9"/>
    <w:rsid w:val="001608E8"/>
    <w:rsid w:val="00160980"/>
    <w:rsid w:val="00160AFA"/>
    <w:rsid w:val="001615A2"/>
    <w:rsid w:val="00161ABA"/>
    <w:rsid w:val="00161BC4"/>
    <w:rsid w:val="00161FAB"/>
    <w:rsid w:val="00163605"/>
    <w:rsid w:val="00164F50"/>
    <w:rsid w:val="001651BC"/>
    <w:rsid w:val="0016527B"/>
    <w:rsid w:val="00165BAA"/>
    <w:rsid w:val="001670A9"/>
    <w:rsid w:val="00167814"/>
    <w:rsid w:val="00167C47"/>
    <w:rsid w:val="001705AC"/>
    <w:rsid w:val="00170EDC"/>
    <w:rsid w:val="0017225C"/>
    <w:rsid w:val="00172454"/>
    <w:rsid w:val="00172F4D"/>
    <w:rsid w:val="00173331"/>
    <w:rsid w:val="00173590"/>
    <w:rsid w:val="001754BA"/>
    <w:rsid w:val="001759D1"/>
    <w:rsid w:val="00175C05"/>
    <w:rsid w:val="00175E49"/>
    <w:rsid w:val="001804AE"/>
    <w:rsid w:val="00181754"/>
    <w:rsid w:val="0018208C"/>
    <w:rsid w:val="001821D7"/>
    <w:rsid w:val="00182992"/>
    <w:rsid w:val="0018412E"/>
    <w:rsid w:val="0018451C"/>
    <w:rsid w:val="00184FB9"/>
    <w:rsid w:val="001860B4"/>
    <w:rsid w:val="001867C5"/>
    <w:rsid w:val="001868A5"/>
    <w:rsid w:val="00187242"/>
    <w:rsid w:val="001914EF"/>
    <w:rsid w:val="00191992"/>
    <w:rsid w:val="00194E0E"/>
    <w:rsid w:val="001958C2"/>
    <w:rsid w:val="001975A2"/>
    <w:rsid w:val="001A0D6D"/>
    <w:rsid w:val="001A23E9"/>
    <w:rsid w:val="001A2493"/>
    <w:rsid w:val="001A3367"/>
    <w:rsid w:val="001A4751"/>
    <w:rsid w:val="001A4A9D"/>
    <w:rsid w:val="001A4D67"/>
    <w:rsid w:val="001A50C3"/>
    <w:rsid w:val="001A55A0"/>
    <w:rsid w:val="001A5BB6"/>
    <w:rsid w:val="001A5EC7"/>
    <w:rsid w:val="001A6CC7"/>
    <w:rsid w:val="001A75D2"/>
    <w:rsid w:val="001A78C8"/>
    <w:rsid w:val="001A7AC9"/>
    <w:rsid w:val="001A7E16"/>
    <w:rsid w:val="001B1B16"/>
    <w:rsid w:val="001B1EA6"/>
    <w:rsid w:val="001B2F03"/>
    <w:rsid w:val="001B329D"/>
    <w:rsid w:val="001B3343"/>
    <w:rsid w:val="001B3979"/>
    <w:rsid w:val="001B46A5"/>
    <w:rsid w:val="001B4C29"/>
    <w:rsid w:val="001B707D"/>
    <w:rsid w:val="001B72F8"/>
    <w:rsid w:val="001C0409"/>
    <w:rsid w:val="001C097B"/>
    <w:rsid w:val="001C259D"/>
    <w:rsid w:val="001C2A4D"/>
    <w:rsid w:val="001C364B"/>
    <w:rsid w:val="001C3BD7"/>
    <w:rsid w:val="001C501F"/>
    <w:rsid w:val="001C6ABB"/>
    <w:rsid w:val="001C78B1"/>
    <w:rsid w:val="001D262D"/>
    <w:rsid w:val="001D2789"/>
    <w:rsid w:val="001D38CE"/>
    <w:rsid w:val="001D398B"/>
    <w:rsid w:val="001D3BA0"/>
    <w:rsid w:val="001D449F"/>
    <w:rsid w:val="001D450D"/>
    <w:rsid w:val="001D455A"/>
    <w:rsid w:val="001D5849"/>
    <w:rsid w:val="001D6CB6"/>
    <w:rsid w:val="001D71A0"/>
    <w:rsid w:val="001E0B1E"/>
    <w:rsid w:val="001E3112"/>
    <w:rsid w:val="001E3207"/>
    <w:rsid w:val="001E46EE"/>
    <w:rsid w:val="001E51E6"/>
    <w:rsid w:val="001E528E"/>
    <w:rsid w:val="001E5DBE"/>
    <w:rsid w:val="001E618D"/>
    <w:rsid w:val="001F0021"/>
    <w:rsid w:val="001F1B08"/>
    <w:rsid w:val="001F202C"/>
    <w:rsid w:val="001F4769"/>
    <w:rsid w:val="001F537F"/>
    <w:rsid w:val="001F6642"/>
    <w:rsid w:val="00200048"/>
    <w:rsid w:val="00202035"/>
    <w:rsid w:val="00202C69"/>
    <w:rsid w:val="002062CD"/>
    <w:rsid w:val="00206A16"/>
    <w:rsid w:val="00210051"/>
    <w:rsid w:val="00210ADA"/>
    <w:rsid w:val="00212AF7"/>
    <w:rsid w:val="00212CB8"/>
    <w:rsid w:val="00212D98"/>
    <w:rsid w:val="00213BBD"/>
    <w:rsid w:val="002146EA"/>
    <w:rsid w:val="00216411"/>
    <w:rsid w:val="00221929"/>
    <w:rsid w:val="002221D8"/>
    <w:rsid w:val="002238A9"/>
    <w:rsid w:val="00223E16"/>
    <w:rsid w:val="00224D9D"/>
    <w:rsid w:val="00224F0E"/>
    <w:rsid w:val="0022535F"/>
    <w:rsid w:val="00227E7A"/>
    <w:rsid w:val="002331A7"/>
    <w:rsid w:val="002331C2"/>
    <w:rsid w:val="00233D9B"/>
    <w:rsid w:val="002344AA"/>
    <w:rsid w:val="00234A30"/>
    <w:rsid w:val="002378F4"/>
    <w:rsid w:val="00237B2B"/>
    <w:rsid w:val="00237B71"/>
    <w:rsid w:val="002400D9"/>
    <w:rsid w:val="00240BBB"/>
    <w:rsid w:val="00240F83"/>
    <w:rsid w:val="00241487"/>
    <w:rsid w:val="0024523D"/>
    <w:rsid w:val="002466B4"/>
    <w:rsid w:val="00247B7A"/>
    <w:rsid w:val="00247D0C"/>
    <w:rsid w:val="00250988"/>
    <w:rsid w:val="0025235C"/>
    <w:rsid w:val="002526D9"/>
    <w:rsid w:val="00253373"/>
    <w:rsid w:val="002534BE"/>
    <w:rsid w:val="00253D6F"/>
    <w:rsid w:val="00254B8C"/>
    <w:rsid w:val="0025598F"/>
    <w:rsid w:val="00257534"/>
    <w:rsid w:val="002611C3"/>
    <w:rsid w:val="00261532"/>
    <w:rsid w:val="00262E56"/>
    <w:rsid w:val="002644DE"/>
    <w:rsid w:val="00264501"/>
    <w:rsid w:val="00264837"/>
    <w:rsid w:val="00265F66"/>
    <w:rsid w:val="00270758"/>
    <w:rsid w:val="00271779"/>
    <w:rsid w:val="00272C37"/>
    <w:rsid w:val="00274360"/>
    <w:rsid w:val="00275626"/>
    <w:rsid w:val="00275BDD"/>
    <w:rsid w:val="00277225"/>
    <w:rsid w:val="0027744A"/>
    <w:rsid w:val="00277A8C"/>
    <w:rsid w:val="00277CDE"/>
    <w:rsid w:val="00280A00"/>
    <w:rsid w:val="00280F5D"/>
    <w:rsid w:val="0028116B"/>
    <w:rsid w:val="002814EA"/>
    <w:rsid w:val="002815AD"/>
    <w:rsid w:val="002841D7"/>
    <w:rsid w:val="002851FB"/>
    <w:rsid w:val="002859BF"/>
    <w:rsid w:val="00286560"/>
    <w:rsid w:val="00286B06"/>
    <w:rsid w:val="00293C5D"/>
    <w:rsid w:val="00293F3F"/>
    <w:rsid w:val="00293F84"/>
    <w:rsid w:val="002945CC"/>
    <w:rsid w:val="00295E76"/>
    <w:rsid w:val="00297DAB"/>
    <w:rsid w:val="002A12B5"/>
    <w:rsid w:val="002A12C7"/>
    <w:rsid w:val="002A37A3"/>
    <w:rsid w:val="002A3F15"/>
    <w:rsid w:val="002A4FF0"/>
    <w:rsid w:val="002A7672"/>
    <w:rsid w:val="002B0F09"/>
    <w:rsid w:val="002B149C"/>
    <w:rsid w:val="002B1D7E"/>
    <w:rsid w:val="002B2153"/>
    <w:rsid w:val="002B249B"/>
    <w:rsid w:val="002B2EBD"/>
    <w:rsid w:val="002B326B"/>
    <w:rsid w:val="002B4065"/>
    <w:rsid w:val="002B6552"/>
    <w:rsid w:val="002B69D1"/>
    <w:rsid w:val="002B7610"/>
    <w:rsid w:val="002B7C7B"/>
    <w:rsid w:val="002C005D"/>
    <w:rsid w:val="002C0B48"/>
    <w:rsid w:val="002C1B4E"/>
    <w:rsid w:val="002C1D50"/>
    <w:rsid w:val="002C1F51"/>
    <w:rsid w:val="002C55BF"/>
    <w:rsid w:val="002C57D4"/>
    <w:rsid w:val="002C5E67"/>
    <w:rsid w:val="002C62F0"/>
    <w:rsid w:val="002C713F"/>
    <w:rsid w:val="002C7AE0"/>
    <w:rsid w:val="002D01D3"/>
    <w:rsid w:val="002D03DB"/>
    <w:rsid w:val="002D1040"/>
    <w:rsid w:val="002D2654"/>
    <w:rsid w:val="002D26C8"/>
    <w:rsid w:val="002D2F20"/>
    <w:rsid w:val="002D41E0"/>
    <w:rsid w:val="002D59E4"/>
    <w:rsid w:val="002D6021"/>
    <w:rsid w:val="002D6D2F"/>
    <w:rsid w:val="002D7D80"/>
    <w:rsid w:val="002D7DBA"/>
    <w:rsid w:val="002E051E"/>
    <w:rsid w:val="002E1318"/>
    <w:rsid w:val="002E1750"/>
    <w:rsid w:val="002E3168"/>
    <w:rsid w:val="002E31F7"/>
    <w:rsid w:val="002E32C3"/>
    <w:rsid w:val="002E4B6D"/>
    <w:rsid w:val="002E4F55"/>
    <w:rsid w:val="002E6B85"/>
    <w:rsid w:val="002E7D04"/>
    <w:rsid w:val="002F0E5C"/>
    <w:rsid w:val="002F1A2E"/>
    <w:rsid w:val="002F3189"/>
    <w:rsid w:val="002F37B7"/>
    <w:rsid w:val="002F5DD5"/>
    <w:rsid w:val="002F7044"/>
    <w:rsid w:val="00300B37"/>
    <w:rsid w:val="00300E59"/>
    <w:rsid w:val="003014BC"/>
    <w:rsid w:val="00301DAA"/>
    <w:rsid w:val="00302A33"/>
    <w:rsid w:val="00304189"/>
    <w:rsid w:val="0030475D"/>
    <w:rsid w:val="00304CEE"/>
    <w:rsid w:val="00306C94"/>
    <w:rsid w:val="003114FB"/>
    <w:rsid w:val="00312F17"/>
    <w:rsid w:val="003145FE"/>
    <w:rsid w:val="00315015"/>
    <w:rsid w:val="0031591D"/>
    <w:rsid w:val="0032058F"/>
    <w:rsid w:val="003227EB"/>
    <w:rsid w:val="0032391B"/>
    <w:rsid w:val="00324872"/>
    <w:rsid w:val="00324882"/>
    <w:rsid w:val="00326203"/>
    <w:rsid w:val="00326560"/>
    <w:rsid w:val="00327E87"/>
    <w:rsid w:val="00330D6B"/>
    <w:rsid w:val="00332CC3"/>
    <w:rsid w:val="00332DF5"/>
    <w:rsid w:val="003342B6"/>
    <w:rsid w:val="00335BDE"/>
    <w:rsid w:val="0033640D"/>
    <w:rsid w:val="0033681E"/>
    <w:rsid w:val="003369E4"/>
    <w:rsid w:val="003375A2"/>
    <w:rsid w:val="00343D0E"/>
    <w:rsid w:val="00344918"/>
    <w:rsid w:val="00344F76"/>
    <w:rsid w:val="0034529F"/>
    <w:rsid w:val="00346042"/>
    <w:rsid w:val="00350D0D"/>
    <w:rsid w:val="00350E28"/>
    <w:rsid w:val="00351635"/>
    <w:rsid w:val="003525F0"/>
    <w:rsid w:val="00354D0A"/>
    <w:rsid w:val="00355798"/>
    <w:rsid w:val="00356D2F"/>
    <w:rsid w:val="00360C88"/>
    <w:rsid w:val="003614B4"/>
    <w:rsid w:val="00361DE4"/>
    <w:rsid w:val="00362CB8"/>
    <w:rsid w:val="0036324A"/>
    <w:rsid w:val="00363BCC"/>
    <w:rsid w:val="003646C9"/>
    <w:rsid w:val="0036555F"/>
    <w:rsid w:val="00365FF3"/>
    <w:rsid w:val="00366BDA"/>
    <w:rsid w:val="003702A0"/>
    <w:rsid w:val="00370D44"/>
    <w:rsid w:val="00371CB4"/>
    <w:rsid w:val="00374A23"/>
    <w:rsid w:val="00374B90"/>
    <w:rsid w:val="00375A6D"/>
    <w:rsid w:val="00375BFB"/>
    <w:rsid w:val="0037636B"/>
    <w:rsid w:val="00376B95"/>
    <w:rsid w:val="00376F9F"/>
    <w:rsid w:val="0038033B"/>
    <w:rsid w:val="00380407"/>
    <w:rsid w:val="00381A87"/>
    <w:rsid w:val="00381D45"/>
    <w:rsid w:val="003821A7"/>
    <w:rsid w:val="00382544"/>
    <w:rsid w:val="00382A37"/>
    <w:rsid w:val="00382AAD"/>
    <w:rsid w:val="00383CF7"/>
    <w:rsid w:val="003841DA"/>
    <w:rsid w:val="003854AA"/>
    <w:rsid w:val="003857D1"/>
    <w:rsid w:val="00392514"/>
    <w:rsid w:val="00392DF1"/>
    <w:rsid w:val="00392E34"/>
    <w:rsid w:val="003935F4"/>
    <w:rsid w:val="003939DB"/>
    <w:rsid w:val="003940A2"/>
    <w:rsid w:val="00395B8C"/>
    <w:rsid w:val="003976DF"/>
    <w:rsid w:val="00397ADD"/>
    <w:rsid w:val="003A02AF"/>
    <w:rsid w:val="003A199F"/>
    <w:rsid w:val="003A324D"/>
    <w:rsid w:val="003A3967"/>
    <w:rsid w:val="003A3A61"/>
    <w:rsid w:val="003A5EA7"/>
    <w:rsid w:val="003A6FD0"/>
    <w:rsid w:val="003B1623"/>
    <w:rsid w:val="003B2CCA"/>
    <w:rsid w:val="003B345F"/>
    <w:rsid w:val="003B667B"/>
    <w:rsid w:val="003B6CCB"/>
    <w:rsid w:val="003C0C77"/>
    <w:rsid w:val="003C0E65"/>
    <w:rsid w:val="003C145A"/>
    <w:rsid w:val="003C23FF"/>
    <w:rsid w:val="003C4CB0"/>
    <w:rsid w:val="003C5655"/>
    <w:rsid w:val="003C7FAC"/>
    <w:rsid w:val="003C7FFB"/>
    <w:rsid w:val="003D0481"/>
    <w:rsid w:val="003D1F74"/>
    <w:rsid w:val="003D4013"/>
    <w:rsid w:val="003D4371"/>
    <w:rsid w:val="003D5B26"/>
    <w:rsid w:val="003D6A77"/>
    <w:rsid w:val="003D7C92"/>
    <w:rsid w:val="003D7E58"/>
    <w:rsid w:val="003E229E"/>
    <w:rsid w:val="003E22A5"/>
    <w:rsid w:val="003E2861"/>
    <w:rsid w:val="003E3029"/>
    <w:rsid w:val="003E383C"/>
    <w:rsid w:val="003E3AF1"/>
    <w:rsid w:val="003E4F4B"/>
    <w:rsid w:val="003E580A"/>
    <w:rsid w:val="003E61E2"/>
    <w:rsid w:val="003E6729"/>
    <w:rsid w:val="003E6C7B"/>
    <w:rsid w:val="003F1513"/>
    <w:rsid w:val="003F1FED"/>
    <w:rsid w:val="003F64B1"/>
    <w:rsid w:val="003F704E"/>
    <w:rsid w:val="00401B3C"/>
    <w:rsid w:val="00401C2A"/>
    <w:rsid w:val="00401C4F"/>
    <w:rsid w:val="00401CC6"/>
    <w:rsid w:val="00402B17"/>
    <w:rsid w:val="00402CE7"/>
    <w:rsid w:val="0040358E"/>
    <w:rsid w:val="0040422C"/>
    <w:rsid w:val="004044B6"/>
    <w:rsid w:val="00405253"/>
    <w:rsid w:val="00407A6E"/>
    <w:rsid w:val="004102AA"/>
    <w:rsid w:val="00411041"/>
    <w:rsid w:val="004115C4"/>
    <w:rsid w:val="00411AB7"/>
    <w:rsid w:val="00411F5B"/>
    <w:rsid w:val="00413286"/>
    <w:rsid w:val="004168F5"/>
    <w:rsid w:val="00416965"/>
    <w:rsid w:val="004176FA"/>
    <w:rsid w:val="00417D49"/>
    <w:rsid w:val="00420D0B"/>
    <w:rsid w:val="00421144"/>
    <w:rsid w:val="004217BC"/>
    <w:rsid w:val="00421D13"/>
    <w:rsid w:val="0042227F"/>
    <w:rsid w:val="004227E6"/>
    <w:rsid w:val="00422810"/>
    <w:rsid w:val="0042290E"/>
    <w:rsid w:val="00425058"/>
    <w:rsid w:val="0042581C"/>
    <w:rsid w:val="00431877"/>
    <w:rsid w:val="00431C9A"/>
    <w:rsid w:val="0043268F"/>
    <w:rsid w:val="004326C6"/>
    <w:rsid w:val="00432750"/>
    <w:rsid w:val="004327B6"/>
    <w:rsid w:val="0043280E"/>
    <w:rsid w:val="004328EB"/>
    <w:rsid w:val="00432DA7"/>
    <w:rsid w:val="004332FD"/>
    <w:rsid w:val="004342C1"/>
    <w:rsid w:val="00434F18"/>
    <w:rsid w:val="00434F22"/>
    <w:rsid w:val="00435B45"/>
    <w:rsid w:val="00435F30"/>
    <w:rsid w:val="00436CCC"/>
    <w:rsid w:val="00437242"/>
    <w:rsid w:val="00437BD5"/>
    <w:rsid w:val="00441517"/>
    <w:rsid w:val="0044171F"/>
    <w:rsid w:val="0044279D"/>
    <w:rsid w:val="004448FD"/>
    <w:rsid w:val="004460EC"/>
    <w:rsid w:val="00446366"/>
    <w:rsid w:val="00446518"/>
    <w:rsid w:val="0044685C"/>
    <w:rsid w:val="00447D63"/>
    <w:rsid w:val="00450632"/>
    <w:rsid w:val="004514B7"/>
    <w:rsid w:val="004516D0"/>
    <w:rsid w:val="00452147"/>
    <w:rsid w:val="0045246F"/>
    <w:rsid w:val="0045249D"/>
    <w:rsid w:val="0045397F"/>
    <w:rsid w:val="00453FDC"/>
    <w:rsid w:val="004550F9"/>
    <w:rsid w:val="00455D0E"/>
    <w:rsid w:val="004562E7"/>
    <w:rsid w:val="004573CF"/>
    <w:rsid w:val="00457F71"/>
    <w:rsid w:val="0046096B"/>
    <w:rsid w:val="00460CA1"/>
    <w:rsid w:val="00463FB5"/>
    <w:rsid w:val="00464144"/>
    <w:rsid w:val="00464B5B"/>
    <w:rsid w:val="00466C37"/>
    <w:rsid w:val="0046701E"/>
    <w:rsid w:val="00467A19"/>
    <w:rsid w:val="004707FB"/>
    <w:rsid w:val="00471414"/>
    <w:rsid w:val="004715BA"/>
    <w:rsid w:val="00472DD6"/>
    <w:rsid w:val="00473611"/>
    <w:rsid w:val="00473E4E"/>
    <w:rsid w:val="0047580F"/>
    <w:rsid w:val="00475B34"/>
    <w:rsid w:val="004760D7"/>
    <w:rsid w:val="00476295"/>
    <w:rsid w:val="00476388"/>
    <w:rsid w:val="00476C43"/>
    <w:rsid w:val="00476E19"/>
    <w:rsid w:val="00477746"/>
    <w:rsid w:val="00480C4E"/>
    <w:rsid w:val="004811A0"/>
    <w:rsid w:val="00482517"/>
    <w:rsid w:val="00482EE3"/>
    <w:rsid w:val="0048328B"/>
    <w:rsid w:val="00483C76"/>
    <w:rsid w:val="00484A83"/>
    <w:rsid w:val="0048574E"/>
    <w:rsid w:val="00485C4A"/>
    <w:rsid w:val="00485DF1"/>
    <w:rsid w:val="0048676F"/>
    <w:rsid w:val="00486B96"/>
    <w:rsid w:val="00491314"/>
    <w:rsid w:val="00492779"/>
    <w:rsid w:val="0049366D"/>
    <w:rsid w:val="004939F6"/>
    <w:rsid w:val="004962EB"/>
    <w:rsid w:val="00496C79"/>
    <w:rsid w:val="004A0852"/>
    <w:rsid w:val="004A21CB"/>
    <w:rsid w:val="004A3B05"/>
    <w:rsid w:val="004A4A91"/>
    <w:rsid w:val="004A59EE"/>
    <w:rsid w:val="004A5EB5"/>
    <w:rsid w:val="004A6764"/>
    <w:rsid w:val="004A7018"/>
    <w:rsid w:val="004A73EC"/>
    <w:rsid w:val="004B182D"/>
    <w:rsid w:val="004B31B3"/>
    <w:rsid w:val="004B3F2C"/>
    <w:rsid w:val="004B4F7A"/>
    <w:rsid w:val="004B57EE"/>
    <w:rsid w:val="004B5C6D"/>
    <w:rsid w:val="004B6BFF"/>
    <w:rsid w:val="004B773E"/>
    <w:rsid w:val="004B77E0"/>
    <w:rsid w:val="004B7BAE"/>
    <w:rsid w:val="004C0C04"/>
    <w:rsid w:val="004C1AA3"/>
    <w:rsid w:val="004C1B4A"/>
    <w:rsid w:val="004C1C3C"/>
    <w:rsid w:val="004C2B04"/>
    <w:rsid w:val="004C6C9B"/>
    <w:rsid w:val="004C7BD4"/>
    <w:rsid w:val="004D14CB"/>
    <w:rsid w:val="004D34AE"/>
    <w:rsid w:val="004D3729"/>
    <w:rsid w:val="004D54F9"/>
    <w:rsid w:val="004D609E"/>
    <w:rsid w:val="004D71CA"/>
    <w:rsid w:val="004E096A"/>
    <w:rsid w:val="004E12AD"/>
    <w:rsid w:val="004E2F6B"/>
    <w:rsid w:val="004E3144"/>
    <w:rsid w:val="004E3774"/>
    <w:rsid w:val="004E412F"/>
    <w:rsid w:val="004E4194"/>
    <w:rsid w:val="004E4805"/>
    <w:rsid w:val="004E4898"/>
    <w:rsid w:val="004E495A"/>
    <w:rsid w:val="004E5050"/>
    <w:rsid w:val="004E51C4"/>
    <w:rsid w:val="004E580D"/>
    <w:rsid w:val="004E5F27"/>
    <w:rsid w:val="004E6495"/>
    <w:rsid w:val="004E65F5"/>
    <w:rsid w:val="004E6D60"/>
    <w:rsid w:val="004E6E74"/>
    <w:rsid w:val="004E6FB3"/>
    <w:rsid w:val="004F0CE9"/>
    <w:rsid w:val="004F1566"/>
    <w:rsid w:val="004F1902"/>
    <w:rsid w:val="004F1CBE"/>
    <w:rsid w:val="004F1F45"/>
    <w:rsid w:val="004F2526"/>
    <w:rsid w:val="004F2595"/>
    <w:rsid w:val="004F56A9"/>
    <w:rsid w:val="00502165"/>
    <w:rsid w:val="00502567"/>
    <w:rsid w:val="005032DB"/>
    <w:rsid w:val="0050342A"/>
    <w:rsid w:val="00504014"/>
    <w:rsid w:val="005061D9"/>
    <w:rsid w:val="00506665"/>
    <w:rsid w:val="00507011"/>
    <w:rsid w:val="00507890"/>
    <w:rsid w:val="005079AD"/>
    <w:rsid w:val="00515A73"/>
    <w:rsid w:val="00515F36"/>
    <w:rsid w:val="00517147"/>
    <w:rsid w:val="005178A0"/>
    <w:rsid w:val="00517AD3"/>
    <w:rsid w:val="005209A7"/>
    <w:rsid w:val="00520AD3"/>
    <w:rsid w:val="00521D30"/>
    <w:rsid w:val="00522B6F"/>
    <w:rsid w:val="00522DF4"/>
    <w:rsid w:val="00523B93"/>
    <w:rsid w:val="0052620B"/>
    <w:rsid w:val="0052660B"/>
    <w:rsid w:val="005300A4"/>
    <w:rsid w:val="00530EA3"/>
    <w:rsid w:val="0053287A"/>
    <w:rsid w:val="00533430"/>
    <w:rsid w:val="00533562"/>
    <w:rsid w:val="00536E76"/>
    <w:rsid w:val="0053764B"/>
    <w:rsid w:val="00540347"/>
    <w:rsid w:val="00540726"/>
    <w:rsid w:val="00540837"/>
    <w:rsid w:val="00540DEC"/>
    <w:rsid w:val="00541757"/>
    <w:rsid w:val="005419A3"/>
    <w:rsid w:val="00543175"/>
    <w:rsid w:val="00544095"/>
    <w:rsid w:val="005442E6"/>
    <w:rsid w:val="0054549E"/>
    <w:rsid w:val="00545B53"/>
    <w:rsid w:val="005472A8"/>
    <w:rsid w:val="00550DE0"/>
    <w:rsid w:val="00553F03"/>
    <w:rsid w:val="0055641D"/>
    <w:rsid w:val="00556578"/>
    <w:rsid w:val="005569DF"/>
    <w:rsid w:val="005579C6"/>
    <w:rsid w:val="00560791"/>
    <w:rsid w:val="00560AB8"/>
    <w:rsid w:val="00560DAF"/>
    <w:rsid w:val="00561B33"/>
    <w:rsid w:val="0056228B"/>
    <w:rsid w:val="005629C2"/>
    <w:rsid w:val="00562A34"/>
    <w:rsid w:val="00562E27"/>
    <w:rsid w:val="00563600"/>
    <w:rsid w:val="00563D48"/>
    <w:rsid w:val="00567A2B"/>
    <w:rsid w:val="00570173"/>
    <w:rsid w:val="00571F29"/>
    <w:rsid w:val="00572613"/>
    <w:rsid w:val="005726AA"/>
    <w:rsid w:val="005727C6"/>
    <w:rsid w:val="00572907"/>
    <w:rsid w:val="00572A5B"/>
    <w:rsid w:val="005731DA"/>
    <w:rsid w:val="0057543E"/>
    <w:rsid w:val="0058095D"/>
    <w:rsid w:val="00582E2F"/>
    <w:rsid w:val="00582E35"/>
    <w:rsid w:val="005836E4"/>
    <w:rsid w:val="005838C3"/>
    <w:rsid w:val="00584AA9"/>
    <w:rsid w:val="00584DC2"/>
    <w:rsid w:val="00586A89"/>
    <w:rsid w:val="00586D39"/>
    <w:rsid w:val="0058719A"/>
    <w:rsid w:val="005876A1"/>
    <w:rsid w:val="00590D2A"/>
    <w:rsid w:val="005919CF"/>
    <w:rsid w:val="00591D5A"/>
    <w:rsid w:val="00591FD1"/>
    <w:rsid w:val="00592AEF"/>
    <w:rsid w:val="0059305F"/>
    <w:rsid w:val="00593101"/>
    <w:rsid w:val="00593F3B"/>
    <w:rsid w:val="0059440A"/>
    <w:rsid w:val="00595D4E"/>
    <w:rsid w:val="00595F12"/>
    <w:rsid w:val="005964A1"/>
    <w:rsid w:val="00596852"/>
    <w:rsid w:val="00596C87"/>
    <w:rsid w:val="005A0F49"/>
    <w:rsid w:val="005A15B0"/>
    <w:rsid w:val="005A1CB7"/>
    <w:rsid w:val="005A3130"/>
    <w:rsid w:val="005A3360"/>
    <w:rsid w:val="005A338E"/>
    <w:rsid w:val="005A43B4"/>
    <w:rsid w:val="005A46E5"/>
    <w:rsid w:val="005A488F"/>
    <w:rsid w:val="005A7650"/>
    <w:rsid w:val="005A7A45"/>
    <w:rsid w:val="005B066F"/>
    <w:rsid w:val="005B0D9F"/>
    <w:rsid w:val="005B13C9"/>
    <w:rsid w:val="005B17CB"/>
    <w:rsid w:val="005B2657"/>
    <w:rsid w:val="005B31BB"/>
    <w:rsid w:val="005B354B"/>
    <w:rsid w:val="005B3664"/>
    <w:rsid w:val="005B3A80"/>
    <w:rsid w:val="005B3AF5"/>
    <w:rsid w:val="005B54B4"/>
    <w:rsid w:val="005B5F84"/>
    <w:rsid w:val="005B6989"/>
    <w:rsid w:val="005B79FD"/>
    <w:rsid w:val="005C09D5"/>
    <w:rsid w:val="005C15AE"/>
    <w:rsid w:val="005C2BF7"/>
    <w:rsid w:val="005C3C4C"/>
    <w:rsid w:val="005C4295"/>
    <w:rsid w:val="005C47D2"/>
    <w:rsid w:val="005C504D"/>
    <w:rsid w:val="005C544B"/>
    <w:rsid w:val="005C54E8"/>
    <w:rsid w:val="005C5EBE"/>
    <w:rsid w:val="005C5F15"/>
    <w:rsid w:val="005D126F"/>
    <w:rsid w:val="005D1AAD"/>
    <w:rsid w:val="005D1E38"/>
    <w:rsid w:val="005D2274"/>
    <w:rsid w:val="005D2B46"/>
    <w:rsid w:val="005D670D"/>
    <w:rsid w:val="005D6EE6"/>
    <w:rsid w:val="005E142F"/>
    <w:rsid w:val="005E25E1"/>
    <w:rsid w:val="005E273C"/>
    <w:rsid w:val="005E285C"/>
    <w:rsid w:val="005E2904"/>
    <w:rsid w:val="005E2994"/>
    <w:rsid w:val="005E2B4F"/>
    <w:rsid w:val="005E2B94"/>
    <w:rsid w:val="005E3958"/>
    <w:rsid w:val="005E53F7"/>
    <w:rsid w:val="005E572A"/>
    <w:rsid w:val="005E780F"/>
    <w:rsid w:val="005E7CD3"/>
    <w:rsid w:val="005F0C34"/>
    <w:rsid w:val="005F366C"/>
    <w:rsid w:val="005F4042"/>
    <w:rsid w:val="005F5066"/>
    <w:rsid w:val="005F5268"/>
    <w:rsid w:val="005F5F54"/>
    <w:rsid w:val="005F6BA6"/>
    <w:rsid w:val="005F7128"/>
    <w:rsid w:val="006002BF"/>
    <w:rsid w:val="00600951"/>
    <w:rsid w:val="00600E27"/>
    <w:rsid w:val="00601709"/>
    <w:rsid w:val="006023ED"/>
    <w:rsid w:val="0060413A"/>
    <w:rsid w:val="006053C1"/>
    <w:rsid w:val="0060561E"/>
    <w:rsid w:val="00605682"/>
    <w:rsid w:val="006068F2"/>
    <w:rsid w:val="0060726E"/>
    <w:rsid w:val="00607AB5"/>
    <w:rsid w:val="006106BA"/>
    <w:rsid w:val="00612E59"/>
    <w:rsid w:val="00614D8D"/>
    <w:rsid w:val="0061525C"/>
    <w:rsid w:val="00615DA9"/>
    <w:rsid w:val="00616A8D"/>
    <w:rsid w:val="00617548"/>
    <w:rsid w:val="00622C9E"/>
    <w:rsid w:val="006238B5"/>
    <w:rsid w:val="00627183"/>
    <w:rsid w:val="00630C6D"/>
    <w:rsid w:val="00630DDA"/>
    <w:rsid w:val="006311F0"/>
    <w:rsid w:val="00631A14"/>
    <w:rsid w:val="00631F1C"/>
    <w:rsid w:val="00632A76"/>
    <w:rsid w:val="006336F9"/>
    <w:rsid w:val="0063397D"/>
    <w:rsid w:val="00635DB1"/>
    <w:rsid w:val="00635E8E"/>
    <w:rsid w:val="00635FE7"/>
    <w:rsid w:val="006361E3"/>
    <w:rsid w:val="0063690F"/>
    <w:rsid w:val="00637961"/>
    <w:rsid w:val="00640299"/>
    <w:rsid w:val="006405C9"/>
    <w:rsid w:val="006407B9"/>
    <w:rsid w:val="0064082E"/>
    <w:rsid w:val="00640F16"/>
    <w:rsid w:val="00641982"/>
    <w:rsid w:val="0064214E"/>
    <w:rsid w:val="006421F6"/>
    <w:rsid w:val="00644932"/>
    <w:rsid w:val="00644F80"/>
    <w:rsid w:val="00650133"/>
    <w:rsid w:val="006501B2"/>
    <w:rsid w:val="00650230"/>
    <w:rsid w:val="00651171"/>
    <w:rsid w:val="00651B4F"/>
    <w:rsid w:val="006538EA"/>
    <w:rsid w:val="0065402D"/>
    <w:rsid w:val="006559F9"/>
    <w:rsid w:val="00655F6B"/>
    <w:rsid w:val="00656770"/>
    <w:rsid w:val="006575EF"/>
    <w:rsid w:val="00657C08"/>
    <w:rsid w:val="00660A90"/>
    <w:rsid w:val="00660AFE"/>
    <w:rsid w:val="00661E88"/>
    <w:rsid w:val="006623D2"/>
    <w:rsid w:val="006647BE"/>
    <w:rsid w:val="00664C1E"/>
    <w:rsid w:val="0066618A"/>
    <w:rsid w:val="0066764E"/>
    <w:rsid w:val="006719E5"/>
    <w:rsid w:val="00671C10"/>
    <w:rsid w:val="00672819"/>
    <w:rsid w:val="00673104"/>
    <w:rsid w:val="006731CC"/>
    <w:rsid w:val="0067329A"/>
    <w:rsid w:val="00673872"/>
    <w:rsid w:val="00674B12"/>
    <w:rsid w:val="00674C0B"/>
    <w:rsid w:val="00674F1E"/>
    <w:rsid w:val="006755D1"/>
    <w:rsid w:val="006761A5"/>
    <w:rsid w:val="00676246"/>
    <w:rsid w:val="00680088"/>
    <w:rsid w:val="006803CB"/>
    <w:rsid w:val="00681A78"/>
    <w:rsid w:val="0068285B"/>
    <w:rsid w:val="00683815"/>
    <w:rsid w:val="00683D23"/>
    <w:rsid w:val="006855D7"/>
    <w:rsid w:val="00685B82"/>
    <w:rsid w:val="00687DE4"/>
    <w:rsid w:val="00692A54"/>
    <w:rsid w:val="00695CFC"/>
    <w:rsid w:val="00695EB7"/>
    <w:rsid w:val="0069686A"/>
    <w:rsid w:val="006A0A13"/>
    <w:rsid w:val="006A23DC"/>
    <w:rsid w:val="006A2CA2"/>
    <w:rsid w:val="006A3A08"/>
    <w:rsid w:val="006A691E"/>
    <w:rsid w:val="006A6AD2"/>
    <w:rsid w:val="006A7CA1"/>
    <w:rsid w:val="006B0F08"/>
    <w:rsid w:val="006B2916"/>
    <w:rsid w:val="006B2FFD"/>
    <w:rsid w:val="006B40A3"/>
    <w:rsid w:val="006B4B87"/>
    <w:rsid w:val="006B5344"/>
    <w:rsid w:val="006B574E"/>
    <w:rsid w:val="006B7279"/>
    <w:rsid w:val="006B738A"/>
    <w:rsid w:val="006C1B69"/>
    <w:rsid w:val="006C2132"/>
    <w:rsid w:val="006C219F"/>
    <w:rsid w:val="006C2E38"/>
    <w:rsid w:val="006C4B3D"/>
    <w:rsid w:val="006D2026"/>
    <w:rsid w:val="006D2E03"/>
    <w:rsid w:val="006D313E"/>
    <w:rsid w:val="006D35BE"/>
    <w:rsid w:val="006D4FE8"/>
    <w:rsid w:val="006D5A20"/>
    <w:rsid w:val="006D65A3"/>
    <w:rsid w:val="006D6BF3"/>
    <w:rsid w:val="006D6CA5"/>
    <w:rsid w:val="006D7272"/>
    <w:rsid w:val="006E0C2F"/>
    <w:rsid w:val="006E0E60"/>
    <w:rsid w:val="006E1942"/>
    <w:rsid w:val="006E353E"/>
    <w:rsid w:val="006E42A8"/>
    <w:rsid w:val="006E7677"/>
    <w:rsid w:val="006F030A"/>
    <w:rsid w:val="006F1C1D"/>
    <w:rsid w:val="006F4CA8"/>
    <w:rsid w:val="006F5EBF"/>
    <w:rsid w:val="006F650F"/>
    <w:rsid w:val="006F65EE"/>
    <w:rsid w:val="006F67B0"/>
    <w:rsid w:val="006F6A41"/>
    <w:rsid w:val="006F73E1"/>
    <w:rsid w:val="006F7C6C"/>
    <w:rsid w:val="00700DF3"/>
    <w:rsid w:val="00704F8C"/>
    <w:rsid w:val="00707C43"/>
    <w:rsid w:val="00710181"/>
    <w:rsid w:val="00710C91"/>
    <w:rsid w:val="00711913"/>
    <w:rsid w:val="00712127"/>
    <w:rsid w:val="0071457C"/>
    <w:rsid w:val="00714905"/>
    <w:rsid w:val="007154BE"/>
    <w:rsid w:val="00716287"/>
    <w:rsid w:val="00716CD5"/>
    <w:rsid w:val="00717525"/>
    <w:rsid w:val="0072260C"/>
    <w:rsid w:val="00722750"/>
    <w:rsid w:val="00722AC3"/>
    <w:rsid w:val="0072349B"/>
    <w:rsid w:val="00723D8E"/>
    <w:rsid w:val="00725E82"/>
    <w:rsid w:val="0072778F"/>
    <w:rsid w:val="0073108C"/>
    <w:rsid w:val="00732293"/>
    <w:rsid w:val="007330ED"/>
    <w:rsid w:val="00736D6E"/>
    <w:rsid w:val="007372B9"/>
    <w:rsid w:val="007376E6"/>
    <w:rsid w:val="00740093"/>
    <w:rsid w:val="00740F36"/>
    <w:rsid w:val="00741BA0"/>
    <w:rsid w:val="00741D5D"/>
    <w:rsid w:val="00741E40"/>
    <w:rsid w:val="007424F6"/>
    <w:rsid w:val="00742C33"/>
    <w:rsid w:val="00744F4B"/>
    <w:rsid w:val="00746C32"/>
    <w:rsid w:val="00746CE2"/>
    <w:rsid w:val="007471DE"/>
    <w:rsid w:val="00751606"/>
    <w:rsid w:val="007525D8"/>
    <w:rsid w:val="007534C2"/>
    <w:rsid w:val="0075543E"/>
    <w:rsid w:val="00755A8F"/>
    <w:rsid w:val="00755ECE"/>
    <w:rsid w:val="007560E7"/>
    <w:rsid w:val="00756CE7"/>
    <w:rsid w:val="0076040C"/>
    <w:rsid w:val="00760D6A"/>
    <w:rsid w:val="00760E21"/>
    <w:rsid w:val="00760FD4"/>
    <w:rsid w:val="00761FDF"/>
    <w:rsid w:val="007623E9"/>
    <w:rsid w:val="00762D3F"/>
    <w:rsid w:val="00763A68"/>
    <w:rsid w:val="00764860"/>
    <w:rsid w:val="00765438"/>
    <w:rsid w:val="00766D82"/>
    <w:rsid w:val="00766E91"/>
    <w:rsid w:val="007671F2"/>
    <w:rsid w:val="00767567"/>
    <w:rsid w:val="007700DE"/>
    <w:rsid w:val="00770155"/>
    <w:rsid w:val="00770C87"/>
    <w:rsid w:val="00771E5A"/>
    <w:rsid w:val="0077288C"/>
    <w:rsid w:val="00772C70"/>
    <w:rsid w:val="00773A07"/>
    <w:rsid w:val="00775964"/>
    <w:rsid w:val="00776040"/>
    <w:rsid w:val="00776B88"/>
    <w:rsid w:val="00777261"/>
    <w:rsid w:val="00777A59"/>
    <w:rsid w:val="00780DA6"/>
    <w:rsid w:val="007815F4"/>
    <w:rsid w:val="0078175F"/>
    <w:rsid w:val="00782E4D"/>
    <w:rsid w:val="00783A03"/>
    <w:rsid w:val="00785830"/>
    <w:rsid w:val="00785924"/>
    <w:rsid w:val="00786FCB"/>
    <w:rsid w:val="0078765C"/>
    <w:rsid w:val="00791107"/>
    <w:rsid w:val="00791325"/>
    <w:rsid w:val="007916D0"/>
    <w:rsid w:val="00791E7B"/>
    <w:rsid w:val="007933F9"/>
    <w:rsid w:val="0079362F"/>
    <w:rsid w:val="007954FF"/>
    <w:rsid w:val="007967BD"/>
    <w:rsid w:val="0079789E"/>
    <w:rsid w:val="007A1405"/>
    <w:rsid w:val="007A24D3"/>
    <w:rsid w:val="007A33EC"/>
    <w:rsid w:val="007A4420"/>
    <w:rsid w:val="007A5B2F"/>
    <w:rsid w:val="007A675F"/>
    <w:rsid w:val="007A72A3"/>
    <w:rsid w:val="007B0B21"/>
    <w:rsid w:val="007B28B9"/>
    <w:rsid w:val="007B426C"/>
    <w:rsid w:val="007B4CA8"/>
    <w:rsid w:val="007B55D1"/>
    <w:rsid w:val="007B587B"/>
    <w:rsid w:val="007B6D99"/>
    <w:rsid w:val="007B7492"/>
    <w:rsid w:val="007C0467"/>
    <w:rsid w:val="007C0833"/>
    <w:rsid w:val="007C22A1"/>
    <w:rsid w:val="007C248D"/>
    <w:rsid w:val="007C2B32"/>
    <w:rsid w:val="007C31A6"/>
    <w:rsid w:val="007C3BF4"/>
    <w:rsid w:val="007C4FA2"/>
    <w:rsid w:val="007C610F"/>
    <w:rsid w:val="007C6CBA"/>
    <w:rsid w:val="007D02B1"/>
    <w:rsid w:val="007D1016"/>
    <w:rsid w:val="007D131B"/>
    <w:rsid w:val="007D683D"/>
    <w:rsid w:val="007D7111"/>
    <w:rsid w:val="007E00D6"/>
    <w:rsid w:val="007E05E0"/>
    <w:rsid w:val="007E066C"/>
    <w:rsid w:val="007E1752"/>
    <w:rsid w:val="007E35A8"/>
    <w:rsid w:val="007E52A4"/>
    <w:rsid w:val="007E7C65"/>
    <w:rsid w:val="007F068E"/>
    <w:rsid w:val="007F12CB"/>
    <w:rsid w:val="007F19B9"/>
    <w:rsid w:val="007F1F17"/>
    <w:rsid w:val="007F1F52"/>
    <w:rsid w:val="007F3804"/>
    <w:rsid w:val="007F3943"/>
    <w:rsid w:val="007F490E"/>
    <w:rsid w:val="007F4C34"/>
    <w:rsid w:val="007F5374"/>
    <w:rsid w:val="007F5C96"/>
    <w:rsid w:val="007F6D0D"/>
    <w:rsid w:val="0080050B"/>
    <w:rsid w:val="00800C37"/>
    <w:rsid w:val="0080245B"/>
    <w:rsid w:val="00803E51"/>
    <w:rsid w:val="00804194"/>
    <w:rsid w:val="00804E65"/>
    <w:rsid w:val="00805D79"/>
    <w:rsid w:val="0080628F"/>
    <w:rsid w:val="00806515"/>
    <w:rsid w:val="0080669E"/>
    <w:rsid w:val="00807BD6"/>
    <w:rsid w:val="00811029"/>
    <w:rsid w:val="00812DF0"/>
    <w:rsid w:val="008137DB"/>
    <w:rsid w:val="00813C36"/>
    <w:rsid w:val="00814222"/>
    <w:rsid w:val="008159C4"/>
    <w:rsid w:val="008160FC"/>
    <w:rsid w:val="00816784"/>
    <w:rsid w:val="00816ABC"/>
    <w:rsid w:val="00817617"/>
    <w:rsid w:val="00817737"/>
    <w:rsid w:val="008200D0"/>
    <w:rsid w:val="00823B58"/>
    <w:rsid w:val="0082458A"/>
    <w:rsid w:val="0082499A"/>
    <w:rsid w:val="00824B81"/>
    <w:rsid w:val="0082781F"/>
    <w:rsid w:val="00827D86"/>
    <w:rsid w:val="00827EFC"/>
    <w:rsid w:val="0083057D"/>
    <w:rsid w:val="00830894"/>
    <w:rsid w:val="00830BAA"/>
    <w:rsid w:val="00830CB5"/>
    <w:rsid w:val="00831410"/>
    <w:rsid w:val="0083314C"/>
    <w:rsid w:val="00833DF6"/>
    <w:rsid w:val="0083406D"/>
    <w:rsid w:val="00835D52"/>
    <w:rsid w:val="00835D83"/>
    <w:rsid w:val="00835F2C"/>
    <w:rsid w:val="008365EA"/>
    <w:rsid w:val="008369A5"/>
    <w:rsid w:val="00836CA1"/>
    <w:rsid w:val="0084226F"/>
    <w:rsid w:val="00842C3C"/>
    <w:rsid w:val="00842C64"/>
    <w:rsid w:val="00842E0B"/>
    <w:rsid w:val="00842E7D"/>
    <w:rsid w:val="00847189"/>
    <w:rsid w:val="008474FD"/>
    <w:rsid w:val="0084755B"/>
    <w:rsid w:val="00850224"/>
    <w:rsid w:val="008535A7"/>
    <w:rsid w:val="00854074"/>
    <w:rsid w:val="00854216"/>
    <w:rsid w:val="008548A4"/>
    <w:rsid w:val="00854E2D"/>
    <w:rsid w:val="0085501F"/>
    <w:rsid w:val="0085520C"/>
    <w:rsid w:val="008554A4"/>
    <w:rsid w:val="008565A0"/>
    <w:rsid w:val="008601E0"/>
    <w:rsid w:val="008604F1"/>
    <w:rsid w:val="0086221C"/>
    <w:rsid w:val="00862646"/>
    <w:rsid w:val="008633A3"/>
    <w:rsid w:val="00863B30"/>
    <w:rsid w:val="00864464"/>
    <w:rsid w:val="00864B58"/>
    <w:rsid w:val="00864D29"/>
    <w:rsid w:val="00864EFD"/>
    <w:rsid w:val="00865A93"/>
    <w:rsid w:val="00866CDB"/>
    <w:rsid w:val="0087004F"/>
    <w:rsid w:val="0087067F"/>
    <w:rsid w:val="00870F4C"/>
    <w:rsid w:val="00871109"/>
    <w:rsid w:val="0087124F"/>
    <w:rsid w:val="008729E7"/>
    <w:rsid w:val="00873EA6"/>
    <w:rsid w:val="0087482A"/>
    <w:rsid w:val="0087717E"/>
    <w:rsid w:val="00884581"/>
    <w:rsid w:val="0088503B"/>
    <w:rsid w:val="008850D6"/>
    <w:rsid w:val="00887BC1"/>
    <w:rsid w:val="008905B9"/>
    <w:rsid w:val="008913E2"/>
    <w:rsid w:val="00891683"/>
    <w:rsid w:val="008916DD"/>
    <w:rsid w:val="0089220E"/>
    <w:rsid w:val="00893C0C"/>
    <w:rsid w:val="00894737"/>
    <w:rsid w:val="0089540B"/>
    <w:rsid w:val="008959C8"/>
    <w:rsid w:val="008967A2"/>
    <w:rsid w:val="008A04B0"/>
    <w:rsid w:val="008A0959"/>
    <w:rsid w:val="008A11C9"/>
    <w:rsid w:val="008A368D"/>
    <w:rsid w:val="008A3919"/>
    <w:rsid w:val="008A3977"/>
    <w:rsid w:val="008A4361"/>
    <w:rsid w:val="008A6393"/>
    <w:rsid w:val="008A791F"/>
    <w:rsid w:val="008A7E49"/>
    <w:rsid w:val="008B0A6B"/>
    <w:rsid w:val="008B12D4"/>
    <w:rsid w:val="008B1570"/>
    <w:rsid w:val="008B1843"/>
    <w:rsid w:val="008B2A96"/>
    <w:rsid w:val="008B445D"/>
    <w:rsid w:val="008B5B10"/>
    <w:rsid w:val="008B786E"/>
    <w:rsid w:val="008C00C4"/>
    <w:rsid w:val="008C41DB"/>
    <w:rsid w:val="008C57B0"/>
    <w:rsid w:val="008C6988"/>
    <w:rsid w:val="008C7FAF"/>
    <w:rsid w:val="008D0026"/>
    <w:rsid w:val="008D1990"/>
    <w:rsid w:val="008D1B96"/>
    <w:rsid w:val="008D4380"/>
    <w:rsid w:val="008D7087"/>
    <w:rsid w:val="008D765B"/>
    <w:rsid w:val="008E0123"/>
    <w:rsid w:val="008E2BA5"/>
    <w:rsid w:val="008E39DB"/>
    <w:rsid w:val="008E5560"/>
    <w:rsid w:val="008E686D"/>
    <w:rsid w:val="008E6E1F"/>
    <w:rsid w:val="008F0E2E"/>
    <w:rsid w:val="008F1F96"/>
    <w:rsid w:val="008F4DC3"/>
    <w:rsid w:val="008F5360"/>
    <w:rsid w:val="008F5A4B"/>
    <w:rsid w:val="008F74B3"/>
    <w:rsid w:val="008F74EB"/>
    <w:rsid w:val="00900660"/>
    <w:rsid w:val="009011B8"/>
    <w:rsid w:val="00901B36"/>
    <w:rsid w:val="00901FC9"/>
    <w:rsid w:val="00902472"/>
    <w:rsid w:val="00902D2C"/>
    <w:rsid w:val="00903CA5"/>
    <w:rsid w:val="0090527B"/>
    <w:rsid w:val="009104B2"/>
    <w:rsid w:val="009111CD"/>
    <w:rsid w:val="0091421C"/>
    <w:rsid w:val="0091541A"/>
    <w:rsid w:val="009156A0"/>
    <w:rsid w:val="009161E4"/>
    <w:rsid w:val="00916AF3"/>
    <w:rsid w:val="009179D1"/>
    <w:rsid w:val="00917CC8"/>
    <w:rsid w:val="00917D85"/>
    <w:rsid w:val="00917E77"/>
    <w:rsid w:val="00920206"/>
    <w:rsid w:val="009203C7"/>
    <w:rsid w:val="00920898"/>
    <w:rsid w:val="00920FE5"/>
    <w:rsid w:val="00923B98"/>
    <w:rsid w:val="00923C86"/>
    <w:rsid w:val="009274AC"/>
    <w:rsid w:val="009308AC"/>
    <w:rsid w:val="00931117"/>
    <w:rsid w:val="009329BE"/>
    <w:rsid w:val="00933ED2"/>
    <w:rsid w:val="00936122"/>
    <w:rsid w:val="00937A3B"/>
    <w:rsid w:val="00940590"/>
    <w:rsid w:val="0094142E"/>
    <w:rsid w:val="00941F4F"/>
    <w:rsid w:val="00942C5E"/>
    <w:rsid w:val="009454B2"/>
    <w:rsid w:val="009454ED"/>
    <w:rsid w:val="009469BC"/>
    <w:rsid w:val="00947C42"/>
    <w:rsid w:val="00950B9D"/>
    <w:rsid w:val="009521B3"/>
    <w:rsid w:val="00952BCC"/>
    <w:rsid w:val="00954357"/>
    <w:rsid w:val="009545B4"/>
    <w:rsid w:val="0095551E"/>
    <w:rsid w:val="009576A5"/>
    <w:rsid w:val="0095790A"/>
    <w:rsid w:val="00957CBC"/>
    <w:rsid w:val="00957E0A"/>
    <w:rsid w:val="0096037B"/>
    <w:rsid w:val="00961804"/>
    <w:rsid w:val="009626B8"/>
    <w:rsid w:val="00964676"/>
    <w:rsid w:val="009661A0"/>
    <w:rsid w:val="009667EC"/>
    <w:rsid w:val="009670F9"/>
    <w:rsid w:val="009678A1"/>
    <w:rsid w:val="009723E0"/>
    <w:rsid w:val="00975A78"/>
    <w:rsid w:val="00975A96"/>
    <w:rsid w:val="00976C4A"/>
    <w:rsid w:val="00977AA3"/>
    <w:rsid w:val="00980E3B"/>
    <w:rsid w:val="00980FA1"/>
    <w:rsid w:val="00980FD7"/>
    <w:rsid w:val="009811AE"/>
    <w:rsid w:val="00982898"/>
    <w:rsid w:val="009830E3"/>
    <w:rsid w:val="00983B68"/>
    <w:rsid w:val="00983E44"/>
    <w:rsid w:val="00986433"/>
    <w:rsid w:val="009868B4"/>
    <w:rsid w:val="0099184A"/>
    <w:rsid w:val="009918FD"/>
    <w:rsid w:val="009924EE"/>
    <w:rsid w:val="00992FB0"/>
    <w:rsid w:val="0099332E"/>
    <w:rsid w:val="00996419"/>
    <w:rsid w:val="00996656"/>
    <w:rsid w:val="009A0DC0"/>
    <w:rsid w:val="009A2CDC"/>
    <w:rsid w:val="009A361E"/>
    <w:rsid w:val="009A3893"/>
    <w:rsid w:val="009A4737"/>
    <w:rsid w:val="009A4C33"/>
    <w:rsid w:val="009A4E61"/>
    <w:rsid w:val="009A4EAE"/>
    <w:rsid w:val="009A51F4"/>
    <w:rsid w:val="009A756F"/>
    <w:rsid w:val="009B000E"/>
    <w:rsid w:val="009B2066"/>
    <w:rsid w:val="009B233F"/>
    <w:rsid w:val="009B4474"/>
    <w:rsid w:val="009B4A56"/>
    <w:rsid w:val="009B5120"/>
    <w:rsid w:val="009B5737"/>
    <w:rsid w:val="009B5EBE"/>
    <w:rsid w:val="009B69A9"/>
    <w:rsid w:val="009B69AC"/>
    <w:rsid w:val="009B7435"/>
    <w:rsid w:val="009C0711"/>
    <w:rsid w:val="009C0F45"/>
    <w:rsid w:val="009C1B59"/>
    <w:rsid w:val="009C3AC3"/>
    <w:rsid w:val="009C5598"/>
    <w:rsid w:val="009C5BEA"/>
    <w:rsid w:val="009C5D74"/>
    <w:rsid w:val="009C5E35"/>
    <w:rsid w:val="009C65F0"/>
    <w:rsid w:val="009C68E2"/>
    <w:rsid w:val="009D2388"/>
    <w:rsid w:val="009D2989"/>
    <w:rsid w:val="009D2A45"/>
    <w:rsid w:val="009D2DC8"/>
    <w:rsid w:val="009D3607"/>
    <w:rsid w:val="009D48F9"/>
    <w:rsid w:val="009D4CF6"/>
    <w:rsid w:val="009D55E8"/>
    <w:rsid w:val="009D6483"/>
    <w:rsid w:val="009D7870"/>
    <w:rsid w:val="009D7D94"/>
    <w:rsid w:val="009E1DB2"/>
    <w:rsid w:val="009E2510"/>
    <w:rsid w:val="009E2AD3"/>
    <w:rsid w:val="009E33B1"/>
    <w:rsid w:val="009E642C"/>
    <w:rsid w:val="009E6DCD"/>
    <w:rsid w:val="009F0627"/>
    <w:rsid w:val="009F0AEE"/>
    <w:rsid w:val="009F17C1"/>
    <w:rsid w:val="009F2913"/>
    <w:rsid w:val="009F3838"/>
    <w:rsid w:val="009F3949"/>
    <w:rsid w:val="009F3C16"/>
    <w:rsid w:val="009F4724"/>
    <w:rsid w:val="009F4936"/>
    <w:rsid w:val="009F5B7B"/>
    <w:rsid w:val="009F5E7F"/>
    <w:rsid w:val="009F69C3"/>
    <w:rsid w:val="009F748F"/>
    <w:rsid w:val="00A00739"/>
    <w:rsid w:val="00A00ADF"/>
    <w:rsid w:val="00A02706"/>
    <w:rsid w:val="00A02842"/>
    <w:rsid w:val="00A032E3"/>
    <w:rsid w:val="00A0341A"/>
    <w:rsid w:val="00A03826"/>
    <w:rsid w:val="00A04133"/>
    <w:rsid w:val="00A04B73"/>
    <w:rsid w:val="00A04B97"/>
    <w:rsid w:val="00A05327"/>
    <w:rsid w:val="00A054E8"/>
    <w:rsid w:val="00A05696"/>
    <w:rsid w:val="00A05AF9"/>
    <w:rsid w:val="00A062EF"/>
    <w:rsid w:val="00A063A9"/>
    <w:rsid w:val="00A074C2"/>
    <w:rsid w:val="00A07835"/>
    <w:rsid w:val="00A105D1"/>
    <w:rsid w:val="00A11267"/>
    <w:rsid w:val="00A12161"/>
    <w:rsid w:val="00A122C3"/>
    <w:rsid w:val="00A131E4"/>
    <w:rsid w:val="00A141B9"/>
    <w:rsid w:val="00A14C77"/>
    <w:rsid w:val="00A14E9D"/>
    <w:rsid w:val="00A152D1"/>
    <w:rsid w:val="00A163F3"/>
    <w:rsid w:val="00A16B15"/>
    <w:rsid w:val="00A17993"/>
    <w:rsid w:val="00A21066"/>
    <w:rsid w:val="00A22FF1"/>
    <w:rsid w:val="00A2301C"/>
    <w:rsid w:val="00A24F60"/>
    <w:rsid w:val="00A251AC"/>
    <w:rsid w:val="00A2520F"/>
    <w:rsid w:val="00A25FAB"/>
    <w:rsid w:val="00A27E05"/>
    <w:rsid w:val="00A27FB0"/>
    <w:rsid w:val="00A31C36"/>
    <w:rsid w:val="00A31D14"/>
    <w:rsid w:val="00A321BD"/>
    <w:rsid w:val="00A338D6"/>
    <w:rsid w:val="00A34D2E"/>
    <w:rsid w:val="00A35C89"/>
    <w:rsid w:val="00A35FE5"/>
    <w:rsid w:val="00A365A7"/>
    <w:rsid w:val="00A41BAF"/>
    <w:rsid w:val="00A428FD"/>
    <w:rsid w:val="00A42D36"/>
    <w:rsid w:val="00A43BEF"/>
    <w:rsid w:val="00A44CB1"/>
    <w:rsid w:val="00A45A15"/>
    <w:rsid w:val="00A4632E"/>
    <w:rsid w:val="00A467F2"/>
    <w:rsid w:val="00A46B80"/>
    <w:rsid w:val="00A478EE"/>
    <w:rsid w:val="00A50364"/>
    <w:rsid w:val="00A51297"/>
    <w:rsid w:val="00A512AC"/>
    <w:rsid w:val="00A51D70"/>
    <w:rsid w:val="00A52495"/>
    <w:rsid w:val="00A54875"/>
    <w:rsid w:val="00A55F60"/>
    <w:rsid w:val="00A5634A"/>
    <w:rsid w:val="00A61704"/>
    <w:rsid w:val="00A61DF2"/>
    <w:rsid w:val="00A62850"/>
    <w:rsid w:val="00A63F02"/>
    <w:rsid w:val="00A645CB"/>
    <w:rsid w:val="00A6480C"/>
    <w:rsid w:val="00A64F7B"/>
    <w:rsid w:val="00A6745D"/>
    <w:rsid w:val="00A701D8"/>
    <w:rsid w:val="00A703A1"/>
    <w:rsid w:val="00A73991"/>
    <w:rsid w:val="00A73BD0"/>
    <w:rsid w:val="00A74A5B"/>
    <w:rsid w:val="00A767F2"/>
    <w:rsid w:val="00A77B7F"/>
    <w:rsid w:val="00A80058"/>
    <w:rsid w:val="00A803A5"/>
    <w:rsid w:val="00A818F3"/>
    <w:rsid w:val="00A81FED"/>
    <w:rsid w:val="00A82522"/>
    <w:rsid w:val="00A82B26"/>
    <w:rsid w:val="00A82EC8"/>
    <w:rsid w:val="00A8484A"/>
    <w:rsid w:val="00A85780"/>
    <w:rsid w:val="00A86331"/>
    <w:rsid w:val="00A86469"/>
    <w:rsid w:val="00A866DC"/>
    <w:rsid w:val="00A90585"/>
    <w:rsid w:val="00A9109D"/>
    <w:rsid w:val="00A9122C"/>
    <w:rsid w:val="00A92342"/>
    <w:rsid w:val="00A92E41"/>
    <w:rsid w:val="00A93A04"/>
    <w:rsid w:val="00A94C43"/>
    <w:rsid w:val="00A974A2"/>
    <w:rsid w:val="00AA1F8A"/>
    <w:rsid w:val="00AA243D"/>
    <w:rsid w:val="00AA444B"/>
    <w:rsid w:val="00AA4D7B"/>
    <w:rsid w:val="00AA567E"/>
    <w:rsid w:val="00AA73F6"/>
    <w:rsid w:val="00AB0436"/>
    <w:rsid w:val="00AB046B"/>
    <w:rsid w:val="00AB17E4"/>
    <w:rsid w:val="00AB3094"/>
    <w:rsid w:val="00AB3191"/>
    <w:rsid w:val="00AB3711"/>
    <w:rsid w:val="00AB4B4D"/>
    <w:rsid w:val="00AB4E76"/>
    <w:rsid w:val="00AB5424"/>
    <w:rsid w:val="00AB54A5"/>
    <w:rsid w:val="00AB5728"/>
    <w:rsid w:val="00AB62A2"/>
    <w:rsid w:val="00AB7770"/>
    <w:rsid w:val="00AC1F77"/>
    <w:rsid w:val="00AC215A"/>
    <w:rsid w:val="00AC3134"/>
    <w:rsid w:val="00AC345D"/>
    <w:rsid w:val="00AC426A"/>
    <w:rsid w:val="00AC466B"/>
    <w:rsid w:val="00AC565B"/>
    <w:rsid w:val="00AC5A66"/>
    <w:rsid w:val="00AC5B7D"/>
    <w:rsid w:val="00AC6963"/>
    <w:rsid w:val="00AC6A5A"/>
    <w:rsid w:val="00AC7CFD"/>
    <w:rsid w:val="00AC7D2A"/>
    <w:rsid w:val="00AC7DEC"/>
    <w:rsid w:val="00AD04F1"/>
    <w:rsid w:val="00AD0632"/>
    <w:rsid w:val="00AD0D10"/>
    <w:rsid w:val="00AD13A7"/>
    <w:rsid w:val="00AD31A6"/>
    <w:rsid w:val="00AD438D"/>
    <w:rsid w:val="00AD44E1"/>
    <w:rsid w:val="00AD6736"/>
    <w:rsid w:val="00AD68D7"/>
    <w:rsid w:val="00AD747F"/>
    <w:rsid w:val="00AE0892"/>
    <w:rsid w:val="00AE13B4"/>
    <w:rsid w:val="00AE1EA6"/>
    <w:rsid w:val="00AE358B"/>
    <w:rsid w:val="00AE46B6"/>
    <w:rsid w:val="00AE4A4B"/>
    <w:rsid w:val="00AE6183"/>
    <w:rsid w:val="00AE6AE7"/>
    <w:rsid w:val="00AE6BA6"/>
    <w:rsid w:val="00AF0D27"/>
    <w:rsid w:val="00AF1508"/>
    <w:rsid w:val="00AF1E88"/>
    <w:rsid w:val="00AF20BB"/>
    <w:rsid w:val="00AF423B"/>
    <w:rsid w:val="00AF42D3"/>
    <w:rsid w:val="00AF4CBD"/>
    <w:rsid w:val="00AF53FB"/>
    <w:rsid w:val="00AF5F90"/>
    <w:rsid w:val="00AF7A71"/>
    <w:rsid w:val="00B00943"/>
    <w:rsid w:val="00B0096D"/>
    <w:rsid w:val="00B0111B"/>
    <w:rsid w:val="00B019A0"/>
    <w:rsid w:val="00B01D7D"/>
    <w:rsid w:val="00B0258F"/>
    <w:rsid w:val="00B026C9"/>
    <w:rsid w:val="00B03D1B"/>
    <w:rsid w:val="00B04244"/>
    <w:rsid w:val="00B0626F"/>
    <w:rsid w:val="00B066D7"/>
    <w:rsid w:val="00B06848"/>
    <w:rsid w:val="00B06A47"/>
    <w:rsid w:val="00B07BE2"/>
    <w:rsid w:val="00B07E0B"/>
    <w:rsid w:val="00B12C75"/>
    <w:rsid w:val="00B13208"/>
    <w:rsid w:val="00B13B0E"/>
    <w:rsid w:val="00B14861"/>
    <w:rsid w:val="00B15D78"/>
    <w:rsid w:val="00B15FEF"/>
    <w:rsid w:val="00B17175"/>
    <w:rsid w:val="00B1746D"/>
    <w:rsid w:val="00B17E68"/>
    <w:rsid w:val="00B20DE9"/>
    <w:rsid w:val="00B20EC6"/>
    <w:rsid w:val="00B21FBE"/>
    <w:rsid w:val="00B228C1"/>
    <w:rsid w:val="00B2371E"/>
    <w:rsid w:val="00B23A0E"/>
    <w:rsid w:val="00B245D6"/>
    <w:rsid w:val="00B25842"/>
    <w:rsid w:val="00B3013C"/>
    <w:rsid w:val="00B30B5D"/>
    <w:rsid w:val="00B30FE0"/>
    <w:rsid w:val="00B3181D"/>
    <w:rsid w:val="00B33407"/>
    <w:rsid w:val="00B34837"/>
    <w:rsid w:val="00B34E67"/>
    <w:rsid w:val="00B3569B"/>
    <w:rsid w:val="00B36643"/>
    <w:rsid w:val="00B37061"/>
    <w:rsid w:val="00B375D0"/>
    <w:rsid w:val="00B379B4"/>
    <w:rsid w:val="00B415B4"/>
    <w:rsid w:val="00B42533"/>
    <w:rsid w:val="00B43F20"/>
    <w:rsid w:val="00B43F2B"/>
    <w:rsid w:val="00B44725"/>
    <w:rsid w:val="00B44C74"/>
    <w:rsid w:val="00B45069"/>
    <w:rsid w:val="00B463E6"/>
    <w:rsid w:val="00B470CB"/>
    <w:rsid w:val="00B47306"/>
    <w:rsid w:val="00B47D74"/>
    <w:rsid w:val="00B50243"/>
    <w:rsid w:val="00B523B7"/>
    <w:rsid w:val="00B53208"/>
    <w:rsid w:val="00B54B4D"/>
    <w:rsid w:val="00B54CE2"/>
    <w:rsid w:val="00B55B4A"/>
    <w:rsid w:val="00B56EAE"/>
    <w:rsid w:val="00B56F93"/>
    <w:rsid w:val="00B604ED"/>
    <w:rsid w:val="00B60B2A"/>
    <w:rsid w:val="00B64CDE"/>
    <w:rsid w:val="00B65C35"/>
    <w:rsid w:val="00B65D4E"/>
    <w:rsid w:val="00B66422"/>
    <w:rsid w:val="00B666D0"/>
    <w:rsid w:val="00B709BD"/>
    <w:rsid w:val="00B71C41"/>
    <w:rsid w:val="00B728E1"/>
    <w:rsid w:val="00B72EAA"/>
    <w:rsid w:val="00B74F8C"/>
    <w:rsid w:val="00B75833"/>
    <w:rsid w:val="00B76084"/>
    <w:rsid w:val="00B76353"/>
    <w:rsid w:val="00B76854"/>
    <w:rsid w:val="00B77BCD"/>
    <w:rsid w:val="00B801D4"/>
    <w:rsid w:val="00B815D6"/>
    <w:rsid w:val="00B83508"/>
    <w:rsid w:val="00B8438D"/>
    <w:rsid w:val="00B85A3B"/>
    <w:rsid w:val="00B85A7E"/>
    <w:rsid w:val="00B86E15"/>
    <w:rsid w:val="00B87682"/>
    <w:rsid w:val="00B877E4"/>
    <w:rsid w:val="00B87C06"/>
    <w:rsid w:val="00B90863"/>
    <w:rsid w:val="00B90D20"/>
    <w:rsid w:val="00B9164F"/>
    <w:rsid w:val="00B91C5F"/>
    <w:rsid w:val="00B91DE6"/>
    <w:rsid w:val="00B945F2"/>
    <w:rsid w:val="00B9764A"/>
    <w:rsid w:val="00BA24E4"/>
    <w:rsid w:val="00BA2A18"/>
    <w:rsid w:val="00BA5CB4"/>
    <w:rsid w:val="00BB0B1A"/>
    <w:rsid w:val="00BB1D2A"/>
    <w:rsid w:val="00BB36F7"/>
    <w:rsid w:val="00BB3C17"/>
    <w:rsid w:val="00BB3EA7"/>
    <w:rsid w:val="00BB427A"/>
    <w:rsid w:val="00BB4640"/>
    <w:rsid w:val="00BB5342"/>
    <w:rsid w:val="00BB6103"/>
    <w:rsid w:val="00BB612C"/>
    <w:rsid w:val="00BB616F"/>
    <w:rsid w:val="00BB66C0"/>
    <w:rsid w:val="00BB731D"/>
    <w:rsid w:val="00BB7A87"/>
    <w:rsid w:val="00BC1553"/>
    <w:rsid w:val="00BC181C"/>
    <w:rsid w:val="00BC214F"/>
    <w:rsid w:val="00BC2237"/>
    <w:rsid w:val="00BC3CAE"/>
    <w:rsid w:val="00BC56B8"/>
    <w:rsid w:val="00BC600D"/>
    <w:rsid w:val="00BC744F"/>
    <w:rsid w:val="00BD1A95"/>
    <w:rsid w:val="00BD1CB3"/>
    <w:rsid w:val="00BD2F0C"/>
    <w:rsid w:val="00BD4672"/>
    <w:rsid w:val="00BD48AF"/>
    <w:rsid w:val="00BD4F05"/>
    <w:rsid w:val="00BD4FBA"/>
    <w:rsid w:val="00BD5AC6"/>
    <w:rsid w:val="00BD6B06"/>
    <w:rsid w:val="00BD6B2C"/>
    <w:rsid w:val="00BD74FF"/>
    <w:rsid w:val="00BD75B0"/>
    <w:rsid w:val="00BD7CE1"/>
    <w:rsid w:val="00BE0C7A"/>
    <w:rsid w:val="00BE1A40"/>
    <w:rsid w:val="00BE1E99"/>
    <w:rsid w:val="00BE2517"/>
    <w:rsid w:val="00BE2D44"/>
    <w:rsid w:val="00BE3B7A"/>
    <w:rsid w:val="00BE3CD5"/>
    <w:rsid w:val="00BE3D7C"/>
    <w:rsid w:val="00BE51A8"/>
    <w:rsid w:val="00BE54B3"/>
    <w:rsid w:val="00BE682C"/>
    <w:rsid w:val="00BE6848"/>
    <w:rsid w:val="00BE7A81"/>
    <w:rsid w:val="00BF0D28"/>
    <w:rsid w:val="00BF1D15"/>
    <w:rsid w:val="00BF1E97"/>
    <w:rsid w:val="00BF4121"/>
    <w:rsid w:val="00BF7303"/>
    <w:rsid w:val="00C02010"/>
    <w:rsid w:val="00C02486"/>
    <w:rsid w:val="00C02C68"/>
    <w:rsid w:val="00C036DC"/>
    <w:rsid w:val="00C036E9"/>
    <w:rsid w:val="00C03F54"/>
    <w:rsid w:val="00C047D0"/>
    <w:rsid w:val="00C04FDB"/>
    <w:rsid w:val="00C06E9A"/>
    <w:rsid w:val="00C12132"/>
    <w:rsid w:val="00C14068"/>
    <w:rsid w:val="00C14632"/>
    <w:rsid w:val="00C15AC5"/>
    <w:rsid w:val="00C15B28"/>
    <w:rsid w:val="00C16A40"/>
    <w:rsid w:val="00C173B1"/>
    <w:rsid w:val="00C175A2"/>
    <w:rsid w:val="00C20085"/>
    <w:rsid w:val="00C2239B"/>
    <w:rsid w:val="00C22D29"/>
    <w:rsid w:val="00C232B6"/>
    <w:rsid w:val="00C232ED"/>
    <w:rsid w:val="00C2375A"/>
    <w:rsid w:val="00C263FF"/>
    <w:rsid w:val="00C2763C"/>
    <w:rsid w:val="00C27814"/>
    <w:rsid w:val="00C30EF6"/>
    <w:rsid w:val="00C31631"/>
    <w:rsid w:val="00C33F7F"/>
    <w:rsid w:val="00C36387"/>
    <w:rsid w:val="00C36A65"/>
    <w:rsid w:val="00C40122"/>
    <w:rsid w:val="00C4017A"/>
    <w:rsid w:val="00C40874"/>
    <w:rsid w:val="00C41E40"/>
    <w:rsid w:val="00C42409"/>
    <w:rsid w:val="00C42960"/>
    <w:rsid w:val="00C43B80"/>
    <w:rsid w:val="00C45110"/>
    <w:rsid w:val="00C4557F"/>
    <w:rsid w:val="00C4647E"/>
    <w:rsid w:val="00C47D54"/>
    <w:rsid w:val="00C52513"/>
    <w:rsid w:val="00C52B5C"/>
    <w:rsid w:val="00C5392F"/>
    <w:rsid w:val="00C5405B"/>
    <w:rsid w:val="00C54238"/>
    <w:rsid w:val="00C5451C"/>
    <w:rsid w:val="00C54FA5"/>
    <w:rsid w:val="00C56236"/>
    <w:rsid w:val="00C5737D"/>
    <w:rsid w:val="00C57C35"/>
    <w:rsid w:val="00C6169C"/>
    <w:rsid w:val="00C61C94"/>
    <w:rsid w:val="00C621E2"/>
    <w:rsid w:val="00C629BE"/>
    <w:rsid w:val="00C62C79"/>
    <w:rsid w:val="00C62D66"/>
    <w:rsid w:val="00C642A7"/>
    <w:rsid w:val="00C64AE1"/>
    <w:rsid w:val="00C66613"/>
    <w:rsid w:val="00C66A15"/>
    <w:rsid w:val="00C67BC9"/>
    <w:rsid w:val="00C73621"/>
    <w:rsid w:val="00C75747"/>
    <w:rsid w:val="00C75778"/>
    <w:rsid w:val="00C75BDD"/>
    <w:rsid w:val="00C76742"/>
    <w:rsid w:val="00C814CE"/>
    <w:rsid w:val="00C83A91"/>
    <w:rsid w:val="00C8570C"/>
    <w:rsid w:val="00C85C82"/>
    <w:rsid w:val="00C86106"/>
    <w:rsid w:val="00C865F1"/>
    <w:rsid w:val="00C87890"/>
    <w:rsid w:val="00C87F9D"/>
    <w:rsid w:val="00C91A7D"/>
    <w:rsid w:val="00C95F09"/>
    <w:rsid w:val="00C96054"/>
    <w:rsid w:val="00C97C6D"/>
    <w:rsid w:val="00CA0D1A"/>
    <w:rsid w:val="00CA257F"/>
    <w:rsid w:val="00CA4D78"/>
    <w:rsid w:val="00CA6F72"/>
    <w:rsid w:val="00CA70B9"/>
    <w:rsid w:val="00CB01ED"/>
    <w:rsid w:val="00CB157B"/>
    <w:rsid w:val="00CB2ABC"/>
    <w:rsid w:val="00CB4577"/>
    <w:rsid w:val="00CB4C31"/>
    <w:rsid w:val="00CB58C8"/>
    <w:rsid w:val="00CB6876"/>
    <w:rsid w:val="00CB6E05"/>
    <w:rsid w:val="00CC0774"/>
    <w:rsid w:val="00CC16D0"/>
    <w:rsid w:val="00CC18E9"/>
    <w:rsid w:val="00CC1DB6"/>
    <w:rsid w:val="00CC28E1"/>
    <w:rsid w:val="00CC3198"/>
    <w:rsid w:val="00CC3C1F"/>
    <w:rsid w:val="00CC5148"/>
    <w:rsid w:val="00CC61A6"/>
    <w:rsid w:val="00CC7BFE"/>
    <w:rsid w:val="00CD29E6"/>
    <w:rsid w:val="00CD4EB5"/>
    <w:rsid w:val="00CD5FE9"/>
    <w:rsid w:val="00CD6A6F"/>
    <w:rsid w:val="00CD7685"/>
    <w:rsid w:val="00CE002C"/>
    <w:rsid w:val="00CE0B06"/>
    <w:rsid w:val="00CE1866"/>
    <w:rsid w:val="00CE48F5"/>
    <w:rsid w:val="00CE627B"/>
    <w:rsid w:val="00CE72E8"/>
    <w:rsid w:val="00CF0065"/>
    <w:rsid w:val="00CF0BFD"/>
    <w:rsid w:val="00CF20AB"/>
    <w:rsid w:val="00CF2BAD"/>
    <w:rsid w:val="00CF3298"/>
    <w:rsid w:val="00CF5EB3"/>
    <w:rsid w:val="00CF71A1"/>
    <w:rsid w:val="00CF7C75"/>
    <w:rsid w:val="00D008C0"/>
    <w:rsid w:val="00D0190F"/>
    <w:rsid w:val="00D01BD5"/>
    <w:rsid w:val="00D020B5"/>
    <w:rsid w:val="00D0445B"/>
    <w:rsid w:val="00D04AF7"/>
    <w:rsid w:val="00D05000"/>
    <w:rsid w:val="00D06043"/>
    <w:rsid w:val="00D06B15"/>
    <w:rsid w:val="00D10FF4"/>
    <w:rsid w:val="00D12825"/>
    <w:rsid w:val="00D12ACA"/>
    <w:rsid w:val="00D153E6"/>
    <w:rsid w:val="00D15EBF"/>
    <w:rsid w:val="00D15ED2"/>
    <w:rsid w:val="00D16C8F"/>
    <w:rsid w:val="00D21862"/>
    <w:rsid w:val="00D22317"/>
    <w:rsid w:val="00D2256B"/>
    <w:rsid w:val="00D22CBE"/>
    <w:rsid w:val="00D23311"/>
    <w:rsid w:val="00D26C13"/>
    <w:rsid w:val="00D26CCA"/>
    <w:rsid w:val="00D276CC"/>
    <w:rsid w:val="00D27781"/>
    <w:rsid w:val="00D30D18"/>
    <w:rsid w:val="00D31562"/>
    <w:rsid w:val="00D31EA1"/>
    <w:rsid w:val="00D3258D"/>
    <w:rsid w:val="00D337DA"/>
    <w:rsid w:val="00D3400B"/>
    <w:rsid w:val="00D34080"/>
    <w:rsid w:val="00D34A7D"/>
    <w:rsid w:val="00D34D6F"/>
    <w:rsid w:val="00D36300"/>
    <w:rsid w:val="00D4062E"/>
    <w:rsid w:val="00D40ECC"/>
    <w:rsid w:val="00D4119D"/>
    <w:rsid w:val="00D447AE"/>
    <w:rsid w:val="00D44F8A"/>
    <w:rsid w:val="00D45083"/>
    <w:rsid w:val="00D47162"/>
    <w:rsid w:val="00D50C4D"/>
    <w:rsid w:val="00D50CCD"/>
    <w:rsid w:val="00D50FB4"/>
    <w:rsid w:val="00D5294A"/>
    <w:rsid w:val="00D55637"/>
    <w:rsid w:val="00D56950"/>
    <w:rsid w:val="00D5784E"/>
    <w:rsid w:val="00D602DA"/>
    <w:rsid w:val="00D603A9"/>
    <w:rsid w:val="00D611B6"/>
    <w:rsid w:val="00D6154D"/>
    <w:rsid w:val="00D61B04"/>
    <w:rsid w:val="00D639F7"/>
    <w:rsid w:val="00D6555F"/>
    <w:rsid w:val="00D70EE4"/>
    <w:rsid w:val="00D71C1C"/>
    <w:rsid w:val="00D72B17"/>
    <w:rsid w:val="00D7332C"/>
    <w:rsid w:val="00D7368A"/>
    <w:rsid w:val="00D74215"/>
    <w:rsid w:val="00D745E7"/>
    <w:rsid w:val="00D753B0"/>
    <w:rsid w:val="00D754AA"/>
    <w:rsid w:val="00D7578B"/>
    <w:rsid w:val="00D77BAA"/>
    <w:rsid w:val="00D80F8E"/>
    <w:rsid w:val="00D82ED1"/>
    <w:rsid w:val="00D83BCF"/>
    <w:rsid w:val="00D859BE"/>
    <w:rsid w:val="00D864D9"/>
    <w:rsid w:val="00D8771A"/>
    <w:rsid w:val="00D91690"/>
    <w:rsid w:val="00D91CD8"/>
    <w:rsid w:val="00D9352A"/>
    <w:rsid w:val="00D9453E"/>
    <w:rsid w:val="00D94F3E"/>
    <w:rsid w:val="00D959C6"/>
    <w:rsid w:val="00D967A0"/>
    <w:rsid w:val="00D973BA"/>
    <w:rsid w:val="00D97C6C"/>
    <w:rsid w:val="00D97D1D"/>
    <w:rsid w:val="00DA092E"/>
    <w:rsid w:val="00DA1334"/>
    <w:rsid w:val="00DA13AA"/>
    <w:rsid w:val="00DA189B"/>
    <w:rsid w:val="00DA1C58"/>
    <w:rsid w:val="00DA351A"/>
    <w:rsid w:val="00DA3E79"/>
    <w:rsid w:val="00DA4917"/>
    <w:rsid w:val="00DA4EBA"/>
    <w:rsid w:val="00DA5D1D"/>
    <w:rsid w:val="00DA6FF3"/>
    <w:rsid w:val="00DA76E6"/>
    <w:rsid w:val="00DA79DF"/>
    <w:rsid w:val="00DB00C0"/>
    <w:rsid w:val="00DB15BF"/>
    <w:rsid w:val="00DB2DF3"/>
    <w:rsid w:val="00DB3B1B"/>
    <w:rsid w:val="00DB4D82"/>
    <w:rsid w:val="00DB5908"/>
    <w:rsid w:val="00DB64BC"/>
    <w:rsid w:val="00DB68C7"/>
    <w:rsid w:val="00DB6F06"/>
    <w:rsid w:val="00DB6FA2"/>
    <w:rsid w:val="00DC0045"/>
    <w:rsid w:val="00DC0339"/>
    <w:rsid w:val="00DC266B"/>
    <w:rsid w:val="00DC332A"/>
    <w:rsid w:val="00DC3DB4"/>
    <w:rsid w:val="00DC4A59"/>
    <w:rsid w:val="00DC4E01"/>
    <w:rsid w:val="00DC540F"/>
    <w:rsid w:val="00DC6E72"/>
    <w:rsid w:val="00DC799A"/>
    <w:rsid w:val="00DD026E"/>
    <w:rsid w:val="00DD0784"/>
    <w:rsid w:val="00DD165B"/>
    <w:rsid w:val="00DD1CAF"/>
    <w:rsid w:val="00DD22DD"/>
    <w:rsid w:val="00DD2C32"/>
    <w:rsid w:val="00DD37EC"/>
    <w:rsid w:val="00DD3A48"/>
    <w:rsid w:val="00DD673D"/>
    <w:rsid w:val="00DD6CF6"/>
    <w:rsid w:val="00DD7492"/>
    <w:rsid w:val="00DE0B1B"/>
    <w:rsid w:val="00DE1699"/>
    <w:rsid w:val="00DE17B5"/>
    <w:rsid w:val="00DE2292"/>
    <w:rsid w:val="00DE3EB8"/>
    <w:rsid w:val="00DE5620"/>
    <w:rsid w:val="00DE5949"/>
    <w:rsid w:val="00DE64E7"/>
    <w:rsid w:val="00DE7992"/>
    <w:rsid w:val="00DF0802"/>
    <w:rsid w:val="00DF0952"/>
    <w:rsid w:val="00DF3230"/>
    <w:rsid w:val="00DF3917"/>
    <w:rsid w:val="00DF417A"/>
    <w:rsid w:val="00DF417E"/>
    <w:rsid w:val="00DF42BE"/>
    <w:rsid w:val="00DF55F6"/>
    <w:rsid w:val="00DF7763"/>
    <w:rsid w:val="00E00BC4"/>
    <w:rsid w:val="00E00F2B"/>
    <w:rsid w:val="00E012B3"/>
    <w:rsid w:val="00E021DE"/>
    <w:rsid w:val="00E02545"/>
    <w:rsid w:val="00E04388"/>
    <w:rsid w:val="00E066A2"/>
    <w:rsid w:val="00E06CAD"/>
    <w:rsid w:val="00E06F54"/>
    <w:rsid w:val="00E0783F"/>
    <w:rsid w:val="00E079C8"/>
    <w:rsid w:val="00E1009A"/>
    <w:rsid w:val="00E10287"/>
    <w:rsid w:val="00E110D4"/>
    <w:rsid w:val="00E11860"/>
    <w:rsid w:val="00E13BB2"/>
    <w:rsid w:val="00E13FEF"/>
    <w:rsid w:val="00E145C7"/>
    <w:rsid w:val="00E147F3"/>
    <w:rsid w:val="00E15312"/>
    <w:rsid w:val="00E155A9"/>
    <w:rsid w:val="00E15ECE"/>
    <w:rsid w:val="00E16AF1"/>
    <w:rsid w:val="00E17FA8"/>
    <w:rsid w:val="00E20057"/>
    <w:rsid w:val="00E214BE"/>
    <w:rsid w:val="00E2152A"/>
    <w:rsid w:val="00E21807"/>
    <w:rsid w:val="00E21BDD"/>
    <w:rsid w:val="00E22E9D"/>
    <w:rsid w:val="00E23375"/>
    <w:rsid w:val="00E24297"/>
    <w:rsid w:val="00E2745C"/>
    <w:rsid w:val="00E2769A"/>
    <w:rsid w:val="00E304F4"/>
    <w:rsid w:val="00E30B42"/>
    <w:rsid w:val="00E322C2"/>
    <w:rsid w:val="00E35A9F"/>
    <w:rsid w:val="00E362FB"/>
    <w:rsid w:val="00E37AF5"/>
    <w:rsid w:val="00E415E6"/>
    <w:rsid w:val="00E43104"/>
    <w:rsid w:val="00E435D0"/>
    <w:rsid w:val="00E43A8A"/>
    <w:rsid w:val="00E4535D"/>
    <w:rsid w:val="00E45577"/>
    <w:rsid w:val="00E50247"/>
    <w:rsid w:val="00E5111C"/>
    <w:rsid w:val="00E544BC"/>
    <w:rsid w:val="00E5526B"/>
    <w:rsid w:val="00E5556A"/>
    <w:rsid w:val="00E5638E"/>
    <w:rsid w:val="00E563E1"/>
    <w:rsid w:val="00E57AD0"/>
    <w:rsid w:val="00E57C0A"/>
    <w:rsid w:val="00E6011D"/>
    <w:rsid w:val="00E607BF"/>
    <w:rsid w:val="00E608C2"/>
    <w:rsid w:val="00E60B32"/>
    <w:rsid w:val="00E629E0"/>
    <w:rsid w:val="00E62FBC"/>
    <w:rsid w:val="00E6452B"/>
    <w:rsid w:val="00E6494F"/>
    <w:rsid w:val="00E651B0"/>
    <w:rsid w:val="00E67857"/>
    <w:rsid w:val="00E6793E"/>
    <w:rsid w:val="00E732B4"/>
    <w:rsid w:val="00E738E3"/>
    <w:rsid w:val="00E747B5"/>
    <w:rsid w:val="00E751B9"/>
    <w:rsid w:val="00E76534"/>
    <w:rsid w:val="00E803D1"/>
    <w:rsid w:val="00E81B51"/>
    <w:rsid w:val="00E82336"/>
    <w:rsid w:val="00E823AF"/>
    <w:rsid w:val="00E837DB"/>
    <w:rsid w:val="00E83F92"/>
    <w:rsid w:val="00E84D13"/>
    <w:rsid w:val="00E85BE2"/>
    <w:rsid w:val="00E868BD"/>
    <w:rsid w:val="00E869F4"/>
    <w:rsid w:val="00E90B94"/>
    <w:rsid w:val="00E91524"/>
    <w:rsid w:val="00E917C9"/>
    <w:rsid w:val="00E91EF1"/>
    <w:rsid w:val="00E91F19"/>
    <w:rsid w:val="00E93C1B"/>
    <w:rsid w:val="00E93F41"/>
    <w:rsid w:val="00E94DF7"/>
    <w:rsid w:val="00E96125"/>
    <w:rsid w:val="00E96B2D"/>
    <w:rsid w:val="00E97C96"/>
    <w:rsid w:val="00EA03A4"/>
    <w:rsid w:val="00EA03CF"/>
    <w:rsid w:val="00EA091B"/>
    <w:rsid w:val="00EA3006"/>
    <w:rsid w:val="00EA3F71"/>
    <w:rsid w:val="00EA427C"/>
    <w:rsid w:val="00EA4F08"/>
    <w:rsid w:val="00EA5366"/>
    <w:rsid w:val="00EA63AD"/>
    <w:rsid w:val="00EA66E4"/>
    <w:rsid w:val="00EA7FF1"/>
    <w:rsid w:val="00EB0C52"/>
    <w:rsid w:val="00EB1D32"/>
    <w:rsid w:val="00EB2F0B"/>
    <w:rsid w:val="00EB47FA"/>
    <w:rsid w:val="00EB5ED8"/>
    <w:rsid w:val="00EB6F23"/>
    <w:rsid w:val="00EB7C03"/>
    <w:rsid w:val="00EC15C2"/>
    <w:rsid w:val="00EC1C1E"/>
    <w:rsid w:val="00EC1DA2"/>
    <w:rsid w:val="00EC2763"/>
    <w:rsid w:val="00EC27EC"/>
    <w:rsid w:val="00EC31D4"/>
    <w:rsid w:val="00EC3B7A"/>
    <w:rsid w:val="00EC3B8F"/>
    <w:rsid w:val="00EC432D"/>
    <w:rsid w:val="00EC53EE"/>
    <w:rsid w:val="00EC54C2"/>
    <w:rsid w:val="00EC55FD"/>
    <w:rsid w:val="00EC7265"/>
    <w:rsid w:val="00ED0591"/>
    <w:rsid w:val="00ED0BA2"/>
    <w:rsid w:val="00ED0D66"/>
    <w:rsid w:val="00ED0FDB"/>
    <w:rsid w:val="00ED15FE"/>
    <w:rsid w:val="00ED2AD1"/>
    <w:rsid w:val="00ED4DE8"/>
    <w:rsid w:val="00ED4FE9"/>
    <w:rsid w:val="00ED5DCB"/>
    <w:rsid w:val="00ED66EE"/>
    <w:rsid w:val="00ED7282"/>
    <w:rsid w:val="00ED76A9"/>
    <w:rsid w:val="00EE193A"/>
    <w:rsid w:val="00EE235F"/>
    <w:rsid w:val="00EE4D1D"/>
    <w:rsid w:val="00EE5B5A"/>
    <w:rsid w:val="00EE6BE2"/>
    <w:rsid w:val="00EE6F68"/>
    <w:rsid w:val="00EE77CC"/>
    <w:rsid w:val="00EF3214"/>
    <w:rsid w:val="00EF3449"/>
    <w:rsid w:val="00EF3F71"/>
    <w:rsid w:val="00EF3FD7"/>
    <w:rsid w:val="00EF49E8"/>
    <w:rsid w:val="00EF5216"/>
    <w:rsid w:val="00EF54F4"/>
    <w:rsid w:val="00EF577E"/>
    <w:rsid w:val="00EF5A62"/>
    <w:rsid w:val="00EF5C5B"/>
    <w:rsid w:val="00EF5DB1"/>
    <w:rsid w:val="00EF6703"/>
    <w:rsid w:val="00EF6957"/>
    <w:rsid w:val="00EF6A4F"/>
    <w:rsid w:val="00F00C19"/>
    <w:rsid w:val="00F022C8"/>
    <w:rsid w:val="00F0282F"/>
    <w:rsid w:val="00F0294E"/>
    <w:rsid w:val="00F0328D"/>
    <w:rsid w:val="00F032AB"/>
    <w:rsid w:val="00F0375D"/>
    <w:rsid w:val="00F03C7A"/>
    <w:rsid w:val="00F04940"/>
    <w:rsid w:val="00F04C86"/>
    <w:rsid w:val="00F059CF"/>
    <w:rsid w:val="00F0629F"/>
    <w:rsid w:val="00F06B7F"/>
    <w:rsid w:val="00F07132"/>
    <w:rsid w:val="00F11928"/>
    <w:rsid w:val="00F125C9"/>
    <w:rsid w:val="00F12EBD"/>
    <w:rsid w:val="00F136DC"/>
    <w:rsid w:val="00F14523"/>
    <w:rsid w:val="00F1483B"/>
    <w:rsid w:val="00F14AAC"/>
    <w:rsid w:val="00F1506E"/>
    <w:rsid w:val="00F15249"/>
    <w:rsid w:val="00F15CBF"/>
    <w:rsid w:val="00F1642E"/>
    <w:rsid w:val="00F166A3"/>
    <w:rsid w:val="00F1787E"/>
    <w:rsid w:val="00F200B6"/>
    <w:rsid w:val="00F21680"/>
    <w:rsid w:val="00F2205C"/>
    <w:rsid w:val="00F22458"/>
    <w:rsid w:val="00F23B07"/>
    <w:rsid w:val="00F23C6B"/>
    <w:rsid w:val="00F26077"/>
    <w:rsid w:val="00F27EA0"/>
    <w:rsid w:val="00F315C6"/>
    <w:rsid w:val="00F325C6"/>
    <w:rsid w:val="00F32AEE"/>
    <w:rsid w:val="00F334BD"/>
    <w:rsid w:val="00F3367C"/>
    <w:rsid w:val="00F370D1"/>
    <w:rsid w:val="00F37AFA"/>
    <w:rsid w:val="00F37C9C"/>
    <w:rsid w:val="00F401D5"/>
    <w:rsid w:val="00F41EFC"/>
    <w:rsid w:val="00F42008"/>
    <w:rsid w:val="00F43BF0"/>
    <w:rsid w:val="00F44979"/>
    <w:rsid w:val="00F45662"/>
    <w:rsid w:val="00F459F5"/>
    <w:rsid w:val="00F45EBF"/>
    <w:rsid w:val="00F47270"/>
    <w:rsid w:val="00F5028F"/>
    <w:rsid w:val="00F527B5"/>
    <w:rsid w:val="00F539ED"/>
    <w:rsid w:val="00F54729"/>
    <w:rsid w:val="00F57414"/>
    <w:rsid w:val="00F578C5"/>
    <w:rsid w:val="00F618C8"/>
    <w:rsid w:val="00F61A42"/>
    <w:rsid w:val="00F61F45"/>
    <w:rsid w:val="00F6216A"/>
    <w:rsid w:val="00F70DF9"/>
    <w:rsid w:val="00F720B5"/>
    <w:rsid w:val="00F720E0"/>
    <w:rsid w:val="00F743E3"/>
    <w:rsid w:val="00F74A36"/>
    <w:rsid w:val="00F74A70"/>
    <w:rsid w:val="00F7673C"/>
    <w:rsid w:val="00F84FBD"/>
    <w:rsid w:val="00F85C1A"/>
    <w:rsid w:val="00F873C8"/>
    <w:rsid w:val="00F8762D"/>
    <w:rsid w:val="00F91237"/>
    <w:rsid w:val="00F9134D"/>
    <w:rsid w:val="00F93797"/>
    <w:rsid w:val="00F957F3"/>
    <w:rsid w:val="00F95EA2"/>
    <w:rsid w:val="00F96945"/>
    <w:rsid w:val="00F96EA2"/>
    <w:rsid w:val="00F97458"/>
    <w:rsid w:val="00FA1266"/>
    <w:rsid w:val="00FA1B48"/>
    <w:rsid w:val="00FA1C99"/>
    <w:rsid w:val="00FA26A4"/>
    <w:rsid w:val="00FA2F3C"/>
    <w:rsid w:val="00FA30C5"/>
    <w:rsid w:val="00FA3486"/>
    <w:rsid w:val="00FA4DFA"/>
    <w:rsid w:val="00FA5063"/>
    <w:rsid w:val="00FA5231"/>
    <w:rsid w:val="00FA5879"/>
    <w:rsid w:val="00FA6488"/>
    <w:rsid w:val="00FA7A3E"/>
    <w:rsid w:val="00FB2567"/>
    <w:rsid w:val="00FB30F3"/>
    <w:rsid w:val="00FB4E25"/>
    <w:rsid w:val="00FB5B8F"/>
    <w:rsid w:val="00FB678F"/>
    <w:rsid w:val="00FB6C51"/>
    <w:rsid w:val="00FB7C05"/>
    <w:rsid w:val="00FC00BD"/>
    <w:rsid w:val="00FC0998"/>
    <w:rsid w:val="00FC1558"/>
    <w:rsid w:val="00FC1B54"/>
    <w:rsid w:val="00FC1D2D"/>
    <w:rsid w:val="00FC245E"/>
    <w:rsid w:val="00FC27ED"/>
    <w:rsid w:val="00FC3DB0"/>
    <w:rsid w:val="00FC4F2C"/>
    <w:rsid w:val="00FC6046"/>
    <w:rsid w:val="00FC63C7"/>
    <w:rsid w:val="00FC6AD8"/>
    <w:rsid w:val="00FC7F95"/>
    <w:rsid w:val="00FD3545"/>
    <w:rsid w:val="00FD4401"/>
    <w:rsid w:val="00FD6CD3"/>
    <w:rsid w:val="00FD7D1A"/>
    <w:rsid w:val="00FE0982"/>
    <w:rsid w:val="00FE1150"/>
    <w:rsid w:val="00FE22F9"/>
    <w:rsid w:val="00FE2CB5"/>
    <w:rsid w:val="00FE2FE5"/>
    <w:rsid w:val="00FE419D"/>
    <w:rsid w:val="00FE4D9F"/>
    <w:rsid w:val="00FE4EC5"/>
    <w:rsid w:val="00FE5B72"/>
    <w:rsid w:val="00FE5EFB"/>
    <w:rsid w:val="00FE6886"/>
    <w:rsid w:val="00FE6D2A"/>
    <w:rsid w:val="00FE6F1C"/>
    <w:rsid w:val="00FE74EE"/>
    <w:rsid w:val="00FF0485"/>
    <w:rsid w:val="00FF1D0A"/>
    <w:rsid w:val="00FF1DEE"/>
    <w:rsid w:val="00FF2171"/>
    <w:rsid w:val="00FF247E"/>
    <w:rsid w:val="00FF2658"/>
    <w:rsid w:val="00FF3142"/>
    <w:rsid w:val="00FF3514"/>
    <w:rsid w:val="00FF368A"/>
    <w:rsid w:val="00FF4178"/>
    <w:rsid w:val="00FF4215"/>
    <w:rsid w:val="00FF470E"/>
    <w:rsid w:val="00FF5A78"/>
    <w:rsid w:val="00FF603F"/>
    <w:rsid w:val="00FF79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3BD71B"/>
  <w15:chartTrackingRefBased/>
  <w15:docId w15:val="{E1104A39-C779-4ABA-B63E-1221A5A1D4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0247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939D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60170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BB3C17"/>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02472"/>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3939DB"/>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39"/>
    <w:rsid w:val="007C22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601709"/>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BB3C17"/>
    <w:rPr>
      <w:rFonts w:asciiTheme="majorHAnsi" w:eastAsiaTheme="majorEastAsia" w:hAnsiTheme="majorHAnsi" w:cstheme="majorBidi"/>
      <w:i/>
      <w:iCs/>
      <w:color w:val="2F5496" w:themeColor="accent1" w:themeShade="BF"/>
    </w:rPr>
  </w:style>
  <w:style w:type="paragraph" w:customStyle="1" w:styleId="CaptionBA">
    <w:name w:val="CaptionB&amp;A"/>
    <w:link w:val="CaptionBACar"/>
    <w:qFormat/>
    <w:rsid w:val="00A032E3"/>
    <w:pPr>
      <w:keepNext/>
      <w:spacing w:before="240" w:after="0" w:line="240" w:lineRule="auto"/>
      <w:jc w:val="center"/>
    </w:pPr>
    <w:rPr>
      <w:rFonts w:ascii="Arial" w:eastAsia="Times New Roman" w:hAnsi="Arial" w:cs="Times New Roman"/>
      <w:b/>
      <w:color w:val="000000" w:themeColor="text1"/>
      <w:sz w:val="20"/>
      <w:szCs w:val="23"/>
      <w:lang w:val="es-ES" w:eastAsia="es-ES"/>
    </w:rPr>
  </w:style>
  <w:style w:type="character" w:customStyle="1" w:styleId="CaptionBACar">
    <w:name w:val="CaptionB&amp;A Car"/>
    <w:basedOn w:val="DefaultParagraphFont"/>
    <w:link w:val="CaptionBA"/>
    <w:rsid w:val="00A032E3"/>
    <w:rPr>
      <w:rFonts w:ascii="Arial" w:eastAsia="Times New Roman" w:hAnsi="Arial" w:cs="Times New Roman"/>
      <w:b/>
      <w:color w:val="000000" w:themeColor="text1"/>
      <w:sz w:val="20"/>
      <w:szCs w:val="23"/>
      <w:lang w:val="es-ES" w:eastAsia="es-ES"/>
    </w:rPr>
  </w:style>
  <w:style w:type="character" w:styleId="SubtleEmphasis">
    <w:name w:val="Subtle Emphasis"/>
    <w:basedOn w:val="DefaultParagraphFont"/>
    <w:uiPriority w:val="19"/>
    <w:qFormat/>
    <w:rsid w:val="00831410"/>
    <w:rPr>
      <w:i/>
      <w:iCs/>
      <w:color w:val="404040" w:themeColor="text1" w:themeTint="BF"/>
    </w:rPr>
  </w:style>
  <w:style w:type="paragraph" w:styleId="ListParagraph">
    <w:name w:val="List Paragraph"/>
    <w:aliases w:val="titulo 3,Bullets,Bolita,Lista vistosa - Énfasis 11,Lista vistosa - Énfasis 13,References,Bullet 1,Paragraphe de liste1,List Paragraph1,Liste couleur - Accent 11,Liste couleur - Accent 111,List bullet,Bioforce zListePuce,titulo 5"/>
    <w:basedOn w:val="Normal"/>
    <w:link w:val="ListParagraphChar"/>
    <w:uiPriority w:val="34"/>
    <w:qFormat/>
    <w:rsid w:val="001B72F8"/>
    <w:pPr>
      <w:ind w:left="720"/>
      <w:contextualSpacing/>
    </w:pPr>
  </w:style>
  <w:style w:type="character" w:customStyle="1" w:styleId="ListParagraphChar">
    <w:name w:val="List Paragraph Char"/>
    <w:aliases w:val="titulo 3 Char,Bullets Char,Bolita Char,Lista vistosa - Énfasis 11 Char,Lista vistosa - Énfasis 13 Char,References Char,Bullet 1 Char,Paragraphe de liste1 Char,List Paragraph1 Char,Liste couleur - Accent 11 Char,List bullet Char"/>
    <w:link w:val="ListParagraph"/>
    <w:uiPriority w:val="34"/>
    <w:locked/>
    <w:rsid w:val="001B72F8"/>
  </w:style>
  <w:style w:type="paragraph" w:styleId="TOCHeading">
    <w:name w:val="TOC Heading"/>
    <w:basedOn w:val="Heading1"/>
    <w:next w:val="Normal"/>
    <w:uiPriority w:val="39"/>
    <w:unhideWhenUsed/>
    <w:qFormat/>
    <w:rsid w:val="00EC31D4"/>
    <w:pPr>
      <w:outlineLvl w:val="9"/>
    </w:pPr>
  </w:style>
  <w:style w:type="paragraph" w:styleId="TOC1">
    <w:name w:val="toc 1"/>
    <w:basedOn w:val="Normal"/>
    <w:next w:val="Normal"/>
    <w:autoRedefine/>
    <w:uiPriority w:val="39"/>
    <w:unhideWhenUsed/>
    <w:rsid w:val="00EC31D4"/>
    <w:pPr>
      <w:spacing w:after="100"/>
    </w:pPr>
  </w:style>
  <w:style w:type="paragraph" w:styleId="TOC2">
    <w:name w:val="toc 2"/>
    <w:basedOn w:val="Normal"/>
    <w:next w:val="Normal"/>
    <w:autoRedefine/>
    <w:uiPriority w:val="39"/>
    <w:unhideWhenUsed/>
    <w:rsid w:val="00EC31D4"/>
    <w:pPr>
      <w:spacing w:after="100"/>
      <w:ind w:left="220"/>
    </w:pPr>
  </w:style>
  <w:style w:type="character" w:styleId="Hyperlink">
    <w:name w:val="Hyperlink"/>
    <w:basedOn w:val="DefaultParagraphFont"/>
    <w:uiPriority w:val="99"/>
    <w:unhideWhenUsed/>
    <w:rsid w:val="00EC31D4"/>
    <w:rPr>
      <w:color w:val="0563C1" w:themeColor="hyperlink"/>
      <w:u w:val="single"/>
    </w:rPr>
  </w:style>
  <w:style w:type="paragraph" w:styleId="FootnoteText">
    <w:name w:val="footnote text"/>
    <w:aliases w:val="fn,Footnote ak,fn Char,footnote text Char,Footnotes Char,Footnote ak Char,ft,fn cafc,Footnotes Char Char,Footnote Text Char Char,fn Char Char,footnote text Char Char Char Ch,Texto nota pie_mujer,Texto nota pie Car1,Texto nota pie Car Car"/>
    <w:basedOn w:val="Normal"/>
    <w:link w:val="FootnoteTextChar"/>
    <w:uiPriority w:val="99"/>
    <w:unhideWhenUsed/>
    <w:rsid w:val="0087124F"/>
    <w:pPr>
      <w:spacing w:after="0" w:line="240" w:lineRule="auto"/>
    </w:pPr>
    <w:rPr>
      <w:sz w:val="20"/>
      <w:szCs w:val="20"/>
    </w:rPr>
  </w:style>
  <w:style w:type="character" w:customStyle="1" w:styleId="FootnoteTextChar">
    <w:name w:val="Footnote Text Char"/>
    <w:aliases w:val="fn Char1,Footnote ak Char1,fn Char Char1,footnote text Char Char,Footnotes Char Char1,Footnote ak Char Char,ft Char,fn cafc Char,Footnotes Char Char Char,Footnote Text Char Char Char,fn Char Char Char,Texto nota pie_mujer Char"/>
    <w:basedOn w:val="DefaultParagraphFont"/>
    <w:link w:val="FootnoteText"/>
    <w:uiPriority w:val="99"/>
    <w:rsid w:val="0087124F"/>
    <w:rPr>
      <w:sz w:val="20"/>
      <w:szCs w:val="20"/>
    </w:rPr>
  </w:style>
  <w:style w:type="character" w:styleId="FootnoteReference">
    <w:name w:val="footnote reference"/>
    <w:aliases w:val="referencia nota al pie,Texto de nota al pie,Nota de pie,Ref,de nota al pie,Texto nota al pie,Appel note de bas de page,Footnotes refss,Footnote number,BVI fnr,f,Ref. de nota al pie2,Footnote symbol,Footnote,Pie de pagina"/>
    <w:basedOn w:val="DefaultParagraphFont"/>
    <w:uiPriority w:val="99"/>
    <w:unhideWhenUsed/>
    <w:rsid w:val="0087124F"/>
    <w:rPr>
      <w:vertAlign w:val="superscript"/>
    </w:rPr>
  </w:style>
  <w:style w:type="character" w:styleId="CommentReference">
    <w:name w:val="annotation reference"/>
    <w:basedOn w:val="DefaultParagraphFont"/>
    <w:uiPriority w:val="99"/>
    <w:semiHidden/>
    <w:unhideWhenUsed/>
    <w:rsid w:val="0087124F"/>
    <w:rPr>
      <w:sz w:val="16"/>
      <w:szCs w:val="16"/>
    </w:rPr>
  </w:style>
  <w:style w:type="paragraph" w:styleId="CommentText">
    <w:name w:val="annotation text"/>
    <w:basedOn w:val="Normal"/>
    <w:link w:val="CommentTextChar"/>
    <w:uiPriority w:val="99"/>
    <w:unhideWhenUsed/>
    <w:rsid w:val="0087124F"/>
    <w:pPr>
      <w:spacing w:line="240" w:lineRule="auto"/>
    </w:pPr>
    <w:rPr>
      <w:sz w:val="20"/>
      <w:szCs w:val="20"/>
    </w:rPr>
  </w:style>
  <w:style w:type="character" w:customStyle="1" w:styleId="CommentTextChar">
    <w:name w:val="Comment Text Char"/>
    <w:basedOn w:val="DefaultParagraphFont"/>
    <w:link w:val="CommentText"/>
    <w:uiPriority w:val="99"/>
    <w:rsid w:val="0087124F"/>
    <w:rPr>
      <w:sz w:val="20"/>
      <w:szCs w:val="20"/>
    </w:rPr>
  </w:style>
  <w:style w:type="paragraph" w:styleId="CommentSubject">
    <w:name w:val="annotation subject"/>
    <w:basedOn w:val="CommentText"/>
    <w:next w:val="CommentText"/>
    <w:link w:val="CommentSubjectChar"/>
    <w:uiPriority w:val="99"/>
    <w:semiHidden/>
    <w:unhideWhenUsed/>
    <w:rsid w:val="0087124F"/>
    <w:rPr>
      <w:b/>
      <w:bCs/>
    </w:rPr>
  </w:style>
  <w:style w:type="character" w:customStyle="1" w:styleId="CommentSubjectChar">
    <w:name w:val="Comment Subject Char"/>
    <w:basedOn w:val="CommentTextChar"/>
    <w:link w:val="CommentSubject"/>
    <w:uiPriority w:val="99"/>
    <w:semiHidden/>
    <w:rsid w:val="0087124F"/>
    <w:rPr>
      <w:b/>
      <w:bCs/>
      <w:sz w:val="20"/>
      <w:szCs w:val="20"/>
    </w:rPr>
  </w:style>
  <w:style w:type="paragraph" w:styleId="BalloonText">
    <w:name w:val="Balloon Text"/>
    <w:basedOn w:val="Normal"/>
    <w:link w:val="BalloonTextChar"/>
    <w:uiPriority w:val="99"/>
    <w:semiHidden/>
    <w:unhideWhenUsed/>
    <w:rsid w:val="0087124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124F"/>
    <w:rPr>
      <w:rFonts w:ascii="Segoe UI" w:hAnsi="Segoe UI" w:cs="Segoe UI"/>
      <w:sz w:val="18"/>
      <w:szCs w:val="18"/>
    </w:rPr>
  </w:style>
  <w:style w:type="table" w:styleId="LightList-Accent1">
    <w:name w:val="Light List Accent 1"/>
    <w:basedOn w:val="TableNormal"/>
    <w:uiPriority w:val="61"/>
    <w:rsid w:val="003E383C"/>
    <w:pPr>
      <w:spacing w:after="0" w:line="240" w:lineRule="auto"/>
    </w:pPr>
    <w:rPr>
      <w:rFonts w:eastAsiaTheme="minorEastAsia"/>
      <w:sz w:val="24"/>
      <w:szCs w:val="24"/>
      <w:lang w:val="es-US"/>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character" w:customStyle="1" w:styleId="eop">
    <w:name w:val="eop"/>
    <w:basedOn w:val="DefaultParagraphFont"/>
    <w:rsid w:val="00E10287"/>
  </w:style>
  <w:style w:type="table" w:styleId="LightList-Accent5">
    <w:name w:val="Light List Accent 5"/>
    <w:basedOn w:val="TableNormal"/>
    <w:uiPriority w:val="61"/>
    <w:rsid w:val="00024496"/>
    <w:pPr>
      <w:spacing w:after="0" w:line="240" w:lineRule="auto"/>
    </w:p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paragraph" w:customStyle="1" w:styleId="Figura">
    <w:name w:val="Figura"/>
    <w:basedOn w:val="CaptionBA"/>
    <w:qFormat/>
    <w:rsid w:val="001D449F"/>
    <w:pPr>
      <w:spacing w:before="0"/>
    </w:pPr>
    <w:rPr>
      <w:rFonts w:cstheme="minorBidi"/>
      <w:color w:val="000000"/>
      <w:sz w:val="18"/>
    </w:rPr>
  </w:style>
  <w:style w:type="paragraph" w:customStyle="1" w:styleId="Nota">
    <w:name w:val="Nota"/>
    <w:qFormat/>
    <w:rsid w:val="001D449F"/>
    <w:pPr>
      <w:shd w:val="clear" w:color="auto" w:fill="FFFFFF"/>
      <w:autoSpaceDN w:val="0"/>
      <w:spacing w:after="60" w:line="240" w:lineRule="auto"/>
      <w:textAlignment w:val="baseline"/>
    </w:pPr>
    <w:rPr>
      <w:rFonts w:ascii="Arial" w:eastAsia="Times New Roman" w:hAnsi="Arial" w:cs="Times New Roman"/>
      <w:sz w:val="16"/>
      <w:szCs w:val="16"/>
      <w:lang w:val="es-MX"/>
    </w:rPr>
  </w:style>
  <w:style w:type="paragraph" w:customStyle="1" w:styleId="TextoTablaIzquierda">
    <w:name w:val="Texto Tabla Izquierda"/>
    <w:basedOn w:val="Normal"/>
    <w:qFormat/>
    <w:rsid w:val="007B426C"/>
    <w:pPr>
      <w:autoSpaceDN w:val="0"/>
      <w:spacing w:before="20" w:after="20" w:line="240" w:lineRule="auto"/>
      <w:textAlignment w:val="baseline"/>
    </w:pPr>
    <w:rPr>
      <w:rFonts w:ascii="Arial" w:eastAsia="Times New Roman" w:hAnsi="Arial" w:cs="Arial"/>
      <w:bCs/>
      <w:color w:val="000000"/>
      <w:sz w:val="18"/>
      <w:szCs w:val="18"/>
      <w:lang w:val="es-ES" w:eastAsia="es-ES"/>
    </w:rPr>
  </w:style>
  <w:style w:type="table" w:styleId="GridTable4-Accent1">
    <w:name w:val="Grid Table 4 Accent 1"/>
    <w:basedOn w:val="TableNormal"/>
    <w:uiPriority w:val="49"/>
    <w:rsid w:val="005C4295"/>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PlainTable3">
    <w:name w:val="Plain Table 3"/>
    <w:basedOn w:val="TableNormal"/>
    <w:uiPriority w:val="43"/>
    <w:rsid w:val="00FA5879"/>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GridLight">
    <w:name w:val="Grid Table Light"/>
    <w:basedOn w:val="TableNormal"/>
    <w:uiPriority w:val="40"/>
    <w:rsid w:val="00FA587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rmalWeb">
    <w:name w:val="Normal (Web)"/>
    <w:basedOn w:val="Normal"/>
    <w:uiPriority w:val="99"/>
    <w:unhideWhenUsed/>
    <w:rsid w:val="00F97458"/>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AA444B"/>
    <w:pPr>
      <w:spacing w:after="0" w:line="240" w:lineRule="auto"/>
    </w:pPr>
  </w:style>
  <w:style w:type="table" w:styleId="PlainTable4">
    <w:name w:val="Plain Table 4"/>
    <w:basedOn w:val="TableNormal"/>
    <w:uiPriority w:val="44"/>
    <w:rsid w:val="00FB2567"/>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UnresolvedMention">
    <w:name w:val="Unresolved Mention"/>
    <w:basedOn w:val="DefaultParagraphFont"/>
    <w:uiPriority w:val="99"/>
    <w:semiHidden/>
    <w:unhideWhenUsed/>
    <w:rsid w:val="00FB2567"/>
    <w:rPr>
      <w:color w:val="605E5C"/>
      <w:shd w:val="clear" w:color="auto" w:fill="E1DFDD"/>
    </w:rPr>
  </w:style>
  <w:style w:type="paragraph" w:styleId="Header">
    <w:name w:val="header"/>
    <w:basedOn w:val="Normal"/>
    <w:link w:val="HeaderChar"/>
    <w:uiPriority w:val="99"/>
    <w:unhideWhenUsed/>
    <w:rsid w:val="00B76353"/>
    <w:pPr>
      <w:tabs>
        <w:tab w:val="center" w:pos="4680"/>
        <w:tab w:val="right" w:pos="9360"/>
      </w:tabs>
      <w:spacing w:after="0" w:line="240" w:lineRule="auto"/>
    </w:pPr>
  </w:style>
  <w:style w:type="character" w:customStyle="1" w:styleId="HeaderChar">
    <w:name w:val="Header Char"/>
    <w:basedOn w:val="DefaultParagraphFont"/>
    <w:link w:val="Header"/>
    <w:uiPriority w:val="99"/>
    <w:rsid w:val="00B76353"/>
  </w:style>
  <w:style w:type="paragraph" w:styleId="Footer">
    <w:name w:val="footer"/>
    <w:basedOn w:val="Normal"/>
    <w:link w:val="FooterChar"/>
    <w:uiPriority w:val="99"/>
    <w:unhideWhenUsed/>
    <w:rsid w:val="00B76353"/>
    <w:pPr>
      <w:tabs>
        <w:tab w:val="center" w:pos="4680"/>
        <w:tab w:val="right" w:pos="9360"/>
      </w:tabs>
      <w:spacing w:after="0" w:line="240" w:lineRule="auto"/>
    </w:pPr>
  </w:style>
  <w:style w:type="character" w:customStyle="1" w:styleId="FooterChar">
    <w:name w:val="Footer Char"/>
    <w:basedOn w:val="DefaultParagraphFont"/>
    <w:link w:val="Footer"/>
    <w:uiPriority w:val="99"/>
    <w:rsid w:val="00B76353"/>
  </w:style>
  <w:style w:type="paragraph" w:styleId="NoSpacing">
    <w:name w:val="No Spacing"/>
    <w:link w:val="NoSpacingChar"/>
    <w:uiPriority w:val="1"/>
    <w:qFormat/>
    <w:rsid w:val="00B76353"/>
    <w:pPr>
      <w:spacing w:after="0" w:line="240" w:lineRule="auto"/>
    </w:pPr>
    <w:rPr>
      <w:rFonts w:eastAsiaTheme="minorEastAsia"/>
    </w:rPr>
  </w:style>
  <w:style w:type="character" w:customStyle="1" w:styleId="NoSpacingChar">
    <w:name w:val="No Spacing Char"/>
    <w:basedOn w:val="DefaultParagraphFont"/>
    <w:link w:val="NoSpacing"/>
    <w:uiPriority w:val="1"/>
    <w:rsid w:val="00B76353"/>
    <w:rPr>
      <w:rFonts w:eastAsiaTheme="minorEastAsia"/>
    </w:rPr>
  </w:style>
  <w:style w:type="paragraph" w:styleId="Caption">
    <w:name w:val="caption"/>
    <w:basedOn w:val="Normal"/>
    <w:next w:val="Normal"/>
    <w:uiPriority w:val="35"/>
    <w:unhideWhenUsed/>
    <w:qFormat/>
    <w:rsid w:val="00B76353"/>
    <w:pPr>
      <w:spacing w:after="200" w:line="240" w:lineRule="auto"/>
    </w:pPr>
    <w:rPr>
      <w:rFonts w:eastAsiaTheme="minorEastAsia"/>
      <w:b/>
      <w:bCs/>
      <w:color w:val="4472C4" w:themeColor="accent1"/>
      <w:sz w:val="18"/>
      <w:szCs w:val="18"/>
      <w:lang w:val="es-US"/>
    </w:rPr>
  </w:style>
  <w:style w:type="paragraph" w:styleId="HTMLPreformatted">
    <w:name w:val="HTML Preformatted"/>
    <w:basedOn w:val="Normal"/>
    <w:link w:val="HTMLPreformattedChar"/>
    <w:uiPriority w:val="99"/>
    <w:unhideWhenUsed/>
    <w:rsid w:val="00B76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w:eastAsiaTheme="minorEastAsia" w:hAnsi="Courier" w:cs="Courier"/>
      <w:sz w:val="20"/>
      <w:szCs w:val="20"/>
    </w:rPr>
  </w:style>
  <w:style w:type="character" w:customStyle="1" w:styleId="HTMLPreformattedChar">
    <w:name w:val="HTML Preformatted Char"/>
    <w:basedOn w:val="DefaultParagraphFont"/>
    <w:link w:val="HTMLPreformatted"/>
    <w:uiPriority w:val="99"/>
    <w:rsid w:val="00B76353"/>
    <w:rPr>
      <w:rFonts w:ascii="Courier" w:eastAsiaTheme="minorEastAsia" w:hAnsi="Courier" w:cs="Courier"/>
      <w:sz w:val="20"/>
      <w:szCs w:val="20"/>
    </w:rPr>
  </w:style>
  <w:style w:type="paragraph" w:customStyle="1" w:styleId="Default">
    <w:name w:val="Default"/>
    <w:rsid w:val="00B76353"/>
    <w:pPr>
      <w:autoSpaceDE w:val="0"/>
      <w:autoSpaceDN w:val="0"/>
      <w:adjustRightInd w:val="0"/>
      <w:spacing w:after="0" w:line="240" w:lineRule="auto"/>
    </w:pPr>
    <w:rPr>
      <w:rFonts w:ascii="Calibri" w:hAnsi="Calibri" w:cs="Calibri"/>
      <w:color w:val="000000"/>
      <w:sz w:val="24"/>
      <w:szCs w:val="24"/>
      <w:lang w:val="es-ES_tradnl"/>
    </w:rPr>
  </w:style>
  <w:style w:type="character" w:styleId="IntenseReference">
    <w:name w:val="Intense Reference"/>
    <w:basedOn w:val="DefaultParagraphFont"/>
    <w:uiPriority w:val="32"/>
    <w:qFormat/>
    <w:rsid w:val="00B76353"/>
    <w:rPr>
      <w:b/>
      <w:bCs/>
      <w:smallCaps/>
      <w:color w:val="4472C4" w:themeColor="accent1"/>
      <w:spacing w:val="5"/>
    </w:rPr>
  </w:style>
  <w:style w:type="character" w:customStyle="1" w:styleId="normaltextrun">
    <w:name w:val="normaltextrun"/>
    <w:basedOn w:val="DefaultParagraphFont"/>
    <w:rsid w:val="00B76353"/>
  </w:style>
  <w:style w:type="paragraph" w:customStyle="1" w:styleId="EndNoteBibliography">
    <w:name w:val="EndNote Bibliography"/>
    <w:basedOn w:val="Normal"/>
    <w:rsid w:val="00B76353"/>
    <w:pPr>
      <w:spacing w:after="0" w:line="240" w:lineRule="auto"/>
    </w:pPr>
    <w:rPr>
      <w:rFonts w:ascii="Cambria" w:eastAsiaTheme="minorEastAsia" w:hAnsi="Cambria"/>
      <w:sz w:val="24"/>
      <w:szCs w:val="24"/>
    </w:rPr>
  </w:style>
  <w:style w:type="table" w:styleId="PlainTable5">
    <w:name w:val="Plain Table 5"/>
    <w:basedOn w:val="TableNormal"/>
    <w:uiPriority w:val="45"/>
    <w:rsid w:val="00F5028F"/>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TableParagraph">
    <w:name w:val="Table Paragraph"/>
    <w:basedOn w:val="Normal"/>
    <w:uiPriority w:val="1"/>
    <w:qFormat/>
    <w:rsid w:val="00DA189B"/>
    <w:pPr>
      <w:widowControl w:val="0"/>
      <w:autoSpaceDE w:val="0"/>
      <w:autoSpaceDN w:val="0"/>
      <w:spacing w:after="0" w:line="240" w:lineRule="auto"/>
    </w:pPr>
    <w:rPr>
      <w:rFonts w:ascii="Arial" w:eastAsia="Arial" w:hAnsi="Arial" w:cs="Arial"/>
      <w:lang w:val="es-HN" w:eastAsia="es-HN" w:bidi="es-HN"/>
    </w:rPr>
  </w:style>
  <w:style w:type="paragraph" w:styleId="TOC3">
    <w:name w:val="toc 3"/>
    <w:basedOn w:val="Normal"/>
    <w:next w:val="Normal"/>
    <w:autoRedefine/>
    <w:uiPriority w:val="39"/>
    <w:unhideWhenUsed/>
    <w:rsid w:val="00AF423B"/>
    <w:pPr>
      <w:spacing w:after="100"/>
      <w:ind w:left="440"/>
    </w:pPr>
  </w:style>
  <w:style w:type="paragraph" w:customStyle="1" w:styleId="3vff3xh4yd">
    <w:name w:val="_3vff3xh4yd"/>
    <w:basedOn w:val="Normal"/>
    <w:rsid w:val="00DB15BF"/>
    <w:pPr>
      <w:spacing w:before="100" w:beforeAutospacing="1" w:after="100" w:afterAutospacing="1" w:line="240" w:lineRule="auto"/>
    </w:pPr>
    <w:rPr>
      <w:rFonts w:ascii="Times New Roman" w:eastAsia="Times New Roman" w:hAnsi="Times New Roman" w:cs="Times New Roman"/>
      <w:sz w:val="24"/>
      <w:szCs w:val="24"/>
    </w:rPr>
  </w:style>
  <w:style w:type="character" w:styleId="SubtleReference">
    <w:name w:val="Subtle Reference"/>
    <w:basedOn w:val="DefaultParagraphFont"/>
    <w:uiPriority w:val="31"/>
    <w:qFormat/>
    <w:rsid w:val="004E096A"/>
    <w:rPr>
      <w:smallCaps/>
      <w:color w:val="5A5A5A" w:themeColor="text1" w:themeTint="A5"/>
    </w:rPr>
  </w:style>
  <w:style w:type="character" w:customStyle="1" w:styleId="CommentTextChar1">
    <w:name w:val="Comment Text Char1"/>
    <w:basedOn w:val="DefaultParagraphFont"/>
    <w:uiPriority w:val="99"/>
    <w:locked/>
    <w:rsid w:val="00674B12"/>
    <w:rPr>
      <w:rFonts w:ascii="Georgia" w:eastAsia="Times New Roman" w:hAnsi="Georgia" w:cs="Times New Roman"/>
      <w:sz w:val="20"/>
      <w:szCs w:val="20"/>
      <w:lang w:val="es-GT" w:eastAsia="es-ES"/>
    </w:rPr>
  </w:style>
  <w:style w:type="paragraph" w:customStyle="1" w:styleId="TableTNR">
    <w:name w:val="TableTNR"/>
    <w:qFormat/>
    <w:rsid w:val="00975A78"/>
    <w:pPr>
      <w:spacing w:before="120" w:after="120" w:line="240" w:lineRule="auto"/>
    </w:pPr>
    <w:rPr>
      <w:rFonts w:ascii="Times New Roman" w:eastAsia="Times New Roman" w:hAnsi="Times New Roman" w:cs="Times New Roman"/>
      <w:szCs w:val="24"/>
      <w:lang w:val="es-ES_tradnl" w:eastAsia="es-ES"/>
    </w:rPr>
  </w:style>
  <w:style w:type="paragraph" w:styleId="TableofFigures">
    <w:name w:val="table of figures"/>
    <w:basedOn w:val="Normal"/>
    <w:next w:val="Normal"/>
    <w:uiPriority w:val="99"/>
    <w:unhideWhenUsed/>
    <w:rsid w:val="00004563"/>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285874">
      <w:bodyDiv w:val="1"/>
      <w:marLeft w:val="0"/>
      <w:marRight w:val="0"/>
      <w:marTop w:val="0"/>
      <w:marBottom w:val="0"/>
      <w:divBdr>
        <w:top w:val="none" w:sz="0" w:space="0" w:color="auto"/>
        <w:left w:val="none" w:sz="0" w:space="0" w:color="auto"/>
        <w:bottom w:val="none" w:sz="0" w:space="0" w:color="auto"/>
        <w:right w:val="none" w:sz="0" w:space="0" w:color="auto"/>
      </w:divBdr>
    </w:div>
    <w:div w:id="94327682">
      <w:bodyDiv w:val="1"/>
      <w:marLeft w:val="0"/>
      <w:marRight w:val="0"/>
      <w:marTop w:val="0"/>
      <w:marBottom w:val="0"/>
      <w:divBdr>
        <w:top w:val="none" w:sz="0" w:space="0" w:color="auto"/>
        <w:left w:val="none" w:sz="0" w:space="0" w:color="auto"/>
        <w:bottom w:val="none" w:sz="0" w:space="0" w:color="auto"/>
        <w:right w:val="none" w:sz="0" w:space="0" w:color="auto"/>
      </w:divBdr>
    </w:div>
    <w:div w:id="161480926">
      <w:bodyDiv w:val="1"/>
      <w:marLeft w:val="0"/>
      <w:marRight w:val="0"/>
      <w:marTop w:val="0"/>
      <w:marBottom w:val="0"/>
      <w:divBdr>
        <w:top w:val="none" w:sz="0" w:space="0" w:color="auto"/>
        <w:left w:val="none" w:sz="0" w:space="0" w:color="auto"/>
        <w:bottom w:val="none" w:sz="0" w:space="0" w:color="auto"/>
        <w:right w:val="none" w:sz="0" w:space="0" w:color="auto"/>
      </w:divBdr>
    </w:div>
    <w:div w:id="178156710">
      <w:bodyDiv w:val="1"/>
      <w:marLeft w:val="0"/>
      <w:marRight w:val="0"/>
      <w:marTop w:val="0"/>
      <w:marBottom w:val="0"/>
      <w:divBdr>
        <w:top w:val="none" w:sz="0" w:space="0" w:color="auto"/>
        <w:left w:val="none" w:sz="0" w:space="0" w:color="auto"/>
        <w:bottom w:val="none" w:sz="0" w:space="0" w:color="auto"/>
        <w:right w:val="none" w:sz="0" w:space="0" w:color="auto"/>
      </w:divBdr>
    </w:div>
    <w:div w:id="307902002">
      <w:bodyDiv w:val="1"/>
      <w:marLeft w:val="0"/>
      <w:marRight w:val="0"/>
      <w:marTop w:val="0"/>
      <w:marBottom w:val="0"/>
      <w:divBdr>
        <w:top w:val="none" w:sz="0" w:space="0" w:color="auto"/>
        <w:left w:val="none" w:sz="0" w:space="0" w:color="auto"/>
        <w:bottom w:val="none" w:sz="0" w:space="0" w:color="auto"/>
        <w:right w:val="none" w:sz="0" w:space="0" w:color="auto"/>
      </w:divBdr>
    </w:div>
    <w:div w:id="337776096">
      <w:bodyDiv w:val="1"/>
      <w:marLeft w:val="0"/>
      <w:marRight w:val="0"/>
      <w:marTop w:val="0"/>
      <w:marBottom w:val="0"/>
      <w:divBdr>
        <w:top w:val="none" w:sz="0" w:space="0" w:color="auto"/>
        <w:left w:val="none" w:sz="0" w:space="0" w:color="auto"/>
        <w:bottom w:val="none" w:sz="0" w:space="0" w:color="auto"/>
        <w:right w:val="none" w:sz="0" w:space="0" w:color="auto"/>
      </w:divBdr>
      <w:divsChild>
        <w:div w:id="669914571">
          <w:marLeft w:val="446"/>
          <w:marRight w:val="0"/>
          <w:marTop w:val="0"/>
          <w:marBottom w:val="0"/>
          <w:divBdr>
            <w:top w:val="none" w:sz="0" w:space="0" w:color="auto"/>
            <w:left w:val="none" w:sz="0" w:space="0" w:color="auto"/>
            <w:bottom w:val="none" w:sz="0" w:space="0" w:color="auto"/>
            <w:right w:val="none" w:sz="0" w:space="0" w:color="auto"/>
          </w:divBdr>
        </w:div>
        <w:div w:id="281543852">
          <w:marLeft w:val="446"/>
          <w:marRight w:val="0"/>
          <w:marTop w:val="0"/>
          <w:marBottom w:val="0"/>
          <w:divBdr>
            <w:top w:val="none" w:sz="0" w:space="0" w:color="auto"/>
            <w:left w:val="none" w:sz="0" w:space="0" w:color="auto"/>
            <w:bottom w:val="none" w:sz="0" w:space="0" w:color="auto"/>
            <w:right w:val="none" w:sz="0" w:space="0" w:color="auto"/>
          </w:divBdr>
        </w:div>
        <w:div w:id="901520703">
          <w:marLeft w:val="1166"/>
          <w:marRight w:val="0"/>
          <w:marTop w:val="0"/>
          <w:marBottom w:val="0"/>
          <w:divBdr>
            <w:top w:val="none" w:sz="0" w:space="0" w:color="auto"/>
            <w:left w:val="none" w:sz="0" w:space="0" w:color="auto"/>
            <w:bottom w:val="none" w:sz="0" w:space="0" w:color="auto"/>
            <w:right w:val="none" w:sz="0" w:space="0" w:color="auto"/>
          </w:divBdr>
        </w:div>
        <w:div w:id="119030556">
          <w:marLeft w:val="1166"/>
          <w:marRight w:val="0"/>
          <w:marTop w:val="0"/>
          <w:marBottom w:val="0"/>
          <w:divBdr>
            <w:top w:val="none" w:sz="0" w:space="0" w:color="auto"/>
            <w:left w:val="none" w:sz="0" w:space="0" w:color="auto"/>
            <w:bottom w:val="none" w:sz="0" w:space="0" w:color="auto"/>
            <w:right w:val="none" w:sz="0" w:space="0" w:color="auto"/>
          </w:divBdr>
        </w:div>
        <w:div w:id="87359882">
          <w:marLeft w:val="1166"/>
          <w:marRight w:val="0"/>
          <w:marTop w:val="0"/>
          <w:marBottom w:val="0"/>
          <w:divBdr>
            <w:top w:val="none" w:sz="0" w:space="0" w:color="auto"/>
            <w:left w:val="none" w:sz="0" w:space="0" w:color="auto"/>
            <w:bottom w:val="none" w:sz="0" w:space="0" w:color="auto"/>
            <w:right w:val="none" w:sz="0" w:space="0" w:color="auto"/>
          </w:divBdr>
        </w:div>
        <w:div w:id="193886622">
          <w:marLeft w:val="446"/>
          <w:marRight w:val="0"/>
          <w:marTop w:val="0"/>
          <w:marBottom w:val="0"/>
          <w:divBdr>
            <w:top w:val="none" w:sz="0" w:space="0" w:color="auto"/>
            <w:left w:val="none" w:sz="0" w:space="0" w:color="auto"/>
            <w:bottom w:val="none" w:sz="0" w:space="0" w:color="auto"/>
            <w:right w:val="none" w:sz="0" w:space="0" w:color="auto"/>
          </w:divBdr>
        </w:div>
        <w:div w:id="600338400">
          <w:marLeft w:val="1166"/>
          <w:marRight w:val="0"/>
          <w:marTop w:val="0"/>
          <w:marBottom w:val="0"/>
          <w:divBdr>
            <w:top w:val="none" w:sz="0" w:space="0" w:color="auto"/>
            <w:left w:val="none" w:sz="0" w:space="0" w:color="auto"/>
            <w:bottom w:val="none" w:sz="0" w:space="0" w:color="auto"/>
            <w:right w:val="none" w:sz="0" w:space="0" w:color="auto"/>
          </w:divBdr>
        </w:div>
      </w:divsChild>
    </w:div>
    <w:div w:id="346370542">
      <w:bodyDiv w:val="1"/>
      <w:marLeft w:val="0"/>
      <w:marRight w:val="0"/>
      <w:marTop w:val="0"/>
      <w:marBottom w:val="0"/>
      <w:divBdr>
        <w:top w:val="none" w:sz="0" w:space="0" w:color="auto"/>
        <w:left w:val="none" w:sz="0" w:space="0" w:color="auto"/>
        <w:bottom w:val="none" w:sz="0" w:space="0" w:color="auto"/>
        <w:right w:val="none" w:sz="0" w:space="0" w:color="auto"/>
      </w:divBdr>
    </w:div>
    <w:div w:id="390933128">
      <w:bodyDiv w:val="1"/>
      <w:marLeft w:val="0"/>
      <w:marRight w:val="0"/>
      <w:marTop w:val="0"/>
      <w:marBottom w:val="0"/>
      <w:divBdr>
        <w:top w:val="none" w:sz="0" w:space="0" w:color="auto"/>
        <w:left w:val="none" w:sz="0" w:space="0" w:color="auto"/>
        <w:bottom w:val="none" w:sz="0" w:space="0" w:color="auto"/>
        <w:right w:val="none" w:sz="0" w:space="0" w:color="auto"/>
      </w:divBdr>
      <w:divsChild>
        <w:div w:id="202982769">
          <w:marLeft w:val="360"/>
          <w:marRight w:val="0"/>
          <w:marTop w:val="200"/>
          <w:marBottom w:val="0"/>
          <w:divBdr>
            <w:top w:val="none" w:sz="0" w:space="0" w:color="auto"/>
            <w:left w:val="none" w:sz="0" w:space="0" w:color="auto"/>
            <w:bottom w:val="none" w:sz="0" w:space="0" w:color="auto"/>
            <w:right w:val="none" w:sz="0" w:space="0" w:color="auto"/>
          </w:divBdr>
        </w:div>
      </w:divsChild>
    </w:div>
    <w:div w:id="450588499">
      <w:bodyDiv w:val="1"/>
      <w:marLeft w:val="0"/>
      <w:marRight w:val="0"/>
      <w:marTop w:val="0"/>
      <w:marBottom w:val="0"/>
      <w:divBdr>
        <w:top w:val="none" w:sz="0" w:space="0" w:color="auto"/>
        <w:left w:val="none" w:sz="0" w:space="0" w:color="auto"/>
        <w:bottom w:val="none" w:sz="0" w:space="0" w:color="auto"/>
        <w:right w:val="none" w:sz="0" w:space="0" w:color="auto"/>
      </w:divBdr>
      <w:divsChild>
        <w:div w:id="1667515218">
          <w:marLeft w:val="446"/>
          <w:marRight w:val="0"/>
          <w:marTop w:val="0"/>
          <w:marBottom w:val="0"/>
          <w:divBdr>
            <w:top w:val="none" w:sz="0" w:space="0" w:color="auto"/>
            <w:left w:val="none" w:sz="0" w:space="0" w:color="auto"/>
            <w:bottom w:val="none" w:sz="0" w:space="0" w:color="auto"/>
            <w:right w:val="none" w:sz="0" w:space="0" w:color="auto"/>
          </w:divBdr>
        </w:div>
        <w:div w:id="82263832">
          <w:marLeft w:val="446"/>
          <w:marRight w:val="0"/>
          <w:marTop w:val="0"/>
          <w:marBottom w:val="0"/>
          <w:divBdr>
            <w:top w:val="none" w:sz="0" w:space="0" w:color="auto"/>
            <w:left w:val="none" w:sz="0" w:space="0" w:color="auto"/>
            <w:bottom w:val="none" w:sz="0" w:space="0" w:color="auto"/>
            <w:right w:val="none" w:sz="0" w:space="0" w:color="auto"/>
          </w:divBdr>
        </w:div>
      </w:divsChild>
    </w:div>
    <w:div w:id="506751103">
      <w:bodyDiv w:val="1"/>
      <w:marLeft w:val="0"/>
      <w:marRight w:val="0"/>
      <w:marTop w:val="0"/>
      <w:marBottom w:val="0"/>
      <w:divBdr>
        <w:top w:val="none" w:sz="0" w:space="0" w:color="auto"/>
        <w:left w:val="none" w:sz="0" w:space="0" w:color="auto"/>
        <w:bottom w:val="none" w:sz="0" w:space="0" w:color="auto"/>
        <w:right w:val="none" w:sz="0" w:space="0" w:color="auto"/>
      </w:divBdr>
      <w:divsChild>
        <w:div w:id="427434345">
          <w:marLeft w:val="446"/>
          <w:marRight w:val="0"/>
          <w:marTop w:val="0"/>
          <w:marBottom w:val="0"/>
          <w:divBdr>
            <w:top w:val="none" w:sz="0" w:space="0" w:color="auto"/>
            <w:left w:val="none" w:sz="0" w:space="0" w:color="auto"/>
            <w:bottom w:val="none" w:sz="0" w:space="0" w:color="auto"/>
            <w:right w:val="none" w:sz="0" w:space="0" w:color="auto"/>
          </w:divBdr>
        </w:div>
        <w:div w:id="367729155">
          <w:marLeft w:val="446"/>
          <w:marRight w:val="0"/>
          <w:marTop w:val="0"/>
          <w:marBottom w:val="0"/>
          <w:divBdr>
            <w:top w:val="none" w:sz="0" w:space="0" w:color="auto"/>
            <w:left w:val="none" w:sz="0" w:space="0" w:color="auto"/>
            <w:bottom w:val="none" w:sz="0" w:space="0" w:color="auto"/>
            <w:right w:val="none" w:sz="0" w:space="0" w:color="auto"/>
          </w:divBdr>
        </w:div>
        <w:div w:id="1432894189">
          <w:marLeft w:val="446"/>
          <w:marRight w:val="0"/>
          <w:marTop w:val="0"/>
          <w:marBottom w:val="0"/>
          <w:divBdr>
            <w:top w:val="none" w:sz="0" w:space="0" w:color="auto"/>
            <w:left w:val="none" w:sz="0" w:space="0" w:color="auto"/>
            <w:bottom w:val="none" w:sz="0" w:space="0" w:color="auto"/>
            <w:right w:val="none" w:sz="0" w:space="0" w:color="auto"/>
          </w:divBdr>
        </w:div>
      </w:divsChild>
    </w:div>
    <w:div w:id="523979306">
      <w:bodyDiv w:val="1"/>
      <w:marLeft w:val="0"/>
      <w:marRight w:val="0"/>
      <w:marTop w:val="0"/>
      <w:marBottom w:val="0"/>
      <w:divBdr>
        <w:top w:val="none" w:sz="0" w:space="0" w:color="auto"/>
        <w:left w:val="none" w:sz="0" w:space="0" w:color="auto"/>
        <w:bottom w:val="none" w:sz="0" w:space="0" w:color="auto"/>
        <w:right w:val="none" w:sz="0" w:space="0" w:color="auto"/>
      </w:divBdr>
    </w:div>
    <w:div w:id="554853134">
      <w:bodyDiv w:val="1"/>
      <w:marLeft w:val="0"/>
      <w:marRight w:val="0"/>
      <w:marTop w:val="0"/>
      <w:marBottom w:val="0"/>
      <w:divBdr>
        <w:top w:val="none" w:sz="0" w:space="0" w:color="auto"/>
        <w:left w:val="none" w:sz="0" w:space="0" w:color="auto"/>
        <w:bottom w:val="none" w:sz="0" w:space="0" w:color="auto"/>
        <w:right w:val="none" w:sz="0" w:space="0" w:color="auto"/>
      </w:divBdr>
      <w:divsChild>
        <w:div w:id="2087681628">
          <w:marLeft w:val="446"/>
          <w:marRight w:val="0"/>
          <w:marTop w:val="0"/>
          <w:marBottom w:val="0"/>
          <w:divBdr>
            <w:top w:val="none" w:sz="0" w:space="0" w:color="auto"/>
            <w:left w:val="none" w:sz="0" w:space="0" w:color="auto"/>
            <w:bottom w:val="none" w:sz="0" w:space="0" w:color="auto"/>
            <w:right w:val="none" w:sz="0" w:space="0" w:color="auto"/>
          </w:divBdr>
        </w:div>
        <w:div w:id="1899172103">
          <w:marLeft w:val="1166"/>
          <w:marRight w:val="0"/>
          <w:marTop w:val="0"/>
          <w:marBottom w:val="0"/>
          <w:divBdr>
            <w:top w:val="none" w:sz="0" w:space="0" w:color="auto"/>
            <w:left w:val="none" w:sz="0" w:space="0" w:color="auto"/>
            <w:bottom w:val="none" w:sz="0" w:space="0" w:color="auto"/>
            <w:right w:val="none" w:sz="0" w:space="0" w:color="auto"/>
          </w:divBdr>
        </w:div>
        <w:div w:id="1974483539">
          <w:marLeft w:val="446"/>
          <w:marRight w:val="0"/>
          <w:marTop w:val="0"/>
          <w:marBottom w:val="0"/>
          <w:divBdr>
            <w:top w:val="none" w:sz="0" w:space="0" w:color="auto"/>
            <w:left w:val="none" w:sz="0" w:space="0" w:color="auto"/>
            <w:bottom w:val="none" w:sz="0" w:space="0" w:color="auto"/>
            <w:right w:val="none" w:sz="0" w:space="0" w:color="auto"/>
          </w:divBdr>
        </w:div>
        <w:div w:id="1280723787">
          <w:marLeft w:val="446"/>
          <w:marRight w:val="0"/>
          <w:marTop w:val="0"/>
          <w:marBottom w:val="0"/>
          <w:divBdr>
            <w:top w:val="none" w:sz="0" w:space="0" w:color="auto"/>
            <w:left w:val="none" w:sz="0" w:space="0" w:color="auto"/>
            <w:bottom w:val="none" w:sz="0" w:space="0" w:color="auto"/>
            <w:right w:val="none" w:sz="0" w:space="0" w:color="auto"/>
          </w:divBdr>
        </w:div>
        <w:div w:id="1290622011">
          <w:marLeft w:val="446"/>
          <w:marRight w:val="0"/>
          <w:marTop w:val="0"/>
          <w:marBottom w:val="0"/>
          <w:divBdr>
            <w:top w:val="none" w:sz="0" w:space="0" w:color="auto"/>
            <w:left w:val="none" w:sz="0" w:space="0" w:color="auto"/>
            <w:bottom w:val="none" w:sz="0" w:space="0" w:color="auto"/>
            <w:right w:val="none" w:sz="0" w:space="0" w:color="auto"/>
          </w:divBdr>
        </w:div>
        <w:div w:id="1352877735">
          <w:marLeft w:val="446"/>
          <w:marRight w:val="0"/>
          <w:marTop w:val="0"/>
          <w:marBottom w:val="0"/>
          <w:divBdr>
            <w:top w:val="none" w:sz="0" w:space="0" w:color="auto"/>
            <w:left w:val="none" w:sz="0" w:space="0" w:color="auto"/>
            <w:bottom w:val="none" w:sz="0" w:space="0" w:color="auto"/>
            <w:right w:val="none" w:sz="0" w:space="0" w:color="auto"/>
          </w:divBdr>
        </w:div>
      </w:divsChild>
    </w:div>
    <w:div w:id="707339024">
      <w:bodyDiv w:val="1"/>
      <w:marLeft w:val="0"/>
      <w:marRight w:val="0"/>
      <w:marTop w:val="0"/>
      <w:marBottom w:val="0"/>
      <w:divBdr>
        <w:top w:val="none" w:sz="0" w:space="0" w:color="auto"/>
        <w:left w:val="none" w:sz="0" w:space="0" w:color="auto"/>
        <w:bottom w:val="none" w:sz="0" w:space="0" w:color="auto"/>
        <w:right w:val="none" w:sz="0" w:space="0" w:color="auto"/>
      </w:divBdr>
    </w:div>
    <w:div w:id="728726964">
      <w:bodyDiv w:val="1"/>
      <w:marLeft w:val="0"/>
      <w:marRight w:val="0"/>
      <w:marTop w:val="0"/>
      <w:marBottom w:val="0"/>
      <w:divBdr>
        <w:top w:val="none" w:sz="0" w:space="0" w:color="auto"/>
        <w:left w:val="none" w:sz="0" w:space="0" w:color="auto"/>
        <w:bottom w:val="none" w:sz="0" w:space="0" w:color="auto"/>
        <w:right w:val="none" w:sz="0" w:space="0" w:color="auto"/>
      </w:divBdr>
    </w:div>
    <w:div w:id="740100915">
      <w:bodyDiv w:val="1"/>
      <w:marLeft w:val="0"/>
      <w:marRight w:val="0"/>
      <w:marTop w:val="0"/>
      <w:marBottom w:val="0"/>
      <w:divBdr>
        <w:top w:val="none" w:sz="0" w:space="0" w:color="auto"/>
        <w:left w:val="none" w:sz="0" w:space="0" w:color="auto"/>
        <w:bottom w:val="none" w:sz="0" w:space="0" w:color="auto"/>
        <w:right w:val="none" w:sz="0" w:space="0" w:color="auto"/>
      </w:divBdr>
    </w:div>
    <w:div w:id="824197783">
      <w:bodyDiv w:val="1"/>
      <w:marLeft w:val="0"/>
      <w:marRight w:val="0"/>
      <w:marTop w:val="0"/>
      <w:marBottom w:val="0"/>
      <w:divBdr>
        <w:top w:val="none" w:sz="0" w:space="0" w:color="auto"/>
        <w:left w:val="none" w:sz="0" w:space="0" w:color="auto"/>
        <w:bottom w:val="none" w:sz="0" w:space="0" w:color="auto"/>
        <w:right w:val="none" w:sz="0" w:space="0" w:color="auto"/>
      </w:divBdr>
      <w:divsChild>
        <w:div w:id="1024746999">
          <w:marLeft w:val="446"/>
          <w:marRight w:val="0"/>
          <w:marTop w:val="0"/>
          <w:marBottom w:val="0"/>
          <w:divBdr>
            <w:top w:val="none" w:sz="0" w:space="0" w:color="auto"/>
            <w:left w:val="none" w:sz="0" w:space="0" w:color="auto"/>
            <w:bottom w:val="none" w:sz="0" w:space="0" w:color="auto"/>
            <w:right w:val="none" w:sz="0" w:space="0" w:color="auto"/>
          </w:divBdr>
        </w:div>
        <w:div w:id="1641617552">
          <w:marLeft w:val="446"/>
          <w:marRight w:val="0"/>
          <w:marTop w:val="0"/>
          <w:marBottom w:val="0"/>
          <w:divBdr>
            <w:top w:val="none" w:sz="0" w:space="0" w:color="auto"/>
            <w:left w:val="none" w:sz="0" w:space="0" w:color="auto"/>
            <w:bottom w:val="none" w:sz="0" w:space="0" w:color="auto"/>
            <w:right w:val="none" w:sz="0" w:space="0" w:color="auto"/>
          </w:divBdr>
        </w:div>
        <w:div w:id="1301308174">
          <w:marLeft w:val="446"/>
          <w:marRight w:val="0"/>
          <w:marTop w:val="0"/>
          <w:marBottom w:val="0"/>
          <w:divBdr>
            <w:top w:val="none" w:sz="0" w:space="0" w:color="auto"/>
            <w:left w:val="none" w:sz="0" w:space="0" w:color="auto"/>
            <w:bottom w:val="none" w:sz="0" w:space="0" w:color="auto"/>
            <w:right w:val="none" w:sz="0" w:space="0" w:color="auto"/>
          </w:divBdr>
        </w:div>
      </w:divsChild>
    </w:div>
    <w:div w:id="842938585">
      <w:bodyDiv w:val="1"/>
      <w:marLeft w:val="0"/>
      <w:marRight w:val="0"/>
      <w:marTop w:val="0"/>
      <w:marBottom w:val="0"/>
      <w:divBdr>
        <w:top w:val="none" w:sz="0" w:space="0" w:color="auto"/>
        <w:left w:val="none" w:sz="0" w:space="0" w:color="auto"/>
        <w:bottom w:val="none" w:sz="0" w:space="0" w:color="auto"/>
        <w:right w:val="none" w:sz="0" w:space="0" w:color="auto"/>
      </w:divBdr>
      <w:divsChild>
        <w:div w:id="323899438">
          <w:marLeft w:val="446"/>
          <w:marRight w:val="0"/>
          <w:marTop w:val="0"/>
          <w:marBottom w:val="0"/>
          <w:divBdr>
            <w:top w:val="none" w:sz="0" w:space="0" w:color="auto"/>
            <w:left w:val="none" w:sz="0" w:space="0" w:color="auto"/>
            <w:bottom w:val="none" w:sz="0" w:space="0" w:color="auto"/>
            <w:right w:val="none" w:sz="0" w:space="0" w:color="auto"/>
          </w:divBdr>
        </w:div>
        <w:div w:id="1753621765">
          <w:marLeft w:val="446"/>
          <w:marRight w:val="0"/>
          <w:marTop w:val="0"/>
          <w:marBottom w:val="0"/>
          <w:divBdr>
            <w:top w:val="none" w:sz="0" w:space="0" w:color="auto"/>
            <w:left w:val="none" w:sz="0" w:space="0" w:color="auto"/>
            <w:bottom w:val="none" w:sz="0" w:space="0" w:color="auto"/>
            <w:right w:val="none" w:sz="0" w:space="0" w:color="auto"/>
          </w:divBdr>
        </w:div>
      </w:divsChild>
    </w:div>
    <w:div w:id="894318323">
      <w:bodyDiv w:val="1"/>
      <w:marLeft w:val="0"/>
      <w:marRight w:val="0"/>
      <w:marTop w:val="0"/>
      <w:marBottom w:val="0"/>
      <w:divBdr>
        <w:top w:val="none" w:sz="0" w:space="0" w:color="auto"/>
        <w:left w:val="none" w:sz="0" w:space="0" w:color="auto"/>
        <w:bottom w:val="none" w:sz="0" w:space="0" w:color="auto"/>
        <w:right w:val="none" w:sz="0" w:space="0" w:color="auto"/>
      </w:divBdr>
    </w:div>
    <w:div w:id="975067803">
      <w:bodyDiv w:val="1"/>
      <w:marLeft w:val="0"/>
      <w:marRight w:val="0"/>
      <w:marTop w:val="0"/>
      <w:marBottom w:val="0"/>
      <w:divBdr>
        <w:top w:val="none" w:sz="0" w:space="0" w:color="auto"/>
        <w:left w:val="none" w:sz="0" w:space="0" w:color="auto"/>
        <w:bottom w:val="none" w:sz="0" w:space="0" w:color="auto"/>
        <w:right w:val="none" w:sz="0" w:space="0" w:color="auto"/>
      </w:divBdr>
      <w:divsChild>
        <w:div w:id="1141925986">
          <w:marLeft w:val="446"/>
          <w:marRight w:val="0"/>
          <w:marTop w:val="0"/>
          <w:marBottom w:val="0"/>
          <w:divBdr>
            <w:top w:val="none" w:sz="0" w:space="0" w:color="auto"/>
            <w:left w:val="none" w:sz="0" w:space="0" w:color="auto"/>
            <w:bottom w:val="none" w:sz="0" w:space="0" w:color="auto"/>
            <w:right w:val="none" w:sz="0" w:space="0" w:color="auto"/>
          </w:divBdr>
        </w:div>
        <w:div w:id="2119835301">
          <w:marLeft w:val="446"/>
          <w:marRight w:val="0"/>
          <w:marTop w:val="0"/>
          <w:marBottom w:val="0"/>
          <w:divBdr>
            <w:top w:val="none" w:sz="0" w:space="0" w:color="auto"/>
            <w:left w:val="none" w:sz="0" w:space="0" w:color="auto"/>
            <w:bottom w:val="none" w:sz="0" w:space="0" w:color="auto"/>
            <w:right w:val="none" w:sz="0" w:space="0" w:color="auto"/>
          </w:divBdr>
        </w:div>
      </w:divsChild>
    </w:div>
    <w:div w:id="977878472">
      <w:bodyDiv w:val="1"/>
      <w:marLeft w:val="0"/>
      <w:marRight w:val="0"/>
      <w:marTop w:val="0"/>
      <w:marBottom w:val="0"/>
      <w:divBdr>
        <w:top w:val="none" w:sz="0" w:space="0" w:color="auto"/>
        <w:left w:val="none" w:sz="0" w:space="0" w:color="auto"/>
        <w:bottom w:val="none" w:sz="0" w:space="0" w:color="auto"/>
        <w:right w:val="none" w:sz="0" w:space="0" w:color="auto"/>
      </w:divBdr>
    </w:div>
    <w:div w:id="1028795035">
      <w:bodyDiv w:val="1"/>
      <w:marLeft w:val="0"/>
      <w:marRight w:val="0"/>
      <w:marTop w:val="0"/>
      <w:marBottom w:val="0"/>
      <w:divBdr>
        <w:top w:val="none" w:sz="0" w:space="0" w:color="auto"/>
        <w:left w:val="none" w:sz="0" w:space="0" w:color="auto"/>
        <w:bottom w:val="none" w:sz="0" w:space="0" w:color="auto"/>
        <w:right w:val="none" w:sz="0" w:space="0" w:color="auto"/>
      </w:divBdr>
      <w:divsChild>
        <w:div w:id="1816871894">
          <w:marLeft w:val="446"/>
          <w:marRight w:val="0"/>
          <w:marTop w:val="0"/>
          <w:marBottom w:val="0"/>
          <w:divBdr>
            <w:top w:val="none" w:sz="0" w:space="0" w:color="auto"/>
            <w:left w:val="none" w:sz="0" w:space="0" w:color="auto"/>
            <w:bottom w:val="none" w:sz="0" w:space="0" w:color="auto"/>
            <w:right w:val="none" w:sz="0" w:space="0" w:color="auto"/>
          </w:divBdr>
        </w:div>
        <w:div w:id="1539582670">
          <w:marLeft w:val="446"/>
          <w:marRight w:val="0"/>
          <w:marTop w:val="0"/>
          <w:marBottom w:val="0"/>
          <w:divBdr>
            <w:top w:val="none" w:sz="0" w:space="0" w:color="auto"/>
            <w:left w:val="none" w:sz="0" w:space="0" w:color="auto"/>
            <w:bottom w:val="none" w:sz="0" w:space="0" w:color="auto"/>
            <w:right w:val="none" w:sz="0" w:space="0" w:color="auto"/>
          </w:divBdr>
        </w:div>
        <w:div w:id="1494953217">
          <w:marLeft w:val="446"/>
          <w:marRight w:val="0"/>
          <w:marTop w:val="0"/>
          <w:marBottom w:val="0"/>
          <w:divBdr>
            <w:top w:val="none" w:sz="0" w:space="0" w:color="auto"/>
            <w:left w:val="none" w:sz="0" w:space="0" w:color="auto"/>
            <w:bottom w:val="none" w:sz="0" w:space="0" w:color="auto"/>
            <w:right w:val="none" w:sz="0" w:space="0" w:color="auto"/>
          </w:divBdr>
        </w:div>
        <w:div w:id="1170216871">
          <w:marLeft w:val="446"/>
          <w:marRight w:val="0"/>
          <w:marTop w:val="0"/>
          <w:marBottom w:val="0"/>
          <w:divBdr>
            <w:top w:val="none" w:sz="0" w:space="0" w:color="auto"/>
            <w:left w:val="none" w:sz="0" w:space="0" w:color="auto"/>
            <w:bottom w:val="none" w:sz="0" w:space="0" w:color="auto"/>
            <w:right w:val="none" w:sz="0" w:space="0" w:color="auto"/>
          </w:divBdr>
        </w:div>
        <w:div w:id="632978690">
          <w:marLeft w:val="446"/>
          <w:marRight w:val="0"/>
          <w:marTop w:val="0"/>
          <w:marBottom w:val="0"/>
          <w:divBdr>
            <w:top w:val="none" w:sz="0" w:space="0" w:color="auto"/>
            <w:left w:val="none" w:sz="0" w:space="0" w:color="auto"/>
            <w:bottom w:val="none" w:sz="0" w:space="0" w:color="auto"/>
            <w:right w:val="none" w:sz="0" w:space="0" w:color="auto"/>
          </w:divBdr>
        </w:div>
        <w:div w:id="939527177">
          <w:marLeft w:val="1166"/>
          <w:marRight w:val="0"/>
          <w:marTop w:val="0"/>
          <w:marBottom w:val="0"/>
          <w:divBdr>
            <w:top w:val="none" w:sz="0" w:space="0" w:color="auto"/>
            <w:left w:val="none" w:sz="0" w:space="0" w:color="auto"/>
            <w:bottom w:val="none" w:sz="0" w:space="0" w:color="auto"/>
            <w:right w:val="none" w:sz="0" w:space="0" w:color="auto"/>
          </w:divBdr>
        </w:div>
        <w:div w:id="1634171011">
          <w:marLeft w:val="1166"/>
          <w:marRight w:val="0"/>
          <w:marTop w:val="0"/>
          <w:marBottom w:val="0"/>
          <w:divBdr>
            <w:top w:val="none" w:sz="0" w:space="0" w:color="auto"/>
            <w:left w:val="none" w:sz="0" w:space="0" w:color="auto"/>
            <w:bottom w:val="none" w:sz="0" w:space="0" w:color="auto"/>
            <w:right w:val="none" w:sz="0" w:space="0" w:color="auto"/>
          </w:divBdr>
        </w:div>
        <w:div w:id="2018458306">
          <w:marLeft w:val="1166"/>
          <w:marRight w:val="0"/>
          <w:marTop w:val="0"/>
          <w:marBottom w:val="0"/>
          <w:divBdr>
            <w:top w:val="none" w:sz="0" w:space="0" w:color="auto"/>
            <w:left w:val="none" w:sz="0" w:space="0" w:color="auto"/>
            <w:bottom w:val="none" w:sz="0" w:space="0" w:color="auto"/>
            <w:right w:val="none" w:sz="0" w:space="0" w:color="auto"/>
          </w:divBdr>
        </w:div>
      </w:divsChild>
    </w:div>
    <w:div w:id="1037662676">
      <w:bodyDiv w:val="1"/>
      <w:marLeft w:val="0"/>
      <w:marRight w:val="0"/>
      <w:marTop w:val="0"/>
      <w:marBottom w:val="0"/>
      <w:divBdr>
        <w:top w:val="none" w:sz="0" w:space="0" w:color="auto"/>
        <w:left w:val="none" w:sz="0" w:space="0" w:color="auto"/>
        <w:bottom w:val="none" w:sz="0" w:space="0" w:color="auto"/>
        <w:right w:val="none" w:sz="0" w:space="0" w:color="auto"/>
      </w:divBdr>
    </w:div>
    <w:div w:id="1087264944">
      <w:bodyDiv w:val="1"/>
      <w:marLeft w:val="0"/>
      <w:marRight w:val="0"/>
      <w:marTop w:val="0"/>
      <w:marBottom w:val="0"/>
      <w:divBdr>
        <w:top w:val="none" w:sz="0" w:space="0" w:color="auto"/>
        <w:left w:val="none" w:sz="0" w:space="0" w:color="auto"/>
        <w:bottom w:val="none" w:sz="0" w:space="0" w:color="auto"/>
        <w:right w:val="none" w:sz="0" w:space="0" w:color="auto"/>
      </w:divBdr>
    </w:div>
    <w:div w:id="1117454572">
      <w:bodyDiv w:val="1"/>
      <w:marLeft w:val="0"/>
      <w:marRight w:val="0"/>
      <w:marTop w:val="0"/>
      <w:marBottom w:val="0"/>
      <w:divBdr>
        <w:top w:val="none" w:sz="0" w:space="0" w:color="auto"/>
        <w:left w:val="none" w:sz="0" w:space="0" w:color="auto"/>
        <w:bottom w:val="none" w:sz="0" w:space="0" w:color="auto"/>
        <w:right w:val="none" w:sz="0" w:space="0" w:color="auto"/>
      </w:divBdr>
    </w:div>
    <w:div w:id="1148665998">
      <w:bodyDiv w:val="1"/>
      <w:marLeft w:val="0"/>
      <w:marRight w:val="0"/>
      <w:marTop w:val="0"/>
      <w:marBottom w:val="0"/>
      <w:divBdr>
        <w:top w:val="none" w:sz="0" w:space="0" w:color="auto"/>
        <w:left w:val="none" w:sz="0" w:space="0" w:color="auto"/>
        <w:bottom w:val="none" w:sz="0" w:space="0" w:color="auto"/>
        <w:right w:val="none" w:sz="0" w:space="0" w:color="auto"/>
      </w:divBdr>
    </w:div>
    <w:div w:id="1169057796">
      <w:bodyDiv w:val="1"/>
      <w:marLeft w:val="0"/>
      <w:marRight w:val="0"/>
      <w:marTop w:val="0"/>
      <w:marBottom w:val="0"/>
      <w:divBdr>
        <w:top w:val="none" w:sz="0" w:space="0" w:color="auto"/>
        <w:left w:val="none" w:sz="0" w:space="0" w:color="auto"/>
        <w:bottom w:val="none" w:sz="0" w:space="0" w:color="auto"/>
        <w:right w:val="none" w:sz="0" w:space="0" w:color="auto"/>
      </w:divBdr>
    </w:div>
    <w:div w:id="1284506259">
      <w:bodyDiv w:val="1"/>
      <w:marLeft w:val="0"/>
      <w:marRight w:val="0"/>
      <w:marTop w:val="0"/>
      <w:marBottom w:val="0"/>
      <w:divBdr>
        <w:top w:val="none" w:sz="0" w:space="0" w:color="auto"/>
        <w:left w:val="none" w:sz="0" w:space="0" w:color="auto"/>
        <w:bottom w:val="none" w:sz="0" w:space="0" w:color="auto"/>
        <w:right w:val="none" w:sz="0" w:space="0" w:color="auto"/>
      </w:divBdr>
    </w:div>
    <w:div w:id="1286808469">
      <w:bodyDiv w:val="1"/>
      <w:marLeft w:val="0"/>
      <w:marRight w:val="0"/>
      <w:marTop w:val="0"/>
      <w:marBottom w:val="0"/>
      <w:divBdr>
        <w:top w:val="none" w:sz="0" w:space="0" w:color="auto"/>
        <w:left w:val="none" w:sz="0" w:space="0" w:color="auto"/>
        <w:bottom w:val="none" w:sz="0" w:space="0" w:color="auto"/>
        <w:right w:val="none" w:sz="0" w:space="0" w:color="auto"/>
      </w:divBdr>
      <w:divsChild>
        <w:div w:id="511993380">
          <w:marLeft w:val="1166"/>
          <w:marRight w:val="0"/>
          <w:marTop w:val="0"/>
          <w:marBottom w:val="0"/>
          <w:divBdr>
            <w:top w:val="none" w:sz="0" w:space="0" w:color="auto"/>
            <w:left w:val="none" w:sz="0" w:space="0" w:color="auto"/>
            <w:bottom w:val="none" w:sz="0" w:space="0" w:color="auto"/>
            <w:right w:val="none" w:sz="0" w:space="0" w:color="auto"/>
          </w:divBdr>
        </w:div>
        <w:div w:id="2058620784">
          <w:marLeft w:val="1166"/>
          <w:marRight w:val="0"/>
          <w:marTop w:val="0"/>
          <w:marBottom w:val="0"/>
          <w:divBdr>
            <w:top w:val="none" w:sz="0" w:space="0" w:color="auto"/>
            <w:left w:val="none" w:sz="0" w:space="0" w:color="auto"/>
            <w:bottom w:val="none" w:sz="0" w:space="0" w:color="auto"/>
            <w:right w:val="none" w:sz="0" w:space="0" w:color="auto"/>
          </w:divBdr>
        </w:div>
        <w:div w:id="1070613137">
          <w:marLeft w:val="446"/>
          <w:marRight w:val="0"/>
          <w:marTop w:val="0"/>
          <w:marBottom w:val="0"/>
          <w:divBdr>
            <w:top w:val="none" w:sz="0" w:space="0" w:color="auto"/>
            <w:left w:val="none" w:sz="0" w:space="0" w:color="auto"/>
            <w:bottom w:val="none" w:sz="0" w:space="0" w:color="auto"/>
            <w:right w:val="none" w:sz="0" w:space="0" w:color="auto"/>
          </w:divBdr>
        </w:div>
        <w:div w:id="765808759">
          <w:marLeft w:val="1166"/>
          <w:marRight w:val="0"/>
          <w:marTop w:val="0"/>
          <w:marBottom w:val="0"/>
          <w:divBdr>
            <w:top w:val="none" w:sz="0" w:space="0" w:color="auto"/>
            <w:left w:val="none" w:sz="0" w:space="0" w:color="auto"/>
            <w:bottom w:val="none" w:sz="0" w:space="0" w:color="auto"/>
            <w:right w:val="none" w:sz="0" w:space="0" w:color="auto"/>
          </w:divBdr>
        </w:div>
        <w:div w:id="1500728954">
          <w:marLeft w:val="1166"/>
          <w:marRight w:val="0"/>
          <w:marTop w:val="0"/>
          <w:marBottom w:val="0"/>
          <w:divBdr>
            <w:top w:val="none" w:sz="0" w:space="0" w:color="auto"/>
            <w:left w:val="none" w:sz="0" w:space="0" w:color="auto"/>
            <w:bottom w:val="none" w:sz="0" w:space="0" w:color="auto"/>
            <w:right w:val="none" w:sz="0" w:space="0" w:color="auto"/>
          </w:divBdr>
        </w:div>
      </w:divsChild>
    </w:div>
    <w:div w:id="1340429611">
      <w:bodyDiv w:val="1"/>
      <w:marLeft w:val="0"/>
      <w:marRight w:val="0"/>
      <w:marTop w:val="0"/>
      <w:marBottom w:val="0"/>
      <w:divBdr>
        <w:top w:val="none" w:sz="0" w:space="0" w:color="auto"/>
        <w:left w:val="none" w:sz="0" w:space="0" w:color="auto"/>
        <w:bottom w:val="none" w:sz="0" w:space="0" w:color="auto"/>
        <w:right w:val="none" w:sz="0" w:space="0" w:color="auto"/>
      </w:divBdr>
    </w:div>
    <w:div w:id="1345589260">
      <w:bodyDiv w:val="1"/>
      <w:marLeft w:val="0"/>
      <w:marRight w:val="0"/>
      <w:marTop w:val="0"/>
      <w:marBottom w:val="0"/>
      <w:divBdr>
        <w:top w:val="none" w:sz="0" w:space="0" w:color="auto"/>
        <w:left w:val="none" w:sz="0" w:space="0" w:color="auto"/>
        <w:bottom w:val="none" w:sz="0" w:space="0" w:color="auto"/>
        <w:right w:val="none" w:sz="0" w:space="0" w:color="auto"/>
      </w:divBdr>
    </w:div>
    <w:div w:id="1410929790">
      <w:bodyDiv w:val="1"/>
      <w:marLeft w:val="0"/>
      <w:marRight w:val="0"/>
      <w:marTop w:val="0"/>
      <w:marBottom w:val="0"/>
      <w:divBdr>
        <w:top w:val="none" w:sz="0" w:space="0" w:color="auto"/>
        <w:left w:val="none" w:sz="0" w:space="0" w:color="auto"/>
        <w:bottom w:val="none" w:sz="0" w:space="0" w:color="auto"/>
        <w:right w:val="none" w:sz="0" w:space="0" w:color="auto"/>
      </w:divBdr>
      <w:divsChild>
        <w:div w:id="1523275624">
          <w:marLeft w:val="446"/>
          <w:marRight w:val="0"/>
          <w:marTop w:val="0"/>
          <w:marBottom w:val="0"/>
          <w:divBdr>
            <w:top w:val="none" w:sz="0" w:space="0" w:color="auto"/>
            <w:left w:val="none" w:sz="0" w:space="0" w:color="auto"/>
            <w:bottom w:val="none" w:sz="0" w:space="0" w:color="auto"/>
            <w:right w:val="none" w:sz="0" w:space="0" w:color="auto"/>
          </w:divBdr>
        </w:div>
        <w:div w:id="1790584971">
          <w:marLeft w:val="446"/>
          <w:marRight w:val="0"/>
          <w:marTop w:val="0"/>
          <w:marBottom w:val="0"/>
          <w:divBdr>
            <w:top w:val="none" w:sz="0" w:space="0" w:color="auto"/>
            <w:left w:val="none" w:sz="0" w:space="0" w:color="auto"/>
            <w:bottom w:val="none" w:sz="0" w:space="0" w:color="auto"/>
            <w:right w:val="none" w:sz="0" w:space="0" w:color="auto"/>
          </w:divBdr>
        </w:div>
        <w:div w:id="488905928">
          <w:marLeft w:val="1166"/>
          <w:marRight w:val="0"/>
          <w:marTop w:val="0"/>
          <w:marBottom w:val="0"/>
          <w:divBdr>
            <w:top w:val="none" w:sz="0" w:space="0" w:color="auto"/>
            <w:left w:val="none" w:sz="0" w:space="0" w:color="auto"/>
            <w:bottom w:val="none" w:sz="0" w:space="0" w:color="auto"/>
            <w:right w:val="none" w:sz="0" w:space="0" w:color="auto"/>
          </w:divBdr>
        </w:div>
        <w:div w:id="25452853">
          <w:marLeft w:val="446"/>
          <w:marRight w:val="0"/>
          <w:marTop w:val="0"/>
          <w:marBottom w:val="0"/>
          <w:divBdr>
            <w:top w:val="none" w:sz="0" w:space="0" w:color="auto"/>
            <w:left w:val="none" w:sz="0" w:space="0" w:color="auto"/>
            <w:bottom w:val="none" w:sz="0" w:space="0" w:color="auto"/>
            <w:right w:val="none" w:sz="0" w:space="0" w:color="auto"/>
          </w:divBdr>
        </w:div>
      </w:divsChild>
    </w:div>
    <w:div w:id="1423378539">
      <w:bodyDiv w:val="1"/>
      <w:marLeft w:val="0"/>
      <w:marRight w:val="0"/>
      <w:marTop w:val="0"/>
      <w:marBottom w:val="0"/>
      <w:divBdr>
        <w:top w:val="none" w:sz="0" w:space="0" w:color="auto"/>
        <w:left w:val="none" w:sz="0" w:space="0" w:color="auto"/>
        <w:bottom w:val="none" w:sz="0" w:space="0" w:color="auto"/>
        <w:right w:val="none" w:sz="0" w:space="0" w:color="auto"/>
      </w:divBdr>
      <w:divsChild>
        <w:div w:id="799609926">
          <w:marLeft w:val="446"/>
          <w:marRight w:val="0"/>
          <w:marTop w:val="0"/>
          <w:marBottom w:val="0"/>
          <w:divBdr>
            <w:top w:val="none" w:sz="0" w:space="0" w:color="auto"/>
            <w:left w:val="none" w:sz="0" w:space="0" w:color="auto"/>
            <w:bottom w:val="none" w:sz="0" w:space="0" w:color="auto"/>
            <w:right w:val="none" w:sz="0" w:space="0" w:color="auto"/>
          </w:divBdr>
        </w:div>
      </w:divsChild>
    </w:div>
    <w:div w:id="1579241985">
      <w:bodyDiv w:val="1"/>
      <w:marLeft w:val="0"/>
      <w:marRight w:val="0"/>
      <w:marTop w:val="0"/>
      <w:marBottom w:val="0"/>
      <w:divBdr>
        <w:top w:val="none" w:sz="0" w:space="0" w:color="auto"/>
        <w:left w:val="none" w:sz="0" w:space="0" w:color="auto"/>
        <w:bottom w:val="none" w:sz="0" w:space="0" w:color="auto"/>
        <w:right w:val="none" w:sz="0" w:space="0" w:color="auto"/>
      </w:divBdr>
    </w:div>
    <w:div w:id="1587885322">
      <w:bodyDiv w:val="1"/>
      <w:marLeft w:val="0"/>
      <w:marRight w:val="0"/>
      <w:marTop w:val="0"/>
      <w:marBottom w:val="0"/>
      <w:divBdr>
        <w:top w:val="none" w:sz="0" w:space="0" w:color="auto"/>
        <w:left w:val="none" w:sz="0" w:space="0" w:color="auto"/>
        <w:bottom w:val="none" w:sz="0" w:space="0" w:color="auto"/>
        <w:right w:val="none" w:sz="0" w:space="0" w:color="auto"/>
      </w:divBdr>
    </w:div>
    <w:div w:id="1611007485">
      <w:bodyDiv w:val="1"/>
      <w:marLeft w:val="0"/>
      <w:marRight w:val="0"/>
      <w:marTop w:val="0"/>
      <w:marBottom w:val="0"/>
      <w:divBdr>
        <w:top w:val="none" w:sz="0" w:space="0" w:color="auto"/>
        <w:left w:val="none" w:sz="0" w:space="0" w:color="auto"/>
        <w:bottom w:val="none" w:sz="0" w:space="0" w:color="auto"/>
        <w:right w:val="none" w:sz="0" w:space="0" w:color="auto"/>
      </w:divBdr>
    </w:div>
    <w:div w:id="1619947849">
      <w:bodyDiv w:val="1"/>
      <w:marLeft w:val="0"/>
      <w:marRight w:val="0"/>
      <w:marTop w:val="0"/>
      <w:marBottom w:val="0"/>
      <w:divBdr>
        <w:top w:val="none" w:sz="0" w:space="0" w:color="auto"/>
        <w:left w:val="none" w:sz="0" w:space="0" w:color="auto"/>
        <w:bottom w:val="none" w:sz="0" w:space="0" w:color="auto"/>
        <w:right w:val="none" w:sz="0" w:space="0" w:color="auto"/>
      </w:divBdr>
    </w:div>
    <w:div w:id="1626235581">
      <w:bodyDiv w:val="1"/>
      <w:marLeft w:val="0"/>
      <w:marRight w:val="0"/>
      <w:marTop w:val="0"/>
      <w:marBottom w:val="0"/>
      <w:divBdr>
        <w:top w:val="none" w:sz="0" w:space="0" w:color="auto"/>
        <w:left w:val="none" w:sz="0" w:space="0" w:color="auto"/>
        <w:bottom w:val="none" w:sz="0" w:space="0" w:color="auto"/>
        <w:right w:val="none" w:sz="0" w:space="0" w:color="auto"/>
      </w:divBdr>
      <w:divsChild>
        <w:div w:id="1748264301">
          <w:marLeft w:val="446"/>
          <w:marRight w:val="0"/>
          <w:marTop w:val="0"/>
          <w:marBottom w:val="0"/>
          <w:divBdr>
            <w:top w:val="none" w:sz="0" w:space="0" w:color="auto"/>
            <w:left w:val="none" w:sz="0" w:space="0" w:color="auto"/>
            <w:bottom w:val="none" w:sz="0" w:space="0" w:color="auto"/>
            <w:right w:val="none" w:sz="0" w:space="0" w:color="auto"/>
          </w:divBdr>
        </w:div>
        <w:div w:id="1825968802">
          <w:marLeft w:val="446"/>
          <w:marRight w:val="0"/>
          <w:marTop w:val="0"/>
          <w:marBottom w:val="0"/>
          <w:divBdr>
            <w:top w:val="none" w:sz="0" w:space="0" w:color="auto"/>
            <w:left w:val="none" w:sz="0" w:space="0" w:color="auto"/>
            <w:bottom w:val="none" w:sz="0" w:space="0" w:color="auto"/>
            <w:right w:val="none" w:sz="0" w:space="0" w:color="auto"/>
          </w:divBdr>
        </w:div>
      </w:divsChild>
    </w:div>
    <w:div w:id="1657225158">
      <w:bodyDiv w:val="1"/>
      <w:marLeft w:val="0"/>
      <w:marRight w:val="0"/>
      <w:marTop w:val="0"/>
      <w:marBottom w:val="0"/>
      <w:divBdr>
        <w:top w:val="none" w:sz="0" w:space="0" w:color="auto"/>
        <w:left w:val="none" w:sz="0" w:space="0" w:color="auto"/>
        <w:bottom w:val="none" w:sz="0" w:space="0" w:color="auto"/>
        <w:right w:val="none" w:sz="0" w:space="0" w:color="auto"/>
      </w:divBdr>
      <w:divsChild>
        <w:div w:id="502555521">
          <w:marLeft w:val="446"/>
          <w:marRight w:val="0"/>
          <w:marTop w:val="0"/>
          <w:marBottom w:val="0"/>
          <w:divBdr>
            <w:top w:val="none" w:sz="0" w:space="0" w:color="auto"/>
            <w:left w:val="none" w:sz="0" w:space="0" w:color="auto"/>
            <w:bottom w:val="none" w:sz="0" w:space="0" w:color="auto"/>
            <w:right w:val="none" w:sz="0" w:space="0" w:color="auto"/>
          </w:divBdr>
        </w:div>
      </w:divsChild>
    </w:div>
    <w:div w:id="1673265282">
      <w:bodyDiv w:val="1"/>
      <w:marLeft w:val="0"/>
      <w:marRight w:val="0"/>
      <w:marTop w:val="0"/>
      <w:marBottom w:val="0"/>
      <w:divBdr>
        <w:top w:val="none" w:sz="0" w:space="0" w:color="auto"/>
        <w:left w:val="none" w:sz="0" w:space="0" w:color="auto"/>
        <w:bottom w:val="none" w:sz="0" w:space="0" w:color="auto"/>
        <w:right w:val="none" w:sz="0" w:space="0" w:color="auto"/>
      </w:divBdr>
      <w:divsChild>
        <w:div w:id="1860655508">
          <w:marLeft w:val="446"/>
          <w:marRight w:val="0"/>
          <w:marTop w:val="0"/>
          <w:marBottom w:val="0"/>
          <w:divBdr>
            <w:top w:val="none" w:sz="0" w:space="0" w:color="auto"/>
            <w:left w:val="none" w:sz="0" w:space="0" w:color="auto"/>
            <w:bottom w:val="none" w:sz="0" w:space="0" w:color="auto"/>
            <w:right w:val="none" w:sz="0" w:space="0" w:color="auto"/>
          </w:divBdr>
        </w:div>
        <w:div w:id="1173645090">
          <w:marLeft w:val="1166"/>
          <w:marRight w:val="0"/>
          <w:marTop w:val="0"/>
          <w:marBottom w:val="0"/>
          <w:divBdr>
            <w:top w:val="none" w:sz="0" w:space="0" w:color="auto"/>
            <w:left w:val="none" w:sz="0" w:space="0" w:color="auto"/>
            <w:bottom w:val="none" w:sz="0" w:space="0" w:color="auto"/>
            <w:right w:val="none" w:sz="0" w:space="0" w:color="auto"/>
          </w:divBdr>
        </w:div>
        <w:div w:id="526647887">
          <w:marLeft w:val="1166"/>
          <w:marRight w:val="0"/>
          <w:marTop w:val="0"/>
          <w:marBottom w:val="0"/>
          <w:divBdr>
            <w:top w:val="none" w:sz="0" w:space="0" w:color="auto"/>
            <w:left w:val="none" w:sz="0" w:space="0" w:color="auto"/>
            <w:bottom w:val="none" w:sz="0" w:space="0" w:color="auto"/>
            <w:right w:val="none" w:sz="0" w:space="0" w:color="auto"/>
          </w:divBdr>
        </w:div>
        <w:div w:id="442842869">
          <w:marLeft w:val="1166"/>
          <w:marRight w:val="0"/>
          <w:marTop w:val="0"/>
          <w:marBottom w:val="0"/>
          <w:divBdr>
            <w:top w:val="none" w:sz="0" w:space="0" w:color="auto"/>
            <w:left w:val="none" w:sz="0" w:space="0" w:color="auto"/>
            <w:bottom w:val="none" w:sz="0" w:space="0" w:color="auto"/>
            <w:right w:val="none" w:sz="0" w:space="0" w:color="auto"/>
          </w:divBdr>
        </w:div>
        <w:div w:id="820581623">
          <w:marLeft w:val="446"/>
          <w:marRight w:val="0"/>
          <w:marTop w:val="0"/>
          <w:marBottom w:val="0"/>
          <w:divBdr>
            <w:top w:val="none" w:sz="0" w:space="0" w:color="auto"/>
            <w:left w:val="none" w:sz="0" w:space="0" w:color="auto"/>
            <w:bottom w:val="none" w:sz="0" w:space="0" w:color="auto"/>
            <w:right w:val="none" w:sz="0" w:space="0" w:color="auto"/>
          </w:divBdr>
        </w:div>
        <w:div w:id="317727388">
          <w:marLeft w:val="446"/>
          <w:marRight w:val="0"/>
          <w:marTop w:val="0"/>
          <w:marBottom w:val="0"/>
          <w:divBdr>
            <w:top w:val="none" w:sz="0" w:space="0" w:color="auto"/>
            <w:left w:val="none" w:sz="0" w:space="0" w:color="auto"/>
            <w:bottom w:val="none" w:sz="0" w:space="0" w:color="auto"/>
            <w:right w:val="none" w:sz="0" w:space="0" w:color="auto"/>
          </w:divBdr>
        </w:div>
        <w:div w:id="736124115">
          <w:marLeft w:val="1166"/>
          <w:marRight w:val="0"/>
          <w:marTop w:val="0"/>
          <w:marBottom w:val="0"/>
          <w:divBdr>
            <w:top w:val="none" w:sz="0" w:space="0" w:color="auto"/>
            <w:left w:val="none" w:sz="0" w:space="0" w:color="auto"/>
            <w:bottom w:val="none" w:sz="0" w:space="0" w:color="auto"/>
            <w:right w:val="none" w:sz="0" w:space="0" w:color="auto"/>
          </w:divBdr>
        </w:div>
        <w:div w:id="1992900655">
          <w:marLeft w:val="1166"/>
          <w:marRight w:val="0"/>
          <w:marTop w:val="0"/>
          <w:marBottom w:val="0"/>
          <w:divBdr>
            <w:top w:val="none" w:sz="0" w:space="0" w:color="auto"/>
            <w:left w:val="none" w:sz="0" w:space="0" w:color="auto"/>
            <w:bottom w:val="none" w:sz="0" w:space="0" w:color="auto"/>
            <w:right w:val="none" w:sz="0" w:space="0" w:color="auto"/>
          </w:divBdr>
        </w:div>
      </w:divsChild>
    </w:div>
    <w:div w:id="1676035799">
      <w:bodyDiv w:val="1"/>
      <w:marLeft w:val="0"/>
      <w:marRight w:val="0"/>
      <w:marTop w:val="0"/>
      <w:marBottom w:val="0"/>
      <w:divBdr>
        <w:top w:val="none" w:sz="0" w:space="0" w:color="auto"/>
        <w:left w:val="none" w:sz="0" w:space="0" w:color="auto"/>
        <w:bottom w:val="none" w:sz="0" w:space="0" w:color="auto"/>
        <w:right w:val="none" w:sz="0" w:space="0" w:color="auto"/>
      </w:divBdr>
      <w:divsChild>
        <w:div w:id="45614717">
          <w:marLeft w:val="446"/>
          <w:marRight w:val="0"/>
          <w:marTop w:val="0"/>
          <w:marBottom w:val="0"/>
          <w:divBdr>
            <w:top w:val="none" w:sz="0" w:space="0" w:color="auto"/>
            <w:left w:val="none" w:sz="0" w:space="0" w:color="auto"/>
            <w:bottom w:val="none" w:sz="0" w:space="0" w:color="auto"/>
            <w:right w:val="none" w:sz="0" w:space="0" w:color="auto"/>
          </w:divBdr>
        </w:div>
        <w:div w:id="1022513694">
          <w:marLeft w:val="1166"/>
          <w:marRight w:val="0"/>
          <w:marTop w:val="0"/>
          <w:marBottom w:val="0"/>
          <w:divBdr>
            <w:top w:val="none" w:sz="0" w:space="0" w:color="auto"/>
            <w:left w:val="none" w:sz="0" w:space="0" w:color="auto"/>
            <w:bottom w:val="none" w:sz="0" w:space="0" w:color="auto"/>
            <w:right w:val="none" w:sz="0" w:space="0" w:color="auto"/>
          </w:divBdr>
        </w:div>
        <w:div w:id="581453039">
          <w:marLeft w:val="1166"/>
          <w:marRight w:val="0"/>
          <w:marTop w:val="0"/>
          <w:marBottom w:val="0"/>
          <w:divBdr>
            <w:top w:val="none" w:sz="0" w:space="0" w:color="auto"/>
            <w:left w:val="none" w:sz="0" w:space="0" w:color="auto"/>
            <w:bottom w:val="none" w:sz="0" w:space="0" w:color="auto"/>
            <w:right w:val="none" w:sz="0" w:space="0" w:color="auto"/>
          </w:divBdr>
        </w:div>
        <w:div w:id="1948656401">
          <w:marLeft w:val="1166"/>
          <w:marRight w:val="0"/>
          <w:marTop w:val="0"/>
          <w:marBottom w:val="0"/>
          <w:divBdr>
            <w:top w:val="none" w:sz="0" w:space="0" w:color="auto"/>
            <w:left w:val="none" w:sz="0" w:space="0" w:color="auto"/>
            <w:bottom w:val="none" w:sz="0" w:space="0" w:color="auto"/>
            <w:right w:val="none" w:sz="0" w:space="0" w:color="auto"/>
          </w:divBdr>
        </w:div>
        <w:div w:id="325518142">
          <w:marLeft w:val="446"/>
          <w:marRight w:val="0"/>
          <w:marTop w:val="0"/>
          <w:marBottom w:val="0"/>
          <w:divBdr>
            <w:top w:val="none" w:sz="0" w:space="0" w:color="auto"/>
            <w:left w:val="none" w:sz="0" w:space="0" w:color="auto"/>
            <w:bottom w:val="none" w:sz="0" w:space="0" w:color="auto"/>
            <w:right w:val="none" w:sz="0" w:space="0" w:color="auto"/>
          </w:divBdr>
        </w:div>
        <w:div w:id="1711491049">
          <w:marLeft w:val="446"/>
          <w:marRight w:val="0"/>
          <w:marTop w:val="0"/>
          <w:marBottom w:val="0"/>
          <w:divBdr>
            <w:top w:val="none" w:sz="0" w:space="0" w:color="auto"/>
            <w:left w:val="none" w:sz="0" w:space="0" w:color="auto"/>
            <w:bottom w:val="none" w:sz="0" w:space="0" w:color="auto"/>
            <w:right w:val="none" w:sz="0" w:space="0" w:color="auto"/>
          </w:divBdr>
        </w:div>
      </w:divsChild>
    </w:div>
    <w:div w:id="1691295071">
      <w:bodyDiv w:val="1"/>
      <w:marLeft w:val="0"/>
      <w:marRight w:val="0"/>
      <w:marTop w:val="0"/>
      <w:marBottom w:val="0"/>
      <w:divBdr>
        <w:top w:val="none" w:sz="0" w:space="0" w:color="auto"/>
        <w:left w:val="none" w:sz="0" w:space="0" w:color="auto"/>
        <w:bottom w:val="none" w:sz="0" w:space="0" w:color="auto"/>
        <w:right w:val="none" w:sz="0" w:space="0" w:color="auto"/>
      </w:divBdr>
    </w:div>
    <w:div w:id="1872455124">
      <w:bodyDiv w:val="1"/>
      <w:marLeft w:val="0"/>
      <w:marRight w:val="0"/>
      <w:marTop w:val="0"/>
      <w:marBottom w:val="0"/>
      <w:divBdr>
        <w:top w:val="none" w:sz="0" w:space="0" w:color="auto"/>
        <w:left w:val="none" w:sz="0" w:space="0" w:color="auto"/>
        <w:bottom w:val="none" w:sz="0" w:space="0" w:color="auto"/>
        <w:right w:val="none" w:sz="0" w:space="0" w:color="auto"/>
      </w:divBdr>
    </w:div>
    <w:div w:id="1885554479">
      <w:bodyDiv w:val="1"/>
      <w:marLeft w:val="0"/>
      <w:marRight w:val="0"/>
      <w:marTop w:val="0"/>
      <w:marBottom w:val="0"/>
      <w:divBdr>
        <w:top w:val="none" w:sz="0" w:space="0" w:color="auto"/>
        <w:left w:val="none" w:sz="0" w:space="0" w:color="auto"/>
        <w:bottom w:val="none" w:sz="0" w:space="0" w:color="auto"/>
        <w:right w:val="none" w:sz="0" w:space="0" w:color="auto"/>
      </w:divBdr>
      <w:divsChild>
        <w:div w:id="228926719">
          <w:marLeft w:val="360"/>
          <w:marRight w:val="0"/>
          <w:marTop w:val="0"/>
          <w:marBottom w:val="0"/>
          <w:divBdr>
            <w:top w:val="none" w:sz="0" w:space="0" w:color="auto"/>
            <w:left w:val="none" w:sz="0" w:space="0" w:color="auto"/>
            <w:bottom w:val="none" w:sz="0" w:space="0" w:color="auto"/>
            <w:right w:val="none" w:sz="0" w:space="0" w:color="auto"/>
          </w:divBdr>
        </w:div>
      </w:divsChild>
    </w:div>
    <w:div w:id="1942108646">
      <w:bodyDiv w:val="1"/>
      <w:marLeft w:val="0"/>
      <w:marRight w:val="0"/>
      <w:marTop w:val="0"/>
      <w:marBottom w:val="0"/>
      <w:divBdr>
        <w:top w:val="none" w:sz="0" w:space="0" w:color="auto"/>
        <w:left w:val="none" w:sz="0" w:space="0" w:color="auto"/>
        <w:bottom w:val="none" w:sz="0" w:space="0" w:color="auto"/>
        <w:right w:val="none" w:sz="0" w:space="0" w:color="auto"/>
      </w:divBdr>
    </w:div>
    <w:div w:id="1984657792">
      <w:bodyDiv w:val="1"/>
      <w:marLeft w:val="0"/>
      <w:marRight w:val="0"/>
      <w:marTop w:val="0"/>
      <w:marBottom w:val="0"/>
      <w:divBdr>
        <w:top w:val="none" w:sz="0" w:space="0" w:color="auto"/>
        <w:left w:val="none" w:sz="0" w:space="0" w:color="auto"/>
        <w:bottom w:val="none" w:sz="0" w:space="0" w:color="auto"/>
        <w:right w:val="none" w:sz="0" w:space="0" w:color="auto"/>
      </w:divBdr>
      <w:divsChild>
        <w:div w:id="332538677">
          <w:marLeft w:val="446"/>
          <w:marRight w:val="0"/>
          <w:marTop w:val="0"/>
          <w:marBottom w:val="0"/>
          <w:divBdr>
            <w:top w:val="none" w:sz="0" w:space="0" w:color="auto"/>
            <w:left w:val="none" w:sz="0" w:space="0" w:color="auto"/>
            <w:bottom w:val="none" w:sz="0" w:space="0" w:color="auto"/>
            <w:right w:val="none" w:sz="0" w:space="0" w:color="auto"/>
          </w:divBdr>
        </w:div>
        <w:div w:id="518081281">
          <w:marLeft w:val="446"/>
          <w:marRight w:val="0"/>
          <w:marTop w:val="0"/>
          <w:marBottom w:val="0"/>
          <w:divBdr>
            <w:top w:val="none" w:sz="0" w:space="0" w:color="auto"/>
            <w:left w:val="none" w:sz="0" w:space="0" w:color="auto"/>
            <w:bottom w:val="none" w:sz="0" w:space="0" w:color="auto"/>
            <w:right w:val="none" w:sz="0" w:space="0" w:color="auto"/>
          </w:divBdr>
        </w:div>
      </w:divsChild>
    </w:div>
    <w:div w:id="1997151407">
      <w:bodyDiv w:val="1"/>
      <w:marLeft w:val="0"/>
      <w:marRight w:val="0"/>
      <w:marTop w:val="0"/>
      <w:marBottom w:val="0"/>
      <w:divBdr>
        <w:top w:val="none" w:sz="0" w:space="0" w:color="auto"/>
        <w:left w:val="none" w:sz="0" w:space="0" w:color="auto"/>
        <w:bottom w:val="none" w:sz="0" w:space="0" w:color="auto"/>
        <w:right w:val="none" w:sz="0" w:space="0" w:color="auto"/>
      </w:divBdr>
    </w:div>
    <w:div w:id="2021076816">
      <w:bodyDiv w:val="1"/>
      <w:marLeft w:val="0"/>
      <w:marRight w:val="0"/>
      <w:marTop w:val="0"/>
      <w:marBottom w:val="0"/>
      <w:divBdr>
        <w:top w:val="none" w:sz="0" w:space="0" w:color="auto"/>
        <w:left w:val="none" w:sz="0" w:space="0" w:color="auto"/>
        <w:bottom w:val="none" w:sz="0" w:space="0" w:color="auto"/>
        <w:right w:val="none" w:sz="0" w:space="0" w:color="auto"/>
      </w:divBdr>
    </w:div>
    <w:div w:id="2073844424">
      <w:bodyDiv w:val="1"/>
      <w:marLeft w:val="0"/>
      <w:marRight w:val="0"/>
      <w:marTop w:val="0"/>
      <w:marBottom w:val="0"/>
      <w:divBdr>
        <w:top w:val="none" w:sz="0" w:space="0" w:color="auto"/>
        <w:left w:val="none" w:sz="0" w:space="0" w:color="auto"/>
        <w:bottom w:val="none" w:sz="0" w:space="0" w:color="auto"/>
        <w:right w:val="none" w:sz="0" w:space="0" w:color="auto"/>
      </w:divBdr>
      <w:divsChild>
        <w:div w:id="108206257">
          <w:marLeft w:val="360"/>
          <w:marRight w:val="0"/>
          <w:marTop w:val="200"/>
          <w:marBottom w:val="0"/>
          <w:divBdr>
            <w:top w:val="none" w:sz="0" w:space="0" w:color="auto"/>
            <w:left w:val="none" w:sz="0" w:space="0" w:color="auto"/>
            <w:bottom w:val="none" w:sz="0" w:space="0" w:color="auto"/>
            <w:right w:val="none" w:sz="0" w:space="0" w:color="auto"/>
          </w:divBdr>
        </w:div>
        <w:div w:id="766584135">
          <w:marLeft w:val="360"/>
          <w:marRight w:val="0"/>
          <w:marTop w:val="200"/>
          <w:marBottom w:val="0"/>
          <w:divBdr>
            <w:top w:val="none" w:sz="0" w:space="0" w:color="auto"/>
            <w:left w:val="none" w:sz="0" w:space="0" w:color="auto"/>
            <w:bottom w:val="none" w:sz="0" w:space="0" w:color="auto"/>
            <w:right w:val="none" w:sz="0" w:space="0" w:color="auto"/>
          </w:divBdr>
        </w:div>
        <w:div w:id="1022516673">
          <w:marLeft w:val="360"/>
          <w:marRight w:val="0"/>
          <w:marTop w:val="200"/>
          <w:marBottom w:val="0"/>
          <w:divBdr>
            <w:top w:val="none" w:sz="0" w:space="0" w:color="auto"/>
            <w:left w:val="none" w:sz="0" w:space="0" w:color="auto"/>
            <w:bottom w:val="none" w:sz="0" w:space="0" w:color="auto"/>
            <w:right w:val="none" w:sz="0" w:space="0" w:color="auto"/>
          </w:divBdr>
        </w:div>
        <w:div w:id="1248809850">
          <w:marLeft w:val="360"/>
          <w:marRight w:val="0"/>
          <w:marTop w:val="200"/>
          <w:marBottom w:val="0"/>
          <w:divBdr>
            <w:top w:val="none" w:sz="0" w:space="0" w:color="auto"/>
            <w:left w:val="none" w:sz="0" w:space="0" w:color="auto"/>
            <w:bottom w:val="none" w:sz="0" w:space="0" w:color="auto"/>
            <w:right w:val="none" w:sz="0" w:space="0" w:color="auto"/>
          </w:divBdr>
        </w:div>
        <w:div w:id="1828938672">
          <w:marLeft w:val="360"/>
          <w:marRight w:val="0"/>
          <w:marTop w:val="200"/>
          <w:marBottom w:val="0"/>
          <w:divBdr>
            <w:top w:val="none" w:sz="0" w:space="0" w:color="auto"/>
            <w:left w:val="none" w:sz="0" w:space="0" w:color="auto"/>
            <w:bottom w:val="none" w:sz="0" w:space="0" w:color="auto"/>
            <w:right w:val="none" w:sz="0" w:space="0" w:color="auto"/>
          </w:divBdr>
        </w:div>
      </w:divsChild>
    </w:div>
    <w:div w:id="2076853421">
      <w:bodyDiv w:val="1"/>
      <w:marLeft w:val="0"/>
      <w:marRight w:val="0"/>
      <w:marTop w:val="0"/>
      <w:marBottom w:val="0"/>
      <w:divBdr>
        <w:top w:val="none" w:sz="0" w:space="0" w:color="auto"/>
        <w:left w:val="none" w:sz="0" w:space="0" w:color="auto"/>
        <w:bottom w:val="none" w:sz="0" w:space="0" w:color="auto"/>
        <w:right w:val="none" w:sz="0" w:space="0" w:color="auto"/>
      </w:divBdr>
      <w:divsChild>
        <w:div w:id="137504373">
          <w:marLeft w:val="446"/>
          <w:marRight w:val="0"/>
          <w:marTop w:val="0"/>
          <w:marBottom w:val="0"/>
          <w:divBdr>
            <w:top w:val="none" w:sz="0" w:space="0" w:color="auto"/>
            <w:left w:val="none" w:sz="0" w:space="0" w:color="auto"/>
            <w:bottom w:val="none" w:sz="0" w:space="0" w:color="auto"/>
            <w:right w:val="none" w:sz="0" w:space="0" w:color="auto"/>
          </w:divBdr>
        </w:div>
      </w:divsChild>
    </w:div>
    <w:div w:id="2096048520">
      <w:bodyDiv w:val="1"/>
      <w:marLeft w:val="0"/>
      <w:marRight w:val="0"/>
      <w:marTop w:val="0"/>
      <w:marBottom w:val="0"/>
      <w:divBdr>
        <w:top w:val="none" w:sz="0" w:space="0" w:color="auto"/>
        <w:left w:val="none" w:sz="0" w:space="0" w:color="auto"/>
        <w:bottom w:val="none" w:sz="0" w:space="0" w:color="auto"/>
        <w:right w:val="none" w:sz="0" w:space="0" w:color="auto"/>
      </w:divBdr>
    </w:div>
    <w:div w:id="2104759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9.png"/><Relationship Id="rId26" Type="http://schemas.openxmlformats.org/officeDocument/2006/relationships/image" Target="media/image15.emf"/><Relationship Id="rId39" Type="http://schemas.openxmlformats.org/officeDocument/2006/relationships/hyperlink" Target="https://www.refworld.org.es/pdfid/5afca8974.pdf" TargetMode="External"/><Relationship Id="rId21" Type="http://schemas.openxmlformats.org/officeDocument/2006/relationships/chart" Target="charts/chart4.xml"/><Relationship Id="rId34" Type="http://schemas.openxmlformats.org/officeDocument/2006/relationships/hyperlink" Target="http://www.worldbank.org/en/country/honduras/overview" TargetMode="External"/><Relationship Id="rId42" Type="http://schemas.openxmlformats.org/officeDocument/2006/relationships/hyperlink" Target="https://tbinternet.ohchr.org/Treaties/CCPR/Shared%20Documents/HND/INT_CCPR_CSS_HND_27561_S.pdf" TargetMode="External"/><Relationship Id="rId47" Type="http://schemas.openxmlformats.org/officeDocument/2006/relationships/theme" Target="theme/theme1.xml"/><Relationship Id="rId50" Type="http://schemas.openxmlformats.org/officeDocument/2006/relationships/customXml" Target="../customXml/item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2.xml"/><Relationship Id="rId29" Type="http://schemas.openxmlformats.org/officeDocument/2006/relationships/chart" Target="charts/chart6.xml"/><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image" Target="media/image19.png"/><Relationship Id="rId37" Type="http://schemas.openxmlformats.org/officeDocument/2006/relationships/hyperlink" Target="http://www.msal.gob.ar/images/stories/bes/graficos/0000000323cnt-2014-01_guia-implementacion-consultorios-amigables.pdf" TargetMode="External"/><Relationship Id="rId40" Type="http://schemas.openxmlformats.org/officeDocument/2006/relationships/hyperlink" Target="https://www.pepfar.gov/documents/organization/285842.pdf" TargetMode="External"/><Relationship Id="rId45" Type="http://schemas.openxmlformats.org/officeDocument/2006/relationships/image" Target="media/image21.png"/><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12.emf"/><Relationship Id="rId28" Type="http://schemas.openxmlformats.org/officeDocument/2006/relationships/chart" Target="charts/chart5.xml"/><Relationship Id="rId36" Type="http://schemas.openxmlformats.org/officeDocument/2006/relationships/hyperlink" Target="https://www.hrw.org/es/world-report/2018/country-chapters/313309" TargetMode="External"/><Relationship Id="rId49" Type="http://schemas.openxmlformats.org/officeDocument/2006/relationships/customXml" Target="../customXml/item3.xml"/><Relationship Id="rId10" Type="http://schemas.openxmlformats.org/officeDocument/2006/relationships/image" Target="media/image3.png"/><Relationship Id="rId19" Type="http://schemas.openxmlformats.org/officeDocument/2006/relationships/chart" Target="charts/chart3.xml"/><Relationship Id="rId31" Type="http://schemas.openxmlformats.org/officeDocument/2006/relationships/image" Target="media/image18.emf"/><Relationship Id="rId44" Type="http://schemas.openxmlformats.org/officeDocument/2006/relationships/image" Target="media/image20.png"/><Relationship Id="rId52" Type="http://schemas.openxmlformats.org/officeDocument/2006/relationships/customXml" Target="../customXml/item6.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1.png"/><Relationship Id="rId27" Type="http://schemas.openxmlformats.org/officeDocument/2006/relationships/image" Target="media/image16.emf"/><Relationship Id="rId30" Type="http://schemas.openxmlformats.org/officeDocument/2006/relationships/image" Target="media/image17.emf"/><Relationship Id="rId35" Type="http://schemas.openxmlformats.org/officeDocument/2006/relationships/hyperlink" Target="http://databank.worldbank.org/data/views/reports/reportwidget.aspx?Report_Name=CountryProfile&amp;Id=b450fd57&amp;tbar=y&amp;dd=y&amp;inf=n&amp;zm=n&amp;country=HND" TargetMode="External"/><Relationship Id="rId43" Type="http://schemas.openxmlformats.org/officeDocument/2006/relationships/hyperlink" Target="http://www.unaids.org/sites/default/files/media/documents/NASA_Honduras_2016_es.pdf" TargetMode="External"/><Relationship Id="rId48" Type="http://schemas.openxmlformats.org/officeDocument/2006/relationships/customXml" Target="../customXml/item2.xml"/><Relationship Id="rId8" Type="http://schemas.openxmlformats.org/officeDocument/2006/relationships/image" Target="media/image1.png"/><Relationship Id="rId51" Type="http://schemas.openxmlformats.org/officeDocument/2006/relationships/customXml" Target="../customXml/item5.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hyperlink" Target="http://documents.worldbank.org/curated/en/647631467999733480/pdf/95648-SPANISH-PER-P133348-PUBLIC-Box393197B-SSEIR-Honduras-Espanol.pdf" TargetMode="External"/><Relationship Id="rId38" Type="http://schemas.openxmlformats.org/officeDocument/2006/relationships/hyperlink" Target="http://www.oecd.org/countries/honduras/" TargetMode="External"/><Relationship Id="rId46" Type="http://schemas.openxmlformats.org/officeDocument/2006/relationships/fontTable" Target="fontTable.xml"/><Relationship Id="rId20" Type="http://schemas.openxmlformats.org/officeDocument/2006/relationships/image" Target="media/image10.png"/><Relationship Id="rId41" Type="http://schemas.openxmlformats.org/officeDocument/2006/relationships/hyperlink" Target="http://proceso.hn/nacionales/9-nacionales/impuesto-al-alcohol-genera-polemica-en-honduras.html"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3" Type="http://schemas.openxmlformats.org/officeDocument/2006/relationships/hyperlink" Target="http://databank.worldbank.org/data/views/reports/reportwidget.aspx?Report_Name=CountryProfile&amp;Id=b450fd57&amp;tbar=y&amp;dd=y&amp;inf=n&amp;zm=n&amp;country=HND" TargetMode="External"/><Relationship Id="rId2" Type="http://schemas.openxmlformats.org/officeDocument/2006/relationships/hyperlink" Target="http://databank.worldbank.org/data/views/reports/reportwidget.aspx?Report_Name=CountryProfile&amp;Id=b450fd57&amp;tbar=y&amp;dd=y&amp;inf=n&amp;zm=n&amp;country=HND" TargetMode="External"/><Relationship Id="rId1" Type="http://schemas.openxmlformats.org/officeDocument/2006/relationships/hyperlink" Target="http://www.worldbank.org/en/country/honduras/overview" TargetMode="External"/><Relationship Id="rId4" Type="http://schemas.openxmlformats.org/officeDocument/2006/relationships/hyperlink" Target="http://www.worldbank.org/en/country/honduras/overviewhttp://databank.worldbank.org/data/views/reports/reportwidget.aspx?Report_Name=CountryProfile&amp;Id=b450fd57&amp;tbar=y&amp;dd=y&amp;inf=n&amp;zm=n&amp;country=HND"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My%20Documents\Proyectos\PHAROS\Productos\Informes\Finales\Analisis%20PEN_MEGAS_REV_Claudia%20Valdez.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My%20Documents\Proyectos\PHAROS\Productos\Informes\Finales\Analisis%20PEN_MEGAS_REV_Claudia%20Valdez.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C:\Users\Norma\Documents\Documentos%20Secretar&#237;a\DGRISS%20Tuberculosis\DGRISS%20TB%202018\Carta%20de%20Continuidad%202020-2022\Situacion%20Epidemiologica%20TB%20Migrantes%20Gr&#225;fica%20TB%202017%20Carta%20de%20Continuidad.xlsx" TargetMode="External"/><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GUSTAVO%20URBINA\Desktop\TB\Factores%20de%20Riesgo\Factores%20de%20riesgo,%20a&#241;o%20a%20dic%202017.xls" TargetMode="External"/></Relationships>
</file>

<file path=word/charts/_rels/chart5.xml.rels><?xml version="1.0" encoding="UTF-8" standalone="yes"?>
<Relationships xmlns="http://schemas.openxmlformats.org/package/2006/relationships"><Relationship Id="rId3" Type="http://schemas.openxmlformats.org/officeDocument/2006/relationships/oleObject" Target="file:///C:\Users\Shan\Dropbox%20(Pharos%20Global%20Health)\Pharos_Diana\Honduras%20&amp;%20Guatemala\Honduras%20(carpeta%20equipo%20de%20trabajo)\Reporte%20de%20SS\Graficas.xlsx"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oleObject" Target="file:///C:\My%20Documents\Proyectos\PHAROS\Productos\Informes\Finales\Analisis%20PEN_MEGAS_REV_Claudia%20Valdez.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r>
              <a:rPr lang="en-US" sz="900" b="1">
                <a:latin typeface="Arial" panose="020B0604020202020204" pitchFamily="34" charset="0"/>
                <a:cs typeface="Arial" panose="020B0604020202020204" pitchFamily="34" charset="0"/>
              </a:rPr>
              <a:t>Procentaje</a:t>
            </a:r>
            <a:r>
              <a:rPr lang="en-US" sz="900" b="1" baseline="0">
                <a:latin typeface="Arial" panose="020B0604020202020204" pitchFamily="34" charset="0"/>
                <a:cs typeface="Arial" panose="020B0604020202020204" pitchFamily="34" charset="0"/>
              </a:rPr>
              <a:t> de PVVIH (11 mil) por linea terapeutica 2018</a:t>
            </a:r>
            <a:endParaRPr lang="en-US" sz="900" b="1">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163-41B2-9D1E-0B9392280BE7}"/>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B163-41B2-9D1E-0B9392280BE7}"/>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B163-41B2-9D1E-0B9392280BE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'Eficiencias_Ahorros compras'!$B$38:$B$40</c:f>
              <c:strCache>
                <c:ptCount val="3"/>
                <c:pt idx="0">
                  <c:v>1ERA LINEA</c:v>
                </c:pt>
                <c:pt idx="1">
                  <c:v>2DA LINEA</c:v>
                </c:pt>
                <c:pt idx="2">
                  <c:v>3ERA LINEA</c:v>
                </c:pt>
              </c:strCache>
            </c:strRef>
          </c:cat>
          <c:val>
            <c:numRef>
              <c:f>'Eficiencias_Ahorros compras'!$G$38:$G$40</c:f>
              <c:numCache>
                <c:formatCode>0%</c:formatCode>
                <c:ptCount val="3"/>
                <c:pt idx="0">
                  <c:v>0.87994130847574659</c:v>
                </c:pt>
                <c:pt idx="1">
                  <c:v>0.11410322803383394</c:v>
                </c:pt>
                <c:pt idx="2">
                  <c:v>5.9554634904194718E-3</c:v>
                </c:pt>
              </c:numCache>
            </c:numRef>
          </c:val>
          <c:extLst>
            <c:ext xmlns:c16="http://schemas.microsoft.com/office/drawing/2014/chart" uri="{C3380CC4-5D6E-409C-BE32-E72D297353CC}">
              <c16:uniqueId val="{00000006-B163-41B2-9D1E-0B9392280BE7}"/>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r>
              <a:rPr lang="en-US" sz="900" b="1">
                <a:latin typeface="Arial" panose="020B0604020202020204" pitchFamily="34" charset="0"/>
                <a:cs typeface="Arial" panose="020B0604020202020204" pitchFamily="34" charset="0"/>
              </a:rPr>
              <a:t>Proporcion de recursos US$ (2.0 mill)</a:t>
            </a:r>
            <a:r>
              <a:rPr lang="en-US" sz="900" b="1" baseline="0">
                <a:latin typeface="Arial" panose="020B0604020202020204" pitchFamily="34" charset="0"/>
                <a:cs typeface="Arial" panose="020B0604020202020204" pitchFamily="34" charset="0"/>
              </a:rPr>
              <a:t> por linea terapeutica 2019</a:t>
            </a:r>
            <a:endParaRPr lang="en-US" sz="900" b="1">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599-4F5C-8E33-A8CD7EEB038B}"/>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5599-4F5C-8E33-A8CD7EEB038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599-4F5C-8E33-A8CD7EEB038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'Eficiencias_Ahorros compras'!$B$38:$B$40</c:f>
              <c:strCache>
                <c:ptCount val="3"/>
                <c:pt idx="0">
                  <c:v>1ERA LINEA</c:v>
                </c:pt>
                <c:pt idx="1">
                  <c:v>2DA LINEA</c:v>
                </c:pt>
                <c:pt idx="2">
                  <c:v>3ERA LINEA</c:v>
                </c:pt>
              </c:strCache>
            </c:strRef>
          </c:cat>
          <c:val>
            <c:numRef>
              <c:f>'Eficiencias_Ahorros compras'!$H$38:$H$40</c:f>
              <c:numCache>
                <c:formatCode>0%</c:formatCode>
                <c:ptCount val="3"/>
                <c:pt idx="0">
                  <c:v>0.691512194620165</c:v>
                </c:pt>
                <c:pt idx="1">
                  <c:v>0.18499972626067177</c:v>
                </c:pt>
                <c:pt idx="2">
                  <c:v>0.12348807911916306</c:v>
                </c:pt>
              </c:numCache>
            </c:numRef>
          </c:val>
          <c:extLst>
            <c:ext xmlns:c16="http://schemas.microsoft.com/office/drawing/2014/chart" uri="{C3380CC4-5D6E-409C-BE32-E72D297353CC}">
              <c16:uniqueId val="{00000006-5599-4F5C-8E33-A8CD7EEB038B}"/>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445955619183966"/>
          <c:y val="7.1893660012866636E-2"/>
          <c:w val="0.85395561595409708"/>
          <c:h val="0.48404447142611201"/>
        </c:manualLayout>
      </c:layout>
      <c:barChart>
        <c:barDir val="col"/>
        <c:grouping val="clustered"/>
        <c:varyColors val="0"/>
        <c:ser>
          <c:idx val="0"/>
          <c:order val="0"/>
          <c:spPr>
            <a:solidFill>
              <a:srgbClr val="92D050"/>
            </a:solidFill>
            <a:ln>
              <a:noFill/>
            </a:ln>
            <a:effectLst/>
          </c:spPr>
          <c:invertIfNegative val="0"/>
          <c:dLbls>
            <c:dLbl>
              <c:idx val="0"/>
              <c:layout>
                <c:manualLayout>
                  <c:x val="0"/>
                  <c:y val="0.2662692082144473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4D5-4209-92FA-B3F5864E2DEF}"/>
                </c:ext>
              </c:extLst>
            </c:dLbl>
            <c:dLbl>
              <c:idx val="1"/>
              <c:layout>
                <c:manualLayout>
                  <c:x val="0"/>
                  <c:y val="0.2146050334862709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4D5-4209-92FA-B3F5864E2DEF}"/>
                </c:ext>
              </c:extLst>
            </c:dLbl>
            <c:dLbl>
              <c:idx val="2"/>
              <c:layout>
                <c:manualLayout>
                  <c:x val="-4.1360680310318759E-17"/>
                  <c:y val="0.1549925241845289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4D5-4209-92FA-B3F5864E2DEF}"/>
                </c:ext>
              </c:extLst>
            </c:dLbl>
            <c:dLbl>
              <c:idx val="3"/>
              <c:layout>
                <c:manualLayout>
                  <c:x val="-4.1360680310318759E-17"/>
                  <c:y val="0.1112766840299182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4D5-4209-92FA-B3F5864E2DEF}"/>
                </c:ext>
              </c:extLst>
            </c:dLbl>
            <c:dLbl>
              <c:idx val="4"/>
              <c:layout>
                <c:manualLayout>
                  <c:x val="0"/>
                  <c:y val="0.1192250186034838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4D5-4209-92FA-B3F5864E2DEF}"/>
                </c:ext>
              </c:extLst>
            </c:dLbl>
            <c:dLbl>
              <c:idx val="5"/>
              <c:layout>
                <c:manualLayout>
                  <c:x val="0"/>
                  <c:y val="9.53800148827870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4D5-4209-92FA-B3F5864E2DEF}"/>
                </c:ext>
              </c:extLst>
            </c:dLbl>
            <c:dLbl>
              <c:idx val="6"/>
              <c:layout>
                <c:manualLayout>
                  <c:x val="-8.2721360620637518E-17"/>
                  <c:y val="7.55091784488730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4D5-4209-92FA-B3F5864E2DEF}"/>
                </c:ext>
              </c:extLst>
            </c:dLbl>
            <c:dLbl>
              <c:idx val="7"/>
              <c:layout>
                <c:manualLayout>
                  <c:x val="-8.2721360620637518E-17"/>
                  <c:y val="7.55091784488730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4D5-4209-92FA-B3F5864E2DEF}"/>
                </c:ext>
              </c:extLst>
            </c:dLbl>
            <c:dLbl>
              <c:idx val="8"/>
              <c:layout>
                <c:manualLayout>
                  <c:x val="0"/>
                  <c:y val="5.56383420149590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4D5-4209-92FA-B3F5864E2DEF}"/>
                </c:ext>
              </c:extLst>
            </c:dLbl>
            <c:dLbl>
              <c:idx val="9"/>
              <c:layout>
                <c:manualLayout>
                  <c:x val="-1.6544272124127504E-16"/>
                  <c:y val="5.16641747281763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4D5-4209-92FA-B3F5864E2DEF}"/>
                </c:ext>
              </c:extLst>
            </c:dLbl>
            <c:dLbl>
              <c:idx val="10"/>
              <c:layout>
                <c:manualLayout>
                  <c:x val="0"/>
                  <c:y val="3.57675055810451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04D5-4209-92FA-B3F5864E2DEF}"/>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Hoja1!$C$35:$C$45</c:f>
              <c:strCache>
                <c:ptCount val="11"/>
                <c:pt idx="0">
                  <c:v>Diabéticos </c:v>
                </c:pt>
                <c:pt idx="1">
                  <c:v>PPL</c:v>
                </c:pt>
                <c:pt idx="2">
                  <c:v>TB/VIH</c:v>
                </c:pt>
                <c:pt idx="3">
                  <c:v>Alcoholismo </c:v>
                </c:pt>
                <c:pt idx="4">
                  <c:v>Trabajador de Maquila</c:v>
                </c:pt>
                <c:pt idx="5">
                  <c:v>Alcohol y Drogas </c:v>
                </c:pt>
                <c:pt idx="6">
                  <c:v>Drogodependiente </c:v>
                </c:pt>
                <c:pt idx="7">
                  <c:v>Indígena/Afrodescendiente</c:v>
                </c:pt>
                <c:pt idx="8">
                  <c:v>Trabajador de Salud </c:v>
                </c:pt>
                <c:pt idx="9">
                  <c:v>Migrante </c:v>
                </c:pt>
                <c:pt idx="10">
                  <c:v>Consumo de Tábaco </c:v>
                </c:pt>
              </c:strCache>
            </c:strRef>
          </c:cat>
          <c:val>
            <c:numRef>
              <c:f>Hoja1!$D$35:$D$45</c:f>
              <c:numCache>
                <c:formatCode>General</c:formatCode>
                <c:ptCount val="11"/>
                <c:pt idx="0">
                  <c:v>312</c:v>
                </c:pt>
                <c:pt idx="1">
                  <c:v>251</c:v>
                </c:pt>
                <c:pt idx="2">
                  <c:v>183</c:v>
                </c:pt>
                <c:pt idx="3">
                  <c:v>105</c:v>
                </c:pt>
                <c:pt idx="4">
                  <c:v>89</c:v>
                </c:pt>
                <c:pt idx="5">
                  <c:v>75</c:v>
                </c:pt>
                <c:pt idx="6">
                  <c:v>47</c:v>
                </c:pt>
                <c:pt idx="7">
                  <c:v>47</c:v>
                </c:pt>
                <c:pt idx="8">
                  <c:v>29</c:v>
                </c:pt>
                <c:pt idx="9">
                  <c:v>21</c:v>
                </c:pt>
                <c:pt idx="10">
                  <c:v>13</c:v>
                </c:pt>
              </c:numCache>
            </c:numRef>
          </c:val>
          <c:extLst>
            <c:ext xmlns:c16="http://schemas.microsoft.com/office/drawing/2014/chart" uri="{C3380CC4-5D6E-409C-BE32-E72D297353CC}">
              <c16:uniqueId val="{0000000B-04D5-4209-92FA-B3F5864E2DEF}"/>
            </c:ext>
          </c:extLst>
        </c:ser>
        <c:dLbls>
          <c:showLegendKey val="0"/>
          <c:showVal val="0"/>
          <c:showCatName val="0"/>
          <c:showSerName val="0"/>
          <c:showPercent val="0"/>
          <c:showBubbleSize val="0"/>
        </c:dLbls>
        <c:gapWidth val="100"/>
        <c:axId val="769033024"/>
        <c:axId val="769025952"/>
      </c:barChart>
      <c:catAx>
        <c:axId val="769033024"/>
        <c:scaling>
          <c:orientation val="minMax"/>
        </c:scaling>
        <c:delete val="0"/>
        <c:axPos val="b"/>
        <c:numFmt formatCode="General" sourceLinked="1"/>
        <c:majorTickMark val="out"/>
        <c:minorTickMark val="none"/>
        <c:tickLblPos val="nextTo"/>
        <c:spPr>
          <a:noFill/>
          <a:ln w="19050" cap="flat" cmpd="sng" algn="ctr">
            <a:solidFill>
              <a:sysClr val="windowText" lastClr="000000"/>
            </a:solidFill>
            <a:round/>
          </a:ln>
          <a:effectLst/>
        </c:spPr>
        <c:txPr>
          <a:bodyPr rot="-540000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769025952"/>
        <c:crosses val="autoZero"/>
        <c:auto val="1"/>
        <c:lblAlgn val="ctr"/>
        <c:lblOffset val="100"/>
        <c:noMultiLvlLbl val="0"/>
      </c:catAx>
      <c:valAx>
        <c:axId val="769025952"/>
        <c:scaling>
          <c:orientation val="minMax"/>
        </c:scaling>
        <c:delete val="0"/>
        <c:axPos val="l"/>
        <c:numFmt formatCode="General" sourceLinked="1"/>
        <c:majorTickMark val="out"/>
        <c:minorTickMark val="none"/>
        <c:tickLblPos val="nextTo"/>
        <c:spPr>
          <a:noFill/>
          <a:ln w="19050">
            <a:solidFill>
              <a:sysClr val="windowText" lastClr="000000"/>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769033024"/>
        <c:crosses val="autoZero"/>
        <c:crossBetween val="between"/>
      </c:valAx>
      <c:spPr>
        <a:solidFill>
          <a:schemeClr val="bg1"/>
        </a:solid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40099973458374"/>
          <c:y val="5.0925925925925923E-2"/>
          <c:w val="0.8385775900203486"/>
          <c:h val="0.77591061533974914"/>
        </c:manualLayout>
      </c:layout>
      <c:lineChart>
        <c:grouping val="standard"/>
        <c:varyColors val="0"/>
        <c:ser>
          <c:idx val="1"/>
          <c:order val="0"/>
          <c:tx>
            <c:strRef>
              <c:f>Hoja2!$D$2</c:f>
              <c:strCache>
                <c:ptCount val="1"/>
                <c:pt idx="0">
                  <c:v>Casos Antestratados</c:v>
                </c:pt>
              </c:strCache>
            </c:strRef>
          </c:tx>
          <c:spPr>
            <a:ln w="28575" cap="rnd">
              <a:solidFill>
                <a:srgbClr val="C00000"/>
              </a:solidFill>
              <a:round/>
            </a:ln>
            <a:effectLst/>
          </c:spPr>
          <c:marker>
            <c:symbol val="none"/>
          </c:marker>
          <c:dLbls>
            <c:dLbl>
              <c:idx val="0"/>
              <c:layout>
                <c:manualLayout>
                  <c:x val="-3.9473677394378147E-2"/>
                  <c:y val="-2.77777777777777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E5E-4246-93B6-6F796BCF21B9}"/>
                </c:ext>
              </c:extLst>
            </c:dLbl>
            <c:dLbl>
              <c:idx val="1"/>
              <c:layout>
                <c:manualLayout>
                  <c:x val="-4.3859641549309027E-2"/>
                  <c:y val="-3.70370370370370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E5E-4246-93B6-6F796BCF21B9}"/>
                </c:ext>
              </c:extLst>
            </c:dLbl>
            <c:dLbl>
              <c:idx val="2"/>
              <c:layout>
                <c:manualLayout>
                  <c:x val="-3.7280695316912672E-2"/>
                  <c:y val="-2.77777777777777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E5E-4246-93B6-6F796BCF21B9}"/>
                </c:ext>
              </c:extLst>
            </c:dLbl>
            <c:dLbl>
              <c:idx val="3"/>
              <c:layout>
                <c:manualLayout>
                  <c:x val="-3.9473677394378126E-2"/>
                  <c:y val="2.77777777777777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E5E-4246-93B6-6F796BCF21B9}"/>
                </c:ext>
              </c:extLst>
            </c:dLbl>
            <c:dLbl>
              <c:idx val="4"/>
              <c:layout>
                <c:manualLayout>
                  <c:x val="-3.5087713239447225E-2"/>
                  <c:y val="-2.77777777777777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E5E-4246-93B6-6F796BCF21B9}"/>
                </c:ext>
              </c:extLst>
            </c:dLbl>
            <c:dLbl>
              <c:idx val="5"/>
              <c:layout>
                <c:manualLayout>
                  <c:x val="-2.6315784929585417E-2"/>
                  <c:y val="-5.09259259259259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E5E-4246-93B6-6F796BCF21B9}"/>
                </c:ext>
              </c:extLst>
            </c:dLbl>
            <c:dLbl>
              <c:idx val="6"/>
              <c:layout>
                <c:manualLayout>
                  <c:x val="-4.166665947184358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E5E-4246-93B6-6F796BCF21B9}"/>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Hoja2!$B$3:$B$9</c:f>
              <c:numCache>
                <c:formatCode>General</c:formatCode>
                <c:ptCount val="7"/>
                <c:pt idx="0">
                  <c:v>2011</c:v>
                </c:pt>
                <c:pt idx="1">
                  <c:v>2012</c:v>
                </c:pt>
                <c:pt idx="2">
                  <c:v>2013</c:v>
                </c:pt>
                <c:pt idx="3">
                  <c:v>2014</c:v>
                </c:pt>
                <c:pt idx="4">
                  <c:v>2015</c:v>
                </c:pt>
                <c:pt idx="5">
                  <c:v>2016</c:v>
                </c:pt>
                <c:pt idx="6">
                  <c:v>2017</c:v>
                </c:pt>
              </c:numCache>
            </c:numRef>
          </c:cat>
          <c:val>
            <c:numRef>
              <c:f>Hoja2!$D$3:$D$9</c:f>
              <c:numCache>
                <c:formatCode>0.0</c:formatCode>
                <c:ptCount val="7"/>
                <c:pt idx="0">
                  <c:v>34.200000000000003</c:v>
                </c:pt>
                <c:pt idx="1">
                  <c:v>41.7</c:v>
                </c:pt>
                <c:pt idx="2">
                  <c:v>67.900000000000006</c:v>
                </c:pt>
                <c:pt idx="3">
                  <c:v>43.3</c:v>
                </c:pt>
                <c:pt idx="4">
                  <c:v>73.7</c:v>
                </c:pt>
                <c:pt idx="5">
                  <c:v>47.5</c:v>
                </c:pt>
                <c:pt idx="6">
                  <c:v>51</c:v>
                </c:pt>
              </c:numCache>
            </c:numRef>
          </c:val>
          <c:smooth val="0"/>
          <c:extLst>
            <c:ext xmlns:c16="http://schemas.microsoft.com/office/drawing/2014/chart" uri="{C3380CC4-5D6E-409C-BE32-E72D297353CC}">
              <c16:uniqueId val="{00000007-7E5E-4246-93B6-6F796BCF21B9}"/>
            </c:ext>
          </c:extLst>
        </c:ser>
        <c:ser>
          <c:idx val="0"/>
          <c:order val="1"/>
          <c:tx>
            <c:strRef>
              <c:f>Hoja2!$C$2</c:f>
              <c:strCache>
                <c:ptCount val="1"/>
                <c:pt idx="0">
                  <c:v>Casos Nuevos</c:v>
                </c:pt>
              </c:strCache>
            </c:strRef>
          </c:tx>
          <c:spPr>
            <a:ln w="28575" cap="rnd">
              <a:solidFill>
                <a:srgbClr val="0000FF"/>
              </a:solidFill>
              <a:round/>
            </a:ln>
            <a:effectLst/>
          </c:spPr>
          <c:marker>
            <c:symbol val="none"/>
          </c:marker>
          <c:dLbls>
            <c:dLbl>
              <c:idx val="0"/>
              <c:layout>
                <c:manualLayout>
                  <c:x val="-2.8508767007050888E-2"/>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E5E-4246-93B6-6F796BCF21B9}"/>
                </c:ext>
              </c:extLst>
            </c:dLbl>
            <c:dLbl>
              <c:idx val="1"/>
              <c:layout>
                <c:manualLayout>
                  <c:x val="-3.2894731161981813E-2"/>
                  <c:y val="-3.70370370370370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E5E-4246-93B6-6F796BCF21B9}"/>
                </c:ext>
              </c:extLst>
            </c:dLbl>
            <c:dLbl>
              <c:idx val="2"/>
              <c:layout>
                <c:manualLayout>
                  <c:x val="-3.2894731161981772E-2"/>
                  <c:y val="-3.70370370370370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7E5E-4246-93B6-6F796BCF21B9}"/>
                </c:ext>
              </c:extLst>
            </c:dLbl>
            <c:dLbl>
              <c:idx val="3"/>
              <c:layout>
                <c:manualLayout>
                  <c:x val="-3.9473677394378126E-2"/>
                  <c:y val="-3.70370370370370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7E5E-4246-93B6-6F796BCF21B9}"/>
                </c:ext>
              </c:extLst>
            </c:dLbl>
            <c:dLbl>
              <c:idx val="4"/>
              <c:layout>
                <c:manualLayout>
                  <c:x val="-3.9473677394378126E-2"/>
                  <c:y val="-3.24074074074074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7E5E-4246-93B6-6F796BCF21B9}"/>
                </c:ext>
              </c:extLst>
            </c:dLbl>
            <c:dLbl>
              <c:idx val="5"/>
              <c:layout>
                <c:manualLayout>
                  <c:x val="-2.8508767007050868E-2"/>
                  <c:y val="-3.70370370370369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7E5E-4246-93B6-6F796BCF21B9}"/>
                </c:ext>
              </c:extLst>
            </c:dLbl>
            <c:dLbl>
              <c:idx val="6"/>
              <c:layout>
                <c:manualLayout>
                  <c:x val="-3.5087713239447225E-2"/>
                  <c:y val="-2.77777777777778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7E5E-4246-93B6-6F796BCF21B9}"/>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Hoja2!$B$3:$B$9</c:f>
              <c:numCache>
                <c:formatCode>General</c:formatCode>
                <c:ptCount val="7"/>
                <c:pt idx="0">
                  <c:v>2011</c:v>
                </c:pt>
                <c:pt idx="1">
                  <c:v>2012</c:v>
                </c:pt>
                <c:pt idx="2">
                  <c:v>2013</c:v>
                </c:pt>
                <c:pt idx="3">
                  <c:v>2014</c:v>
                </c:pt>
                <c:pt idx="4">
                  <c:v>2015</c:v>
                </c:pt>
                <c:pt idx="5">
                  <c:v>2016</c:v>
                </c:pt>
                <c:pt idx="6">
                  <c:v>2017</c:v>
                </c:pt>
              </c:numCache>
            </c:numRef>
          </c:cat>
          <c:val>
            <c:numRef>
              <c:f>Hoja2!$C$3:$C$9</c:f>
              <c:numCache>
                <c:formatCode>0.0</c:formatCode>
                <c:ptCount val="7"/>
                <c:pt idx="0">
                  <c:v>1</c:v>
                </c:pt>
                <c:pt idx="1">
                  <c:v>1.5</c:v>
                </c:pt>
                <c:pt idx="2">
                  <c:v>4.8</c:v>
                </c:pt>
                <c:pt idx="3">
                  <c:v>4.5</c:v>
                </c:pt>
                <c:pt idx="4">
                  <c:v>18.899999999999999</c:v>
                </c:pt>
                <c:pt idx="5">
                  <c:v>7</c:v>
                </c:pt>
                <c:pt idx="6">
                  <c:v>11</c:v>
                </c:pt>
              </c:numCache>
            </c:numRef>
          </c:val>
          <c:smooth val="0"/>
          <c:extLst>
            <c:ext xmlns:c16="http://schemas.microsoft.com/office/drawing/2014/chart" uri="{C3380CC4-5D6E-409C-BE32-E72D297353CC}">
              <c16:uniqueId val="{0000000F-7E5E-4246-93B6-6F796BCF21B9}"/>
            </c:ext>
          </c:extLst>
        </c:ser>
        <c:dLbls>
          <c:showLegendKey val="0"/>
          <c:showVal val="0"/>
          <c:showCatName val="0"/>
          <c:showSerName val="0"/>
          <c:showPercent val="0"/>
          <c:showBubbleSize val="0"/>
        </c:dLbls>
        <c:smooth val="0"/>
        <c:axId val="769016704"/>
        <c:axId val="769026496"/>
      </c:lineChart>
      <c:catAx>
        <c:axId val="769016704"/>
        <c:scaling>
          <c:orientation val="minMax"/>
        </c:scaling>
        <c:delete val="0"/>
        <c:axPos val="b"/>
        <c:numFmt formatCode="General" sourceLinked="1"/>
        <c:majorTickMark val="out"/>
        <c:minorTickMark val="none"/>
        <c:tickLblPos val="nextTo"/>
        <c:spPr>
          <a:noFill/>
          <a:ln w="19050"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769026496"/>
        <c:crosses val="autoZero"/>
        <c:auto val="1"/>
        <c:lblAlgn val="ctr"/>
        <c:lblOffset val="100"/>
        <c:noMultiLvlLbl val="0"/>
      </c:catAx>
      <c:valAx>
        <c:axId val="769026496"/>
        <c:scaling>
          <c:orientation val="minMax"/>
          <c:max val="100"/>
        </c:scaling>
        <c:delete val="0"/>
        <c:axPos val="l"/>
        <c:title>
          <c:tx>
            <c:rich>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sz="900"/>
                  <a:t>Porcentaje de Pruebas de Sensibilidad (PSD)</a:t>
                </a:r>
              </a:p>
            </c:rich>
          </c:tx>
          <c:layout>
            <c:manualLayout>
              <c:xMode val="edge"/>
              <c:yMode val="edge"/>
              <c:x val="1.3157892464792709E-2"/>
              <c:y val="3.6716608340624096E-2"/>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 sourceLinked="0"/>
        <c:majorTickMark val="out"/>
        <c:minorTickMark val="none"/>
        <c:tickLblPos val="nextTo"/>
        <c:spPr>
          <a:noFill/>
          <a:ln w="19050">
            <a:solidFill>
              <a:sysClr val="windowText" lastClr="000000"/>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769016704"/>
        <c:crosses val="autoZero"/>
        <c:crossBetween val="between"/>
      </c:valAx>
      <c:spPr>
        <a:noFill/>
        <a:ln>
          <a:noFill/>
        </a:ln>
        <a:effectLst/>
      </c:spPr>
    </c:plotArea>
    <c:legend>
      <c:legendPos val="r"/>
      <c:layout>
        <c:manualLayout>
          <c:xMode val="edge"/>
          <c:yMode val="edge"/>
          <c:x val="0.13513155561342113"/>
          <c:y val="1.9096675415573076E-2"/>
          <c:w val="0.85390353399925167"/>
          <c:h val="7.7547389909594616E-2"/>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v>% Gobierno</c:v>
          </c:tx>
          <c:spPr>
            <a:solidFill>
              <a:schemeClr val="accent1">
                <a:lumMod val="75000"/>
              </a:schemeClr>
            </a:solidFill>
            <a:ln>
              <a:noFill/>
            </a:ln>
            <a:effectLst/>
          </c:spPr>
          <c:invertIfNegative val="0"/>
          <c:cat>
            <c:strRef>
              <c:f>Sheet4!$B$2:$B$15</c:f>
              <c:strCache>
                <c:ptCount val="14"/>
                <c:pt idx="0">
                  <c:v>Asistencia Técnica       </c:v>
                </c:pt>
                <c:pt idx="1">
                  <c:v>TB resistente a medicamentos: costos de programa</c:v>
                </c:pt>
                <c:pt idx="2">
                  <c:v>Supervisión, Monitoria y Evaluación</c:v>
                </c:pt>
                <c:pt idx="3">
                  <c:v>Actividades de colaboración TB/VIH        </c:v>
                </c:pt>
                <c:pt idx="4">
                  <c:v>Abogacía y comunicación </c:v>
                </c:pt>
                <c:pt idx="5">
                  <c:v>Vigilancia Rutinaria  </c:v>
                </c:pt>
                <c:pt idx="6">
                  <c:v>Infraestructura, equipo y suministros de laboratorio</c:v>
                </c:pt>
                <c:pt idx="7">
                  <c:v>Apoyo al paciente     </c:v>
                </c:pt>
                <c:pt idx="8">
                  <c:v>TB sensible: Actividades de gestión, políticas, etc.</c:v>
                </c:pt>
                <c:pt idx="9">
                  <c:v>Desarrollo de Recurso Humano</c:v>
                </c:pt>
                <c:pt idx="10">
                  <c:v>Investigación operativa y encuestas </c:v>
                </c:pt>
                <c:pt idx="11">
                  <c:v>Personal del Programa Nacional de Tuberculosis</c:v>
                </c:pt>
                <c:pt idx="12">
                  <c:v>TB sensible a los medicamentos: medicamentos</c:v>
                </c:pt>
                <c:pt idx="13">
                  <c:v>TB resistente a medicamentos: medicamentos </c:v>
                </c:pt>
              </c:strCache>
            </c:strRef>
          </c:cat>
          <c:val>
            <c:numRef>
              <c:f>Sheet4!$I$2:$I$15</c:f>
              <c:numCache>
                <c:formatCode>0%</c:formatCode>
                <c:ptCount val="14"/>
                <c:pt idx="0">
                  <c:v>0.1801950255633652</c:v>
                </c:pt>
                <c:pt idx="1">
                  <c:v>0.19406376677548287</c:v>
                </c:pt>
                <c:pt idx="2">
                  <c:v>0.2238006247247919</c:v>
                </c:pt>
                <c:pt idx="3">
                  <c:v>0.2436220007397987</c:v>
                </c:pt>
                <c:pt idx="4">
                  <c:v>0.25858963001548779</c:v>
                </c:pt>
                <c:pt idx="5">
                  <c:v>0.27978651809336058</c:v>
                </c:pt>
                <c:pt idx="6">
                  <c:v>0.41452617102149808</c:v>
                </c:pt>
                <c:pt idx="7">
                  <c:v>0.41634067462391033</c:v>
                </c:pt>
                <c:pt idx="8">
                  <c:v>0.45017852355710475</c:v>
                </c:pt>
                <c:pt idx="9">
                  <c:v>0.55248111310334991</c:v>
                </c:pt>
                <c:pt idx="10">
                  <c:v>0.91374929103213198</c:v>
                </c:pt>
                <c:pt idx="11">
                  <c:v>1</c:v>
                </c:pt>
                <c:pt idx="12">
                  <c:v>1</c:v>
                </c:pt>
                <c:pt idx="13">
                  <c:v>1</c:v>
                </c:pt>
              </c:numCache>
            </c:numRef>
          </c:val>
          <c:extLst>
            <c:ext xmlns:c16="http://schemas.microsoft.com/office/drawing/2014/chart" uri="{C3380CC4-5D6E-409C-BE32-E72D297353CC}">
              <c16:uniqueId val="{00000000-9B87-400F-98E2-3A692914B35C}"/>
            </c:ext>
          </c:extLst>
        </c:ser>
        <c:ser>
          <c:idx val="1"/>
          <c:order val="1"/>
          <c:tx>
            <c:v>% FM</c:v>
          </c:tx>
          <c:spPr>
            <a:solidFill>
              <a:schemeClr val="accent5">
                <a:lumMod val="40000"/>
                <a:lumOff val="60000"/>
              </a:schemeClr>
            </a:solidFill>
            <a:ln>
              <a:noFill/>
            </a:ln>
            <a:effectLst/>
          </c:spPr>
          <c:invertIfNegative val="0"/>
          <c:cat>
            <c:strRef>
              <c:f>Sheet4!$B$2:$B$15</c:f>
              <c:strCache>
                <c:ptCount val="14"/>
                <c:pt idx="0">
                  <c:v>Asistencia Técnica       </c:v>
                </c:pt>
                <c:pt idx="1">
                  <c:v>TB resistente a medicamentos: costos de programa</c:v>
                </c:pt>
                <c:pt idx="2">
                  <c:v>Supervisión, Monitoria y Evaluación</c:v>
                </c:pt>
                <c:pt idx="3">
                  <c:v>Actividades de colaboración TB/VIH        </c:v>
                </c:pt>
                <c:pt idx="4">
                  <c:v>Abogacía y comunicación </c:v>
                </c:pt>
                <c:pt idx="5">
                  <c:v>Vigilancia Rutinaria  </c:v>
                </c:pt>
                <c:pt idx="6">
                  <c:v>Infraestructura, equipo y suministros de laboratorio</c:v>
                </c:pt>
                <c:pt idx="7">
                  <c:v>Apoyo al paciente     </c:v>
                </c:pt>
                <c:pt idx="8">
                  <c:v>TB sensible: Actividades de gestión, políticas, etc.</c:v>
                </c:pt>
                <c:pt idx="9">
                  <c:v>Desarrollo de Recurso Humano</c:v>
                </c:pt>
                <c:pt idx="10">
                  <c:v>Investigación operativa y encuestas </c:v>
                </c:pt>
                <c:pt idx="11">
                  <c:v>Personal del Programa Nacional de Tuberculosis</c:v>
                </c:pt>
                <c:pt idx="12">
                  <c:v>TB sensible a los medicamentos: medicamentos</c:v>
                </c:pt>
                <c:pt idx="13">
                  <c:v>TB resistente a medicamentos: medicamentos </c:v>
                </c:pt>
              </c:strCache>
            </c:strRef>
          </c:cat>
          <c:val>
            <c:numRef>
              <c:f>Sheet4!$J$2:$J$15</c:f>
              <c:numCache>
                <c:formatCode>0%</c:formatCode>
                <c:ptCount val="14"/>
                <c:pt idx="0">
                  <c:v>0.28428171230414839</c:v>
                </c:pt>
                <c:pt idx="1">
                  <c:v>0.80593623322451713</c:v>
                </c:pt>
                <c:pt idx="2">
                  <c:v>0.7761993752752081</c:v>
                </c:pt>
                <c:pt idx="3">
                  <c:v>0.75637799926020133</c:v>
                </c:pt>
                <c:pt idx="4">
                  <c:v>0.74141036998451226</c:v>
                </c:pt>
                <c:pt idx="5">
                  <c:v>0.72021348190663936</c:v>
                </c:pt>
                <c:pt idx="6">
                  <c:v>0.58547382897850198</c:v>
                </c:pt>
                <c:pt idx="7">
                  <c:v>0.58365932537608978</c:v>
                </c:pt>
                <c:pt idx="8">
                  <c:v>0.54982147644289525</c:v>
                </c:pt>
                <c:pt idx="9">
                  <c:v>0.44751888689665004</c:v>
                </c:pt>
                <c:pt idx="10">
                  <c:v>8.6250708967868045E-2</c:v>
                </c:pt>
                <c:pt idx="11">
                  <c:v>0</c:v>
                </c:pt>
                <c:pt idx="12">
                  <c:v>0</c:v>
                </c:pt>
                <c:pt idx="13">
                  <c:v>0</c:v>
                </c:pt>
              </c:numCache>
            </c:numRef>
          </c:val>
          <c:extLst>
            <c:ext xmlns:c16="http://schemas.microsoft.com/office/drawing/2014/chart" uri="{C3380CC4-5D6E-409C-BE32-E72D297353CC}">
              <c16:uniqueId val="{00000001-9B87-400F-98E2-3A692914B35C}"/>
            </c:ext>
          </c:extLst>
        </c:ser>
        <c:ser>
          <c:idx val="2"/>
          <c:order val="2"/>
          <c:tx>
            <c:v>% OPS</c:v>
          </c:tx>
          <c:spPr>
            <a:solidFill>
              <a:schemeClr val="accent3"/>
            </a:solidFill>
            <a:ln>
              <a:noFill/>
            </a:ln>
            <a:effectLst/>
          </c:spPr>
          <c:invertIfNegative val="0"/>
          <c:cat>
            <c:strRef>
              <c:f>Sheet4!$B$2:$B$15</c:f>
              <c:strCache>
                <c:ptCount val="14"/>
                <c:pt idx="0">
                  <c:v>Asistencia Técnica       </c:v>
                </c:pt>
                <c:pt idx="1">
                  <c:v>TB resistente a medicamentos: costos de programa</c:v>
                </c:pt>
                <c:pt idx="2">
                  <c:v>Supervisión, Monitoria y Evaluación</c:v>
                </c:pt>
                <c:pt idx="3">
                  <c:v>Actividades de colaboración TB/VIH        </c:v>
                </c:pt>
                <c:pt idx="4">
                  <c:v>Abogacía y comunicación </c:v>
                </c:pt>
                <c:pt idx="5">
                  <c:v>Vigilancia Rutinaria  </c:v>
                </c:pt>
                <c:pt idx="6">
                  <c:v>Infraestructura, equipo y suministros de laboratorio</c:v>
                </c:pt>
                <c:pt idx="7">
                  <c:v>Apoyo al paciente     </c:v>
                </c:pt>
                <c:pt idx="8">
                  <c:v>TB sensible: Actividades de gestión, políticas, etc.</c:v>
                </c:pt>
                <c:pt idx="9">
                  <c:v>Desarrollo de Recurso Humano</c:v>
                </c:pt>
                <c:pt idx="10">
                  <c:v>Investigación operativa y encuestas </c:v>
                </c:pt>
                <c:pt idx="11">
                  <c:v>Personal del Programa Nacional de Tuberculosis</c:v>
                </c:pt>
                <c:pt idx="12">
                  <c:v>TB sensible a los medicamentos: medicamentos</c:v>
                </c:pt>
                <c:pt idx="13">
                  <c:v>TB resistente a medicamentos: medicamentos </c:v>
                </c:pt>
              </c:strCache>
            </c:strRef>
          </c:cat>
          <c:val>
            <c:numRef>
              <c:f>Sheet4!$K$2:$K$15</c:f>
              <c:numCache>
                <c:formatCode>_(* #,##0_);_(* \(#,##0\);_(* "-"??_);_(@_)</c:formatCode>
                <c:ptCount val="14"/>
                <c:pt idx="0" formatCode="0%">
                  <c:v>0.53552326213248647</c:v>
                </c:pt>
                <c:pt idx="1">
                  <c:v>0</c:v>
                </c:pt>
                <c:pt idx="2">
                  <c:v>0</c:v>
                </c:pt>
                <c:pt idx="3">
                  <c:v>0</c:v>
                </c:pt>
                <c:pt idx="4">
                  <c:v>0</c:v>
                </c:pt>
                <c:pt idx="5">
                  <c:v>0</c:v>
                </c:pt>
                <c:pt idx="6">
                  <c:v>0</c:v>
                </c:pt>
                <c:pt idx="7">
                  <c:v>0</c:v>
                </c:pt>
                <c:pt idx="8">
                  <c:v>0</c:v>
                </c:pt>
                <c:pt idx="9">
                  <c:v>0</c:v>
                </c:pt>
                <c:pt idx="10">
                  <c:v>0</c:v>
                </c:pt>
                <c:pt idx="11">
                  <c:v>0</c:v>
                </c:pt>
                <c:pt idx="12">
                  <c:v>0</c:v>
                </c:pt>
                <c:pt idx="13">
                  <c:v>0</c:v>
                </c:pt>
              </c:numCache>
            </c:numRef>
          </c:val>
          <c:extLst>
            <c:ext xmlns:c16="http://schemas.microsoft.com/office/drawing/2014/chart" uri="{C3380CC4-5D6E-409C-BE32-E72D297353CC}">
              <c16:uniqueId val="{00000002-9B87-400F-98E2-3A692914B35C}"/>
            </c:ext>
          </c:extLst>
        </c:ser>
        <c:dLbls>
          <c:showLegendKey val="0"/>
          <c:showVal val="0"/>
          <c:showCatName val="0"/>
          <c:showSerName val="0"/>
          <c:showPercent val="0"/>
          <c:showBubbleSize val="0"/>
        </c:dLbls>
        <c:gapWidth val="150"/>
        <c:overlap val="100"/>
        <c:axId val="777085440"/>
        <c:axId val="777092656"/>
      </c:barChart>
      <c:catAx>
        <c:axId val="7770854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7092656"/>
        <c:crosses val="autoZero"/>
        <c:auto val="1"/>
        <c:lblAlgn val="ctr"/>
        <c:lblOffset val="100"/>
        <c:noMultiLvlLbl val="0"/>
      </c:catAx>
      <c:valAx>
        <c:axId val="777092656"/>
        <c:scaling>
          <c:orientation val="minMax"/>
          <c:max val="1"/>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70854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'Consolidado por Area Estrategic'!$C$31</c:f>
              <c:strCache>
                <c:ptCount val="1"/>
                <c:pt idx="0">
                  <c:v>Recursos asignados para ARV por SESAL</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'Consolidado por Area Estrategic'!$D$30:$G$30</c:f>
              <c:numCache>
                <c:formatCode>General</c:formatCode>
                <c:ptCount val="4"/>
                <c:pt idx="0">
                  <c:v>2015</c:v>
                </c:pt>
                <c:pt idx="1">
                  <c:v>2016</c:v>
                </c:pt>
                <c:pt idx="2">
                  <c:v>2017</c:v>
                </c:pt>
                <c:pt idx="3">
                  <c:v>2018</c:v>
                </c:pt>
              </c:numCache>
            </c:numRef>
          </c:cat>
          <c:val>
            <c:numRef>
              <c:f>'Consolidado por Area Estrategic'!$D$31:$G$31</c:f>
              <c:numCache>
                <c:formatCode>_("$"* #,##0.00_);_("$"* \(#,##0.00\);_("$"* "-"??_);_(@_)</c:formatCode>
                <c:ptCount val="4"/>
                <c:pt idx="0">
                  <c:v>3944914.7272727271</c:v>
                </c:pt>
                <c:pt idx="1">
                  <c:v>3944914.7272727271</c:v>
                </c:pt>
                <c:pt idx="2">
                  <c:v>2451920.1363636362</c:v>
                </c:pt>
                <c:pt idx="3">
                  <c:v>3944914.7272727271</c:v>
                </c:pt>
              </c:numCache>
            </c:numRef>
          </c:val>
          <c:smooth val="0"/>
          <c:extLst>
            <c:ext xmlns:c16="http://schemas.microsoft.com/office/drawing/2014/chart" uri="{C3380CC4-5D6E-409C-BE32-E72D297353CC}">
              <c16:uniqueId val="{00000000-AC4C-4C31-96AC-F44AE4500242}"/>
            </c:ext>
          </c:extLst>
        </c:ser>
        <c:ser>
          <c:idx val="1"/>
          <c:order val="1"/>
          <c:tx>
            <c:strRef>
              <c:f>'Consolidado por Area Estrategic'!$C$32</c:f>
              <c:strCache>
                <c:ptCount val="1"/>
                <c:pt idx="0">
                  <c:v>Recursos ejecutados para ARV por SESAL</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'Consolidado por Area Estrategic'!$D$30:$G$30</c:f>
              <c:numCache>
                <c:formatCode>General</c:formatCode>
                <c:ptCount val="4"/>
                <c:pt idx="0">
                  <c:v>2015</c:v>
                </c:pt>
                <c:pt idx="1">
                  <c:v>2016</c:v>
                </c:pt>
                <c:pt idx="2">
                  <c:v>2017</c:v>
                </c:pt>
                <c:pt idx="3">
                  <c:v>2018</c:v>
                </c:pt>
              </c:numCache>
            </c:numRef>
          </c:cat>
          <c:val>
            <c:numRef>
              <c:f>'Consolidado por Area Estrategic'!$D$32:$G$32</c:f>
              <c:numCache>
                <c:formatCode>_("$"* #,##0.00_);_("$"* \(#,##0.00\);_("$"* "-"??_);_(@_)</c:formatCode>
                <c:ptCount val="4"/>
                <c:pt idx="0">
                  <c:v>900000</c:v>
                </c:pt>
                <c:pt idx="1">
                  <c:v>2468049.2272727271</c:v>
                </c:pt>
                <c:pt idx="2" formatCode="#,##0.00">
                  <c:v>2451920.1363636362</c:v>
                </c:pt>
                <c:pt idx="3" formatCode="#,##0.00">
                  <c:v>2418421.7272727271</c:v>
                </c:pt>
              </c:numCache>
            </c:numRef>
          </c:val>
          <c:smooth val="0"/>
          <c:extLst>
            <c:ext xmlns:c16="http://schemas.microsoft.com/office/drawing/2014/chart" uri="{C3380CC4-5D6E-409C-BE32-E72D297353CC}">
              <c16:uniqueId val="{00000001-AC4C-4C31-96AC-F44AE4500242}"/>
            </c:ext>
          </c:extLst>
        </c:ser>
        <c:dLbls>
          <c:showLegendKey val="0"/>
          <c:showVal val="0"/>
          <c:showCatName val="0"/>
          <c:showSerName val="0"/>
          <c:showPercent val="0"/>
          <c:showBubbleSize val="0"/>
        </c:dLbls>
        <c:marker val="1"/>
        <c:smooth val="0"/>
        <c:axId val="511073296"/>
        <c:axId val="511074936"/>
      </c:lineChart>
      <c:catAx>
        <c:axId val="511073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1074936"/>
        <c:crosses val="autoZero"/>
        <c:auto val="1"/>
        <c:lblAlgn val="ctr"/>
        <c:lblOffset val="100"/>
        <c:noMultiLvlLbl val="0"/>
      </c:catAx>
      <c:valAx>
        <c:axId val="511074936"/>
        <c:scaling>
          <c:orientation val="minMax"/>
        </c:scaling>
        <c:delete val="0"/>
        <c:axPos val="l"/>
        <c:majorGridlines>
          <c:spPr>
            <a:ln w="9525" cap="flat" cmpd="sng" algn="ctr">
              <a:solidFill>
                <a:schemeClr val="tx1">
                  <a:lumMod val="15000"/>
                  <a:lumOff val="85000"/>
                </a:schemeClr>
              </a:solidFill>
              <a:round/>
            </a:ln>
            <a:effectLst/>
          </c:spPr>
        </c:majorGridlines>
        <c:numFmt formatCode="&quot;$&quot;#,##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1073296"/>
        <c:crosses val="autoZero"/>
        <c:crossBetween val="between"/>
        <c:dispUnits>
          <c:builtInUnit val="millions"/>
          <c:dispUnitsLbl>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a:t>USD Millions</a:t>
                  </a:r>
                </a:p>
              </c:rich>
            </c:tx>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dispUnitsLbl>
        </c:dispUnits>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900"/>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0.17911</cdr:x>
      <cdr:y>0.1135</cdr:y>
    </cdr:from>
    <cdr:to>
      <cdr:x>0.29115</cdr:x>
      <cdr:y>0.19333</cdr:y>
    </cdr:to>
    <cdr:sp macro="" textlink="">
      <cdr:nvSpPr>
        <cdr:cNvPr id="3" name="Rectángulo 2"/>
        <cdr:cNvSpPr/>
      </cdr:nvSpPr>
      <cdr:spPr>
        <a:xfrm xmlns:a="http://schemas.openxmlformats.org/drawingml/2006/main">
          <a:off x="693104" y="313166"/>
          <a:ext cx="433568" cy="220235"/>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en-US" sz="800">
              <a:solidFill>
                <a:sysClr val="windowText" lastClr="000000"/>
              </a:solidFill>
              <a:latin typeface="Arial" panose="020B0604020202020204" pitchFamily="34" charset="0"/>
              <a:cs typeface="Arial" panose="020B0604020202020204" pitchFamily="34" charset="0"/>
            </a:rPr>
            <a:t>21%</a:t>
          </a:r>
        </a:p>
      </cdr:txBody>
    </cdr:sp>
  </cdr:relSizeAnchor>
  <cdr:relSizeAnchor xmlns:cdr="http://schemas.openxmlformats.org/drawingml/2006/chartDrawing">
    <cdr:from>
      <cdr:x>0.25921</cdr:x>
      <cdr:y>0.22669</cdr:y>
    </cdr:from>
    <cdr:to>
      <cdr:x>0.36007</cdr:x>
      <cdr:y>0.26434</cdr:y>
    </cdr:to>
    <cdr:sp macro="" textlink="">
      <cdr:nvSpPr>
        <cdr:cNvPr id="4" name="Rectángulo 3"/>
        <cdr:cNvSpPr/>
      </cdr:nvSpPr>
      <cdr:spPr>
        <a:xfrm xmlns:a="http://schemas.openxmlformats.org/drawingml/2006/main">
          <a:off x="1003054" y="625455"/>
          <a:ext cx="390317" cy="103887"/>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en-US" sz="800">
              <a:solidFill>
                <a:sysClr val="windowText" lastClr="000000"/>
              </a:solidFill>
              <a:latin typeface="Arial" panose="020B0604020202020204" pitchFamily="34" charset="0"/>
              <a:cs typeface="Arial" panose="020B0604020202020204" pitchFamily="34" charset="0"/>
            </a:rPr>
            <a:t>16%</a:t>
          </a:r>
        </a:p>
      </cdr:txBody>
    </cdr:sp>
  </cdr:relSizeAnchor>
  <cdr:relSizeAnchor xmlns:cdr="http://schemas.openxmlformats.org/drawingml/2006/chartDrawing">
    <cdr:from>
      <cdr:x>0.32972</cdr:x>
      <cdr:y>0.30774</cdr:y>
    </cdr:from>
    <cdr:to>
      <cdr:x>0.44728</cdr:x>
      <cdr:y>0.39454</cdr:y>
    </cdr:to>
    <cdr:sp macro="" textlink="">
      <cdr:nvSpPr>
        <cdr:cNvPr id="5" name="Rectángulo 4"/>
        <cdr:cNvSpPr/>
      </cdr:nvSpPr>
      <cdr:spPr>
        <a:xfrm xmlns:a="http://schemas.openxmlformats.org/drawingml/2006/main">
          <a:off x="1275922" y="849086"/>
          <a:ext cx="454906" cy="239486"/>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en-US" sz="800">
              <a:solidFill>
                <a:sysClr val="windowText" lastClr="000000"/>
              </a:solidFill>
              <a:latin typeface="Arial" panose="020B0604020202020204" pitchFamily="34" charset="0"/>
              <a:cs typeface="Arial" panose="020B0604020202020204" pitchFamily="34" charset="0"/>
            </a:rPr>
            <a:t>9%</a:t>
          </a:r>
        </a:p>
      </cdr:txBody>
    </cdr:sp>
  </cdr:relSizeAnchor>
  <cdr:relSizeAnchor xmlns:cdr="http://schemas.openxmlformats.org/drawingml/2006/chartDrawing">
    <cdr:from>
      <cdr:x>0.42837</cdr:x>
      <cdr:y>0.32352</cdr:y>
    </cdr:from>
    <cdr:to>
      <cdr:x>0.51636</cdr:x>
      <cdr:y>0.42134</cdr:y>
    </cdr:to>
    <cdr:sp macro="" textlink="">
      <cdr:nvSpPr>
        <cdr:cNvPr id="6" name="Rectángulo 5"/>
        <cdr:cNvSpPr/>
      </cdr:nvSpPr>
      <cdr:spPr>
        <a:xfrm xmlns:a="http://schemas.openxmlformats.org/drawingml/2006/main">
          <a:off x="1657647" y="892629"/>
          <a:ext cx="340494" cy="26989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en-US" sz="800">
              <a:solidFill>
                <a:sysClr val="windowText" lastClr="000000"/>
              </a:solidFill>
              <a:latin typeface="Arial" panose="020B0604020202020204" pitchFamily="34" charset="0"/>
              <a:cs typeface="Arial" panose="020B0604020202020204" pitchFamily="34" charset="0"/>
            </a:rPr>
            <a:t>8%</a:t>
          </a:r>
        </a:p>
      </cdr:txBody>
    </cdr:sp>
  </cdr:relSizeAnchor>
  <cdr:relSizeAnchor xmlns:cdr="http://schemas.openxmlformats.org/drawingml/2006/chartDrawing">
    <cdr:from>
      <cdr:x>0.48341</cdr:x>
      <cdr:y>0.37484</cdr:y>
    </cdr:from>
    <cdr:to>
      <cdr:x>0.60622</cdr:x>
      <cdr:y>0.45175</cdr:y>
    </cdr:to>
    <cdr:sp macro="" textlink="">
      <cdr:nvSpPr>
        <cdr:cNvPr id="7" name="Rectángulo 6"/>
        <cdr:cNvSpPr/>
      </cdr:nvSpPr>
      <cdr:spPr>
        <a:xfrm xmlns:a="http://schemas.openxmlformats.org/drawingml/2006/main">
          <a:off x="1870641" y="1034206"/>
          <a:ext cx="475229" cy="212207"/>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en-US" sz="800">
              <a:solidFill>
                <a:sysClr val="windowText" lastClr="000000"/>
              </a:solidFill>
              <a:latin typeface="Arial" panose="020B0604020202020204" pitchFamily="34" charset="0"/>
              <a:cs typeface="Arial" panose="020B0604020202020204" pitchFamily="34" charset="0"/>
            </a:rPr>
            <a:t>6%</a:t>
          </a:r>
        </a:p>
      </cdr:txBody>
    </cdr:sp>
  </cdr:relSizeAnchor>
  <cdr:relSizeAnchor xmlns:cdr="http://schemas.openxmlformats.org/drawingml/2006/chartDrawing">
    <cdr:from>
      <cdr:x>0.57531</cdr:x>
      <cdr:y>0.43533</cdr:y>
    </cdr:from>
    <cdr:to>
      <cdr:x>0.66329</cdr:x>
      <cdr:y>0.48004</cdr:y>
    </cdr:to>
    <cdr:sp macro="" textlink="">
      <cdr:nvSpPr>
        <cdr:cNvPr id="8" name="Rectángulo 7"/>
        <cdr:cNvSpPr/>
      </cdr:nvSpPr>
      <cdr:spPr>
        <a:xfrm xmlns:a="http://schemas.openxmlformats.org/drawingml/2006/main">
          <a:off x="2226286" y="1201108"/>
          <a:ext cx="340455" cy="123358"/>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en-US" sz="800">
              <a:solidFill>
                <a:sysClr val="windowText" lastClr="000000"/>
              </a:solidFill>
              <a:latin typeface="Arial" panose="020B0604020202020204" pitchFamily="34" charset="0"/>
              <a:cs typeface="Arial" panose="020B0604020202020204" pitchFamily="34" charset="0"/>
            </a:rPr>
            <a:t>4%</a:t>
          </a:r>
        </a:p>
      </cdr:txBody>
    </cdr:sp>
  </cdr:relSizeAnchor>
  <cdr:relSizeAnchor xmlns:cdr="http://schemas.openxmlformats.org/drawingml/2006/chartDrawing">
    <cdr:from>
      <cdr:x>0.72845</cdr:x>
      <cdr:y>0.43794</cdr:y>
    </cdr:from>
    <cdr:to>
      <cdr:x>0.82282</cdr:x>
      <cdr:y>0.52264</cdr:y>
    </cdr:to>
    <cdr:sp macro="" textlink="">
      <cdr:nvSpPr>
        <cdr:cNvPr id="10" name="Rectángulo 9"/>
        <cdr:cNvSpPr/>
      </cdr:nvSpPr>
      <cdr:spPr>
        <a:xfrm xmlns:a="http://schemas.openxmlformats.org/drawingml/2006/main">
          <a:off x="2818892" y="1208316"/>
          <a:ext cx="365179" cy="23369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en-US" sz="800">
              <a:solidFill>
                <a:sysClr val="windowText" lastClr="000000"/>
              </a:solidFill>
              <a:latin typeface="Arial" panose="020B0604020202020204" pitchFamily="34" charset="0"/>
              <a:cs typeface="Arial" panose="020B0604020202020204" pitchFamily="34" charset="0"/>
            </a:rPr>
            <a:t>3%</a:t>
          </a:r>
        </a:p>
      </cdr:txBody>
    </cdr:sp>
  </cdr:relSizeAnchor>
  <cdr:relSizeAnchor xmlns:cdr="http://schemas.openxmlformats.org/drawingml/2006/chartDrawing">
    <cdr:from>
      <cdr:x>0.81219</cdr:x>
      <cdr:y>0.43991</cdr:y>
    </cdr:from>
    <cdr:to>
      <cdr:x>0.90018</cdr:x>
      <cdr:y>0.53356</cdr:y>
    </cdr:to>
    <cdr:sp macro="" textlink="">
      <cdr:nvSpPr>
        <cdr:cNvPr id="11" name="Rectángulo 10"/>
        <cdr:cNvSpPr/>
      </cdr:nvSpPr>
      <cdr:spPr>
        <a:xfrm xmlns:a="http://schemas.openxmlformats.org/drawingml/2006/main">
          <a:off x="3142938" y="1213757"/>
          <a:ext cx="340494" cy="258387"/>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en-US" sz="800">
              <a:solidFill>
                <a:sysClr val="windowText" lastClr="000000"/>
              </a:solidFill>
              <a:latin typeface="Arial" panose="020B0604020202020204" pitchFamily="34" charset="0"/>
              <a:cs typeface="Arial" panose="020B0604020202020204" pitchFamily="34" charset="0"/>
            </a:rPr>
            <a:t>2%</a:t>
          </a:r>
        </a:p>
      </cdr:txBody>
    </cdr:sp>
  </cdr:relSizeAnchor>
  <cdr:relSizeAnchor xmlns:cdr="http://schemas.openxmlformats.org/drawingml/2006/chartDrawing">
    <cdr:from>
      <cdr:x>0.89058</cdr:x>
      <cdr:y>0.44386</cdr:y>
    </cdr:from>
    <cdr:to>
      <cdr:x>0.97857</cdr:x>
      <cdr:y>0.54338</cdr:y>
    </cdr:to>
    <cdr:sp macro="" textlink="">
      <cdr:nvSpPr>
        <cdr:cNvPr id="12" name="Rectángulo 11"/>
        <cdr:cNvSpPr/>
      </cdr:nvSpPr>
      <cdr:spPr>
        <a:xfrm xmlns:a="http://schemas.openxmlformats.org/drawingml/2006/main">
          <a:off x="3446269" y="1224643"/>
          <a:ext cx="340494" cy="274573"/>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en-US" sz="800">
              <a:solidFill>
                <a:sysClr val="windowText" lastClr="000000"/>
              </a:solidFill>
              <a:latin typeface="Arial" panose="020B0604020202020204" pitchFamily="34" charset="0"/>
              <a:cs typeface="Arial" panose="020B0604020202020204" pitchFamily="34" charset="0"/>
            </a:rPr>
            <a:t>1%</a:t>
          </a:r>
        </a:p>
      </cdr:txBody>
    </cdr:sp>
  </cdr:relSizeAnchor>
  <cdr:relSizeAnchor xmlns:cdr="http://schemas.openxmlformats.org/drawingml/2006/chartDrawing">
    <cdr:from>
      <cdr:x>0.08644</cdr:x>
      <cdr:y>0.03269</cdr:y>
    </cdr:from>
    <cdr:to>
      <cdr:x>0.22645</cdr:x>
      <cdr:y>0.09075</cdr:y>
    </cdr:to>
    <cdr:sp macro="" textlink="">
      <cdr:nvSpPr>
        <cdr:cNvPr id="13" name="Rectángulo 12"/>
        <cdr:cNvSpPr/>
      </cdr:nvSpPr>
      <cdr:spPr>
        <a:xfrm xmlns:a="http://schemas.openxmlformats.org/drawingml/2006/main">
          <a:off x="334510" y="90193"/>
          <a:ext cx="541790" cy="16018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pPr algn="ctr"/>
          <a:r>
            <a:rPr lang="en-US" sz="800">
              <a:solidFill>
                <a:sysClr val="windowText" lastClr="000000"/>
              </a:solidFill>
            </a:rPr>
            <a:t>27%</a:t>
          </a:r>
          <a:endParaRPr lang="en-US" sz="800"/>
        </a:p>
      </cdr:txBody>
    </cdr:sp>
  </cdr:relSizeAnchor>
  <cdr:relSizeAnchor xmlns:cdr="http://schemas.openxmlformats.org/drawingml/2006/chartDrawing">
    <cdr:from>
      <cdr:x>0.65314</cdr:x>
      <cdr:y>0.43401</cdr:y>
    </cdr:from>
    <cdr:to>
      <cdr:x>0.74112</cdr:x>
      <cdr:y>0.47872</cdr:y>
    </cdr:to>
    <cdr:sp macro="" textlink="">
      <cdr:nvSpPr>
        <cdr:cNvPr id="14" name="Rectángulo 7"/>
        <cdr:cNvSpPr/>
      </cdr:nvSpPr>
      <cdr:spPr>
        <a:xfrm xmlns:a="http://schemas.openxmlformats.org/drawingml/2006/main">
          <a:off x="2527457" y="1197479"/>
          <a:ext cx="340455" cy="123358"/>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en-US" sz="800">
              <a:solidFill>
                <a:sysClr val="windowText" lastClr="000000"/>
              </a:solidFill>
              <a:latin typeface="Arial" panose="020B0604020202020204" pitchFamily="34" charset="0"/>
              <a:cs typeface="Arial" panose="020B0604020202020204" pitchFamily="34" charset="0"/>
            </a:rPr>
            <a:t>4%</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Sec18</b:Tag>
    <b:SourceType>Report</b:SourceType>
    <b:Guid>{9FEE22B6-9FC5-4F6D-B8D9-7584257F79CE}</b:Guid>
    <b:Author>
      <b:Author>
        <b:Corporate>Secretaría de Salud Honduras</b:Corporate>
      </b:Author>
    </b:Author>
    <b:Title>Informe de la Situación Epidemiológica y Prgramática de TB en Honduras al 2017</b:Title>
    <b:Year>2018</b:Year>
    <b:City>Tegucigalpa</b:City>
    <b:RefOrder>1</b:RefOrder>
  </b:Source>
</b:Sources>
</file>

<file path=customXml/item2.xml><?xml version="1.0" encoding="utf-8"?>
<ct:contentTypeSchema xmlns:ct="http://schemas.microsoft.com/office/2006/metadata/contentType" xmlns:ma="http://schemas.microsoft.com/office/2006/metadata/properties/metaAttributes" ct:_="" ma:_="" ma:contentTypeName="Working Document" ma:contentTypeID="0x01010014768F94803F42BEA62C5B7969543DC7008B7A57E5DE90614098D159175272FAFE" ma:contentTypeVersion="123" ma:contentTypeDescription="A work in progress document. &#10;Retention period upon archiving: 0 years." ma:contentTypeScope="" ma:versionID="17641047b406fe2fadd734e98d9461d5">
  <xsd:schema xmlns:xsd="http://www.w3.org/2001/XMLSchema" xmlns:xs="http://www.w3.org/2001/XMLSchema" xmlns:p="http://schemas.microsoft.com/office/2006/metadata/properties" xmlns:ns2="d3a87529-1e04-4d9d-b564-768a36fca9e7" xmlns:ns3="fa473315-44a4-4518-8a4f-31f7017f3642" targetNamespace="http://schemas.microsoft.com/office/2006/metadata/properties" ma:root="true" ma:fieldsID="a8e2b24439ee50725efb828e8f96c83e" ns2:_="" ns3:_="">
    <xsd:import namespace="d3a87529-1e04-4d9d-b564-768a36fca9e7"/>
    <xsd:import namespace="fa473315-44a4-4518-8a4f-31f7017f3642"/>
    <xsd:element name="properties">
      <xsd:complexType>
        <xsd:sequence>
          <xsd:element name="documentManagement">
            <xsd:complexType>
              <xsd:all>
                <xsd:element ref="ns2:Grant_x0020_Name" minOccurs="0"/>
                <xsd:element ref="ns2:MediaServiceMetadata" minOccurs="0"/>
                <xsd:element ref="ns2:MediaServiceFastMetadata" minOccurs="0"/>
                <xsd:element ref="ns3:_dlc_DocId" minOccurs="0"/>
                <xsd:element ref="ns3:_dlc_DocIdUrl" minOccurs="0"/>
                <xsd:element ref="ns3:_dlc_DocIdPersistId" minOccurs="0"/>
                <xsd:element ref="ns2:MediaServiceAutoTags" minOccurs="0"/>
                <xsd:element ref="ns2:MediaServiceOCR" minOccurs="0"/>
                <xsd:element ref="ns2:MediaServiceEventHashCode" minOccurs="0"/>
                <xsd:element ref="ns2: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a87529-1e04-4d9d-b564-768a36fca9e7" elementFormDefault="qualified">
    <xsd:import namespace="http://schemas.microsoft.com/office/2006/documentManagement/types"/>
    <xsd:import namespace="http://schemas.microsoft.com/office/infopath/2007/PartnerControls"/>
    <xsd:element name="Grant_x0020_Name" ma:index="5" nillable="true" ma:displayName="Grant Name" ma:internalName="Grant_x0020_Name" ma:readOnly="false">
      <xsd:simpleType>
        <xsd:restriction base="dms:Text">
          <xsd:maxLength value="255"/>
        </xsd:restriction>
      </xsd:simpleType>
    </xsd:element>
    <xsd:element name="MediaServiceMetadata" ma:index="9" nillable="true" ma:displayName="MediaServiceMetadata" ma:description="" ma:hidden="true" ma:internalName="MediaServiceMetadata" ma:readOnly="true">
      <xsd:simpleType>
        <xsd:restriction base="dms:Note"/>
      </xsd:simpleType>
    </xsd:element>
    <xsd:element name="MediaServiceFastMetadata" ma:index="10" nillable="true" ma:displayName="MediaServiceFastMetadata" ma:description="" ma:hidden="true" ma:internalName="MediaServiceFastMetadata" ma:readOnly="true">
      <xsd:simpleType>
        <xsd:restriction base="dms:Note"/>
      </xsd:simpleType>
    </xsd:element>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a473315-44a4-4518-8a4f-31f7017f3642" elementFormDefault="qualified">
    <xsd:import namespace="http://schemas.microsoft.com/office/2006/documentManagement/types"/>
    <xsd:import namespace="http://schemas.microsoft.com/office/infopath/2007/PartnerControls"/>
    <xsd:element name="_dlc_DocId" ma:index="11" nillable="true" ma:displayName="Document ID Value" ma:description="The value of the document ID assigned to this item." ma:internalName="_dlc_DocId" ma:readOnly="true">
      <xsd:simpleType>
        <xsd:restriction base="dms:Text"/>
      </xsd:simpleType>
    </xsd:element>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3"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c097f1e6-5941-48e7-ac45-8c5509127d4f" ContentTypeId="0x01010014768F94803F42BEA62C5B7969543DC7" PreviousValue="false"/>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Grant_x0020_Name xmlns="d3a87529-1e04-4d9d-b564-768a36fca9e7" xsi:nil="true"/>
    <_dlc_DocId xmlns="fa473315-44a4-4518-8a4f-31f7017f3642">HHFFXVFNZ7RQ-260380143-11451</_dlc_DocId>
    <_dlc_DocIdUrl xmlns="fa473315-44a4-4518-8a4f-31f7017f3642">
      <Url>https://tgf.sharepoint.com/sites/TSGMT10/HND3/_layouts/15/DocIdRedir.aspx?ID=HHFFXVFNZ7RQ-260380143-11451</Url>
      <Description>HHFFXVFNZ7RQ-260380143-11451</Description>
    </_dlc_DocIdUrl>
  </documentManagement>
</p:properties>
</file>

<file path=customXml/itemProps1.xml><?xml version="1.0" encoding="utf-8"?>
<ds:datastoreItem xmlns:ds="http://schemas.openxmlformats.org/officeDocument/2006/customXml" ds:itemID="{AF84B6D8-51CF-4B9F-BEE4-5D2F78C0F848}">
  <ds:schemaRefs>
    <ds:schemaRef ds:uri="http://schemas.openxmlformats.org/officeDocument/2006/bibliography"/>
  </ds:schemaRefs>
</ds:datastoreItem>
</file>

<file path=customXml/itemProps2.xml><?xml version="1.0" encoding="utf-8"?>
<ds:datastoreItem xmlns:ds="http://schemas.openxmlformats.org/officeDocument/2006/customXml" ds:itemID="{7AF5E5AB-2AAD-496F-97C4-A5CA88F8AC81}"/>
</file>

<file path=customXml/itemProps3.xml><?xml version="1.0" encoding="utf-8"?>
<ds:datastoreItem xmlns:ds="http://schemas.openxmlformats.org/officeDocument/2006/customXml" ds:itemID="{694D00B0-6674-4D86-903B-CADA72F74DD7}"/>
</file>

<file path=customXml/itemProps4.xml><?xml version="1.0" encoding="utf-8"?>
<ds:datastoreItem xmlns:ds="http://schemas.openxmlformats.org/officeDocument/2006/customXml" ds:itemID="{BC5E8AD6-F04C-4EA4-8E3D-49A95AAEEC78}"/>
</file>

<file path=customXml/itemProps5.xml><?xml version="1.0" encoding="utf-8"?>
<ds:datastoreItem xmlns:ds="http://schemas.openxmlformats.org/officeDocument/2006/customXml" ds:itemID="{9DDFD4FF-5272-494F-82E6-14A790FBFD7A}"/>
</file>

<file path=customXml/itemProps6.xml><?xml version="1.0" encoding="utf-8"?>
<ds:datastoreItem xmlns:ds="http://schemas.openxmlformats.org/officeDocument/2006/customXml" ds:itemID="{8CFDABB5-3DEC-4454-8725-74AFDD4DAF74}"/>
</file>

<file path=docProps/app.xml><?xml version="1.0" encoding="utf-8"?>
<Properties xmlns="http://schemas.openxmlformats.org/officeDocument/2006/extended-properties" xmlns:vt="http://schemas.openxmlformats.org/officeDocument/2006/docPropsVTypes">
  <Template>Normal</Template>
  <TotalTime>1643</TotalTime>
  <Pages>95</Pages>
  <Words>34101</Words>
  <Characters>194380</Characters>
  <Application>Microsoft Office Word</Application>
  <DocSecurity>0</DocSecurity>
  <Lines>1619</Lines>
  <Paragraphs>456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Analsis de Riesgos a la Sostenibilidad del VIH y la TB en Honduras  - Mayo 15 2019</dc:title>
  <dc:subject/>
  <dc:creator>Hannah Rees</dc:creator>
  <cp:keywords/>
  <dc:description/>
  <cp:lastModifiedBy>diana gonzalez garcia</cp:lastModifiedBy>
  <cp:revision>229</cp:revision>
  <dcterms:created xsi:type="dcterms:W3CDTF">2019-05-15T12:05:00Z</dcterms:created>
  <dcterms:modified xsi:type="dcterms:W3CDTF">2019-06-04T19:07:00Z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0x01010014768F94803F42BEA62C5B7969543DC7008B7A57E5DE90614098D159175272FAFE</vt:lpwstr>
  </property>
  <property fmtid="{D5CDD505-2E9C-101B-9397-08002B2CF9AE}" pid="3" name="_dlc_DocIdItemGuid">
    <vt:lpwstr>370803f6-605d-4117-a1bf-1a4577280c2e</vt:lpwstr>
  </property>
  <property fmtid="{D5CDD505-2E9C-101B-9397-08002B2CF9AE}" pid="4" name="Order">
    <vt:r8>1145100</vt:r8>
  </property>
</Properties>
</file>